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اجتماع الامر و النهی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التحقیق</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المؤلف</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حول الکتاب</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النسخ المعتمدة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منهجنا في تحقیق الکتاب</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الصفحة الأولىٰ من مخطوطة المسجد الأعظم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الصفحة الأخيرة من مخطوطة المسجد الأعظم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الصفحة الأولىٰ من مخطوطة مکتبة الوزيري</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الصفحة الأخيرة من مخطوطة مکتبة الوزيري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الصفحة الأولىٰ من الطبعة الحجرية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الصفحة الأخيرة من الطبعة الحجرية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[مقدّمة الطبعة الحجریّة]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[لوحة صدر الصفحة الأولى في الطبعة الحجریّة]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نصّ الکتاب</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محلّ المسألة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[محلّ المسألة، وأنّها أصولية أو من المبادئ الأحکامية أو المسائل الکلامية؟]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[أقوال الأصولیین في وجوه المسألة]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[التقریرات المختلفة من مسألة اجتماع الأمر والنهي]</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[تقریر المسألة کلامیّة]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[تقریر المسألة على وجه المبادي الأحکامیّة]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[تقریر المسألة أصولیّة عقلیّة]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[تقریر المسألة أصولیّة لفظیّة]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[تقریر المسألة فرعیّة]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[اختلاف حیثیة المسألة بحسب اختلاف التقریرات]</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[ما یظهر من العنوان في کلمات الأصولیین]</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[القول بأنّ المسألة من المبادي الأحکامیّة لا کلامیّة ولا أصولیّة]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[الدلیل الأوّل على عدم کون المسألة کلامیة]</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[الدلیل الثاني على عدم کون المسألة کلاميّة]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[إیرادات على الدلیل الثاني]</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[الدلیل على عدم کون المسألة أصولیّة]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[إیرادات على هذا الدلیل]</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[دلیل المحقّق الأنصاري (رحمة الله‌علیه) على عدم کون مسألة الاجتماع من المسائل الأصولية اللفظیّة]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[نقد کلام المحقّق الأنصاري (رحمة الله‌علیه)]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تذنیب [في ذکر کلام الحاج محمّد إبراهیم الکلباسي (رحمة الله‌علیه) والإشکال فیه]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[ثمرة البحث في کون المسألة أصولیّة أو کلامیّة أو من المبادي الأحکامیّة]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مقدمات</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[مقدّمات قبل الشّروع في أصل المطلب]</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[المقدّمة الأولى: في تحریر محلّ النزاع في المسألة]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[الموضع الأوّل: في معنى الجواز لغةً وعرفاً واصطلاحاً]</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[الموضع الثاني: في تحقیق معنى الاجتماع]</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[خروج الاجتماع الآمري الصرف والمأموري كذلك عن محلّ النزاع]</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[في تضعیف قول صاحب المناهج]</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[الموضع الثالث: في تحقیق الفرق بین أقسام الأمر والنهي وعدمه]</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[النفسي والغيري]</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[الأصلي والتبعي]</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[التوصّلي والتعبّدي]</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[التعییني والتخییري]</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[في تحقّق التخيير في الحرام على نحو تحقّقه في الواجب]</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[الردّ على منکري الحرام التخییري]</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[کلام صاحب هدایة المسترشدین]</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[نقد کلام صاحب الهدایة]</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[التحقیق في الحرام التخییري]</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[دخول الاجتماع بین الأمر والنهي التخییرین في محلّ النزاع]</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[العیني والکفائي]</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[الموسّع والمضیّق]</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[المطلق والمشروط والموقّت وغیره والابتلائي والحقیقي]</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[الموضع الرابع: في اعتبار وحدة متعلّق الأمر والنهي]</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[اعتبار وحدة الزمان]</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[اعتبار اتّحاد الشرط في اجتماع الأمر والنهي]</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[اعتبار اتّحاد المرتبة]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[اشتراط كون النهي بمعنى طلب التّرك المطلق عند صاحب الفصول]</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[عدم اشتراط وحدة الآمر والناهي]</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[الموضع الخامس: في عدم جواز اجتماع الحكمين المتقابلين من الأحکام الوضعيّة]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[الموضع السادس: في التحریرات المختلفة لمحلّ النزاع ومجمع الأمر والنهي]</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[الاجتماع المصداقي والاجتماع الموردي]</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[محلّ النزاع والمجمع من حیث الکلّیة والجزئیّة]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[التحریر الأوّل لمحلّ النزاع]</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[التحریر الثاني لمحلّ النزاع]</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[المقایسة بین التحریرین]</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[إیراد المصنّف على صاحب هدایة المسترشدین]</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[الجهة التعلیلیة والجهة التقییدیة]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[القول المختار في الجهة التعلیلیة والتقییدیّة في محلّ النزاع]</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[التحریر الثالث لمحل النزاع]</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[التحریر الرابع لمحل النزاع قریب من التقریب السابق]</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[رجوع التحریر الثالث والرابع إلى التحریر الأوّل]</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[اتّحاد المتعلّق في الأمر والنهي التخییریین والکفائیین]</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[صورة تباین متعلقي الأمر والنهي مع اتّحادهما في الجنس أو النوع]</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[صور غیر جائزة من الاجتماع]</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[منع الملازمة بین تجویز التکلیف بالمحال وتجویز التکلیف في هذا المقام]</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[الوجه الأوّل لعدم الملازمة واستحالة التکلیف]</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[الوجوه المقرّرة لکون هذا المقام تکلیفاً محالاً]</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[الوجه الأوّل لکون المقام تکلیفاً محالاً]</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[إیراد على هذا الوجه الأوّل]</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[الوجه الثاني لکون المقام تکلیفاً محالاً]</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[إیراد على هذا الوجه الثاني]</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[تعمیم الإیراد]</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[تقریر آخر للحسن والقبح للأفعال قبل الإیجاب والتحریم]</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[الجواب عن التقریر المذکور]</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[الوجه الثالث لکون المقام تکلیفاً محالاً]</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[إیراد على هذا الوجه الثالث]</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[الرأي المختار في کون المقام تکلیفاً محالاً]</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[الوجه الثاني لعدم الملازمة و استحالة التکلیف]</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[إیراد في الوجه الثاني لعدم الملازمة]</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[بقى هنا أمور:]</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[الأمر الأوّل: في توارد الأمر والنهي على المتباينين إذا لم یکونا متلازمین]</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[الأمر الثاني: فيما يتعلّق بكون متعلّق الأمر والنهي عامّين من وجه أو المطلق]</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[الأمر الثالث: فيما ذكره من دخول العامّ المطلق في محلّ النزاع]</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[کلام المحقّق القمي]</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[إیراد على المحقّق القمي]</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[الفرق بین بحث اجتماع الأمر والنهي ودلالة النهي على الفساد]</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[الفرق الأوّل بین المسألتین]</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[الفرق الثاني بین المسألتین]</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[الفرق الثالث بین المسألتین]</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[الفرق بین هاتین المسألتین ومسألة العامّ والخاصّ]</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[الأمر الرابع: في اختصاص البحث بالعامّ المنطقي]</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ذنابتان</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[الأولی: في خروج الأمر والنهي الإرشادي عن محلّ النزاع]</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[الثانية: فيما يكون من الوصف داخل في محلّ النزاع]</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[المقدّمة الثانية: في أنّ متعلّق الأوامر والنواهي هي الطبائع أو الأفراد؟]</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[المراد من الطبایع والأفراد]</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[مقامان في البحث اللغوي والبحث العقلي]</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[المقام الأوّل: في أنّ الأوامر والنّواهي موضوعة لطلب الطّبيعة]</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[إیراد من صاحب هدایة المسترشدین وجوابه]</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[المقام الثاني: أنّ متعلّق الأحکام الطبائع في حکم العقل]</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[الأقوال في أنّ الکلّي الطبيعى موجود في الخارج أم لا؟]</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[القول الأوّل في الکلّي الطبیعي]</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[القول الثاني في الکلّي الطبیعي]</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[القول الثالث في الکلّي الطبیعي]</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[القول الرابع في الکلّي الطبیعي]</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[الوجوه غیر التامّة المذکورة لإثبات الوجود الکلّي الطبیعي]</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[الوجه الأوّل]</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[إیراد على الوجه الأوّل]</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[الوجه الثاني]</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[إیراد على الوجه الثاني]</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[الوجه الثالث]</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[إیراد على الوجه الثالث]</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[الوجه الرابع]</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[إیراد على الوجه الرابع]</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[الوجه الخامس]</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[إیراد على الوجه الخامس]</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[الوجه السادس]</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[إیراد على الوجه السادس]</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[الوجه السابع]</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[إیراد على الوجه السابع]</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[استدلال القائلین بعدم وجود الکلّي الطبیعي]</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[الدلیل الأوّل لنافي الوجود الخارجي للکلّي الطبیعي]</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[ردّ الدلیل الأوّل]</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[الدلیل الثاني لنافي الوجود الخارجي للکلّي الطبیعي]</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[ردّ الدلیل الثاني]</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[نسبة الکلّي بأفراده]</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[في بيان الرأي المختار]</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[استدلال القائلين بتعلّق الأمر أو النهي بالأفراد]</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[ردّ على هذا الاستدلال]</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[ردّ المحقّق القمّي (رحمة الله‌علیه) على الاستدلال]</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[إیراد على المحقّق القمي (رحمة الله‌علیه)]</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[توجیه کلام المحقّق القمّي (رحمة الله‌علیه)]</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[إیراد على التوجیه المذکور]</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[استدلال صاحب المناهج (رحمة الله‌علیه) لتعلّق الحکم بالفرد وردّه]</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[استدلال آخر لتعلّق الحکم بالفرد وردّه]</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[استدلال آخر لعدم تعلّق التکلیف بالکلّي]</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[إیرادات على هذا الاستدلال]</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[کلام شیخ المحقّقین (رحمة الله‌علیه) في متعلّق التکالیف]</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[نقد کلام شیخ المحقّقین (رحمة الله‌علیه)]</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[إیرادان على تعلّق الحکم بالأفراد]</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[الإیراد الأوّل على تعلّق الحکم بالأفراد]</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[جواب صاحب المناهج (رحمة الله‌علیه) عن الإیراد الأوّل]</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[جواب صاحب الفصول (رحمة الله‌علیه) عن الإیراد الأوّل]</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[نقد الجوابین وبیان الحقّ في الجواب]</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[جواب صاحب القوانین (رحمة الله‌علیه) ونقده]</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[الإیراد الثاني على تعلّق الحکم بالأفراد]</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[جواب صاحب المناهج (رحمة الله‌علیه) عن الإیراد الثاني]</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[جواب صاحب الفصول (رحمة الله‌علیه) عن الإیراد الثاني]</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[إیراد على جواب صاحب الفصول (رحمة الله‌علیه)]</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[الفرق بین تعلّق الأمر بالفرد الخاص على سبیل البدلیّة والوجوب التخییري]</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[بيان تفصيل صاحب الفصول (رحمة الله‌علیه) بین متعلّق الأمر والطلب]</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[إیرادات على رأي صاحب الفصول (رحمة الله‌علیه)]</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[الإیراد الأوّل على کلام صاحب الفصول (رحمة الله‌علیه)]</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[الإیراد الثاني على کلام صاحب الفصول]</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[الإیراد الثالث على کلام صاحب الفصول]</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[الإیراد الرابع على کلام صاحب الفصول]</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خاتمة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[المقدّمة الثالثة: في بيان ثمرة المسألة]</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[تعارض الإطلاقات والعمومات في المجمع على القول بالامتناع]</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[المناقشة في الثمرة المذکورة]</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[الثمرة في ترتیب آثار الامتثال وعدمه]</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[تصحیح ما ذکروه من الثمرة بناء على التعارض]</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[تقدیم أحد العامیّن في مورد الاجتماع بالمرجّحات على القول بالامتناع]</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[تخیّل تقدیم النهي بناء على التعارض من حیث الدلالة وردّه]</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[صحّة الثمرة المذکورة لو لا حکم العرف بالتعارض]</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[ثمرة المسألة على بناء على التزاحم]</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[وجوب طرح أو تأویل الخبر الحاکم بالصحة على القول بالمنع]</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[المقدّمة الرابعة: في بيان الأصل في المسألة على فرض الشك]</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أمّا من الحيثيّة الأولى [والمسألة الأصولیّة]</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وأمّا من الحيثيّة الثانية أعني من حیث المسألة الفرعیة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أصل المسألة</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[الشروع في المسألة]</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[نقل الأقوال واستظهارها من أهلها]</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[القائلین بالامتناع]</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[القائلین بالجواز]</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[ما ذکر في نسبة الجواز إلى الفضل بن شاذان]</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[لا وجه لنسبة الجواز إلى السیّد المرتضی]</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[القول بالتفصیل]</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[عدم صحّة إسناد القول بالتفصیل إلى المحقّق الأردبیلي]</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[التردّد في نسبة التفصیل إلى صاحب الریاض]</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[في تحقیق الحق في المسألة]</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[في أدلّة جواز الاجتماع]</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[الدليل الأوّل: الاستدلال على الجواز بتعلّق الأحکام بالطبائع]</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[التقریر الأوّل للدلیل الأوّل بناء على تعلّق الأحکام بالطبائع]</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[الإشکال الأوّل بناء على تعلّق الأحکام بالأفراد تبعاً وجوابه]</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[الإشکال الثاني بناء على لزوم قصد القربة وجوابه]</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[الإشکال الثالث بناء على تقیّد الأوامر بالأفراد غیر المحرّمة وجوابه]</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[الإشکال الرابع: أنّ دلیلکم اعتراف بمذهب الخصم وجوابه]</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[کلام صاحب المناهج (رحمة الله‌علیه) ونقده]</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[عدم الفرق بین أن یکون بین المتعلقین عموم من وجه أو بین متعلّقي المتعلّقین]</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[عدم الفرق بین أن یکون العنوان المنهي عنه وصفاً مفارقاً أو وصفاً لازماً]</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[جریان الدلیل المذکور فیما إذا کان بین المتعلّقین عموم وخصوص مطلق]</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[عدم الفرق بین أن یکون النهي بلحاظ المکان أو سائر الخصوصیات]</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[منع فهم العرف التخصیص فیما إذا کان النهي مولویّاً]</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[جریان الدلیل المذکور بناء على تعلّق الأحکام بالأفراد وعدم جریانه]</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[الإشکال الخامس بناء على عدم جواز اجتماع الأمر التخییري الشرعي والنهي العیني وجوابه]</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[التقریر الثاني للدلیل الأوّل]</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[إیراد على هذا التقریر]</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[استدراك في خروج بعض الموارد عن الإیراد]</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[إیرادات صاحب هدایة المسترشدین (رحمة الله‌علیه) على التقریر الثاني وأجوبتها]</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[إیراد الأوّل]</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[الجواب عن الإیراد الأوّل]</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[الإیراد الثاني]</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[الجواب عن الإیراد الثاني]</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[الإیراد الثالث]</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[الجواب عن الإیراد الثالث]</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[وجوه أخرى من الإیراد على التقرير المذكور في کلام صاحب الحاشیة (رحمة الله‌علیه)]</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[الجواب عن إیراد صاحب الهدایة (رحمة الله‌علیه)]</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[الدلیل الثاني: الاستدلال على الجواز بالطبیعة]</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[الدليل الثالث: الاستدلال على الجواز بالمراجعة إلى الوجدان]</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[الدليل الرابع: الاستدلال على الجواز بالمراجعة إلى العرف والعقلاء]</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[التقریر الأوّل للدلیل الرابع]</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[التقریر الثاني للدلیل الرابع]</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[التقریر الثالث للدلیل الرابع]</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[إیراد على التقریر الثالث]</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[جواب الإیراد على التقریر الثالث]</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[إیراد على التقریر الثاني]</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[جواب الإیراد على التقریر الثاني]</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[إیراد على التقریر الأوّل للدلیل الرابع]</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[الوجه الأوّل للإیراد]</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[جواب من الوجه الأوّل للإیراد]</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[الوجه الثاني للإیراد]</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[جواب من الوجه الثاني للإیراد]</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[الدليل الخامس: وقوع الاجتماع بين الأحکام في موارد من الشريعة]</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[وقوع الاجتماع بين الأحکام في العبادات المكروهة وجواب المانعین]</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[تأویلات القائلین بامتناع اجتماع الأمر والنهي]</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[الوجه الأوّل: حمل الكراهة على قلّة الثواب]</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[بیان الوجه الأوّل في العامّین من وجه وکلام صاحب الهدایة]</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[بیان الوجه الأوّل في موارد العموم المطلق]</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[إیرادات على ما ذکر في العامّین من وجه]</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[الإیراد الأوّل على ما ذکر في العامّین من وجه وجوابه]</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[نقد الإیراد والجواب]</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[الإیراد الثاني على ما ذکر في العامّین من وجه]</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[نقد الإیراد]</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[الإیراد الثالث على ما ذکر في العامّین من وجه]</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[نقد الإیراد]</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[الإیراد الرابع على ما ذکر في العامّین من وجه]</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[نقد الإیراد]</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[إیرادات على ما ذکر في موارد العام والخاص المطلقین]</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[الإیراد الأوّل على ما ذکر في موارد العام والخاص المطلقین]</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[نقد الإیراد]</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[الإیراد الثاني على ما ذکر في موارد العام والخاص المطلقین]</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[نقد الإیراد الثاني]</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[الإیراد الثالث على ما ذکر في موارد العام والخاص المطلقین]</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[نقد الإیراد الثالث]</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[الإیراد الرابع على ما ذکر في موارد العام والخاص المطلقین]</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[نقد الإیراد الرابع]</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[الإیراد الخامس على ما ذکر في موارد العام والخاص المطلقین]</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[نقد الإیراد الخامس]</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[الإیراد السادس على ما ذکر في موارد العام والخاص المطلقین]</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[نقد الإیراد السادس]</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[نقد الإیراد السادس من صاحب الفصول (رحمة الله‌علیه)]</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[في نقد صاحب الفصول (رحمة الله‌علیه)]</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[إیرادات على الطلب الغیري]</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[الإیراد الأوّل على الطلب الغیري]</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[الإیراد الثاني على الطلب الغیري]</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[الإیراد الثالث على الطلب الغیري]</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[إیرادات أخر على الطلب الغیري وأجوبتها]</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[الإیراد الأوّل والجواب عنه]</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[الإیراد الثاني والجواب عنه]</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[الإیراد الثالث والجواب عنه]</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[الإیراد الرابع والجواب عنه]</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[الوجه الثاني: ما عن البهبهاني (رحمة الله‌علیه) بحمل الكراهة على المرجوحيّة الإضافيّة]</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[الإیراد على الوجه الثاني]</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[إیراد المحقّق القمّي (رحمة الله‌علیه) ونقده]</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[الوجه الثالث: حمل تعلّق الكراهة بأمر خارج عن العبادة]</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[الإیراد على الوجه الثالث]</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[إیرادات غیر صحیحة على التوجیه المذکور في الوجه الثالث]</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[کلام المحقّق الأنصاري (رحمة الله‌علیه) ونقده]</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[إشکال المیرداماد (رحمة الله‌علیه) والشیخ البهائي (رحمة الله‌علیه) وجوابه]</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[الوجه الرابع: تعلّق النهي بالوصف أعني الخصوصيّة الفرديّة]</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[وجوه الإیرادات على الوجه الرابع]</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[الوجه الأوّل للإیراد]</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[الوجه الثاني للإیراد]</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[الوجه الثالث للإیراد]</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[الوجه الرابع للإیراد]</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[الرأي المختار]</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[الوجه الخامس: ما اختاره صاحب الفصول (رحمة الله‌علیه)]</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[الوجه الأوّل من تصویر الکراهة في العبادات]</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[الوجه الثاني من تصویر الکراهة في العبادات]</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[إیراد على الوجه الأوّل من الوجهین المذکورین في کلام صاحب الفصول]</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[إیرادات على الوجه الثاني من الوجهین المذکورین في کلام صاحب الفصول ونقدها]</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[الوجه الأوّل للإیراد]</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[نقد الوجه الأوّل من الإیراد]</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[الوجه الثاني للإیراد]</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[نقد الوجه الثاني من الإیراد]</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[إیرادات أخر على کلام صاحب الفصول (رحمة الله‌علیه)]</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[الوجه السادس: ما اختاره الشيخ الأعظم الأنصاري (رحمة الله‌علیه)]</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أمّا المقام الأوّل</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وأمّا المقام الثاني</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وأمّا المقام الثالث</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[إیرادات على کلام الشیخ الأنصاري (رحمة الله‌علیه)]</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[الإیراد الأوّل على کلام الشیخ الأنصاري (رحمة الله‌علیه)]</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[الإیراد الثاني على کلام الشیخ الأنصاري (رحمة الله‌علیه)]</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[الإیراد الثالث على کلام الشیخ الأنصاري (رحمة الله‌علیه)]</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[الإیراد الرابع على کلام الشیخ الأنصاري (رحمة الله‌علیه)]</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[الوجه السابع: التحقیق هو القول بالکراهة بالمعنى المصطلح]</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[تصویر الکراهة فیما لا بدل له]</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[الوجه الأوّل لتصویر الکراهة فيما لا بدل له]</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[الوجه الثاني لتصویر الکراهة فیما لا بدل له]</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[تنزیل کلام المحقّق القمي (رحمة الله‌علیه) على ما ذکرناه]</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[اندفاع الإیراد عن المحقّق القمّي (رحمة الله‌علیه)]</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[رجوع کلام صاحب الفصول (رحمة الله‌علیه) إلى ما ذکرناه]</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[الثاني من الموارد الواقعة في الشرع اجتماع الوجوبين والوجوب والاستحباب]</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[توجیه الشیخ الأنصاري (رحمة الله‌علیه)]</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[إیرادات في کلام الشیخ الأنصاري (رحمة الله‌علیه)]</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[الإیراد الأوّل في کلام الشیخ الأنصاري (رحمة الله‌علیه)]</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[الإیراد الثاني في کلام الشیخ الأنصاري (رحمة الله‌علیه)]</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[الإیراد الثالث في کلام الشیخ الأنصاري (رحمة الله‌علیه)]</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[الإیراد الرابع في کلام الشیخ الأنصاري (رحمة الله‌علیه)]</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[توجیه وتفصیل لصاحب الفصول (رحمة الله‌علیه)]</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[نقد على رأي صاحب الفصول (رحمة الله‌علیه)]</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[في الاستدلال على الاجتماع بتداخل الأغسال]</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[جواب صاحب المناهج (رحمة الله‌علیه) عن إشکال اجتماع الوجوب والاستحباب]</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[نقد کلام صاحب المناهج (رحمة الله‌علیه)]</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[جواب المحقّق السبزواري (رحمة الله‌علیه)]</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[نقد کلام المحقّق السبزواري (رحمة الله‌علیه)]</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[إیراد المحقّق الأنصاري (رحمة الله‌علیه) على کلام المحقّق السبزواري (رحمة الله‌علیه) و نقده]</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[جواب صاحب الجواهر (رحمة الله‌علیه)]</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[إیراد المحقّق الأنصاري (رحمة الله‌علیه) على صاحب الجواهر (رحمة الله‌علیه)]</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[إیراد على صاحب الجواهر (رحمة الله‌علیه)]</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[جواب صاحب الفصول (رحمة الله‌علیه)]</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[إیرادات على جواب صاحب الفصول (رحمة الله‌علیه)]</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[جواب الشهید الأوّل (رحمة الله‌علیه) وإرجاعه إلى ما ذکرناه]</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[وجه آخر للجواب في بعض موارد التداخل]</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[تنزیل جواب المحقّق السبزواري (رحمة الله‌علیه) على ما ذکرناه]</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[في الاستدلال على الاجتماع بالواجبات المرکبة المشتملة على المندوبات]</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[جواب الاستدلال على مذهب المانعین]</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[الرأي المختار]</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[عدم الاجتماع في نذر النوافل]</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[المباحات والمستحبّات التي صارت مقدّمة للواجب]</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[الأموال المباحة إذا طرأها الحرمة بعنوان الغصب]</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[في تحریر أدلّة المانعين والجواب عنها]</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[الدليل الأوّل: كون الاجتماع من التکلیف المحال للزوم اجتماع الضدّين]</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[نقد الدلیل الأوّل]</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[الدليل الثاني: كون الاجتماع تکلیفاً بما لا يطاق]</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[نقد الدلیل الثاني]</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[الدليل الثالث: كون اجتماع الوجوب والحرمة نظير اجتماع السواد والبياض]</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[نقد الدلیل الثالث]</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[الدليل الرابع: لزوم اتّصاف الشي‌ء الواحد بالحسن والقبح من اجتماع الأمر والنهي]</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[نقد الدلیل الرابع]</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[الدليل الخامس: تبعيّة الحكم الشرعي للغالب من الجهتين بعد الكسر والانكسار]</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[نقد الدلیل الخامس]</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[الدليل السادس: اقتضاء حكم العقل بتقيّد الطبيعة بغير الفرد المحرّم]</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[نقد الدلیل السادس]</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[الدليل السابع: عدم الفرق بين المقام وبين موارد التعارض]</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[نقد الدلیل السابع]</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[الدليل الثامن: انكشاف حكم العقل بعدم جواز الاجتماع من فهم العرف]</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[نقد الدلیل الثامن]</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[الدليل التاسع: نسبة الناس الآمر بشي‌ء من جهة والناهي عنه من جهة آخر إلى السّفاهة]</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[نقد الدلیل التاسع]</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[الدليل العاشر: شرط تعلّق الأمر بشي‌ء في ضمن العموم أن لا يعلم إنكار الآمر لفرديّته]</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[نقد الدلیل العاشر]</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[الإشکال على الاجتماع بعدم إمکان الامتثال]</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[جواب الإشکال]</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[في تحریر حجّة المفصّل بین العقل والعرف]</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[نقد حجّة المفصّل بین العقل والعرف]</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تنبيهات</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[تنبيهات في آخر المسألة]</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[التنبیه الأوّل: في حكم الکلّيين المتغايرين في الوجود المتلازمين]</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[التنبیه الثاني: في إجراء مرجّحات باب التعارض على القول بالامتناع أو تقدیم النهي]</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[الرجوع إلى المرجّحات على فرض التعارض]</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[قول بتقدیم النهي من جهة رجحان الدلالة على فرض التعارض]</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[قول بتقدیم النهي تعبّداً لا من جهة رجحان الدلالة]</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[الدلیل الأوّل لتقدیم النهي تعبّداً: دفع المفسدة أولى من جلب المنفعة]</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[نقد الدلیل الأوّل]</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[الدلیل الثاني لتقدیم النهي تعبّداً: الاستقراء]</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[نقد الدلیل الثاني]</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[الدلیل الثالث لتقدیم النهي تعبّداً: أخبار التوقّف]</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[نقد الدلیل الثالث]</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[الدلیل الرابع لتقدیم النهي تعبّداً: إفضاء الحرمة إلى مقصودها أتمّ]</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[نقد الدلیل الرابع]</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[فرض الاجتماع من التعارض أو التزاحم]</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[تقدیم النهي على فرض الامتناع]</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[على فرض التعارض تقتضى القاعدة التخییر لا الرجوع إلى الأصل]</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[التنبیه الثالث: في حكم العمل مع تقديم النهي على مذهب المانعين]</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[التنبیه الرابع: في عدم الفرق بين التعبّديات والتوصّليات على القول بالامتناع]</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[القول بجواز الاجتماع في التوصلیّات]</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[ردّ جواز الاجتماع في التوصلیات]</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[توجیه کلام المجوّز]</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[نقد التوجیه]</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[القول بأنّ مقتضى القاعدة في التوصلیات جواز الاجتماع لإطلاق مادّة الأمر]</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[إیرادات على هذا القول]</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[مبنى المحقّق الأنصاري (رحمة الله‌علیه)]</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[نقد مبنى المحقّق الأنصاري (رحمة الله‌علیه)]</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[وجوه أخر من الإیراد على کلام المحقّق الأنصاري (رحمة الله‌علیه)]</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[الوجه الأوّل من الإیراد]</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[الوجه الثاني من الإیراد]</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[الوجه الثالث من الإیراد]</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[الوجه الرابع من الإیراد]</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[الوجه الخامس من الإیراد]</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[الوجه السادس من الإیراد]</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[الوجه السابع من الإیراد]</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[حاصل الکلام: لا فرق على الامتناع بین التعبدیات والتوصلیات]</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[التنبیه الخامس: في عدم الفرق بين النفسيّين والغيريّين والمختلفين]</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[في بیان تصحيح صاحب هداية المسترشدين (رحمة الله‌علیه) جواز الاجتماع بالترتّب]</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[نقد کلام صاحب هدایة المسترشدین (رحمة الله‌علیه)]</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[بیان المحقق الأنصاري (رحمة الله‌علیه) في دفع الإشکال الثاني]</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[نقد بیان المحقّق الأنصاري (رحمة الله‌علیه)]</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[رأي السیّد المحقّق الأستاد ونقده]</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[الرأي المختار]</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[الإیراد على القول بالترتّب لو تمّ]</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[تصحيح صاحب الفصول (رحمة الله‌علیه) لجواز الاجتماع بالمقدّمة الموصلة]</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[نقد کلام صاحب الفصول (رحمة الله‌علیه)]</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[بیان آخر لدفع لزوم الاجتماع]</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[نقد البیان المذکور]</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[التنبیه السادس: في عدم جواز اجتماع الحکمین مطلقاً على القول بالمنع]</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[احتمال صاحب الهدایة (رحمة الله‌علیه) لجواز اجتماع الاستحباب والكراهة]</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[نقد کلام صاحب الهدایة (رحمة الله‌علیه)]</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[التنبیه السابع: في بیان جواز اجتماع الأمر الصّوري مع النهي الواقعي وبالعكس]</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[التنبیه الثامن: في حكم الاجتماع مع عدم المندوحة ومن توسّط أرضاً مغصوبة]</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[الانحصار البدوي]</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[الانحصار العرضي]</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[اختلاف المانعين في مسألة المتوسّط في الأرض المغصوبة]</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[استدلال صاحب الفصول (رحمة الله‌علیه)]</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[إیرادات على صاحب الفصول (رحمة الله‌علیه) وأجوبتها]</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[الإیراد الأوّل]</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[الجواب عن الإیراد الأوّل]</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[الإیراد الثاني]</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[الجواب عن الإیراد الثاني]</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[الإیراد الثالث]</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[الجواب عن الإیراد الثالث]</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[الإیراد الرابع]</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[الجواب عن الإیراد الرابع]</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[الإیراد الخامس]</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[الجواب عن الإیراد الخامس]</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[في تحقیق المسألة]</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[الأمر الأوّل]</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[الأمر الثاني]</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[الأمر الثالث]</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[حاصل الکلام]</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[نقد کلام المحقّق الأنصاري (رحمة الله‌علیه)]</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[حكم الصلاة حال الخروج من الأرض المغصوبة]</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[حکم الصلاة مع البقاء وعدم الخروج]</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[إشکال في صحّة الصلاة مع الخروج بأنّ العقاب أمارة على عدم بدلیّة الصلاة الاضطراریّة]</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[نقد الإشکال]</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[إشکال آخر على صحّة الصلاة حال الخروج بأنّه شبیه بالصلاة مع الجهل بالحرمة]</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[نقد الإشکال]</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[التنبیه التاسع: مشارکة المأمور بفعل مع من یحرم علیه ذلك الفعل]</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[التنبیه العاشر: في فروع يظهر منها ثمرة المسألة]</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[الصلاة في المکان المغصوب أو الفرش المغصوب]</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[الصلاة تحت سقف مغصوب]</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[الصلاة في مكان يحرم الكون فيه كما تحت الجدار المشرف على الانهدام]</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[الطواف مع الغصب]</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[الاعتکاف على فرش مغصوب]</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[الوقوف بعرفات على فرش مغصوب]</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[الصلاة أو الطواف في ثوب مغصوب]</w:t>
        </w:r>
        <w:r>
          <w:tab/>
        </w:r>
        <w:r>
          <w:fldChar w:fldCharType="begin"/>
        </w:r>
        <w:r>
          <w:instrText xml:space="preserve">PAGEREF 533 \h</w:instrText>
        </w:r>
        <w:r>
          <w:fldChar w:fldCharType="end"/>
        </w:r>
      </w:hyperlink>
    </w:p>
    <w:p>
      <w:pPr>
        <w:tabs>
          <w:tab w:val="right" w:leader="dot" w:pos="9062"/>
        </w:tabs>
        <w:ind w:left="1100"/>
      </w:pPr>
      <w:hyperlink w:anchor="_Toc534" w:history="1">
        <w:r>
          <w:rPr>
            <w:rFonts w:ascii="IRNazanin" w:hAnsi="IRNazanin" w:eastAsia="IRNazanin" w:cs="IRNazanin"/>
            <w:color w:val="111111"/>
            <w:sz w:val="22"/>
            <w:szCs w:val="22"/>
            <w:b w:val="0"/>
            <w:bCs w:val="0"/>
            <w:i w:val="0"/>
            <w:iCs w:val="0"/>
          </w:rPr>
          <w:t>[الطهارة بماء مغصوب أو تراب مغصوب]</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[إعطاء الخمس أو الزکاة في المکان المغصوب]</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[إعطاء مال یحرم إعطاؤه لنذر خمساً أو زکاة]</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[قضاء الدین في المکان المغصوب والمعاملة المعاطاتیة بمال یحرم التصرف فیه لنذر]</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[إجراء صیغة عقد أو إیقاع في مکان مغصوب]</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[الإتیان بالواجب المنذور ولو توصلیّاً في المکان المغصوب]</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[حمل جنب أو نجاسة حال الطواف]</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[تذنيب: في لزوم عدم استحقاق الأجرة إذا أتى بالعمل على الوجه المحرّم على قول المانعين]</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[خاتمة الطبعة الحجرّیة]</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الفهارس الفنيّة</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فهرس الآیات</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فهرس الروایات</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فهرس الأعلام</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فهرس الکتب والرسائل</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فهرس الأمکنة</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فهرس الفرق</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مصادر التحقیق</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فهرس المطالب</w:t>
        </w:r>
        <w:r>
          <w:tab/>
        </w:r>
        <w:r>
          <w:fldChar w:fldCharType="begin"/>
        </w:r>
        <w:r>
          <w:instrText xml:space="preserve">PAGEREF 552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84_51056"/>
    <w:bookmarkEnd w:id="0"/>
    <w:p>
      <w:pPr>
        <w:pStyle w:val="Heading2"/>
      </w:pPr>
      <w:bookmarkStart w:id="320" w:name="_Toc1"/>
      <w:r>
        <w:t>هویة الکتاب</w:t>
      </w:r>
      <w:bookmarkEnd w:id="320"/>
    </w:p>
    <w:p>
      <w:pPr>
        <w:pStyle w:val="BookText"/>
      </w:pPr>
      <w:r>
        <w:rPr>
          <w:rFonts w:ascii="IRNazanin" w:hAnsi="IRNazanin" w:eastAsia="IRNazanin" w:cs="IRNazanin"/>
          <w:lang w:bidi="fa-IR"/>
          <w:color w:val="111111"/>
          <w:sz w:val="28"/>
          <w:szCs w:val="28"/>
          <w:rtl/>
        </w:rPr>
        <w:t xml:space="preserve">سرشناسه: البطاقة تعريف:یزدي، سید محمد کاظم بن عبدالعظیم، 1353 - 1338ق.</w:t>
      </w:r>
    </w:p>
    <w:p>
      <w:pPr>
        <w:pStyle w:val="BookText"/>
      </w:pPr>
      <w:r>
        <w:rPr>
          <w:rFonts w:ascii="IRNazanin" w:hAnsi="IRNazanin" w:eastAsia="IRNazanin" w:cs="IRNazanin"/>
          <w:lang w:bidi="fa-IR"/>
          <w:color w:val="111111"/>
          <w:sz w:val="28"/>
          <w:szCs w:val="28"/>
          <w:rtl/>
        </w:rPr>
        <w:t xml:space="preserve">عنوان المؤلف واسمه: اجتماع الامر والنهی / تأليف السيد محمد كاظم الطباطبایي الیزدي: حققه و علق علیه حسین حلبیان الاصفهاني</w:t>
      </w:r>
    </w:p>
    <w:p>
      <w:pPr>
        <w:pStyle w:val="BookText"/>
      </w:pPr>
      <w:r>
        <w:rPr>
          <w:rFonts w:ascii="IRNazanin" w:hAnsi="IRNazanin" w:eastAsia="IRNazanin" w:cs="IRNazanin"/>
          <w:lang w:bidi="fa-IR"/>
          <w:color w:val="111111"/>
          <w:sz w:val="28"/>
          <w:szCs w:val="28"/>
          <w:rtl/>
        </w:rPr>
        <w:t xml:space="preserve">تفاصيل النشر: قم انتشارات خوبی 1442ق - 1400ش.</w:t>
      </w:r>
    </w:p>
    <w:p>
      <w:pPr>
        <w:pStyle w:val="BookText"/>
      </w:pPr>
      <w:r>
        <w:rPr>
          <w:rFonts w:ascii="IRNazanin" w:hAnsi="IRNazanin" w:eastAsia="IRNazanin" w:cs="IRNazanin"/>
          <w:lang w:bidi="fa-IR"/>
          <w:color w:val="111111"/>
          <w:sz w:val="28"/>
          <w:szCs w:val="28"/>
          <w:rtl/>
        </w:rPr>
        <w:t xml:space="preserve">مواصفات المظهر: 624 ص.</w:t>
      </w:r>
    </w:p>
    <w:p>
      <w:pPr>
        <w:pStyle w:val="BookText"/>
      </w:pPr>
      <w:r>
        <w:rPr>
          <w:rFonts w:ascii="IRNazanin" w:hAnsi="IRNazanin" w:eastAsia="IRNazanin" w:cs="IRNazanin"/>
          <w:lang w:bidi="fa-IR"/>
          <w:color w:val="111111"/>
          <w:sz w:val="28"/>
          <w:szCs w:val="28"/>
          <w:rtl/>
        </w:rPr>
        <w:t xml:space="preserve">شابک: 0-9-97726-622-978</w:t>
      </w:r>
    </w:p>
    <w:p>
      <w:pPr>
        <w:pStyle w:val="BookText"/>
      </w:pPr>
      <w:r>
        <w:rPr>
          <w:rFonts w:ascii="IRNazanin" w:hAnsi="IRNazanin" w:eastAsia="IRNazanin" w:cs="IRNazanin"/>
          <w:lang w:bidi="fa-IR"/>
          <w:color w:val="111111"/>
          <w:sz w:val="28"/>
          <w:szCs w:val="28"/>
          <w:rtl/>
        </w:rPr>
        <w:t xml:space="preserve">حالة الاستماع: فیپا</w:t>
      </w:r>
    </w:p>
    <w:p>
      <w:pPr>
        <w:pStyle w:val="BookText"/>
      </w:pPr>
      <w:r>
        <w:rPr>
          <w:rFonts w:ascii="Amiri" w:hAnsi="Amiri" w:eastAsia="Amiri" w:cs="Amiri"/>
          <w:lang w:bidi="ar-SA"/>
          <w:color w:val="111111"/>
          <w:sz w:val="28"/>
          <w:szCs w:val="28"/>
          <w:rtl/>
        </w:rPr>
        <w:t xml:space="preserve">ملحوظة: العربية</w:t>
      </w:r>
    </w:p>
    <w:p>
      <w:pPr>
        <w:pStyle w:val="BookText"/>
      </w:pPr>
      <w:r>
        <w:rPr>
          <w:rFonts w:ascii="IRNazanin" w:hAnsi="IRNazanin" w:eastAsia="IRNazanin" w:cs="IRNazanin"/>
          <w:lang w:bidi="fa-IR"/>
          <w:color w:val="111111"/>
          <w:sz w:val="28"/>
          <w:szCs w:val="28"/>
          <w:rtl/>
        </w:rPr>
        <w:t xml:space="preserve">ملحوظة: کتاب حاضر نخستین بار با اعداد محسن الاحمدی الطهرانی توسط انتشارات خدادادی در سال 1391 منتشر شده است.</w:t>
      </w:r>
    </w:p>
    <w:p>
      <w:pPr>
        <w:pStyle w:val="BookText"/>
      </w:pPr>
      <w:r>
        <w:rPr>
          <w:rFonts w:ascii="IRNazanin" w:hAnsi="IRNazanin" w:eastAsia="IRNazanin" w:cs="IRNazanin"/>
          <w:lang w:bidi="fa-IR"/>
          <w:color w:val="111111"/>
          <w:sz w:val="28"/>
          <w:szCs w:val="28"/>
          <w:rtl/>
        </w:rPr>
        <w:t xml:space="preserve">ملحوظة: کتابنامه: ص. [598] - 616؛ همچنین به صورت زیرنویس.</w:t>
      </w:r>
    </w:p>
    <w:p>
      <w:pPr>
        <w:pStyle w:val="BookText"/>
      </w:pPr>
      <w:r>
        <w:rPr>
          <w:rFonts w:ascii="IRNazanin" w:hAnsi="IRNazanin" w:eastAsia="IRNazanin" w:cs="IRNazanin"/>
          <w:lang w:bidi="fa-IR"/>
          <w:color w:val="111111"/>
          <w:sz w:val="28"/>
          <w:szCs w:val="28"/>
          <w:rtl/>
        </w:rPr>
        <w:t xml:space="preserve">ملحوظة: نمایه</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Jurisprudence principles *</w:t>
      </w:r>
    </w:p>
    <w:p>
      <w:pPr>
        <w:pStyle w:val="BookText"/>
      </w:pPr>
      <w:r>
        <w:rPr>
          <w:rFonts w:ascii="IRNazanin" w:hAnsi="IRNazanin" w:eastAsia="IRNazanin" w:cs="IRNazanin"/>
          <w:lang w:bidi="fa-IR"/>
          <w:color w:val="111111"/>
          <w:sz w:val="28"/>
          <w:szCs w:val="28"/>
          <w:rtl/>
        </w:rPr>
        <w:t xml:space="preserve">موضوع: اصول فقه شیعه - قرن 13ق.</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A grreement of command and prohibition</w:t>
      </w:r>
    </w:p>
    <w:p>
      <w:pPr>
        <w:pStyle w:val="BookText"/>
      </w:pPr>
      <w:r>
        <w:rPr>
          <w:rFonts w:ascii="IRNazanin" w:hAnsi="IRNazanin" w:eastAsia="IRNazanin" w:cs="IRNazanin"/>
          <w:lang w:bidi="fa-IR"/>
          <w:color w:val="111111"/>
          <w:sz w:val="28"/>
          <w:szCs w:val="28"/>
          <w:rtl/>
        </w:rPr>
        <w:t xml:space="preserve">معرف المضافة: حلبیان، حسین، 1360 -</w:t>
      </w:r>
    </w:p>
    <w:p>
      <w:pPr>
        <w:pStyle w:val="BookText"/>
      </w:pPr>
      <w:r>
        <w:rPr>
          <w:rFonts w:ascii="Amiri" w:hAnsi="Amiri" w:eastAsia="Amiri" w:cs="Amiri"/>
          <w:lang w:bidi="ar-SA"/>
          <w:color w:val="111111"/>
          <w:sz w:val="28"/>
          <w:szCs w:val="28"/>
          <w:rtl/>
        </w:rPr>
        <w:t xml:space="preserve">تصنيف الكونجرس: </w:t>
      </w:r>
      <w:r>
        <w:rPr>
          <w:rFonts w:ascii="Times New Roman" w:hAnsi="Times New Roman" w:eastAsia="Times New Roman" w:cs="Times New Roman"/>
          <w:lang w:val="en-US" w:bidi="en-US"/>
          <w:color w:val="111111"/>
          <w:sz w:val="28"/>
          <w:szCs w:val="28"/>
          <w:rtl/>
        </w:rPr>
        <w:t xml:space="preserve">BP164/5</w:t>
      </w:r>
    </w:p>
    <w:p>
      <w:pPr>
        <w:pStyle w:val="BookText"/>
      </w:pPr>
      <w:r>
        <w:rPr>
          <w:rFonts w:ascii="Amiri" w:hAnsi="Amiri" w:eastAsia="Amiri" w:cs="Amiri"/>
          <w:lang w:bidi="ar-SA"/>
          <w:color w:val="111111"/>
          <w:sz w:val="28"/>
          <w:szCs w:val="28"/>
          <w:rtl/>
        </w:rPr>
        <w:t xml:space="preserve">تصنيف ديوي: 297/21</w:t>
      </w:r>
    </w:p>
    <w:p>
      <w:pPr>
        <w:pStyle w:val="BookText"/>
      </w:pPr>
      <w:r>
        <w:rPr>
          <w:rFonts w:ascii="Amiri" w:hAnsi="Amiri" w:eastAsia="Amiri" w:cs="Amiri"/>
          <w:lang w:bidi="ar-SA"/>
          <w:color w:val="111111"/>
          <w:sz w:val="28"/>
          <w:szCs w:val="28"/>
          <w:rtl/>
        </w:rPr>
        <w:t xml:space="preserve">رقم الببليوغرافيا الوطنية: 7632549</w:t>
      </w:r>
    </w:p>
    <w:p>
      <w:pPr>
        <w:pStyle w:val="BookText"/>
      </w:pPr>
      <w:r>
        <w:rPr>
          <w:rFonts w:ascii="IRNazanin" w:hAnsi="IRNazanin" w:eastAsia="IRNazanin" w:cs="IRNazanin"/>
          <w:lang w:bidi="fa-IR"/>
          <w:color w:val="111111"/>
          <w:sz w:val="28"/>
          <w:szCs w:val="28"/>
          <w:rtl/>
        </w:rPr>
        <w:t xml:space="preserve">وضعیت رکورد: فیپا</w:t>
      </w:r>
    </w:p>
    <w:p>
      <w:pPr>
        <w:pStyle w:val="BookText"/>
      </w:pPr>
      <w:r>
        <w:rPr>
          <w:rFonts w:ascii="IRNazanin" w:hAnsi="IRNazanin" w:eastAsia="IRNazanin" w:cs="IRNazanin"/>
          <w:lang w:bidi="fa-IR"/>
          <w:color w:val="111111"/>
          <w:sz w:val="28"/>
          <w:szCs w:val="28"/>
          <w:rtl/>
        </w:rPr>
        <w:t xml:space="preserve">عنوان کتاب اجتماع الامر و النهي</w:t>
      </w:r>
    </w:p>
    <w:p>
      <w:pPr>
        <w:pStyle w:val="BookText"/>
      </w:pPr>
      <w:r>
        <w:rPr>
          <w:rFonts w:ascii="IRNazanin" w:hAnsi="IRNazanin" w:eastAsia="IRNazanin" w:cs="IRNazanin"/>
          <w:lang w:bidi="fa-IR"/>
          <w:color w:val="111111"/>
          <w:sz w:val="28"/>
          <w:szCs w:val="28"/>
          <w:rtl/>
        </w:rPr>
        <w:t xml:space="preserve">تألیف: آية الله العظمى السيد محمد كاظم الطباطبائی الیزدی؛</w:t>
      </w:r>
    </w:p>
    <w:p>
      <w:pPr>
        <w:pStyle w:val="BookText"/>
      </w:pPr>
      <w:r>
        <w:rPr>
          <w:rFonts w:ascii="IRNazanin" w:hAnsi="IRNazanin" w:eastAsia="IRNazanin" w:cs="IRNazanin"/>
          <w:lang w:bidi="fa-IR"/>
          <w:color w:val="111111"/>
          <w:sz w:val="28"/>
          <w:szCs w:val="28"/>
          <w:rtl/>
        </w:rPr>
        <w:t xml:space="preserve">حققه و علق عليه: آیت الله الحاج الشيخ حسين حلبيان الاصفهاني</w:t>
      </w:r>
    </w:p>
    <w:p>
      <w:pPr>
        <w:pStyle w:val="BookText"/>
      </w:pPr>
      <w:r>
        <w:rPr>
          <w:rFonts w:ascii="Amiri" w:hAnsi="Amiri" w:eastAsia="Amiri" w:cs="Amiri"/>
          <w:lang w:bidi="ar-SA"/>
          <w:color w:val="111111"/>
          <w:sz w:val="28"/>
          <w:szCs w:val="28"/>
          <w:rtl/>
        </w:rPr>
        <w:t xml:space="preserve">الناشر: منشورات الخوئي</w:t>
      </w:r>
    </w:p>
    <w:p>
      <w:pPr>
        <w:pStyle w:val="BookText"/>
      </w:pPr>
      <w:r>
        <w:rPr>
          <w:rFonts w:ascii="Amiri" w:hAnsi="Amiri" w:eastAsia="Amiri" w:cs="Amiri"/>
          <w:lang w:bidi="ar-SA"/>
          <w:color w:val="111111"/>
          <w:sz w:val="28"/>
          <w:szCs w:val="28"/>
          <w:rtl/>
        </w:rPr>
        <w:t xml:space="preserve">تصميم الغلاف: حسن الصدرائي نيا</w:t>
      </w:r>
    </w:p>
    <w:p>
      <w:pPr>
        <w:pStyle w:val="BookText"/>
      </w:pPr>
      <w:r>
        <w:rPr>
          <w:rFonts w:ascii="IRNazanin" w:hAnsi="IRNazanin" w:eastAsia="IRNazanin" w:cs="IRNazanin"/>
          <w:lang w:bidi="fa-IR"/>
          <w:color w:val="111111"/>
          <w:sz w:val="28"/>
          <w:szCs w:val="28"/>
          <w:rtl/>
        </w:rPr>
        <w:t xml:space="preserve">قطع: وزیری</w:t>
      </w:r>
    </w:p>
    <w:p>
      <w:pPr>
        <w:pStyle w:val="BookText"/>
      </w:pPr>
      <w:r>
        <w:rPr>
          <w:rFonts w:ascii="IRNazanin" w:hAnsi="IRNazanin" w:eastAsia="IRNazanin" w:cs="IRNazanin"/>
          <w:lang w:bidi="fa-IR"/>
          <w:color w:val="111111"/>
          <w:sz w:val="28"/>
          <w:szCs w:val="28"/>
          <w:rtl/>
        </w:rPr>
        <w:t xml:space="preserve">شابک: --9-97726-622-978</w:t>
      </w:r>
    </w:p>
    <w:p>
      <w:pPr>
        <w:pStyle w:val="BookText"/>
      </w:pPr>
      <w:r>
        <w:rPr>
          <w:rFonts w:ascii="Amiri" w:hAnsi="Amiri" w:eastAsia="Amiri" w:cs="Amiri"/>
          <w:lang w:bidi="ar-SA"/>
          <w:color w:val="111111"/>
          <w:sz w:val="28"/>
          <w:szCs w:val="28"/>
          <w:rtl/>
        </w:rPr>
        <w:t xml:space="preserve">تاريخ الانتشار: الطبعة الاولى: 1442ق / 1400 ش</w:t>
      </w:r>
    </w:p>
    <w:p>
      <w:pPr>
        <w:pStyle w:val="BookText"/>
      </w:pPr>
      <w:r>
        <w:rPr>
          <w:rFonts w:ascii="Amiri" w:hAnsi="Amiri" w:eastAsia="Amiri" w:cs="Amiri"/>
          <w:lang w:bidi="ar-SA"/>
          <w:color w:val="111111"/>
          <w:sz w:val="28"/>
          <w:szCs w:val="28"/>
          <w:rtl/>
        </w:rPr>
        <w:t xml:space="preserve">العدد: 100 نسخة</w:t>
      </w:r>
    </w:p>
    <w:p>
      <w:pPr>
        <w:pStyle w:val="BookText"/>
      </w:pPr>
      <w:r>
        <w:rPr>
          <w:rFonts w:ascii="IRNazanin" w:hAnsi="IRNazanin" w:eastAsia="IRNazanin" w:cs="IRNazanin"/>
          <w:lang w:bidi="fa-IR"/>
          <w:color w:val="111111"/>
          <w:sz w:val="28"/>
          <w:szCs w:val="28"/>
          <w:rtl/>
        </w:rPr>
        <w:t xml:space="preserve">السعر: 110000 تومان</w:t>
      </w:r>
    </w:p>
    <w:p>
      <w:pPr>
        <w:pStyle w:val="BookText"/>
      </w:pPr>
      <w:r>
        <w:rPr>
          <w:rFonts w:ascii="IRNazanin" w:hAnsi="IRNazanin" w:eastAsia="IRNazanin" w:cs="IRNazanin"/>
          <w:lang w:bidi="fa-IR"/>
          <w:color w:val="111111"/>
          <w:sz w:val="28"/>
          <w:szCs w:val="28"/>
          <w:rtl/>
        </w:rPr>
        <w:t xml:space="preserve">حق النشر محفوظ للمحقق و الناشر</w:t>
      </w:r>
    </w:p>
    <w:p>
      <w:pPr>
        <w:pStyle w:val="BookText"/>
      </w:pPr>
      <w:r>
        <w:rPr>
          <w:rFonts w:ascii="IRNazanin" w:hAnsi="IRNazanin" w:eastAsia="IRNazanin" w:cs="IRNazanin"/>
          <w:lang w:bidi="fa-IR"/>
          <w:color w:val="111111"/>
          <w:sz w:val="28"/>
          <w:szCs w:val="28"/>
          <w:rtl/>
        </w:rPr>
        <w:t xml:space="preserve">انتشارات خویی</w:t>
      </w:r>
    </w:p>
    <w:p>
      <w:pPr>
        <w:pStyle w:val="BookText"/>
      </w:pPr>
      <w:r>
        <w:rPr>
          <w:rFonts w:ascii="Times New Roman" w:hAnsi="Times New Roman" w:eastAsia="Times New Roman" w:cs="Times New Roman"/>
          <w:lang w:val="en-US" w:bidi="en-US"/>
          <w:color w:val="111111"/>
          <w:sz w:val="28"/>
          <w:szCs w:val="28"/>
          <w:rtl/>
        </w:rPr>
        <w:t xml:space="preserve">09127525525</w:t>
      </w:r>
    </w:p>
    <w:p>
      <w:pPr>
        <w:pStyle w:val="Heading2"/>
      </w:pPr>
      <w:bookmarkStart w:id="321" w:name="_Toc2"/>
      <w:r>
        <w:t>اشارة</w:t>
      </w:r>
      <w:bookmarkEnd w:id="321"/>
    </w:p>
    <w:p>
      <w:pPr>
        <w:pStyle w:val="BookText"/>
      </w:pPr>
      <w:r>
        <w:rPr>
          <w:rFonts w:ascii="IRNazanin" w:hAnsi="IRNazanin" w:eastAsia="IRNazanin" w:cs="IRNazanin"/>
          <w:lang w:bidi="fa-IR"/>
          <w:color w:val="111111"/>
          <w:sz w:val="28"/>
          <w:szCs w:val="28"/>
          <w:rtl/>
        </w:rPr>
        <w:t xml:space="preserve">اجتماع الأمروالنهی</w:t>
      </w:r>
    </w:p>
    <w:p>
      <w:pPr>
        <w:pStyle w:val="BookText"/>
      </w:pPr>
      <w:r>
        <w:rPr>
          <w:rFonts w:ascii="Amiri" w:hAnsi="Amiri" w:eastAsia="Amiri" w:cs="Amiri"/>
          <w:lang w:bidi="ar-SA"/>
          <w:color w:val="111111"/>
          <w:sz w:val="28"/>
          <w:szCs w:val="28"/>
          <w:rtl/>
        </w:rPr>
        <w:t xml:space="preserve">تأليف</w:t>
      </w:r>
    </w:p>
    <w:p>
      <w:pPr>
        <w:pStyle w:val="BookText"/>
      </w:pPr>
      <w:r>
        <w:rPr>
          <w:rFonts w:ascii="IRNazanin" w:hAnsi="IRNazanin" w:eastAsia="IRNazanin" w:cs="IRNazanin"/>
          <w:lang w:bidi="fa-IR"/>
          <w:color w:val="111111"/>
          <w:sz w:val="28"/>
          <w:szCs w:val="28"/>
          <w:rtl/>
        </w:rPr>
        <w:t xml:space="preserve">فقیه اهل البیت علیهم السلام</w:t>
      </w:r>
    </w:p>
    <w:p>
      <w:pPr>
        <w:pStyle w:val="BookText"/>
      </w:pPr>
      <w:r>
        <w:rPr>
          <w:rFonts w:ascii="Amiri" w:hAnsi="Amiri" w:eastAsia="Amiri" w:cs="Amiri"/>
          <w:lang w:bidi="ar-SA"/>
          <w:color w:val="111111"/>
          <w:sz w:val="28"/>
          <w:szCs w:val="28"/>
          <w:rtl/>
        </w:rPr>
        <w:t xml:space="preserve">سماحة آية الله العظمى</w:t>
      </w:r>
    </w:p>
    <w:p>
      <w:pPr>
        <w:pStyle w:val="BookText"/>
      </w:pPr>
      <w:r>
        <w:rPr>
          <w:rFonts w:ascii="IRNazanin" w:hAnsi="IRNazanin" w:eastAsia="IRNazanin" w:cs="IRNazanin"/>
          <w:lang w:bidi="fa-IR"/>
          <w:color w:val="111111"/>
          <w:sz w:val="28"/>
          <w:szCs w:val="28"/>
          <w:rtl/>
        </w:rPr>
        <w:t xml:space="preserve">السيد محمد كاظم الطباطبایی اليزدي</w:t>
      </w:r>
    </w:p>
    <w:p>
      <w:pPr>
        <w:pStyle w:val="BookText"/>
      </w:pPr>
      <w:r>
        <w:rPr>
          <w:rFonts w:ascii="IRNazanin" w:hAnsi="IRNazanin" w:eastAsia="IRNazanin" w:cs="IRNazanin"/>
          <w:lang w:bidi="fa-IR"/>
          <w:color w:val="111111"/>
          <w:sz w:val="28"/>
          <w:szCs w:val="28"/>
          <w:rtl/>
        </w:rPr>
        <w:t xml:space="preserve">حققه و علق علیه</w:t>
      </w:r>
    </w:p>
    <w:p>
      <w:pPr>
        <w:pStyle w:val="BookText"/>
      </w:pPr>
      <w:r>
        <w:rPr>
          <w:rFonts w:ascii="IRNazanin" w:hAnsi="IRNazanin" w:eastAsia="IRNazanin" w:cs="IRNazanin"/>
          <w:lang w:bidi="fa-IR"/>
          <w:color w:val="111111"/>
          <w:sz w:val="28"/>
          <w:szCs w:val="28"/>
          <w:rtl/>
        </w:rPr>
        <w:t xml:space="preserve">فقیه اهل البیت علیهم السلام</w:t>
      </w:r>
    </w:p>
    <w:p>
      <w:pPr>
        <w:pStyle w:val="BookText"/>
      </w:pPr>
      <w:r>
        <w:rPr>
          <w:rFonts w:ascii="IRNazanin" w:hAnsi="IRNazanin" w:eastAsia="IRNazanin" w:cs="IRNazanin"/>
          <w:lang w:bidi="fa-IR"/>
          <w:color w:val="111111"/>
          <w:sz w:val="28"/>
          <w:szCs w:val="28"/>
          <w:rtl/>
        </w:rPr>
        <w:t xml:space="preserve">سماحة آية الله الحاج الشیخ حسین حلبیان اصفهانی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الحمدلله ربّ العالیمن وصلّى الله على محمد وآله الطیبین الطاهرین لاسیّما بقیة الله في الأرضین (عجل‌الله‌تعالی‌فرجه) ولعنة الله على أعدائهم أجمعین.</w:t>
      </w:r>
    </w:p>
    <w:p>
      <w:pPr>
        <w:pStyle w:val="BookText"/>
      </w:pPr>
      <w:r>
        <w:rPr>
          <w:rFonts w:ascii="IRNazanin" w:hAnsi="IRNazanin" w:eastAsia="IRNazanin" w:cs="IRNazanin"/>
          <w:lang w:bidi="fa-IR"/>
          <w:color w:val="111111"/>
          <w:sz w:val="28"/>
          <w:szCs w:val="28"/>
          <w:rtl/>
        </w:rPr>
        <w:t xml:space="preserve">تأريخ الفراغ من تحقيق كتاب (اجتماع الأمر والنهي) لآية الله العظمىٰ السيد محمد كاظم الطباطبائي اليزدي (رضوان الله تعالی علیه) تحقيق فقیه أهل البیت (علیهم‌السلام) آية الله الحاج الشيخ حسين حلبيان الإصفهاني (مدّظلّه) أنشأها الدكتور السيّد مضر الحسينيّ الحلّي</w:t>
      </w:r>
      <w:r>
        <w:rPr>
          <w:rStyle w:val="FootnoteReference"/>
        </w:rPr>
        <w:footnoteReference w:id="1"/>
      </w:r>
      <w:r>
        <w:rPr>
          <w:rFonts w:ascii="IRNazanin" w:hAnsi="IRNazanin" w:eastAsia="IRNazanin" w:cs="IRNazanin"/>
          <w:lang w:bidi="fa-IR"/>
          <w:color w:val="111111"/>
          <w:sz w:val="28"/>
          <w:szCs w:val="28"/>
          <w:rtl/>
        </w:rPr>
        <w:t xml:space="preserve">(دامت‌برکاته).</w:t>
      </w:r>
    </w:p>
    <w:p>
      <w:pPr>
        <w:pStyle w:val="BookText"/>
      </w:pPr>
      <w:r>
        <w:rPr>
          <w:rFonts w:ascii="Amiri" w:hAnsi="Amiri" w:eastAsia="Amiri" w:cs="Amiri"/>
          <w:lang w:bidi="ar-SA"/>
          <w:color w:val="111111"/>
          <w:sz w:val="28"/>
          <w:szCs w:val="28"/>
          <w:rtl/>
        </w:rPr>
        <w:t xml:space="preserve">لخير الخلقِ إن نهدي اج- *** -تماع الأمر والنهيِ</w:t>
      </w:r>
    </w:p>
    <w:p>
      <w:pPr>
        <w:pStyle w:val="BookText"/>
      </w:pPr>
      <w:r>
        <w:rPr>
          <w:rFonts w:ascii="Amiri" w:hAnsi="Amiri" w:eastAsia="Amiri" w:cs="Amiri"/>
          <w:lang w:bidi="ar-SA"/>
          <w:color w:val="111111"/>
          <w:sz w:val="28"/>
          <w:szCs w:val="28"/>
          <w:rtl/>
        </w:rPr>
        <w:t xml:space="preserve">رسولِ الله خيرِ النا*** سِ في نشرٍ وفي طيِّ</w:t>
      </w:r>
    </w:p>
    <w:p>
      <w:pPr>
        <w:pStyle w:val="BookText"/>
      </w:pPr>
      <w:r>
        <w:rPr>
          <w:rFonts w:ascii="Amiri" w:hAnsi="Amiri" w:eastAsia="Amiri" w:cs="Amiri"/>
          <w:lang w:bidi="ar-SA"/>
          <w:color w:val="111111"/>
          <w:sz w:val="28"/>
          <w:szCs w:val="28"/>
          <w:rtl/>
        </w:rPr>
        <w:t xml:space="preserve">وآلِ البيتِ ساداتِ ال-*** -ورىٰ عن غيرهم نأيي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يا فقيه الدي-*** -نِ يا مَن جادَ بالمرضيّ</w:t>
      </w:r>
    </w:p>
    <w:p>
      <w:pPr>
        <w:pStyle w:val="BookText"/>
      </w:pPr>
      <w:r>
        <w:rPr>
          <w:rFonts w:ascii="Amiri" w:hAnsi="Amiri" w:eastAsia="Amiri" w:cs="Amiri"/>
          <w:lang w:bidi="ar-SA"/>
          <w:color w:val="111111"/>
          <w:sz w:val="28"/>
          <w:szCs w:val="28"/>
          <w:rtl/>
        </w:rPr>
        <w:t xml:space="preserve">لقد أحييتَ فعلَ الخي-*** -رِ للعلَّامةِ اليزدي</w:t>
      </w:r>
    </w:p>
    <w:p>
      <w:pPr>
        <w:pStyle w:val="BookText"/>
      </w:pPr>
      <w:r>
        <w:rPr>
          <w:rFonts w:ascii="Amiri" w:hAnsi="Amiri" w:eastAsia="Amiri" w:cs="Amiri"/>
          <w:lang w:bidi="ar-SA"/>
          <w:color w:val="111111"/>
          <w:sz w:val="28"/>
          <w:szCs w:val="28"/>
          <w:rtl/>
        </w:rPr>
        <w:t xml:space="preserve">جزاه الله بالحسنىٰ*** وبالألطاف ما يُجزي</w:t>
      </w:r>
    </w:p>
    <w:p>
      <w:pPr>
        <w:pStyle w:val="BookText"/>
      </w:pPr>
      <w:r>
        <w:rPr>
          <w:rFonts w:ascii="Amiri" w:hAnsi="Amiri" w:eastAsia="Amiri" w:cs="Amiri"/>
          <w:lang w:bidi="ar-SA"/>
          <w:color w:val="111111"/>
          <w:sz w:val="28"/>
          <w:szCs w:val="28"/>
          <w:rtl/>
        </w:rPr>
        <w:t xml:space="preserve">فداك الحاسد الشاني*** من الفظِّ ومن عيِّ</w:t>
      </w:r>
    </w:p>
    <w:p>
      <w:pPr>
        <w:pStyle w:val="BookText"/>
      </w:pPr>
      <w:r>
        <w:rPr>
          <w:rFonts w:ascii="IRNazanin" w:hAnsi="IRNazanin" w:eastAsia="IRNazanin" w:cs="IRNazanin"/>
          <w:lang w:bidi="fa-IR"/>
          <w:color w:val="111111"/>
          <w:sz w:val="28"/>
          <w:szCs w:val="28"/>
          <w:rtl/>
        </w:rPr>
        <w:t xml:space="preserve">وسِفر جئتنا يُغني*** بما یروي وما یقضي</w:t>
      </w:r>
    </w:p>
    <w:p>
      <w:pPr>
        <w:pStyle w:val="BookText"/>
      </w:pPr>
      <w:r>
        <w:rPr>
          <w:rFonts w:ascii="Amiri" w:hAnsi="Amiri" w:eastAsia="Amiri" w:cs="Amiri"/>
          <w:lang w:bidi="ar-SA"/>
          <w:color w:val="111111"/>
          <w:sz w:val="28"/>
          <w:szCs w:val="28"/>
          <w:rtl/>
        </w:rPr>
        <w:t xml:space="preserve">ويهدينا ويحمينا*** مِنَ السوء ومن غيِّ</w:t>
      </w:r>
    </w:p>
    <w:p>
      <w:pPr>
        <w:pStyle w:val="BookText"/>
      </w:pPr>
      <w:r>
        <w:rPr>
          <w:rFonts w:ascii="Amiri" w:hAnsi="Amiri" w:eastAsia="Amiri" w:cs="Amiri"/>
          <w:lang w:bidi="ar-SA"/>
          <w:color w:val="111111"/>
          <w:sz w:val="28"/>
          <w:szCs w:val="28"/>
          <w:rtl/>
        </w:rPr>
        <w:t xml:space="preserve">فذا التأريخُ: (والتقوى اج-*** -تماعُ الأمرِ والنهي) </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784_51060"/>
    <w:bookmarkEnd w:id="1"/>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322" w:name="_Toc3"/>
      <w:r>
        <w:t>مقدّمة التحقیق</w:t>
      </w:r>
      <w:bookmarkEnd w:id="322"/>
    </w:p>
    <w:p>
      <w:pPr>
        <w:pStyle w:val="Heading3"/>
      </w:pPr>
      <w:bookmarkStart w:id="323" w:name="_Toc4"/>
      <w:r>
        <w:t>اشارة</w:t>
      </w:r>
      <w:bookmarkEnd w:id="323"/>
    </w:p>
    <w:p>
      <w:pPr>
        <w:pStyle w:val="BookText"/>
      </w:pPr>
      <w:r>
        <w:rPr>
          <w:rFonts w:ascii="IRNazanin" w:hAnsi="IRNazanin" w:eastAsia="IRNazanin" w:cs="IRNazanin"/>
          <w:lang w:bidi="fa-IR"/>
          <w:color w:val="111111"/>
          <w:sz w:val="28"/>
          <w:szCs w:val="28"/>
          <w:rtl/>
        </w:rPr>
        <w:t xml:space="preserve">والحمد لله ربّ العالمین وصلّى الله على سیّدنا محمّد وآله الطاهرین ولعنة الله على أعدائهم إلى یوم الدین.</w:t>
      </w:r>
    </w:p>
    <w:p>
      <w:pPr>
        <w:pStyle w:val="BookText"/>
      </w:pPr>
      <w:r>
        <w:rPr>
          <w:rFonts w:ascii="IRNazanin" w:hAnsi="IRNazanin" w:eastAsia="IRNazanin" w:cs="IRNazanin"/>
          <w:lang w:bidi="fa-IR"/>
          <w:color w:val="111111"/>
          <w:sz w:val="28"/>
          <w:szCs w:val="28"/>
          <w:rtl/>
        </w:rPr>
        <w:t xml:space="preserve">وبعد فهذا تحقیق کتاب اجتماع الأمر والنهي لآیةالله العظمى السیّد محمّدکاظم الطباطبائي الیزدي (رحمة الله‌علیه).</w:t>
      </w:r>
    </w:p>
    <w:p>
      <w:pPr>
        <w:pStyle w:val="Heading3"/>
      </w:pPr>
      <w:bookmarkStart w:id="324" w:name="_Toc5"/>
      <w:r>
        <w:t>المؤلف</w:t>
      </w:r>
      <w:bookmarkEnd w:id="324"/>
    </w:p>
    <w:p>
      <w:pPr>
        <w:pStyle w:val="BookText"/>
      </w:pPr>
      <w:r>
        <w:rPr>
          <w:rFonts w:ascii="Amiri" w:hAnsi="Amiri" w:eastAsia="Amiri" w:cs="Amiri"/>
          <w:lang w:bidi="ar-SA"/>
          <w:color w:val="111111"/>
          <w:sz w:val="28"/>
          <w:szCs w:val="28"/>
          <w:rtl/>
        </w:rPr>
        <w:t xml:space="preserve">هو السيّد محمّد كاظم الطباطبائي اليزدي (1253</w:t>
      </w:r>
      <w:r>
        <w:rPr>
          <w:rStyle w:val="FootnoteReference"/>
        </w:rPr>
        <w:footnoteReference w:id="3"/>
      </w:r>
      <w:r>
        <w:rPr>
          <w:rFonts w:ascii="Times New Roman" w:hAnsi="Times New Roman" w:eastAsia="Times New Roman" w:cs="Times New Roman"/>
          <w:lang w:val="en-US" w:bidi="en-US"/>
          <w:color w:val="111111"/>
          <w:sz w:val="28"/>
          <w:szCs w:val="28"/>
          <w:rtl/>
        </w:rPr>
        <w:t xml:space="preserve">-1337).</w:t>
      </w:r>
    </w:p>
    <w:p>
      <w:pPr>
        <w:pStyle w:val="BookText"/>
      </w:pPr>
      <w:r>
        <w:rPr>
          <w:rFonts w:ascii="IRNazanin" w:hAnsi="IRNazanin" w:eastAsia="IRNazanin" w:cs="IRNazanin"/>
          <w:lang w:bidi="fa-IR"/>
          <w:color w:val="111111"/>
          <w:sz w:val="28"/>
          <w:szCs w:val="28"/>
          <w:rtl/>
        </w:rPr>
        <w:t xml:space="preserve">قال العلّامة السیّد حسن الصدر في ترجمته: السيد محمّدكاظم الطباطبائي اليزدي نزيل النجف الأشرف، سيّد علماء الإماميّة اليوم، ومرجع الشيعة، وحافظ الشريعة، فقيه كامل، طويل الباع في الفقه والأصول، حسن التفريع في الفروع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الفقهيّة، متبحّر في المسائل الشرعيّة، له أنظار دقيقة، وتأسيسات في العلمين رشيقة.</w:t>
      </w:r>
    </w:p>
    <w:p>
      <w:pPr>
        <w:pStyle w:val="BookText"/>
      </w:pPr>
      <w:r>
        <w:rPr>
          <w:rFonts w:ascii="Amiri" w:hAnsi="Amiri" w:eastAsia="Amiri" w:cs="Amiri"/>
          <w:lang w:bidi="ar-SA"/>
          <w:color w:val="111111"/>
          <w:sz w:val="28"/>
          <w:szCs w:val="28"/>
          <w:rtl/>
        </w:rPr>
        <w:t xml:space="preserve">انتهت إليه رئاسة الإماميّة في العصر الحاضر، لا أجلّ ولا أوقع في النفوس منه عند عامّة الإماميّة في مشرق الدنيا ومغربها.</w:t>
      </w:r>
    </w:p>
    <w:p>
      <w:pPr>
        <w:pStyle w:val="BookText"/>
      </w:pPr>
      <w:r>
        <w:rPr>
          <w:rFonts w:ascii="Amiri" w:hAnsi="Amiri" w:eastAsia="Amiri" w:cs="Amiri"/>
          <w:lang w:bidi="ar-SA"/>
          <w:color w:val="111111"/>
          <w:sz w:val="28"/>
          <w:szCs w:val="28"/>
          <w:rtl/>
        </w:rPr>
        <w:t xml:space="preserve">له تأليفات حسنة مطبوعة بإيران مرّات، منها:1- تعليقاته على كتاب المكاسب لشيخنا العلّامة.</w:t>
      </w:r>
    </w:p>
    <w:p>
      <w:pPr>
        <w:pStyle w:val="BookText"/>
      </w:pPr>
      <w:r>
        <w:rPr>
          <w:rFonts w:ascii="Amiri" w:hAnsi="Amiri" w:eastAsia="Amiri" w:cs="Amiri"/>
          <w:lang w:bidi="ar-SA"/>
          <w:color w:val="111111"/>
          <w:sz w:val="28"/>
          <w:szCs w:val="28"/>
          <w:rtl/>
        </w:rPr>
        <w:t xml:space="preserve">2- رسائل عدّة في مسائل متعدّدة في الفقه والأصول.</w:t>
      </w:r>
    </w:p>
    <w:p>
      <w:pPr>
        <w:pStyle w:val="BookText"/>
      </w:pPr>
      <w:r>
        <w:rPr>
          <w:rFonts w:ascii="Amiri" w:hAnsi="Amiri" w:eastAsia="Amiri" w:cs="Amiri"/>
          <w:lang w:bidi="ar-SA"/>
          <w:color w:val="111111"/>
          <w:sz w:val="28"/>
          <w:szCs w:val="28"/>
          <w:rtl/>
        </w:rPr>
        <w:t xml:space="preserve">3- وأحسن مؤلّفاته العروة الوثقى في الفروع عملها لعمل المقلّدين، وهي من أحسن كتب الفروع والمتون الفقهيّة.</w:t>
      </w:r>
    </w:p>
    <w:p>
      <w:pPr>
        <w:pStyle w:val="BookText"/>
      </w:pPr>
      <w:r>
        <w:rPr>
          <w:rFonts w:ascii="Amiri" w:hAnsi="Amiri" w:eastAsia="Amiri" w:cs="Amiri"/>
          <w:lang w:bidi="ar-SA"/>
          <w:color w:val="111111"/>
          <w:sz w:val="28"/>
          <w:szCs w:val="28"/>
          <w:rtl/>
        </w:rPr>
        <w:t xml:space="preserve">كان دام بقاه هاجر من بلده يزد إلى أصفهان لتحصيل العلم، ولازم فيها درس أستاذه حجّة الإسلام الشيخ الفقيه الماهر الحاج شيخ محمّدباقر بن المحقّق الشيخ محمّدتقي صاحب الحاشية، حتّى صدّقه وأجازه وشهد له بالكمال، فهاجر إلى النجف الأشرف، وحضر درس الشيخ الفقيه الشيخ راضي بن الشيخ محمد آل شيخ جعفر النجفي، ولازم عالي مجلس درس سيدنا الأستاذ العلّامة الميرزا محمّدحسن الشيرازي إلى أن هاجر السيد الأستاذ إلى سامراء، فاستقلّ بعده بالتدريس والاشتغال لنفسه، وأخذ في تحقيق الحقائق، وتدقيق الدقائق، خائضاً في العلم بغاية جهده، ومنتهى كدّه ووَكْده، وكنت حينئذٍ في النجف فلم أر مثله في بذل الجهد وكثرة الكدّ والجدّ في الاشتغال، حتّى ملك من العلم زمامه وكشف من الفقه لثامه، ولم يضيّع الله سبحانه له تعبه وجهاده في الدين، فأعطاه ما يعطي المقرّبين الراسخين. كثّر الله في أئمة الشيعة أمثاله، وأدام لهم وجوده وإفاداته.</w:t>
      </w:r>
    </w:p>
    <w:p>
      <w:pPr>
        <w:pStyle w:val="BookText"/>
      </w:pPr>
      <w:r>
        <w:rPr>
          <w:rFonts w:ascii="Amiri" w:hAnsi="Amiri" w:eastAsia="Amiri" w:cs="Amiri"/>
          <w:lang w:bidi="ar-SA"/>
          <w:color w:val="111111"/>
          <w:sz w:val="28"/>
          <w:szCs w:val="28"/>
          <w:rtl/>
        </w:rPr>
        <w:t xml:space="preserve">وقد فاجأنا نعيه، وأنّه توفّي ليلة الثلاثاء في الساعة السادسة منها، ثامن وعشرين شهر رجب سنة 1337 (سبع وثلاثين وثلاثمائة بعد الألف) الهجريّة، وأقيمت له المآتم والفواتح في سائر البلاد، وأحزن فقده الإسلام والمسلمين حتّى أهل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ببغداد، فرضي الله عنه وأرضاه.</w:t>
      </w:r>
    </w:p>
    <w:p>
      <w:pPr>
        <w:pStyle w:val="BookText"/>
      </w:pPr>
      <w:r>
        <w:rPr>
          <w:rFonts w:ascii="Amiri" w:hAnsi="Amiri" w:eastAsia="Amiri" w:cs="Amiri"/>
          <w:lang w:bidi="ar-SA"/>
          <w:color w:val="111111"/>
          <w:sz w:val="28"/>
          <w:szCs w:val="28"/>
          <w:rtl/>
        </w:rPr>
        <w:t xml:space="preserve">وكان مولده سنة ست وخمسين ومائتين بعد الألف، فيكون عمره اثنتين وثمانين سنة تقريباً إذا حسب سنة التولّد وسنة الوفاة، ودفن في الإيوان الكبير ممّا يلي باب الطوسي.</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وقال العلّامة السيّد محسن الأمين: «السيد محمّدكاظم اليزدي ابن السيد عبدالعظيم الكسنوي النجفي الطباطبائي الحسني الشهير باليزدي.ولد في كسنو قرية من قرى يزد على مسافة ثلاثين ميلا منها سنة 1247 وكسنو اسم بنت يزدجرد آخر سلاطين الفرس الذي فرّ هارباً فقتل في طاحونة وكانت القرية لها فسمّيت باسمها وتوفي في النجف بذات الرئة وداء الجنب بين الطلوعين من يوم الثلاثاء 28 رجب سنة 1337 ودفن في مقبرته المعروفة خلف جامع عمران في المشهد العلوي. ينتهي نسبه إلى إبراهيم الغمر بن الحسن بن الحسن بن علي بن أبي طالب (علیه‌السلام).</w:t>
      </w:r>
    </w:p>
    <w:p>
      <w:pPr>
        <w:pStyle w:val="BookText"/>
      </w:pPr>
      <w:r>
        <w:rPr>
          <w:rFonts w:ascii="IRNazanin" w:hAnsi="IRNazanin" w:eastAsia="IRNazanin" w:cs="IRNazanin"/>
          <w:lang w:bidi="fa-IR"/>
          <w:color w:val="111111"/>
          <w:sz w:val="28"/>
          <w:szCs w:val="28"/>
          <w:rtl/>
        </w:rPr>
        <w:t xml:space="preserve">كان فقيهاً أصولياً محققاً مدققاً انتهت إليه الرئاسة العلمية وكان معول التقليد في المسائل الشرعية عليه وقبض على زعامة عامة الإمامية وسوادهم وجبيت إلیه الأموال الكثيرة مما يقلّ أن يتفق نظيره... نشأ على العمل في الزراعة مع أبيه ثم عزم على طلب العلم على الكبر فقرأ في يزد المبادي العربية وسطوح الفقه والأصول ثم خرج إلى أصفهان فاخذ عن الشيخ محمد باقر الأصبهاني ابن الشيخ محمّدتقي صاحب حاشية المعالم والحاج محمّدجعفر الآبادهي وفي سنة 1281 هاجر إلى النجف مع الشيخ محمّدتقي الشهير بآقا نجفي والشيخ محمد حسين</w:t>
      </w:r>
      <w:r>
        <w:rPr>
          <w:rStyle w:val="FootnoteReference"/>
        </w:rPr>
        <w:footnoteReference w:id="5"/>
      </w:r>
      <w:r>
        <w:rPr>
          <w:rFonts w:ascii="Amiri" w:hAnsi="Amiri" w:eastAsia="Amiri" w:cs="Amiri"/>
          <w:lang w:bidi="ar-SA"/>
          <w:color w:val="111111"/>
          <w:sz w:val="28"/>
          <w:szCs w:val="28"/>
          <w:rtl/>
        </w:rPr>
        <w:t xml:space="preserve">والشيخ محمّدعلي الإصبهانيين أبناء أستاذه المتقدم الشيخ محمّدباقر وفي هذه السنة توفّي الشيخ مرتضى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الأنصاري فلم يتسن له الأخذ عنه وأخذ عن الفقيهين الشيخ مهدي الجعفري</w:t>
      </w:r>
      <w:r>
        <w:rPr>
          <w:rStyle w:val="FootnoteReference"/>
        </w:rPr>
        <w:footnoteReference w:id="6"/>
      </w:r>
      <w:r>
        <w:rPr>
          <w:rFonts w:ascii="Amiri" w:hAnsi="Amiri" w:eastAsia="Amiri" w:cs="Amiri"/>
          <w:lang w:bidi="ar-SA"/>
          <w:color w:val="111111"/>
          <w:sz w:val="28"/>
          <w:szCs w:val="28"/>
          <w:rtl/>
        </w:rPr>
        <w:t xml:space="preserve">والشيخ راضي النجفي الشهير وعن الميرزا الشيرازي قبل خروجه إلى سامراء وانصرف إلى التدريس والتأليف وكان لغوياً متقناً فصيحاً قيماً بالعربية والفارسية ينظم وينثر فيهما جيد النقد قوي التمييز. وكان يصلي جماعة في الصحن الشريف ويأتم به الخلق الكثير ويحضر درسه نحو 200 تلميذ.</w:t>
      </w:r>
    </w:p>
    <w:p>
      <w:pPr>
        <w:pStyle w:val="BookText"/>
      </w:pPr>
      <w:r>
        <w:rPr>
          <w:rFonts w:ascii="Amiri" w:hAnsi="Amiri" w:eastAsia="Amiri" w:cs="Amiri"/>
          <w:lang w:bidi="ar-SA"/>
          <w:color w:val="111111"/>
          <w:sz w:val="28"/>
          <w:szCs w:val="28"/>
          <w:rtl/>
        </w:rPr>
        <w:t xml:space="preserve">صنّف 1- (العروة الوثقى) رسالة في العبادات للمقلدين فيها فروع كثيرة جيدة الترتيب أفرز فيها كل فرع على حدة بعنوان مسألة وجعل لأعداد مسائلها أرقاماً فسهل التناول منها وأقبل الناس عليها ونسخت نجاة العباد طبعت مرتين بالعربية وطبع معهابعض أبواب المعاملات وزيد في الطبعة الثانية كتاب الحجّ لم يتمّ وترجمت إلى الفارسية وطبعت باسم (الغاية القصوى) وعلق عليها بعد وفاتها كل من نصب نفسه للتقليد وجملة منها طبعت مع التعليق وبذلك تكون قد طبعت ما يزيد عن خمس مرات ولها تتمة في جملة من أبواب المعاملات مع الاستدلال طبعت بعد وفاته في جزءين صغيرين فيهما القضاء والرباء والوقف والعدد والهبة 2- حاشية المكاسب مطبوعة 3- كتاب التعادل والتراجيح مطبوع 4- رسالة في اجتماع الأمر والنهي مطبوعة 5- رسالة في الظنّ المتعلق بأعداد الصلاة وكيفية الاحتياط مطبوعة 6- رسالة في منجزات المريض 7- أجوبة المسائل مجلد ضخم طبع بعضه. وفي أيّامه ظهر أمر المشروطة في إيران وأعقبها خلع السلطان عبدالحميد في تركيا وكان هو ضدّ المشروطية وبعض العلماء يؤيّدونها كالشيخ ملا كاظم الخراساني وغيره وتعصب لكل منهما فريق من الفرس وكان عامة أهل العراق وسوادهم مع اليزدي خصوصاً من لهم فوائد من بلاد إيران لظنّهم أنّ المشروطية تقطعها وجرت بسبب ذلك فتن وأمور يطول شرحها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لنا إلّا أن نحمل كلّاً منهما على المحمل الحسن والاختلاف في اجتهاد الرأي...</w:t>
      </w:r>
    </w:p>
    <w:p>
      <w:pPr>
        <w:pStyle w:val="BookText"/>
      </w:pPr>
      <w:r>
        <w:rPr>
          <w:rFonts w:ascii="Amiri" w:hAnsi="Amiri" w:eastAsia="Amiri" w:cs="Amiri"/>
          <w:lang w:bidi="ar-SA"/>
          <w:color w:val="111111"/>
          <w:sz w:val="28"/>
          <w:szCs w:val="28"/>
          <w:rtl/>
        </w:rPr>
        <w:t xml:space="preserve">وقد اضطرب لموت المترجم جمهور العراقيين وسوادهم في أنحاء العراق وأقيمت مآتم لا تكاد تحصر لكثرتها في العراق وإيران وحضر مأتمه في إيران أحمد شاه واشترك في مأتمه الفريقان ببغداد.</w:t>
      </w:r>
    </w:p>
    <w:p>
      <w:pPr>
        <w:pStyle w:val="BookText"/>
      </w:pPr>
      <w:r>
        <w:rPr>
          <w:rFonts w:ascii="Amiri" w:hAnsi="Amiri" w:eastAsia="Amiri" w:cs="Amiri"/>
          <w:lang w:bidi="ar-SA"/>
          <w:color w:val="111111"/>
          <w:sz w:val="28"/>
          <w:szCs w:val="28"/>
          <w:rtl/>
        </w:rPr>
        <w:t xml:space="preserve">وكان ظهور أمره بعد وفاة الميرزا الشيرازي كغيره من رؤساء عصره فإنّهم لم يرأسوا إلّا بعد وفاته وكثيرون أقاموا مجلس الفاتحة للميرزا أمّا هو فذهب إلى مسجد السهلة ولم يصنع فاتحة فقلّده كثير من العوامّ لذلك. وكان يحضر مجلس درسه في أوّل الأمر جماعة لا يبلغون العشرة كنّا نراهم ونحن ذاهبون إلى درس الخراساني وجمهور الطلبة منحاز إلى درس الشيخ ملا كاظم ثمّ تمادت به الأمور وكثر حضّار مجلس درسه.</w:t>
      </w:r>
    </w:p>
    <w:p>
      <w:pPr>
        <w:pStyle w:val="BookText"/>
      </w:pPr>
      <w:r>
        <w:rPr>
          <w:rFonts w:ascii="Amiri" w:hAnsi="Amiri" w:eastAsia="Amiri" w:cs="Amiri"/>
          <w:lang w:bidi="ar-SA"/>
          <w:color w:val="111111"/>
          <w:sz w:val="28"/>
          <w:szCs w:val="28"/>
          <w:rtl/>
        </w:rPr>
        <w:t xml:space="preserve">وهو أوّل من عيّن الخبز يومياً للطلبة وعيالاتهم».</w:t>
      </w:r>
      <w:r>
        <w:rPr>
          <w:rStyle w:val="FootnoteReference"/>
        </w:rPr>
        <w:footnoteReference w:id="7"/>
      </w:r>
      <w:r>
        <w:rPr>
          <w:rFonts w:ascii="IRNazanin" w:hAnsi="IRNazanin" w:eastAsia="IRNazanin" w:cs="IRNazanin"/>
          <w:lang w:bidi="fa-IR"/>
          <w:color w:val="111111"/>
          <w:sz w:val="28"/>
          <w:szCs w:val="28"/>
          <w:rtl/>
        </w:rPr>
        <w:t xml:space="preserve">قال الشیخ آقا بزرگ الطهراني: «هو سيّدنا ومولانا السيّد محمّد كاظم ابن السيّد الجليل السيّد عبد العظيم الطباطبائي الكسنوي اليزدي النجفي؛ العلّامة الأجلّ حجّة الإسلام وآية الله على الأنام.</w:t>
      </w:r>
    </w:p>
    <w:p>
      <w:pPr>
        <w:pStyle w:val="BookText"/>
      </w:pPr>
      <w:r>
        <w:rPr>
          <w:rFonts w:ascii="Amiri" w:hAnsi="Amiri" w:eastAsia="Amiri" w:cs="Amiri"/>
          <w:lang w:bidi="ar-SA"/>
          <w:color w:val="111111"/>
          <w:sz w:val="28"/>
          <w:szCs w:val="28"/>
          <w:rtl/>
        </w:rPr>
        <w:t xml:space="preserve">كان مرجع الشيعة وحافظ الشريعة والمنتهي إليه الرئاسة العامّة الإلهيّة على الطائفة الحقّة الإماميّة.</w:t>
      </w:r>
    </w:p>
    <w:p>
      <w:pPr>
        <w:pStyle w:val="BookText"/>
      </w:pPr>
      <w:r>
        <w:rPr>
          <w:rFonts w:ascii="IRNazanin" w:hAnsi="IRNazanin" w:eastAsia="IRNazanin" w:cs="IRNazanin"/>
          <w:lang w:bidi="fa-IR"/>
          <w:color w:val="111111"/>
          <w:sz w:val="28"/>
          <w:szCs w:val="28"/>
          <w:rtl/>
        </w:rPr>
        <w:t xml:space="preserve">أصله من كِسْنَویّه من قرى يزد. والمشهور عند أحفاده أنّه ولد سنة 1253ﻫ. هاجر من يزد إلى إصفهان للتحصيل، فاشتغل هناك على العلّامة الفقيه الحاج الشيخ محمّد باقر الإصفهاني إلى أن برع وكمل، وحصلت له الإجازة من شيخه. فتشرّف بالنجف مع ولد أستاذه العلّامة الشهير بآغا نجفي في سنة 1281ﻫ. فحضر درس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العلّامة الفقيه الشيخ راضي النجفي وبحث آية الله الحاج السيّد ميرزا محمّد حسن الحسينيّ الشيرازي إلى أن هاجر [الأستاذ] إلى سامرّاء. فلم يهاجر معه، واشتغل هناك بالبحث والتدريس إلى أن صار للدين ركن ركين وأسّ أسيس.</w:t>
      </w:r>
    </w:p>
    <w:p>
      <w:pPr>
        <w:pStyle w:val="BookText"/>
      </w:pPr>
      <w:r>
        <w:rPr>
          <w:rFonts w:ascii="Amiri" w:hAnsi="Amiri" w:eastAsia="Amiri" w:cs="Amiri"/>
          <w:lang w:bidi="ar-SA"/>
          <w:color w:val="111111"/>
          <w:sz w:val="28"/>
          <w:szCs w:val="28"/>
          <w:rtl/>
        </w:rPr>
        <w:t xml:space="preserve">وقد خرج من قلمه الشريف ممّا هو مطبوع: الحاشية على المكاسب للعلّامة الأنصاري (ذ 6: 220 رقم 1234) مبسوطة، ورسالات في مسائل متعدّدة من الفقه والأصول كاجتماع الأمر والنهي (ذ 1: 268 رقم 1407)، وحجيّة الظنّ في الركعات (ذ 6: 273 رقم 1484)، والتعادل والتراجيح (ذ 4: 204 رقم 1016)، والهبة، والوقف، والوكالة، والرباء، والقضاء، والعدد، والسئوال والجواب (ذ 12: 248 رقم 1633) المبسوط، ورسائل عمليّة، أجلّها: العروة الوثقى (ذ 15: 252 رقم 1623)، وطريق النجاة (ذ 15: 170 رقم 1121)، وذخيرة الصالحين (ذ 10: 16 رقم 76) والمنتخب</w:t>
      </w:r>
      <w:r>
        <w:rPr>
          <w:rStyle w:val="FootnoteReference"/>
        </w:rPr>
        <w:footnoteReference w:id="8"/>
      </w:r>
      <w:r>
        <w:rPr>
          <w:rFonts w:ascii="Amiri" w:hAnsi="Amiri" w:eastAsia="Amiri" w:cs="Amiri"/>
          <w:lang w:bidi="ar-SA"/>
          <w:color w:val="111111"/>
          <w:sz w:val="28"/>
          <w:szCs w:val="28"/>
          <w:rtl/>
        </w:rPr>
        <w:t xml:space="preserve">(ذ 22: 365 رقم 7461)، والحواشي على أكثر الرّسائل العمليّة. وقد كتب بخطّه رسائل الشيخ الأنصاري (ذ 16: 132 رقم 293) من أوّل «الأصول العمليّة» إلى آخر «التراجيح»؛ شرع فيه بيزد وتمّمه في إصفهان سنة 1280ﻫ؛ وكتب عليه حواشي كثيرةلا سيّما في الاستصحاب وما بعده. (ذ 6: 160 رقم 880). و[على ما مرّ من أنّ] المشهور عند أحفاده أنّه ولد سنة 1253، فيكون عمره يومئذٍ سبع وعشرين سنة. وطبع له أيضاً: الصحيفة الكاظميّة (ذ 15: 23 رقم 115)، وبستان نياز (ذ 3: 108 رقم 354)، وله: ردّ المقدّمة الثالثة من مقدّمات الانسداد (ذ 10: 225) ورسالة في الاستصحاب (ذ 2: 25 رقم 87) رأيتهما عند تلميذه الحاجّ الشيخ علي أكبر الخوانساري، الجامع للسؤال والجواب (ذ 12: 248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1633) له.</w:t>
      </w:r>
    </w:p>
    <w:p>
      <w:pPr>
        <w:pStyle w:val="BookText"/>
      </w:pPr>
      <w:r>
        <w:rPr>
          <w:rFonts w:ascii="IRNazanin" w:hAnsi="IRNazanin" w:eastAsia="IRNazanin" w:cs="IRNazanin"/>
          <w:lang w:bidi="fa-IR"/>
          <w:color w:val="111111"/>
          <w:sz w:val="28"/>
          <w:szCs w:val="28"/>
          <w:rtl/>
        </w:rPr>
        <w:t xml:space="preserve">وزوجته الأولى بنت الفاضل الصالح الورع التقيّ الحاج ملّا حسن بن الحاج محمّد إبراهيم بن الحاج عبد الغفور اليزدي، رأيت تملّكاته لجملة من الكتب من سنة 1255ﻫ إلى سنة 1273ﻫ. توفّي المترجم له (قدس‌سره) يوم الثلاثاء، الثامن والعشرين من رجب سنة 1337ﻫ، ودفن بمقبرة نوّاب رامپور: السيّد محمّد حامد خان في سنة 1354ﻫ بتوسّط حفيده السيّد رضا بن السيّد محمّد بن السيد محمّد كاظم. وهذا النوّاب كان أوّل المثرين في الدنيا كما في مجلّة الهلال لجرجي زيدان، ورزقنا الحجّة الثانية بصحبة ولده النوّاب عبدالكريم خان».</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وفي أحسن الودیعة: «العالم الفاضل الفقیه والعارف الکامل الوجیه فخر الأعاظم والبحر المتلاطم السیّد الأستاذ والمولى العماد السیّد محمّدکاظم بن عبدالعظیم الطباطبائي نسباً الیزدي بلداً ومنشأً والإصفهاني تحصیلاً والغروي مسکناً ومدفناً... وقد هاجر بعد بلوغه إلى أصفهان فسکن بها مدّة من الزمان متلمذاً على فقهائها الأرکان وعلمائها الأعیان کالعلّامتین الآیتین الأعلمین الشقیقین عمّي أبي صاحبي الروضات ومباني الأصول والعلّامة الماهر نجل الشیخ محمّد تقي صاحب الحاشیة الشیخ محمّد باقر».</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وفي کلام بعض الأعلام: السیّد الأجلّ الطباطبائي السیّد المحقّق الیزدي.</w:t>
      </w:r>
      <w:r>
        <w:rPr>
          <w:rStyle w:val="FootnoteReference"/>
        </w:rPr>
        <w:footnoteReference w:id="11"/>
      </w:r>
    </w:p>
    <w:p>
      <w:pPr>
        <w:pStyle w:val="BookText"/>
      </w:pPr>
      <w:r>
        <w:rPr>
          <w:rFonts w:ascii="Amiri" w:hAnsi="Amiri" w:eastAsia="Amiri" w:cs="Amiri"/>
          <w:lang w:bidi="ar-SA"/>
          <w:color w:val="111111"/>
          <w:sz w:val="28"/>
          <w:szCs w:val="28"/>
          <w:rtl/>
        </w:rPr>
        <w:t xml:space="preserve">وقال بعض الأعلام في ترجمته: «السيد محمّدكاظم ابن السيد عبدالعظيم الطباطبائي اليزدي النجفي: الفقيه الأصولي الكبير والزعيم الديني الجليل والفقيه الأعظم والرئيس المطلق الذي لا يدانيه أحد وكان بحراً متلاطماً علماً وتحقيقاً ومتانةً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مستحضراً للفروع الفقهية ومتون الأخبار له التضلع في المعقول والمنقول والأدب ومن شيوخ الفقه والأصول عابد زاهد ورع تقي لم تتمكن السياسة من إغرائه وافتتانه وتخديره وجذبه رغم محاولاتها الشيطانية ومواعيدها الدنيوية الضئيلة ولد في يزد وقرأ فيها المقدمات والعلوم العربية ومضى إلى أصفهان وحضر أبحاث علمائها وتخرج عليهم وهاجر في 1281ﻫ إلى النجف الأشرف وتتلمذ على الشيخ مهدي كاشف الغطاء المتوفى 1289ﻫ والشيخ راضي النجفي المتوفى 1290ﻫ والسيد محمّدحسن الشيرازي ونال مرتبة الاجتهاد والفتيا واستقل بالتدريس والبحث وتقلد زعامة الحوزات الدينية في العراق وإيران وشملت مرجعيته أكثر الأمصار الإسلامية وقرأ عليه جمع غفير من الشيوخ وانهالت عليه الاستفتاءات من كافة الأقطار لما كان له في نفوس المسلمين من النفوذ والإطاعة والإكبار والتقديس إلى أن توفّي 28 رجب 1337ﻫ وقد أطل عمره الشريف على 95 سنة.</w:t>
      </w:r>
    </w:p>
    <w:p>
      <w:pPr>
        <w:pStyle w:val="BookText"/>
      </w:pPr>
      <w:r>
        <w:rPr>
          <w:rFonts w:ascii="Amiri" w:hAnsi="Amiri" w:eastAsia="Amiri" w:cs="Amiri"/>
          <w:lang w:bidi="ar-SA"/>
          <w:color w:val="111111"/>
          <w:sz w:val="28"/>
          <w:szCs w:val="28"/>
          <w:rtl/>
        </w:rPr>
        <w:t xml:space="preserve">له: اجتماع الأمر والنهي. الاستصحاب. بستان نياز. التعادل والتراجيح. حاشية فرائد الأصول. حاشية المكاسب. حجية الظنّ في عدد الركعات وكيفية صلاة الاحتياط. رسالة في إرث الزوجة من الثمن والعقار. السؤال والجواب. الصحيفة الكاظمية. العروة الوثقى. الكلم الجامعة والحكم النافعة. رسالة في منجزات المريض.</w:t>
      </w:r>
    </w:p>
    <w:p>
      <w:pPr>
        <w:pStyle w:val="BookText"/>
      </w:pPr>
      <w:r>
        <w:rPr>
          <w:rFonts w:ascii="Amiri" w:hAnsi="Amiri" w:eastAsia="Amiri" w:cs="Amiri"/>
          <w:lang w:bidi="ar-SA"/>
          <w:color w:val="111111"/>
          <w:sz w:val="28"/>
          <w:szCs w:val="28"/>
          <w:rtl/>
        </w:rPr>
        <w:t xml:space="preserve">ترجم في: أحسن الوديعة 1/188. أختران تابناك /387. الأعلام 7/234. أعيان الشيعة 46/206. الذريعة 1/268 و 2/25 و 3/108 و 4/204 و 6/160، 220، 273 و 11/55 و 12/248 و 15/23، 252 و 18/126 و 23/18. ريحانة الأدب 6/391. شخصيت أنصاري /428. شهداء الفضيلة/251. علماء معاصرين /113.</w:t>
      </w:r>
    </w:p>
    <w:p>
      <w:pPr>
        <w:pStyle w:val="BookText"/>
      </w:pPr>
      <w:r>
        <w:rPr>
          <w:rFonts w:ascii="Amiri" w:hAnsi="Amiri" w:eastAsia="Amiri" w:cs="Amiri"/>
          <w:lang w:bidi="ar-SA"/>
          <w:color w:val="111111"/>
          <w:sz w:val="28"/>
          <w:szCs w:val="28"/>
          <w:rtl/>
        </w:rPr>
        <w:t xml:space="preserve">الفوائد الرضوية/ 596. كتابهاي عربي /175، 158، 193، 194، 195، 274، 277، 278، 286، 287، 293، 298، 299، 304، 358، 391، 452،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455، 477، 488، 490، 511، 588، 621، 821، 841، 855، 909. لغت‌نامه 50/182. ماضي النجف 3/8، 90، 121، 184، 198، 230، 236، 263، 269، 285، 286، 298، 372. معارف الرجال2/326. معجم المؤلفين 11/156. معجم المؤلفين العراقيين 3/230. مكارم الآثار 4/1321. نجوم السماء 2/279. هدية الرازي /145. معجم رجال الفكر والأدب 3/1358».</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وجاء ترجمته في بعض المصادر هکذا: «السيد محمّدكاظم بن السيد عبدالعظيم الطباطبائي اليزدي المتوفى 1337ﻫ/ 1919م ولد الإمام السيد محمّدكاظم بن السيد عبدالعظيم الطباطبائي اليزدي في قرية كسنو، إحدى قرى يزد عام 1247ﻫ/ 1831م، ونشأ بها، وقرأ المقدمات فيها، ثم هاجر إلى أصفهان، وحضر أبحاث الشيخ محمد باقر نجل صاحب هداية المسترشدين والشيخ محمّدجعفر آبادهئي وغيرهما، وفي عام 1281ﻫ، هاجر إلى مدينة النجف الأشرف، وتتلمذ على علمائها وفقهائها منهم:</w:t>
      </w:r>
    </w:p>
    <w:p>
      <w:pPr>
        <w:pStyle w:val="BookText"/>
      </w:pPr>
      <w:r>
        <w:rPr>
          <w:rFonts w:ascii="Amiri" w:hAnsi="Amiri" w:eastAsia="Amiri" w:cs="Amiri"/>
          <w:lang w:bidi="ar-SA"/>
          <w:color w:val="111111"/>
          <w:sz w:val="28"/>
          <w:szCs w:val="28"/>
          <w:rtl/>
        </w:rPr>
        <w:t xml:space="preserve">1- السيد محمد حسن الشيرازي.</w:t>
      </w:r>
    </w:p>
    <w:p>
      <w:pPr>
        <w:pStyle w:val="BookText"/>
      </w:pPr>
      <w:r>
        <w:rPr>
          <w:rFonts w:ascii="Amiri" w:hAnsi="Amiri" w:eastAsia="Amiri" w:cs="Amiri"/>
          <w:lang w:bidi="ar-SA"/>
          <w:color w:val="111111"/>
          <w:sz w:val="28"/>
          <w:szCs w:val="28"/>
          <w:rtl/>
        </w:rPr>
        <w:t xml:space="preserve">2- الشيخ مهدي كاشف الغطاء.</w:t>
      </w:r>
    </w:p>
    <w:p>
      <w:pPr>
        <w:pStyle w:val="BookText"/>
      </w:pPr>
      <w:r>
        <w:rPr>
          <w:rFonts w:ascii="Amiri" w:hAnsi="Amiri" w:eastAsia="Amiri" w:cs="Amiri"/>
          <w:lang w:bidi="ar-SA"/>
          <w:color w:val="111111"/>
          <w:sz w:val="28"/>
          <w:szCs w:val="28"/>
          <w:rtl/>
        </w:rPr>
        <w:t xml:space="preserve">3- الشيخ راضي النجفي.</w:t>
      </w:r>
    </w:p>
    <w:p>
      <w:pPr>
        <w:pStyle w:val="BookText"/>
      </w:pPr>
      <w:r>
        <w:rPr>
          <w:rFonts w:ascii="Amiri" w:hAnsi="Amiri" w:eastAsia="Amiri" w:cs="Amiri"/>
          <w:lang w:bidi="ar-SA"/>
          <w:color w:val="111111"/>
          <w:sz w:val="28"/>
          <w:szCs w:val="28"/>
          <w:rtl/>
        </w:rPr>
        <w:t xml:space="preserve">وأشارت المصادر إلى أن الإمام السيد اليزدي قد تتلمذ على الشيخ محمد حسن بن محمد إبراهيم الأردكاني [وتلمذ عليه الشيخ يوسف الحاريصي]. وأصبح عالماً فقيهاً أصولياً، ويقول الشيخ القمي: إنّه سيد علماء الأمة وشيخ طائفتها وحامل لواء الشيعة ومختلفها، وقطب رحى الشريعة وموئلها، ويقول الشيخ حرز الدين: إنّه كان بحراً متلاطماً علماً وتحقيقاً ومتانةً، مستحضراً للفروع الفقهية ومتون الأخبار، ويقول الخياباني: إنّه من فحول المتبحرين من علماء الإمامية في القرن الحاضر،</w:t>
      </w:r>
      <w:r>
        <w:rPr>
          <w:rStyle w:val="FootnoteReference"/>
        </w:rPr>
        <w:footnoteReference w:id="13"/>
      </w:r>
      <w:r>
        <w:rPr>
          <w:rFonts w:ascii="IRNazanin" w:hAnsi="IRNazanin" w:eastAsia="IRNazanin" w:cs="IRNazanin"/>
          <w:lang w:bidi="fa-IR"/>
          <w:color w:val="111111"/>
          <w:sz w:val="28"/>
          <w:szCs w:val="28"/>
          <w:rtl/>
        </w:rPr>
        <w:t xml:space="preserve">وإنّه عالم محقق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مدقق، جامع للعلوم الدينية فروعاً وأصولاً، وقد تولى الإمام اليزدي المرجعية العليا بدون منافس بعد وفاة الإمام الآخوند الملا محمّدكاظم الخراساني، فركن إليه طلبة العلم في النجف الاشرف، وأصبح علماً بارزاً ومقلَّداً لجمهور الإمامية، وقد قيل: إنّه كان ندّاً للإمام الشيخ محمّدتقي الشيرازي».</w:t>
      </w:r>
      <w:r>
        <w:rPr>
          <w:rStyle w:val="FootnoteReference"/>
        </w:rPr>
        <w:footnoteReference w:id="14"/>
      </w:r>
      <w:r>
        <w:rPr>
          <w:rFonts w:ascii="IRNazanin" w:hAnsi="IRNazanin" w:eastAsia="IRNazanin" w:cs="IRNazanin"/>
          <w:lang w:bidi="fa-IR"/>
          <w:color w:val="111111"/>
          <w:sz w:val="28"/>
          <w:szCs w:val="28"/>
          <w:rtl/>
        </w:rPr>
        <w:t xml:space="preserve">وفي منار الهدى: «السیّد کاظم الیزدي صاحب العروة الوثقى في الفقه المتداول بأيدي الطلاب اليوم. عالم فاضل جليل متبحّر فقيه. سمعت من أستاذي الشيخ محمّدتقي القمشئي الإصفهاني الساكن بالنجف الأشرف قال: سمعت من جناب السيّد يقول: نظرت في الجواهر من أوّل الطهارة إلى آخر الديات سبع مرّات».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وفي کتاب زندگانی حضرت آیة الله چهارسوقی (رحمة الله‌علیه):</w:t>
      </w:r>
    </w:p>
    <w:p>
      <w:pPr>
        <w:pStyle w:val="BookText"/>
      </w:pPr>
      <w:r>
        <w:rPr>
          <w:rFonts w:ascii="IRNazanin" w:hAnsi="IRNazanin" w:eastAsia="IRNazanin" w:cs="IRNazanin"/>
          <w:lang w:bidi="fa-IR"/>
          <w:color w:val="111111"/>
          <w:sz w:val="28"/>
          <w:szCs w:val="28"/>
          <w:rtl/>
        </w:rPr>
        <w:t xml:space="preserve">«و عمده تحصیلش در اصفهان نزد صاحب روضات وصاحب مبانی وحاج شیخ محمّد باقر ابن شیخ محمّد تقی اصفهانی بوده، سپس به نجف اشرف هجرت کرده و آنجا به حوزه درس مرحوم شیخ راضی ابن شیخ محمّد نجفی و آیة الله مجدّد حاج میرزا محمّد حسن شیرازی حاضر و پس از فوت سیّد مجدّد به افاده و تدریس پرداخته لیلاً و نهاراً مشغول افاضه و استفاضه بوده آنی را غفلت نداشته است. بالأخصّ در تحقیق علم فقه نهایت کوشش و جدیّت را به کار برده تا مجتهدی فحل و فقیهی بارع و بی همال گردید و بالأخره ریاست کبری و زعامت عظمای شیعه به او مفوض و مسلّم شد».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ذکر أنّ آیة الله السیّد محمّد کاظم الطباطبائي الیزدي (رحمة الله‌علیه) مجاز عن الشیخ مهدي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علي بن جعفر کاشف الغطاء،</w:t>
      </w:r>
      <w:r>
        <w:rPr>
          <w:rStyle w:val="FootnoteReference"/>
        </w:rPr>
        <w:footnoteReference w:id="17"/>
      </w:r>
      <w:r>
        <w:rPr>
          <w:rFonts w:ascii="IRNazanin" w:hAnsi="IRNazanin" w:eastAsia="IRNazanin" w:cs="IRNazanin"/>
          <w:lang w:bidi="fa-IR"/>
          <w:color w:val="111111"/>
          <w:sz w:val="28"/>
          <w:szCs w:val="28"/>
          <w:rtl/>
        </w:rPr>
        <w:t xml:space="preserve">وأنّ لآیةالله الشیخ عبدالکریم الزنجاني</w:t>
      </w:r>
      <w:r>
        <w:rPr>
          <w:rStyle w:val="FootnoteReference"/>
        </w:rPr>
        <w:footnoteReference w:id="18"/>
      </w:r>
      <w:r>
        <w:rPr>
          <w:rFonts w:ascii="IRNazanin" w:hAnsi="IRNazanin" w:eastAsia="IRNazanin" w:cs="IRNazanin"/>
          <w:lang w:bidi="fa-IR"/>
          <w:color w:val="111111"/>
          <w:sz w:val="28"/>
          <w:szCs w:val="28"/>
          <w:rtl/>
        </w:rPr>
        <w:t xml:space="preserve">(رحمة الله‌علیه) إجازة من السیّد في الروایة والاجتهاد.</w:t>
      </w:r>
      <w:r>
        <w:rPr>
          <w:rStyle w:val="FootnoteReference"/>
        </w:rPr>
        <w:footnoteReference w:id="19"/>
      </w:r>
      <w:r>
        <w:rPr>
          <w:rFonts w:ascii="IRNazanin" w:hAnsi="IRNazanin" w:eastAsia="IRNazanin" w:cs="IRNazanin"/>
          <w:lang w:bidi="fa-IR"/>
          <w:color w:val="111111"/>
          <w:sz w:val="28"/>
          <w:szCs w:val="28"/>
          <w:rtl/>
        </w:rPr>
        <w:t xml:space="preserve">ومن تلامذتهآیةالله السیّد محمّدباقر الدرچهئي</w:t>
      </w:r>
      <w:r>
        <w:rPr>
          <w:rStyle w:val="FootnoteReference"/>
        </w:rPr>
        <w:footnoteReference w:id="20"/>
      </w:r>
      <w:r>
        <w:rPr>
          <w:rFonts w:ascii="IRNazanin" w:hAnsi="IRNazanin" w:eastAsia="IRNazanin" w:cs="IRNazanin"/>
          <w:lang w:bidi="fa-IR"/>
          <w:color w:val="111111"/>
          <w:sz w:val="28"/>
          <w:szCs w:val="28"/>
          <w:rtl/>
        </w:rPr>
        <w:t xml:space="preserve">وآیةالله الشیخ أحمد کاشف الغطاء وآیةالله الشیخ محمّدحسین کاشف الغطاء</w:t>
      </w:r>
      <w:r>
        <w:rPr>
          <w:rStyle w:val="FootnoteReference"/>
        </w:rPr>
        <w:footnoteReference w:id="21"/>
      </w:r>
      <w:r>
        <w:rPr>
          <w:rFonts w:ascii="IRNazanin" w:hAnsi="IRNazanin" w:eastAsia="IRNazanin" w:cs="IRNazanin"/>
          <w:lang w:bidi="fa-IR"/>
          <w:color w:val="111111"/>
          <w:sz w:val="28"/>
          <w:szCs w:val="28"/>
          <w:rtl/>
        </w:rPr>
        <w:t xml:space="preserve">وآیةالله السیّد علي النجف آبادي</w:t>
      </w:r>
      <w:r>
        <w:rPr>
          <w:rStyle w:val="FootnoteReference"/>
        </w:rPr>
        <w:footnoteReference w:id="22"/>
      </w:r>
      <w:r>
        <w:rPr>
          <w:rFonts w:ascii="IRNazanin" w:hAnsi="IRNazanin" w:eastAsia="IRNazanin" w:cs="IRNazanin"/>
          <w:lang w:bidi="fa-IR"/>
          <w:color w:val="111111"/>
          <w:sz w:val="28"/>
          <w:szCs w:val="28"/>
          <w:rtl/>
        </w:rPr>
        <w:t xml:space="preserve">وآیةالله المیرزا أبوالهدى الکلباسي،</w:t>
      </w:r>
      <w:r>
        <w:rPr>
          <w:rStyle w:val="FootnoteReference"/>
        </w:rPr>
        <w:footnoteReference w:id="23"/>
      </w:r>
      <w:r>
        <w:rPr>
          <w:rFonts w:ascii="IRNazanin" w:hAnsi="IRNazanin" w:eastAsia="IRNazanin" w:cs="IRNazanin"/>
          <w:lang w:bidi="fa-IR"/>
          <w:color w:val="111111"/>
          <w:sz w:val="28"/>
          <w:szCs w:val="28"/>
          <w:rtl/>
        </w:rPr>
        <w:t xml:space="preserve">وآیة الله الشیخ مهدي النجفي المسجدشاهي الإصفهاني وآیة الله الشیخ محمّدرضا النجفي المسجدشاهي الإصفهاني وآیة الله السیّد علي الموسوي البهبهاني، رحمة الله علیهم.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2" w:name="pg6784_51071"/>
    <w:bookmarkEnd w:id="2"/>
    <w:p>
      <w:pPr>
        <w:pStyle w:val="BookText"/>
      </w:pPr>
      <w:r>
        <w:rPr>
          <w:rFonts w:ascii="IRNazanin" w:hAnsi="IRNazanin" w:eastAsia="IRNazanin" w:cs="IRNazanin"/>
          <w:lang w:bidi="fa-IR"/>
          <w:color w:val="111111"/>
          <w:sz w:val="28"/>
          <w:szCs w:val="28"/>
          <w:rtl/>
        </w:rPr>
        <w:t xml:space="preserve">وقيل في تاریخ وفاته:</w:t>
      </w:r>
    </w:p>
    <w:p>
      <w:pPr>
        <w:pStyle w:val="BookText"/>
      </w:pPr>
      <w:r>
        <w:rPr>
          <w:rFonts w:ascii="IRNazanin" w:hAnsi="IRNazanin" w:eastAsia="IRNazanin" w:cs="IRNazanin"/>
          <w:lang w:bidi="fa-IR"/>
          <w:color w:val="111111"/>
          <w:sz w:val="28"/>
          <w:szCs w:val="28"/>
          <w:rtl/>
        </w:rPr>
        <w:t xml:space="preserve">ومذ کاظم الغیظ نال النعیما *** وحاز مقاماً وفضلاً کریماً</w:t>
      </w:r>
    </w:p>
    <w:p>
      <w:pPr>
        <w:pStyle w:val="BookText"/>
      </w:pPr>
      <w:r>
        <w:rPr>
          <w:rFonts w:ascii="Amiri" w:hAnsi="Amiri" w:eastAsia="Amiri" w:cs="Amiri"/>
          <w:lang w:bidi="ar-SA"/>
          <w:color w:val="111111"/>
          <w:sz w:val="28"/>
          <w:szCs w:val="28"/>
          <w:rtl/>
        </w:rPr>
        <w:t xml:space="preserve">وجاور ربّاً غفوراً رحیماً *** فأرّخ: لقد فاز فوزاً عظیماً </w:t>
      </w:r>
      <w:r>
        <w:rPr>
          <w:rStyle w:val="FootnoteReference"/>
        </w:rPr>
        <w:footnoteReference w:id="24"/>
      </w:r>
    </w:p>
    <w:p>
      <w:pPr>
        <w:pStyle w:val="Heading3"/>
      </w:pPr>
      <w:bookmarkStart w:id="325" w:name="_Toc6"/>
      <w:r>
        <w:t>حول الکتاب</w:t>
      </w:r>
      <w:bookmarkEnd w:id="325"/>
    </w:p>
    <w:p>
      <w:pPr>
        <w:pStyle w:val="BookText"/>
      </w:pPr>
      <w:r>
        <w:rPr>
          <w:rFonts w:ascii="IRNazanin" w:hAnsi="IRNazanin" w:eastAsia="IRNazanin" w:cs="IRNazanin"/>
          <w:lang w:bidi="fa-IR"/>
          <w:color w:val="111111"/>
          <w:sz w:val="28"/>
          <w:szCs w:val="28"/>
          <w:rtl/>
        </w:rPr>
        <w:t xml:space="preserve">هذا کتاب قیّم رصین مفصّل بدیع فیه تحقیقات عالیة وتدقیقات عمیقة في مسألة اجتماع الأمر والنهي بحیث لا نعلم أبسط منه في هذا البحث في مؤلّفات علماء الإسلام من الشیعة والعامة لسیّد الفقهاء والمجتهدین آیةالله العظمى السیّد محمّدکاظم الطباطبائي شکر الله سعیه وأعلى الله مقامه.</w:t>
      </w:r>
    </w:p>
    <w:p>
      <w:pPr>
        <w:pStyle w:val="BookText"/>
      </w:pPr>
      <w:r>
        <w:rPr>
          <w:rFonts w:ascii="IRNazanin" w:hAnsi="IRNazanin" w:eastAsia="IRNazanin" w:cs="IRNazanin"/>
          <w:lang w:bidi="fa-IR"/>
          <w:color w:val="111111"/>
          <w:sz w:val="28"/>
          <w:szCs w:val="28"/>
          <w:rtl/>
        </w:rPr>
        <w:t xml:space="preserve">قال الشیخ آقابزرگ (رحمة الله‌علیه): «اجتماع الأمر والنهي للسيد الأستاد العلامة السيد محمّدكاظم بن عبدالعظيم الطباطبائي اليزدي النجفي المتوفى بها في الثاني والعشرين من رجب سنة 1337، فرغ منه سنة 1300 وطبع بطهران سنة 1317».</w:t>
      </w:r>
      <w:r>
        <w:rPr>
          <w:rStyle w:val="FootnoteReference"/>
        </w:rPr>
        <w:footnoteReference w:id="25"/>
      </w:r>
      <w:r>
        <w:rPr>
          <w:rFonts w:ascii="IRNazanin" w:hAnsi="IRNazanin" w:eastAsia="IRNazanin" w:cs="IRNazanin"/>
          <w:lang w:bidi="fa-IR"/>
          <w:color w:val="111111"/>
          <w:sz w:val="28"/>
          <w:szCs w:val="28"/>
          <w:rtl/>
        </w:rPr>
        <w:t xml:space="preserve">وطبع أخیراً بتحقیق الحاجّ الشیخ محسن الأحمدي الطهراني</w:t>
      </w:r>
      <w:r>
        <w:rPr>
          <w:rStyle w:val="FootnoteReference"/>
        </w:rPr>
        <w:footnoteReference w:id="26"/>
      </w:r>
      <w:r>
        <w:rPr>
          <w:rFonts w:ascii="IRNazanin" w:hAnsi="IRNazanin" w:eastAsia="IRNazanin" w:cs="IRNazanin"/>
          <w:lang w:bidi="fa-IR"/>
          <w:color w:val="111111"/>
          <w:sz w:val="28"/>
          <w:szCs w:val="28"/>
          <w:rtl/>
        </w:rPr>
        <w:t xml:space="preserve">شکر الله سعیه.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وبتوفیق من الله تعالى ترجمت الکتاب إلى الفارسیّة ثم قمت بتحقیق هذا الکتاب القیّم وساعدني في التحقیق أخي العالم العدل الفقیه الأصولي المحقّق حجّةالإسلام والمسلمین الحاج الشیخ أحمد حلبیان (دامت‌برکاته) نجل خیر الحاج مصطفى حلبیان الإصفهاني (دامت‌برکاته). وکذا ساعدني في مقابلة شطر من الکتاب أخي الحاج مهدي حلبیان</w:t>
      </w:r>
      <w:r>
        <w:rPr>
          <w:rStyle w:val="FootnoteReference"/>
        </w:rPr>
        <w:footnoteReference w:id="27"/>
      </w:r>
      <w:r>
        <w:rPr>
          <w:rFonts w:ascii="Amiri" w:hAnsi="Amiri" w:eastAsia="Amiri" w:cs="Amiri"/>
          <w:lang w:bidi="ar-SA"/>
          <w:color w:val="111111"/>
          <w:sz w:val="28"/>
          <w:szCs w:val="28"/>
          <w:rtl/>
        </w:rPr>
        <w:t xml:space="preserve">حفظه الله. وبعد التحقيق نظر فيه آيةالله المجاهد الحاج السيّد مرتضى مستجاب الدعواتي (دام‌ظله).</w:t>
      </w:r>
    </w:p>
    <w:p>
      <w:pPr>
        <w:pStyle w:val="BookText"/>
      </w:pPr>
      <w:r>
        <w:rPr>
          <w:rFonts w:ascii="IRNazanin" w:hAnsi="IRNazanin" w:eastAsia="IRNazanin" w:cs="IRNazanin"/>
          <w:lang w:bidi="fa-IR"/>
          <w:color w:val="111111"/>
          <w:sz w:val="28"/>
          <w:szCs w:val="28"/>
          <w:rtl/>
        </w:rPr>
        <w:t xml:space="preserve">وأشکر العلّامة آیةالله الحاجّ السیّد جعفر الحجة الکشفي (دامت‌برکاته) </w:t>
      </w:r>
      <w:r>
        <w:rPr>
          <w:rStyle w:val="FootnoteReference"/>
        </w:rPr>
        <w:footnoteReference w:id="28"/>
      </w:r>
      <w:r>
        <w:rPr>
          <w:rFonts w:ascii="IRNazanin" w:hAnsi="IRNazanin" w:eastAsia="IRNazanin" w:cs="IRNazanin"/>
          <w:lang w:bidi="fa-IR"/>
          <w:color w:val="111111"/>
          <w:sz w:val="28"/>
          <w:szCs w:val="28"/>
          <w:rtl/>
        </w:rPr>
        <w:t xml:space="preserve">لکتابة خطّ غلاف الکتاب بشکل حسن رائع، والخطّاط الفنّان الأستاذ نبیل المعموريالنجفي</w:t>
      </w:r>
      <w:r>
        <w:rPr>
          <w:rStyle w:val="FootnoteReference"/>
        </w:rPr>
        <w:footnoteReference w:id="29"/>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6784_51073"/>
    <w:bookmarkEnd w:id="3"/>
    <w:p>
      <w:pPr>
        <w:pStyle w:val="BookText"/>
      </w:pPr>
      <w:r>
        <w:rPr>
          <w:rFonts w:ascii="IRNazanin" w:hAnsi="IRNazanin" w:eastAsia="IRNazanin" w:cs="IRNazanin"/>
          <w:lang w:bidi="fa-IR"/>
          <w:color w:val="111111"/>
          <w:sz w:val="28"/>
          <w:szCs w:val="28"/>
          <w:rtl/>
        </w:rPr>
        <w:t xml:space="preserve">حفظه الله خطّاط مسجد الکوفة لکتابة اسم المحقّق من خطّ الغلاف.</w:t>
      </w:r>
      <w:r>
        <w:rPr>
          <w:rStyle w:val="FootnoteReference"/>
        </w:rPr>
        <w:footnoteReference w:id="30"/>
      </w:r>
    </w:p>
    <w:p>
      <w:pPr>
        <w:pStyle w:val="BookText"/>
      </w:pPr>
      <w:r>
        <w:rPr>
          <w:rFonts w:ascii="Amiri" w:hAnsi="Amiri" w:eastAsia="Amiri" w:cs="Amiri"/>
          <w:lang w:bidi="ar-SA"/>
          <w:color w:val="111111"/>
          <w:sz w:val="28"/>
          <w:szCs w:val="28"/>
          <w:rtl/>
        </w:rPr>
        <w:t xml:space="preserve">وکذا أشکر السیّدة تَهْمِيْنِه نصر آزاداني لأجل تنظيم الکتاب وتصمیمه.</w:t>
      </w:r>
    </w:p>
    <w:p>
      <w:pPr>
        <w:pStyle w:val="BookText"/>
      </w:pPr>
      <w:r>
        <w:rPr>
          <w:rFonts w:ascii="IRNazanin" w:hAnsi="IRNazanin" w:eastAsia="IRNazanin" w:cs="IRNazanin"/>
          <w:lang w:bidi="fa-IR"/>
          <w:color w:val="111111"/>
          <w:sz w:val="28"/>
          <w:szCs w:val="28"/>
          <w:rtl/>
        </w:rPr>
        <w:t xml:space="preserve">وأهدي ثواب تحقیق هذا الکتاب إلى رسول الله (صلى‌الله‌علیه‌و‌آله‌وسلم) وأهل بیته الطاهرین لاسیّما سیدي ومولاي أمیرالمؤمنین علي بن أبي طالب (علیهما‌السلام) باب مدینة علم النبي (صلى‌الله‌علیه‌و‌آله‌وسلم).</w:t>
      </w:r>
    </w:p>
    <w:p>
      <w:pPr>
        <w:pStyle w:val="Heading3"/>
      </w:pPr>
      <w:bookmarkStart w:id="326" w:name="_Toc7"/>
      <w:r>
        <w:t>النسخ المعتمدة</w:t>
      </w:r>
      <w:bookmarkEnd w:id="3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مخطوطة في مکتبة المسجد الأعظم بقم المشرّفة، حصلنا علیها بمساعدة الشیخ الفاضل المیرزا علي السلیماني البروجردي سلّمه الله. ونعبّر عنها ب- «المخطوطة».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مخطوطة في مکتبة الوزیري في یزد حصلنا علیها بمساعدة فضیلة العالم التقيّ حجةالإسلام الشیخ هادي دَشَن الیزدي</w:t>
      </w:r>
      <w:r>
        <w:rPr>
          <w:rStyle w:val="FootnoteReference"/>
        </w:rPr>
        <w:footnoteReference w:id="31"/>
      </w:r>
      <w:r>
        <w:rPr>
          <w:rFonts w:ascii="IRNazanin" w:hAnsi="IRNazanin" w:eastAsia="IRNazanin" w:cs="IRNazanin"/>
          <w:lang w:bidi="fa-IR"/>
          <w:color w:val="111111"/>
          <w:sz w:val="28"/>
          <w:szCs w:val="28"/>
          <w:rtl/>
        </w:rPr>
        <w:t xml:space="preserve">وفضیلة الصالح الذکيّ محمّد الوزیري الکردستاني الیزدي</w:t>
      </w:r>
      <w:r>
        <w:rPr>
          <w:rStyle w:val="FootnoteReference"/>
        </w:rPr>
        <w:footnoteReference w:id="32"/>
      </w:r>
      <w:r>
        <w:rPr>
          <w:rFonts w:ascii="IRNazanin" w:hAnsi="IRNazanin" w:eastAsia="IRNazanin" w:cs="IRNazanin"/>
          <w:lang w:bidi="fa-IR"/>
          <w:color w:val="111111"/>
          <w:sz w:val="28"/>
          <w:szCs w:val="28"/>
          <w:rtl/>
        </w:rPr>
        <w:t xml:space="preserve">حفظهما الله تعالى. ونعبّر عنها ب- «مخطوطة مکتبة الوزیري».</w:t>
      </w:r>
    </w:p>
    <w:p>
      <w:pPr>
        <w:pStyle w:val="BookText"/>
      </w:pPr>
      <w:r>
        <w:rPr>
          <w:rFonts w:ascii="IRNazanin" w:hAnsi="IRNazanin" w:eastAsia="IRNazanin" w:cs="IRNazanin"/>
          <w:lang w:bidi="fa-IR"/>
          <w:color w:val="111111"/>
          <w:sz w:val="28"/>
          <w:szCs w:val="28"/>
          <w:rtl/>
        </w:rPr>
        <w:t xml:space="preserve">في آخرها: «وقد وقع الفراغ من تسویده وتحریره في یوم العشرین من شهر رجب المرجب من شهور السنة التاسعة من العشر الأوّل من المائة الرابعة من الألف الثاني في النجف الأشرف على مشرفه الآلاف التحیة والسلام على ید العبد الأقلّ الأفقر الخاطي محمّدحسین بن الحاجي عبدالغفور الیزدي الساکن في النجف الأشرف على مشرفه الآلاف التحیة والسلام».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الطبعة الحجریّة المعروفة التي تصدّى لمقابلتها واستكتابها الجنابان المُستطابان الآقا الشيخ عليّ اليزدي والفاضل الكامل الآقا محمّدمهدي الكاشاني</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6784_51074"/>
    <w:bookmarkEnd w:id="4"/>
    <w:p>
      <w:pPr>
        <w:pStyle w:val="BookText"/>
      </w:pPr>
      <w:r>
        <w:rPr>
          <w:rFonts w:ascii="IRNazanin" w:hAnsi="IRNazanin" w:eastAsia="IRNazanin" w:cs="IRNazanin"/>
          <w:lang w:bidi="fa-IR"/>
          <w:color w:val="111111"/>
          <w:sz w:val="28"/>
          <w:szCs w:val="28"/>
          <w:rtl/>
        </w:rPr>
        <w:t xml:space="preserve">وکاتبها جناب زين العابدين الإصفهاني ونعبّر عنها ب- «الطبعة الحجریّة».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الطبعة المحققّة بتحقیق الحاج الشیخ محسن الأحمدي الطهراني حفظه الله، حصلنا علیها بمساعدة الحاج الشیخ رضا المختاري حفظه الله. ونعبّر عنها ب-«الطبعة المحقّقة».</w:t>
      </w:r>
    </w:p>
    <w:p>
      <w:pPr>
        <w:pStyle w:val="Heading3"/>
      </w:pPr>
      <w:bookmarkStart w:id="327" w:name="_Toc8"/>
      <w:r>
        <w:t>منهجنا في تحقیق الکتاب</w:t>
      </w:r>
      <w:bookmarkEnd w:id="3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تقدیم مقدّمة في أحوال المؤلف وتعریف الکتاب وتحقیقه؛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تصحیح الکتاب ومقابلته مراراً مع النظر في النسخ المعتمدة وتقویم النصّ؛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تقطیع النصّ وتعیین رؤوس المطالب وتنظیم الفهرست؛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تخریج الآیات والروایات وأقوال العلماء من مصادرها المطبوعة والمخطوطة؛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شرح بعض الکلمات والمصطلحات؛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شرح بعض المطالب الغامضة في الرسالة؛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إثبات تعلیقات ونقود على بعض الآراء المطروحة في الکتاب؛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إراءة آراء الأصولیین وجهابذة الفنّ في بعض هوامش الکتاب؛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إراءة بعض آراء المصنف المرتبطة بمباحث الکتاب من سائر کتبه العلمیة؛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تنظیم الفهارس الفنیّة.</w:t>
      </w:r>
    </w:p>
    <w:p>
      <w:pPr>
        <w:pStyle w:val="BookText"/>
      </w:pPr>
      <w:r>
        <w:rPr>
          <w:rFonts w:ascii="IRNazanin" w:hAnsi="IRNazanin" w:eastAsia="IRNazanin" w:cs="IRNazanin"/>
          <w:lang w:bidi="fa-IR"/>
          <w:color w:val="111111"/>
          <w:sz w:val="28"/>
          <w:szCs w:val="28"/>
          <w:rtl/>
        </w:rPr>
        <w:t xml:space="preserve">والحمد لله الذي هدانا لهذا وما کنّا لنهتدي لولا أن هدانا الله. وآخر دعوانا أن الحمد لله ربّ العالمین والصلاة والسلام على سیدنا محمّد وآله الطاهرین.</w:t>
      </w:r>
    </w:p>
    <w:p>
      <w:pPr>
        <w:pStyle w:val="BookText"/>
      </w:pPr>
      <w:r>
        <w:rPr>
          <w:rFonts w:ascii="IRNazanin" w:hAnsi="IRNazanin" w:eastAsia="IRNazanin" w:cs="IRNazanin"/>
          <w:lang w:bidi="fa-IR"/>
          <w:color w:val="111111"/>
          <w:sz w:val="28"/>
          <w:szCs w:val="28"/>
          <w:rtl/>
        </w:rPr>
        <w:t xml:space="preserve">حسین حلبیان</w:t>
      </w:r>
    </w:p>
    <w:p>
      <w:pPr>
        <w:pStyle w:val="BookText"/>
      </w:pPr>
      <w:r>
        <w:rPr>
          <w:rFonts w:ascii="Amiri" w:hAnsi="Amiri" w:eastAsia="Amiri" w:cs="Amiri"/>
          <w:lang w:bidi="ar-SA"/>
          <w:color w:val="111111"/>
          <w:sz w:val="28"/>
          <w:szCs w:val="28"/>
          <w:rtl/>
        </w:rPr>
        <w:t xml:space="preserve">20 جمادى الآخرة</w:t>
      </w:r>
    </w:p>
    <w:p>
      <w:pPr>
        <w:pStyle w:val="BookText"/>
      </w:pPr>
      <w:r>
        <w:rPr>
          <w:rFonts w:ascii="Times New Roman" w:hAnsi="Times New Roman" w:eastAsia="Times New Roman" w:cs="Times New Roman"/>
          <w:lang w:val="en-US" w:bidi="en-US"/>
          <w:color w:val="111111"/>
          <w:sz w:val="28"/>
          <w:szCs w:val="28"/>
          <w:rtl/>
        </w:rPr>
        <w:t xml:space="preserve">1442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6784_51075"/>
    <w:bookmarkEnd w:id="5"/>
    <w:p>
      <w:pPr>
        <w:pStyle w:val="Heading2"/>
      </w:pPr>
      <w:bookmarkStart w:id="328" w:name="_Toc9"/>
      <w:r>
        <w:t>الصفحة الأولىٰ من مخطوطة المسجد الأعظم</w:t>
      </w:r>
      <w:bookmarkEnd w:id="328"/>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6784_51076"/>
    <w:bookmarkEnd w:id="6"/>
    <w:p>
      <w:pPr>
        <w:pStyle w:val="Heading2"/>
      </w:pPr>
      <w:bookmarkStart w:id="329" w:name="_Toc10"/>
      <w:r>
        <w:t>الصفحة الأخيرة من مخطوطة المسجد الأعظم</w:t>
      </w:r>
      <w:bookmarkEnd w:id="329"/>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6784_51077"/>
    <w:bookmarkEnd w:id="7"/>
    <w:p>
      <w:pPr>
        <w:pStyle w:val="Heading2"/>
      </w:pPr>
      <w:bookmarkStart w:id="330" w:name="_Toc11"/>
      <w:r>
        <w:t>الصفحة الأولىٰ من مخطوطة مکتبة الوزيري</w:t>
      </w:r>
      <w:bookmarkEnd w:id="330"/>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6784_51078"/>
    <w:bookmarkEnd w:id="8"/>
    <w:p>
      <w:pPr>
        <w:pStyle w:val="Heading2"/>
      </w:pPr>
      <w:bookmarkStart w:id="331" w:name="_Toc12"/>
      <w:r>
        <w:t>الصفحة الأخيرة من مخطوطة مکتبة الوزيري</w:t>
      </w:r>
      <w:bookmarkEnd w:id="331"/>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6784_51079"/>
    <w:bookmarkEnd w:id="9"/>
    <w:p>
      <w:pPr>
        <w:pStyle w:val="Heading2"/>
      </w:pPr>
      <w:bookmarkStart w:id="332" w:name="_Toc13"/>
      <w:r>
        <w:t>الصفحة الأولىٰ من الطبعة الحجرية</w:t>
      </w:r>
      <w:bookmarkEnd w:id="332"/>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6784_51080"/>
    <w:bookmarkEnd w:id="10"/>
    <w:p>
      <w:pPr>
        <w:pStyle w:val="Heading2"/>
      </w:pPr>
      <w:bookmarkStart w:id="333" w:name="_Toc14"/>
      <w:r>
        <w:t>الصفحة الأخيرة من الطبعة الحجرية</w:t>
      </w:r>
      <w:bookmarkEnd w:id="333"/>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6784_51082"/>
    <w:bookmarkEnd w:id="11"/>
    <w:p>
      <w:pPr>
        <w:pStyle w:val="Heading2"/>
      </w:pPr>
      <w:bookmarkStart w:id="334" w:name="_Toc15"/>
      <w:r>
        <w:t>[مقدّمة الطبعة الحجریّة]</w:t>
      </w:r>
      <w:bookmarkEnd w:id="334"/>
    </w:p>
    <w:p>
      <w:pPr>
        <w:pStyle w:val="BookText"/>
      </w:pPr>
      <w:r>
        <w:rPr>
          <w:rFonts w:ascii="IRNazanin" w:hAnsi="IRNazanin" w:eastAsia="IRNazanin" w:cs="IRNazanin"/>
          <w:lang w:bidi="fa-IR"/>
          <w:color w:val="111111"/>
          <w:sz w:val="28"/>
          <w:szCs w:val="28"/>
          <w:rtl/>
        </w:rPr>
        <w:t xml:space="preserve">هو الله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لمّا كان مسألة جواز اجتماع الأمر والنّهي من جوامع مسائل الأصول؛ إذ قد اجتمع فيها دقائق الفقه ورقائق المعقول وقد غربل وأكثر في تمييز حقائقها أرباب الألباب والعقول ولم يميّزوا حقّها القشر من اللّباب والأصول من الفضول إلى أن وصل النّوبة إلى جامع ايتمار الأمر وانتهاء النّهي بأمر النهى ورافع راية العلم ولواء الفضل في عين الدّهى العالم الرّباني والمحقّق الصّمداني بحر العلوم الثّاني من آل طباطبا ذي الأصول والمباني أبي المكارم والمفاخم سيّد العلماء الأعاظم سيّدنا السيّد محمّد كاظم اليزدي النّجفي أدام الله ظلّه العالي فقد كان لعلوّ ذهنه الوقّاد ودنوّ فكره النّقاد أهلاً لأن يجيل في ميدان حقائق مبانيها فرس التّحقیق ويزيل عقد معانيها بأنامل التّدقيق كتب دام ظلّه هذه الرّسالة الغرّاء حین ما يدرّس بها جمعاً من الفضلاء وتمّت بحمد الله فائقة جميع ما كتب في هذا الباب من الكتب والرّسائل ووسيلة موصلة لأفاضل الطلّاب إلى أحسن الوسائل.</w:t>
      </w:r>
    </w:p>
    <w:p>
      <w:pPr>
        <w:pStyle w:val="BookText"/>
      </w:pPr>
      <w:r>
        <w:rPr>
          <w:rFonts w:ascii="IRNazanin" w:hAnsi="IRNazanin" w:eastAsia="IRNazanin" w:cs="IRNazanin"/>
          <w:lang w:bidi="fa-IR"/>
          <w:color w:val="111111"/>
          <w:sz w:val="28"/>
          <w:szCs w:val="28"/>
          <w:rtl/>
        </w:rPr>
        <w:t xml:space="preserve">ثمّ إنّه قد مدّ الفضلاء أعناقهم وشدّ العلماء أشواقهم إلى تحصيلها فانصرفوا خائبين ورجعوا دائبين لقلّة النّسخ وضنّة من نسخ [إلی] أن منّ الله تعالى على الطّالبين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طبعت أحسن الطّبع وأكثر وانتشر بحمد الله في کلّ صُقع ورَبع فليغتنم الطّالبون وليلتذّ الشّاربون ولمثل هذا فليعمل العاملون والحمد لله ربّ العالمين والصّلاة والسّلام على محمّد وآله الطّاهرين سنة 1316.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6784_51084"/>
    <w:bookmarkEnd w:id="12"/>
    <w:p>
      <w:pPr>
        <w:pStyle w:val="Heading2"/>
      </w:pPr>
      <w:bookmarkStart w:id="335" w:name="_Toc16"/>
      <w:r>
        <w:t>[لوحة صدر الصفحة الأولى في الطبعة الحجریّة]</w:t>
      </w:r>
      <w:bookmarkEnd w:id="335"/>
    </w:p>
    <w:p>
      <w:pPr>
        <w:pStyle w:val="BookText"/>
      </w:pPr>
      <w:r>
        <w:rPr>
          <w:rFonts w:ascii="Amiri" w:hAnsi="Amiri" w:eastAsia="Amiri" w:cs="Amiri"/>
          <w:lang w:bidi="ar-SA"/>
          <w:color w:val="111111"/>
          <w:sz w:val="28"/>
          <w:szCs w:val="28"/>
          <w:rtl/>
        </w:rPr>
        <w:t xml:space="preserve">هذه رسالة شريفة ونسخة منيفة في جواز اجتماع الأمر والنّهي لجامع جوامع التقوى والفضل ومحقّق حقائق الفرع ودقايق الأصل والحاكم بين الأوائل والأواخر بالقول الفصل السّيد السّند الأوحد الوفيّ الزّكيّ التّقيّ الصّفيّ والبحر اللجّيّ الألمعيّ اللّوذعيّ ظهير الأنام حجّة الإسلام كهف الأرامل وكافل الأيتام علم الأعلام، سيّد العلماء الأعاظم السّيّد محمّد كاظم اليزدي النّجفي أدام الله تعالى ظلّه العالي.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6784_51086"/>
    <w:bookmarkEnd w:id="13"/>
    <w:p>
      <w:pPr>
        <w:pStyle w:val="Heading2"/>
      </w:pPr>
      <w:bookmarkStart w:id="336" w:name="_Toc17"/>
      <w:r>
        <w:t>نصّ الکتاب</w:t>
      </w:r>
      <w:bookmarkEnd w:id="336"/>
    </w:p>
    <w:p>
      <w:pPr>
        <w:pStyle w:val="Heading3"/>
      </w:pPr>
      <w:bookmarkStart w:id="337" w:name="_Toc18"/>
      <w:r>
        <w:t>اشارة</w:t>
      </w:r>
      <w:bookmarkEnd w:id="337"/>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6784_51087"/>
    <w:bookmarkEnd w:id="14"/>
    <w:p>
      <w:pPr>
        <w:pStyle w:val="Heading3"/>
      </w:pPr>
      <w:bookmarkStart w:id="338" w:name="_Toc19"/>
      <w:r>
        <w:t>[مقدمة المؤلف]</w:t>
      </w:r>
      <w:bookmarkEnd w:id="33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الطّاهرين ولعنة الله على أعدائهم أجمعين إلى يوم الدّين.</w:t>
      </w:r>
    </w:p>
    <w:p>
      <w:pPr>
        <w:pStyle w:val="BookText"/>
      </w:pPr>
      <w:r>
        <w:rPr>
          <w:rFonts w:ascii="Amiri" w:hAnsi="Amiri" w:eastAsia="Amiri" w:cs="Amiri"/>
          <w:lang w:bidi="ar-SA"/>
          <w:color w:val="111111"/>
          <w:sz w:val="28"/>
          <w:szCs w:val="28"/>
          <w:rtl/>
        </w:rPr>
        <w:t xml:space="preserve">وبعد فيقول الفقير إلى الله محمّد كاظم بن</w:t>
      </w:r>
      <w:r>
        <w:rPr>
          <w:rStyle w:val="FootnoteReference"/>
        </w:rPr>
        <w:footnoteReference w:id="33"/>
      </w:r>
      <w:r>
        <w:rPr>
          <w:rFonts w:ascii="IRNazanin" w:hAnsi="IRNazanin" w:eastAsia="IRNazanin" w:cs="IRNazanin"/>
          <w:lang w:bidi="fa-IR"/>
          <w:color w:val="111111"/>
          <w:sz w:val="28"/>
          <w:szCs w:val="28"/>
          <w:rtl/>
        </w:rPr>
        <w:t xml:space="preserve">عبد</w:t>
      </w:r>
      <w:r>
        <w:rPr>
          <w:rStyle w:val="FootnoteReference"/>
        </w:rPr>
        <w:footnoteReference w:id="34"/>
      </w:r>
      <w:r>
        <w:rPr>
          <w:rFonts w:ascii="IRNazanin" w:hAnsi="IRNazanin" w:eastAsia="IRNazanin" w:cs="IRNazanin"/>
          <w:lang w:bidi="fa-IR"/>
          <w:color w:val="111111"/>
          <w:sz w:val="28"/>
          <w:szCs w:val="28"/>
          <w:rtl/>
        </w:rPr>
        <w:t xml:space="preserve">العظيم الطّباطبائي اليزدي لقد سألني بعض الإخوان من الفضلاء حين مذاكرتي لهذه المسألة أن أكتب ما أذكره في المباحثة ليكون تذكرة لي ولغيري فأجبته إلى ذلك وما توفيقي إلّا بالله عليه توکلّت وإليه أُنيب.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6784_51088"/>
    <w:bookmarkEnd w:id="15"/>
    <w:p>
      <w:pPr>
        <w:pStyle w:val="Heading3"/>
      </w:pPr>
      <w:bookmarkStart w:id="339" w:name="_Toc20"/>
      <w:r>
        <w:t>محلّ المسألة</w:t>
      </w:r>
      <w:bookmarkEnd w:id="339"/>
    </w:p>
    <w:p>
      <w:pPr>
        <w:pStyle w:val="Heading4"/>
      </w:pPr>
      <w:bookmarkStart w:id="340" w:name="_Toc21"/>
      <w:r>
        <w:t>اشارة</w:t>
      </w:r>
      <w:bookmarkEnd w:id="340"/>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6784_51089"/>
    <w:bookmarkEnd w:id="16"/>
    <w:p>
      <w:pPr>
        <w:pStyle w:val="Heading4"/>
      </w:pPr>
      <w:bookmarkStart w:id="341" w:name="_Toc22"/>
      <w:r>
        <w:t>[محلّ المسألة، وأنّها أصولية أو من المبادئ الأحکامية أو المسائل الکلامية؟]</w:t>
      </w:r>
      <w:bookmarkEnd w:id="341"/>
    </w:p>
    <w:p>
      <w:pPr>
        <w:pStyle w:val="Heading5"/>
      </w:pPr>
      <w:bookmarkStart w:id="342" w:name="_Toc23"/>
      <w:r>
        <w:t>اشارة</w:t>
      </w:r>
      <w:bookmarkEnd w:id="342"/>
    </w:p>
    <w:p>
      <w:pPr>
        <w:pStyle w:val="BookText"/>
      </w:pPr>
      <w:r>
        <w:rPr>
          <w:rFonts w:ascii="IRNazanin" w:hAnsi="IRNazanin" w:eastAsia="IRNazanin" w:cs="IRNazanin"/>
          <w:lang w:bidi="fa-IR"/>
          <w:color w:val="111111"/>
          <w:sz w:val="28"/>
          <w:szCs w:val="28"/>
          <w:rtl/>
        </w:rPr>
        <w:t xml:space="preserve">الکلام</w:t>
      </w:r>
      <w:r>
        <w:rPr>
          <w:rStyle w:val="FootnoteReference"/>
        </w:rPr>
        <w:footnoteReference w:id="35"/>
      </w:r>
      <w:r>
        <w:rPr>
          <w:rFonts w:ascii="Amiri" w:hAnsi="Amiri" w:eastAsia="Amiri" w:cs="Amiri"/>
          <w:lang w:bidi="ar-SA"/>
          <w:color w:val="111111"/>
          <w:sz w:val="28"/>
          <w:szCs w:val="28"/>
          <w:rtl/>
        </w:rPr>
        <w:t xml:space="preserve">في جواز اجتماع الأمر والنّهي وعدمه.</w:t>
      </w:r>
    </w:p>
    <w:p>
      <w:pPr>
        <w:pStyle w:val="BookText"/>
      </w:pPr>
      <w:r>
        <w:rPr>
          <w:rFonts w:ascii="IRNazanin" w:hAnsi="IRNazanin" w:eastAsia="IRNazanin" w:cs="IRNazanin"/>
          <w:lang w:bidi="fa-IR"/>
          <w:color w:val="111111"/>
          <w:sz w:val="28"/>
          <w:szCs w:val="28"/>
          <w:rtl/>
        </w:rPr>
        <w:t xml:space="preserve">وهل هذه المسألة من المسائل الأصوليّة أو من المبادي الأحکاميّة</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وقال المحقّق الجلیل المولى مهدي النراقي (رحمة الله‌علیه)</w:t>
      </w:r>
    </w:p>
    <w:p>
      <w:pPr>
        <w:pStyle w:val="BookText"/>
      </w:pPr>
      <w:r>
        <w:rPr>
          <w:rFonts w:ascii="IRNazanin" w:hAnsi="IRNazanin" w:eastAsia="IRNazanin" w:cs="IRNazanin"/>
          <w:lang w:bidi="fa-IR"/>
          <w:color w:val="111111"/>
          <w:sz w:val="28"/>
          <w:szCs w:val="28"/>
          <w:rtl/>
        </w:rPr>
        <w:t xml:space="preserve">في أنیس المجتهدین، ج1، ص36 و37: «اعلم أنّ المبادئ على قسمين: تصوّريّة، وتصديقيّة.</w:t>
      </w:r>
    </w:p>
    <w:p>
      <w:pPr>
        <w:pStyle w:val="BookText"/>
      </w:pPr>
      <w:r>
        <w:rPr>
          <w:rFonts w:ascii="Amiri" w:hAnsi="Amiri" w:eastAsia="Amiri" w:cs="Amiri"/>
          <w:lang w:bidi="ar-SA"/>
          <w:color w:val="111111"/>
          <w:sz w:val="28"/>
          <w:szCs w:val="28"/>
          <w:rtl/>
        </w:rPr>
        <w:t xml:space="preserve">والأولى: تصوّر أشياء يتوقّف الشروع مع البصيرة عليه، فالمبادئ التصوّريّة لعلم الأصول حدّه، وحدّ موضوعه وأجزائه وجزئيّاته وأعراضه الذاتيّة، وتصوّر غايته ومرتبته.</w:t>
      </w:r>
    </w:p>
    <w:p>
      <w:pPr>
        <w:pStyle w:val="BookText"/>
      </w:pPr>
      <w:r>
        <w:rPr>
          <w:rFonts w:ascii="Amiri" w:hAnsi="Amiri" w:eastAsia="Amiri" w:cs="Amiri"/>
          <w:lang w:bidi="ar-SA"/>
          <w:color w:val="111111"/>
          <w:sz w:val="28"/>
          <w:szCs w:val="28"/>
          <w:rtl/>
        </w:rPr>
        <w:t xml:space="preserve">وقد أشرنا إلى بعضها وسنشير إلى بواقيها في مواضع تليق بها.</w:t>
      </w:r>
    </w:p>
    <w:p>
      <w:pPr>
        <w:pStyle w:val="BookText"/>
      </w:pPr>
      <w:r>
        <w:rPr>
          <w:rFonts w:ascii="Amiri" w:hAnsi="Amiri" w:eastAsia="Amiri" w:cs="Amiri"/>
          <w:lang w:bidi="ar-SA"/>
          <w:color w:val="111111"/>
          <w:sz w:val="28"/>
          <w:szCs w:val="28"/>
          <w:rtl/>
        </w:rPr>
        <w:t xml:space="preserve">ومن جملة المبادئ التصوّريّة لهذا العلم تصوّر الأحكام الخمسة مع ما يتعلّق بها؛ لأنّ الناظر فيه ينظر في أدلّتها، ومقصوده إثباتها ونفيها، فلا بدّ أن يكون متصوّرا لها. وهذا ما يعبّر عنه ب- «المبادئ الأحكاميّة». ونذكرها في الباب الآتي إن شاء الله.</w:t>
      </w:r>
    </w:p>
    <w:p>
      <w:pPr>
        <w:pStyle w:val="BookText"/>
      </w:pPr>
      <w:r>
        <w:rPr>
          <w:rFonts w:ascii="Amiri" w:hAnsi="Amiri" w:eastAsia="Amiri" w:cs="Amiri"/>
          <w:lang w:bidi="ar-SA"/>
          <w:color w:val="111111"/>
          <w:sz w:val="28"/>
          <w:szCs w:val="28"/>
          <w:rtl/>
        </w:rPr>
        <w:t xml:space="preserve">والثانية: مقدّمات يتوقّف الاستدلال في هذا العلم عليها. وهي قد تكون بديهيّة، وقد تكون نظريّة مثبتة في علم آخر. فالمبادئ التصديقيّة لهذا العلم طائفة من مسائل: الكلام، والعربيّة، والمنطق. ووجه توقّفه عليها ظاهر.</w:t>
      </w:r>
    </w:p>
    <w:p>
      <w:pPr>
        <w:pStyle w:val="BookText"/>
      </w:pPr>
      <w:r>
        <w:rPr>
          <w:rFonts w:ascii="Amiri" w:hAnsi="Amiri" w:eastAsia="Amiri" w:cs="Amiri"/>
          <w:lang w:bidi="ar-SA"/>
          <w:color w:val="111111"/>
          <w:sz w:val="28"/>
          <w:szCs w:val="28"/>
          <w:rtl/>
        </w:rPr>
        <w:t xml:space="preserve">وقد جرت عادة القوم بذكر بعض مسائل اللغة هنا؛ لشدّة الاحتياج في هذا العلم إليها، وتفريع بعض الفروع عليها، وهو الذي يعبّر عنه ب- «المبادئ اللغويّة». ونذكرها في هذا الباب إن شاء الله».</w:t>
      </w:r>
    </w:p>
    <w:p>
      <w:pPr>
        <w:pStyle w:val="BookText"/>
      </w:pPr>
      <w:r>
        <w:rPr>
          <w:rFonts w:ascii="IRNazanin" w:hAnsi="IRNazanin" w:eastAsia="IRNazanin" w:cs="IRNazanin"/>
          <w:lang w:bidi="fa-IR"/>
          <w:color w:val="111111"/>
          <w:sz w:val="28"/>
          <w:szCs w:val="28"/>
          <w:rtl/>
        </w:rPr>
        <w:t xml:space="preserve">وجاء في تقریرات آیةالله المجدّد الشیرازي (رحمة الله‌علیه)، ج2، ص213: «المبادئ الأحكامية، فإنّ الغرض فيها لمّا كان معرفة الحكم والحاكم والمحكوم عليه وبه وأقسام الحكم من التكليفي والوضعي بأقسامهما، وقد يتوقّف معرفة بعض الأقسام على معرفة بعض لوازمه وأحكامه».</w:t>
      </w:r>
    </w:p>
    <w:p>
      <w:pPr>
        <w:pStyle w:val="BookText"/>
      </w:pPr>
      <w:r>
        <w:rPr>
          <w:rFonts w:ascii="IRNazanin" w:hAnsi="IRNazanin" w:eastAsia="IRNazanin" w:cs="IRNazanin"/>
          <w:lang w:bidi="fa-IR"/>
          <w:color w:val="111111"/>
          <w:sz w:val="28"/>
          <w:szCs w:val="28"/>
          <w:rtl/>
        </w:rPr>
        <w:t xml:space="preserve">وقال المصنف آیة الله السیّد محمّد کاظم الطباطبائي الیزدي (رحمة الله‌علیه)</w:t>
      </w:r>
    </w:p>
    <w:p>
      <w:pPr>
        <w:pStyle w:val="BookText"/>
      </w:pPr>
      <w:r>
        <w:rPr>
          <w:rFonts w:ascii="IRNazanin" w:hAnsi="IRNazanin" w:eastAsia="IRNazanin" w:cs="IRNazanin"/>
          <w:lang w:bidi="fa-IR"/>
          <w:color w:val="111111"/>
          <w:sz w:val="28"/>
          <w:szCs w:val="28"/>
          <w:rtl/>
        </w:rPr>
        <w:t xml:space="preserve">في بیان المبادي الأحکامیّة: «المبادي الأحکاميّة الباحثة عن حال الأحکام ولوازمها».</w:t>
      </w:r>
    </w:p>
    <w:p>
      <w:pPr>
        <w:pStyle w:val="BookText"/>
      </w:pPr>
      <w:r>
        <w:rPr>
          <w:rFonts w:ascii="IRNazanin" w:hAnsi="IRNazanin" w:eastAsia="IRNazanin" w:cs="IRNazanin"/>
          <w:lang w:bidi="fa-IR"/>
          <w:color w:val="111111"/>
          <w:sz w:val="28"/>
          <w:szCs w:val="28"/>
          <w:rtl/>
        </w:rPr>
        <w:t xml:space="preserve">أو من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6784_51090"/>
    <w:bookmarkEnd w:id="17"/>
    <w:p>
      <w:pPr>
        <w:pStyle w:val="BookText"/>
      </w:pPr>
      <w:r>
        <w:rPr>
          <w:rFonts w:ascii="IRNazanin" w:hAnsi="IRNazanin" w:eastAsia="IRNazanin" w:cs="IRNazanin"/>
          <w:lang w:bidi="fa-IR"/>
          <w:color w:val="111111"/>
          <w:sz w:val="28"/>
          <w:szCs w:val="28"/>
          <w:rtl/>
        </w:rPr>
        <w:t xml:space="preserve">المسائل الکلاميّة؟</w:t>
      </w:r>
    </w:p>
    <w:p>
      <w:pPr>
        <w:pStyle w:val="BookText"/>
      </w:pPr>
      <w:r>
        <w:rPr>
          <w:rFonts w:ascii="Amiri" w:hAnsi="Amiri" w:eastAsia="Amiri" w:cs="Amiri"/>
          <w:lang w:bidi="ar-SA"/>
          <w:color w:val="111111"/>
          <w:sz w:val="28"/>
          <w:szCs w:val="28"/>
          <w:rtl/>
        </w:rPr>
        <w:t xml:space="preserve">وعلى تقدير كونها أصوليّة هل هي عقليّة محضة أو للّفظ</w:t>
      </w:r>
      <w:r>
        <w:rPr>
          <w:rStyle w:val="FootnoteReference"/>
        </w:rPr>
        <w:footnoteReference w:id="37"/>
      </w:r>
      <w:r>
        <w:rPr>
          <w:rFonts w:ascii="Amiri" w:hAnsi="Amiri" w:eastAsia="Amiri" w:cs="Amiri"/>
          <w:lang w:bidi="ar-SA"/>
          <w:color w:val="111111"/>
          <w:sz w:val="28"/>
          <w:szCs w:val="28"/>
          <w:rtl/>
        </w:rPr>
        <w:t xml:space="preserve">فيها مدخليّة؟ وجوه.</w:t>
      </w:r>
    </w:p>
    <w:p>
      <w:pPr>
        <w:pStyle w:val="Heading5"/>
      </w:pPr>
      <w:bookmarkStart w:id="343" w:name="_Toc24"/>
      <w:r>
        <w:t>[أقوال الأصولیین في وجوه المسألة]</w:t>
      </w:r>
      <w:bookmarkEnd w:id="343"/>
    </w:p>
    <w:p>
      <w:pPr>
        <w:pStyle w:val="BookText"/>
      </w:pPr>
      <w:r>
        <w:rPr>
          <w:rFonts w:ascii="IRNazanin" w:hAnsi="IRNazanin" w:eastAsia="IRNazanin" w:cs="IRNazanin"/>
          <w:lang w:bidi="fa-IR"/>
          <w:color w:val="111111"/>
          <w:sz w:val="28"/>
          <w:szCs w:val="28"/>
          <w:rtl/>
        </w:rPr>
        <w:t xml:space="preserve">فصرّح المحقّق القمي بأنّها من المسائل الکلاميّة حيث قال: «وهذه المسألة وإن كانت من المسائل الکلاميّة إلّا أنّها لمّا كانت يتفرّع عليها كثير من المسائل الفرعيّةذكرها الأصوليّون في كتبهم فنحن نقتفي آثارهم».</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وقال في المناهج: «اعلم أنّ مسألة اجتماع الوجوب والحرمة من المسائل الکلاميّة الّتي ليس</w:t>
      </w:r>
      <w:r>
        <w:rPr>
          <w:rStyle w:val="FootnoteReference"/>
        </w:rPr>
        <w:footnoteReference w:id="39"/>
      </w:r>
      <w:r>
        <w:rPr>
          <w:rFonts w:ascii="Amiri" w:hAnsi="Amiri" w:eastAsia="Amiri" w:cs="Amiri"/>
          <w:lang w:bidi="ar-SA"/>
          <w:color w:val="111111"/>
          <w:sz w:val="28"/>
          <w:szCs w:val="28"/>
          <w:rtl/>
        </w:rPr>
        <w:t xml:space="preserve">من شأن الأصولي البحث عنها».</w:t>
      </w:r>
      <w:r>
        <w:rPr>
          <w:rStyle w:val="FootnoteReference"/>
        </w:rPr>
        <w:footnoteReference w:id="40"/>
      </w:r>
    </w:p>
    <w:p>
      <w:pPr>
        <w:pStyle w:val="BookText"/>
      </w:pPr>
      <w:r>
        <w:rPr>
          <w:rFonts w:ascii="Amiri" w:hAnsi="Amiri" w:eastAsia="Amiri" w:cs="Amiri"/>
          <w:lang w:bidi="ar-SA"/>
          <w:color w:val="111111"/>
          <w:sz w:val="28"/>
          <w:szCs w:val="28"/>
          <w:rtl/>
        </w:rPr>
        <w:t xml:space="preserve">وقال في الإشارات: «ولأجاد من قال إنّها من المسائل العقلية</w:t>
      </w:r>
      <w:r>
        <w:rPr>
          <w:rStyle w:val="FootnoteReference"/>
        </w:rPr>
        <w:footnoteReference w:id="41"/>
      </w:r>
      <w:r>
        <w:rPr>
          <w:rFonts w:ascii="Amiri" w:hAnsi="Amiri" w:eastAsia="Amiri" w:cs="Amiri"/>
          <w:lang w:bidi="ar-SA"/>
          <w:color w:val="111111"/>
          <w:sz w:val="28"/>
          <w:szCs w:val="28"/>
          <w:rtl/>
        </w:rPr>
        <w:t xml:space="preserve">الکلاميّة».</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وذكر في الهداية «أنّها من المسائل المتعلّقة بالأحکام»</w:t>
      </w:r>
      <w:r>
        <w:rPr>
          <w:rStyle w:val="FootnoteReference"/>
        </w:rPr>
        <w:footnoteReference w:id="43"/>
      </w:r>
      <w:r>
        <w:rPr>
          <w:rFonts w:ascii="IRNazanin" w:hAnsi="IRNazanin" w:eastAsia="IRNazanin" w:cs="IRNazanin"/>
          <w:lang w:bidi="fa-IR"/>
          <w:color w:val="111111"/>
          <w:sz w:val="28"/>
          <w:szCs w:val="28"/>
          <w:rtl/>
        </w:rPr>
        <w:t xml:space="preserve">يعني أنّها من المبادي الأحکاميّة.</w:t>
      </w:r>
    </w:p>
    <w:p>
      <w:pPr>
        <w:pStyle w:val="BookText"/>
      </w:pPr>
      <w:r>
        <w:rPr>
          <w:rFonts w:ascii="Amiri" w:hAnsi="Amiri" w:eastAsia="Amiri" w:cs="Amiri"/>
          <w:lang w:bidi="ar-SA"/>
          <w:color w:val="111111"/>
          <w:sz w:val="28"/>
          <w:szCs w:val="28"/>
          <w:rtl/>
        </w:rPr>
        <w:t xml:space="preserve">قال: «ولذا ذكرها هناك جماعة من الأعلام».</w:t>
      </w:r>
      <w:r>
        <w:rPr>
          <w:rStyle w:val="FootnoteReference"/>
        </w:rPr>
        <w:footnoteReference w:id="44"/>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قد حكي عن الحاجبي</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وکتاب منتهى السؤل والأمل في علمي الأصول والجدل للشیخ جمال‌الدين أبي عمرو عثمان بن عمر المعروف بابن الحاجب الأشعري المالكي المتوفى سنة 646 ست وأربعين وستمائة صنّفه أوّلاً ثم اختصره وهو المشهور المتداول بمختصر المنتهى ومختصر ابن الحاجب، قال فيه: «لمّا رأيت قصور الهمم عن الإكثار وميلها إلى الإيجاز والاختصار صنّفت مختصراً في أصول الفقه ثم اختصرته على وجه بديع». راجع: کشف الظنون، ج2، ص1853.</w:t>
      </w:r>
    </w:p>
    <w:p>
      <w:pPr>
        <w:pStyle w:val="BookText"/>
      </w:pPr>
      <w:r>
        <w:rPr>
          <w:rFonts w:ascii="Amiri" w:hAnsi="Amiri" w:eastAsia="Amiri" w:cs="Amiri"/>
          <w:lang w:bidi="ar-SA"/>
          <w:color w:val="111111"/>
          <w:sz w:val="28"/>
          <w:szCs w:val="28"/>
          <w:rtl/>
        </w:rPr>
        <w:t xml:space="preserve">والعضدي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وشيخنا البهائي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(قدس‌سره) ذكرها فيها.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ويظهر من بعضهم أنّها من الأصولية العقلية وأنّ الأنسب ذكرها في الأدلّة العقلية. بل قيل: ذكرها بعضهم هناك.ويظهر من ذكر صاحب المعالم لها في مباحث النّهي</w:t>
      </w:r>
      <w:r>
        <w:rPr>
          <w:rStyle w:val="FootnoteReference"/>
        </w:rPr>
        <w:footnoteReference w:id="46"/>
      </w:r>
      <w:r>
        <w:rPr>
          <w:rFonts w:ascii="Amiri" w:hAnsi="Amiri" w:eastAsia="Amiri" w:cs="Amiri"/>
          <w:lang w:bidi="ar-SA"/>
          <w:color w:val="111111"/>
          <w:sz w:val="28"/>
          <w:szCs w:val="28"/>
          <w:rtl/>
        </w:rPr>
        <w:t xml:space="preserve">أنّها لفظية لغوية.</w:t>
      </w:r>
    </w:p>
    <w:p>
      <w:pPr>
        <w:pStyle w:val="BookText"/>
      </w:pPr>
      <w:r>
        <w:rPr>
          <w:rFonts w:ascii="Amiri" w:hAnsi="Amiri" w:eastAsia="Amiri" w:cs="Amiri"/>
          <w:lang w:bidi="ar-SA"/>
          <w:color w:val="111111"/>
          <w:sz w:val="28"/>
          <w:szCs w:val="28"/>
          <w:rtl/>
        </w:rPr>
        <w:t xml:space="preserve">وربما يستظهر كونها لفظية في الجملة بمعنى دخل اللّفظ فيها وكون النّزاع في الأعمّ من اللفظ وحكم العقل من الأردبيلي</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ولکن قال الشیخ الأنصاري (رحمة الله‌علیه) «ولعلّ موضع الاستفادة من هذا الكلام قوله: «لأنّه لم يأت بالمأمور به عرفاً، نعم العقل يجوّز الصحّة لو صرّح» وأنت خبير بما في هذه الاستفادة؛ إذ لم نجد لكلامه دلالة على المدّعى بوجه». ولتفصیل الکلام راجع: مطارح الأنظار، ج1، ص612.</w:t>
      </w:r>
    </w:p>
    <w:p>
      <w:pPr>
        <w:pStyle w:val="BookText"/>
      </w:pPr>
      <w:r>
        <w:rPr>
          <w:rFonts w:ascii="Amiri" w:hAnsi="Amiri" w:eastAsia="Amiri" w:cs="Amiri"/>
          <w:lang w:bidi="ar-SA"/>
          <w:color w:val="111111"/>
          <w:sz w:val="28"/>
          <w:szCs w:val="28"/>
          <w:rtl/>
        </w:rPr>
        <w:t xml:space="preserve">وسيّد الرّياض</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نعم في تقریرات دروس الشیخ الأنصاري (رحمة الله‌علیه): «وقد ينسب ذلك إلى فاضل الرياض أيضا، وكأنّه مسموع منه شفاهاً»، راجع مطارح الأنظار، ج1، ص612.</w:t>
      </w:r>
    </w:p>
    <w:p>
      <w:pPr>
        <w:pStyle w:val="BookText"/>
      </w:pPr>
      <w:r>
        <w:rPr>
          <w:rFonts w:ascii="IRNazanin" w:hAnsi="IRNazanin" w:eastAsia="IRNazanin" w:cs="IRNazanin"/>
          <w:lang w:bidi="fa-IR"/>
          <w:color w:val="111111"/>
          <w:sz w:val="28"/>
          <w:szCs w:val="28"/>
          <w:rtl/>
        </w:rPr>
        <w:t xml:space="preserve">وکذا جاءت هذه النسبة في تقریرات دروس آیةالله المیرزا السيّد محمّدحسن المجدّد الشیرازي (رحمة الله‌علیه)، ج3، ص6 حیث قال: «التفصيل المحكيّ فيها عن الأردبيلي (رحمة‌الله) وصاحب الرياض في رسالته المنفردة لهذه المسألة: من القول بجواز اجتماع الأمر والنهي عقلاً وعدمه عرفاً». وآیةالله المجدّد الشیرازي هو أستاذ آیةالله السیّد محمّدکاظم الطباطبائي الیزدي (رحمة الله‌علیه). ولعلّه أخذ هذا من أستاذه المجدّد الشیرازي وهو من أستاذه الشیخ مرتضى الأنصاري (رحمة الله‌علیه).</w:t>
      </w:r>
    </w:p>
    <w:p>
      <w:pPr>
        <w:pStyle w:val="BookText"/>
      </w:pPr>
      <w:r>
        <w:rPr>
          <w:rFonts w:ascii="IRNazanin" w:hAnsi="IRNazanin" w:eastAsia="IRNazanin" w:cs="IRNazanin"/>
          <w:lang w:bidi="fa-IR"/>
          <w:color w:val="111111"/>
          <w:sz w:val="28"/>
          <w:szCs w:val="28"/>
          <w:rtl/>
        </w:rPr>
        <w:t xml:space="preserve">نعم في رسالة آغا جمال‌الدین الخوانساري (رحمة الله‌علیه) ما ربما یوهم هذا التفصیل وإن لم نستفد منها هذا التفصیل.</w:t>
      </w:r>
    </w:p>
    <w:p>
      <w:pPr>
        <w:pStyle w:val="BookText"/>
      </w:pPr>
      <w:r>
        <w:rPr>
          <w:rFonts w:ascii="IRNazanin" w:hAnsi="IRNazanin" w:eastAsia="IRNazanin" w:cs="IRNazanin"/>
          <w:lang w:bidi="fa-IR"/>
          <w:color w:val="111111"/>
          <w:sz w:val="28"/>
          <w:szCs w:val="28"/>
          <w:rtl/>
        </w:rPr>
        <w:t xml:space="preserve">فإنّ فیها: «مثل الصلاة في المكان المغصوب، فإنّه لو لم تكن باطلة بدليل من خارج لكان الظاهر كونها صحيحة، ولكان يكفي في نيّتها راجحيّة أصل الصلاة، وإن كان وقوعها في ذلك المكان موجباً لعقاب ربّما كان أزيد من ثواب أصل الصلاة. وحينئذٍ فلو صام أحد يوم عاشوراء مثلاً، طالباً لثواب الصوم متقرّباً إلى الله سبحانه، فلعلّ له ذلك، ولكن يقارنه ما يبطل له ذلك الثواب ويبقى بعد كراهة. نعم، لو صام معتقداً ترتّب الثواب عليه بخصوصه وطالباً له فيكون حراماً، بل ربّما كان تشريعاً وكفراً. وبالجملة، فقد تخلّص لك بما قرّرنا أنّه يجوز في العقل أن يكون لبعض العبادات فرد تقارنه خصوصيّة تعارض ثواب تلك العبادة في ضمنه مرجوحاً، لكن لا إلى حدّ ينتهض سبباً للعقاب، ولا مجال لإنكار هذا كما لا يخفى». راجع: رسائل آغا جمال‌الدین الخوانساري، ص688 و689. وهذا وإن کان شبیهاً بکلام المحقّق الأردبیلي (رحمة الله‌علیه) من جهات ولکن یتفاوت عنه من جهات. فتأمّل.</w:t>
      </w:r>
    </w:p>
    <w:p>
      <w:pPr>
        <w:pStyle w:val="BookText"/>
      </w:pPr>
      <w:r>
        <w:rPr>
          <w:rFonts w:ascii="Amiri" w:hAnsi="Amiri" w:eastAsia="Amiri" w:cs="Amiri"/>
          <w:lang w:bidi="ar-SA"/>
          <w:color w:val="111111"/>
          <w:sz w:val="28"/>
          <w:szCs w:val="28"/>
          <w:rtl/>
        </w:rPr>
        <w:t xml:space="preserve">في الرّسالة الّتي أفردها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هذه المسألة حيث فصّلا بين العقل والعرف،</w:t>
      </w:r>
      <w:r>
        <w:rPr>
          <w:rStyle w:val="FootnoteReference"/>
        </w:rPr>
        <w:footnoteReference w:id="48"/>
      </w:r>
      <w:r>
        <w:rPr>
          <w:rFonts w:ascii="IRNazanin" w:hAnsi="IRNazanin" w:eastAsia="IRNazanin" w:cs="IRNazanin"/>
          <w:lang w:bidi="fa-IR"/>
          <w:color w:val="111111"/>
          <w:sz w:val="28"/>
          <w:szCs w:val="28"/>
          <w:rtl/>
        </w:rPr>
        <w:t xml:space="preserve">وقالا: إنّ الاجتماع جائز عقلاً لا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6784_51093"/>
    <w:bookmarkEnd w:id="18"/>
    <w:p>
      <w:pPr>
        <w:pStyle w:val="BookText"/>
      </w:pPr>
      <w:r>
        <w:rPr>
          <w:rFonts w:ascii="Amiri" w:hAnsi="Amiri" w:eastAsia="Amiri" w:cs="Amiri"/>
          <w:lang w:bidi="ar-SA"/>
          <w:color w:val="111111"/>
          <w:sz w:val="28"/>
          <w:szCs w:val="28"/>
          <w:rtl/>
        </w:rPr>
        <w:t xml:space="preserve">عرفاً.</w:t>
      </w:r>
    </w:p>
    <w:p>
      <w:pPr>
        <w:pStyle w:val="BookText"/>
      </w:pPr>
      <w:r>
        <w:rPr>
          <w:rFonts w:ascii="Amiri" w:hAnsi="Amiri" w:eastAsia="Amiri" w:cs="Amiri"/>
          <w:lang w:bidi="ar-SA"/>
          <w:color w:val="111111"/>
          <w:sz w:val="28"/>
          <w:szCs w:val="28"/>
          <w:rtl/>
        </w:rPr>
        <w:t xml:space="preserve">والحقّ أنّ لکلّ وجه صحّة</w:t>
      </w:r>
      <w:r>
        <w:rPr>
          <w:rStyle w:val="FootnoteReference"/>
        </w:rPr>
        <w:footnoteReference w:id="49"/>
      </w:r>
      <w:r>
        <w:rPr>
          <w:rFonts w:ascii="Amiri" w:hAnsi="Amiri" w:eastAsia="Amiri" w:cs="Amiri"/>
          <w:lang w:bidi="ar-SA"/>
          <w:color w:val="111111"/>
          <w:sz w:val="28"/>
          <w:szCs w:val="28"/>
          <w:rtl/>
        </w:rPr>
        <w:t xml:space="preserve">، فإنّ هذه المسألة تختلف باختلاف التّقريرات كمسألة وجوب المقدّمة وحرمة الضدّ حيث إنّهما يمكن تقريرهما أصوليّة وفرعيّة ومن المبادي.</w:t>
      </w:r>
    </w:p>
    <w:p>
      <w:pPr>
        <w:pStyle w:val="Heading4"/>
      </w:pPr>
      <w:bookmarkStart w:id="344" w:name="_Toc25"/>
      <w:r>
        <w:t>[التقریرات المختلفة من مسألة اجتماع الأمر والنهي]</w:t>
      </w:r>
      <w:bookmarkEnd w:id="344"/>
    </w:p>
    <w:p>
      <w:pPr>
        <w:pStyle w:val="Heading5"/>
      </w:pPr>
      <w:bookmarkStart w:id="345" w:name="_Toc26"/>
      <w:r>
        <w:t>[تقریر المسألة کلامیّة]</w:t>
      </w:r>
      <w:bookmarkEnd w:id="345"/>
    </w:p>
    <w:p>
      <w:pPr>
        <w:pStyle w:val="BookText"/>
      </w:pPr>
      <w:r>
        <w:rPr>
          <w:rFonts w:ascii="IRNazanin" w:hAnsi="IRNazanin" w:eastAsia="IRNazanin" w:cs="IRNazanin"/>
          <w:lang w:bidi="fa-IR"/>
          <w:color w:val="111111"/>
          <w:sz w:val="28"/>
          <w:szCs w:val="28"/>
          <w:rtl/>
        </w:rPr>
        <w:t xml:space="preserve">فهذه المسألة أیضاً يمكن تقريرها کلامية بأن يكون البحث عن جواز اجتماع الوجوب والحرمة بمعنى إمکانه عقلاً إمکانا ذاتيّاً أو وقوعيّاً وعدمه من حيث إنّه مطلب من المطالب الواقعيّة من غير نظر إلى ملاحظة استنباط الحكم</w:t>
      </w:r>
      <w:r>
        <w:rPr>
          <w:rStyle w:val="FootnoteReference"/>
        </w:rPr>
        <w:footnoteReference w:id="50"/>
      </w:r>
      <w:r>
        <w:rPr>
          <w:rFonts w:ascii="IRNazanin" w:hAnsi="IRNazanin" w:eastAsia="IRNazanin" w:cs="IRNazanin"/>
          <w:lang w:bidi="fa-IR"/>
          <w:color w:val="111111"/>
          <w:sz w:val="28"/>
          <w:szCs w:val="28"/>
          <w:rtl/>
        </w:rPr>
        <w:t xml:space="preserve">الفرعي منها ومن غير نظر إلى كونه بحثاً عن حال الوجوب والحرمة؛ فإنّ المسائل الکلاميّة هي الباحثة عن أحوال الوجود والموجود</w:t>
      </w:r>
      <w:r>
        <w:rPr>
          <w:rStyle w:val="FootnoteReference"/>
        </w:rPr>
        <w:footnoteReference w:id="51"/>
      </w:r>
      <w:r>
        <w:rPr>
          <w:rFonts w:ascii="Amiri" w:hAnsi="Amiri" w:eastAsia="Amiri" w:cs="Amiri"/>
          <w:lang w:bidi="ar-SA"/>
          <w:color w:val="111111"/>
          <w:sz w:val="28"/>
          <w:szCs w:val="28"/>
          <w:rtl/>
        </w:rPr>
        <w:t xml:space="preserve">مع الالتزام بكونه على وجه لا ينافي قواعد الشّرع.</w:t>
      </w:r>
    </w:p>
    <w:p>
      <w:pPr>
        <w:pStyle w:val="BookText"/>
      </w:pPr>
      <w:r>
        <w:rPr>
          <w:rFonts w:ascii="Amiri" w:hAnsi="Amiri" w:eastAsia="Amiri" w:cs="Amiri"/>
          <w:lang w:bidi="ar-SA"/>
          <w:color w:val="111111"/>
          <w:sz w:val="28"/>
          <w:szCs w:val="28"/>
          <w:rtl/>
        </w:rPr>
        <w:t xml:space="preserve">وإن قلنا: إنّه يعتبر فيها كونها باحثة عن أحوال المبدأ</w:t>
      </w:r>
      <w:r>
        <w:rPr>
          <w:rStyle w:val="FootnoteReference"/>
        </w:rPr>
        <w:footnoteReference w:id="52"/>
      </w:r>
      <w:r>
        <w:rPr>
          <w:rFonts w:ascii="Amiri" w:hAnsi="Amiri" w:eastAsia="Amiri" w:cs="Amiri"/>
          <w:lang w:bidi="ar-SA"/>
          <w:color w:val="111111"/>
          <w:sz w:val="28"/>
          <w:szCs w:val="28"/>
          <w:rtl/>
        </w:rPr>
        <w:t xml:space="preserve">والمعاد، نقول: يمكن أن يقال: يكفي في ذلك كون الغرض فهم حال الأوامر والنّواهي الصّادرة من الله تعالى.</w:t>
      </w:r>
    </w:p>
    <w:p>
      <w:pPr>
        <w:pStyle w:val="Heading5"/>
      </w:pPr>
      <w:bookmarkStart w:id="346" w:name="_Toc27"/>
      <w:r>
        <w:t>[تقریر المسألة على وجه المبادي الأحکامیّة]</w:t>
      </w:r>
      <w:bookmarkEnd w:id="346"/>
    </w:p>
    <w:p>
      <w:pPr>
        <w:pStyle w:val="BookText"/>
      </w:pPr>
      <w:r>
        <w:rPr>
          <w:rFonts w:ascii="IRNazanin" w:hAnsi="IRNazanin" w:eastAsia="IRNazanin" w:cs="IRNazanin"/>
          <w:lang w:bidi="fa-IR"/>
          <w:color w:val="111111"/>
          <w:sz w:val="28"/>
          <w:szCs w:val="28"/>
          <w:rtl/>
        </w:rPr>
        <w:t xml:space="preserve">ويمكن تقريرها على وجه يكون من المبادي الأحکاميّة بأن يكون البحث عن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6784_51094"/>
    <w:bookmarkEnd w:id="19"/>
    <w:p>
      <w:pPr>
        <w:pStyle w:val="BookText"/>
      </w:pPr>
      <w:r>
        <w:rPr>
          <w:rFonts w:ascii="Amiri" w:hAnsi="Amiri" w:eastAsia="Amiri" w:cs="Amiri"/>
          <w:lang w:bidi="ar-SA"/>
          <w:color w:val="111111"/>
          <w:sz w:val="28"/>
          <w:szCs w:val="28"/>
          <w:rtl/>
        </w:rPr>
        <w:t xml:space="preserve">حال الوجوب والحرمة وأنّهما هل يكونان متنافيين بحيث لا يمكن اجتماعهما فيمورد واحد ولو مع تعدّد الجهة أو لا؟ إذ على هذا التّقدير يكون بحثاً</w:t>
      </w:r>
      <w:r>
        <w:rPr>
          <w:rStyle w:val="FootnoteReference"/>
        </w:rPr>
        <w:footnoteReference w:id="53"/>
      </w:r>
      <w:r>
        <w:rPr>
          <w:rFonts w:ascii="IRNazanin" w:hAnsi="IRNazanin" w:eastAsia="IRNazanin" w:cs="IRNazanin"/>
          <w:lang w:bidi="fa-IR"/>
          <w:color w:val="111111"/>
          <w:sz w:val="28"/>
          <w:szCs w:val="28"/>
          <w:rtl/>
        </w:rPr>
        <w:t xml:space="preserve">عن لوازم الوجوب والحرمة فتدخل في المبادي الأحکاميّة الباحثة عن حال الأحکام ولوازمها.</w:t>
      </w:r>
    </w:p>
    <w:p>
      <w:pPr>
        <w:pStyle w:val="BookText"/>
      </w:pPr>
      <w:r>
        <w:rPr>
          <w:rFonts w:ascii="IRNazanin" w:hAnsi="IRNazanin" w:eastAsia="IRNazanin" w:cs="IRNazanin"/>
          <w:lang w:bidi="fa-IR"/>
          <w:color w:val="111111"/>
          <w:sz w:val="28"/>
          <w:szCs w:val="28"/>
          <w:rtl/>
        </w:rPr>
        <w:t xml:space="preserve">وظاهرهم أنّها ليست من المسائل الأصوليّة حینئذٍ بل بحث عن مقدّماتها كالبحث عن المبادي اللّغويّة فإنّها أیضاً خارجة عن المسائل الأصوليّة وإن کان يمكن إدراج کلتیهما</w:t>
      </w:r>
      <w:r>
        <w:rPr>
          <w:rStyle w:val="FootnoteReference"/>
        </w:rPr>
        <w:footnoteReference w:id="54"/>
      </w:r>
      <w:r>
        <w:rPr>
          <w:rFonts w:ascii="Amiri" w:hAnsi="Amiri" w:eastAsia="Amiri" w:cs="Amiri"/>
          <w:lang w:bidi="ar-SA"/>
          <w:color w:val="111111"/>
          <w:sz w:val="28"/>
          <w:szCs w:val="28"/>
          <w:rtl/>
        </w:rPr>
        <w:t xml:space="preserve">فيها لكن ظاهرهم خروجهما.</w:t>
      </w:r>
    </w:p>
    <w:p>
      <w:pPr>
        <w:pStyle w:val="Heading5"/>
      </w:pPr>
      <w:bookmarkStart w:id="347" w:name="_Toc28"/>
      <w:r>
        <w:t>[تقریر المسألة أصولیّة عقلیّة]</w:t>
      </w:r>
      <w:bookmarkEnd w:id="347"/>
    </w:p>
    <w:p>
      <w:pPr>
        <w:pStyle w:val="BookText"/>
      </w:pPr>
      <w:r>
        <w:rPr>
          <w:rFonts w:ascii="Amiri" w:hAnsi="Amiri" w:eastAsia="Amiri" w:cs="Amiri"/>
          <w:lang w:bidi="ar-SA"/>
          <w:color w:val="111111"/>
          <w:sz w:val="28"/>
          <w:szCs w:val="28"/>
          <w:rtl/>
        </w:rPr>
        <w:t xml:space="preserve">ويمكن تقريرها أصوليّة بأن يكون البحث عن جواز الاجتماع وعدمه من حيث إنّه ممّا يحكم به العقل ويكون</w:t>
      </w:r>
      <w:r>
        <w:rPr>
          <w:rStyle w:val="FootnoteReference"/>
        </w:rPr>
        <w:footnoteReference w:id="55"/>
      </w:r>
      <w:r>
        <w:rPr>
          <w:rFonts w:ascii="Amiri" w:hAnsi="Amiri" w:eastAsia="Amiri" w:cs="Amiri"/>
          <w:lang w:bidi="ar-SA"/>
          <w:color w:val="111111"/>
          <w:sz w:val="28"/>
          <w:szCs w:val="28"/>
          <w:rtl/>
        </w:rPr>
        <w:t xml:space="preserve">دليلاً على المسألة الفرعيّة وهي صحّة الصّلاة في الدّار الغصبيّة وعدمها؛ إذ على هذا التّقدير يكون بحثاً عن حال الدّليل الّذي هو العقل أو الحكم العقلي فيكون من المسائل الأصوليّة، سواء عرّفناها بأنّها: «العلم بالقواعد الممهّدة للاستنباط»</w:t>
      </w:r>
      <w:r>
        <w:rPr>
          <w:rStyle w:val="FootnoteReference"/>
        </w:rPr>
        <w:footnoteReference w:id="56"/>
      </w:r>
      <w:r>
        <w:rPr>
          <w:rFonts w:ascii="Amiri" w:hAnsi="Amiri" w:eastAsia="Amiri" w:cs="Amiri"/>
          <w:lang w:bidi="ar-SA"/>
          <w:color w:val="111111"/>
          <w:sz w:val="28"/>
          <w:szCs w:val="28"/>
          <w:rtl/>
        </w:rPr>
        <w:t xml:space="preserve">أو «العلم بأحوال الدّليل»</w:t>
      </w:r>
      <w:r>
        <w:rPr>
          <w:rStyle w:val="FootnoteReference"/>
        </w:rPr>
        <w:footnoteReference w:id="57"/>
      </w:r>
    </w:p>
    <w:p>
      <w:pPr>
        <w:pStyle w:val="BookText"/>
      </w:pPr>
      <w:r>
        <w:rPr>
          <w:rFonts w:ascii="Amiri" w:hAnsi="Amiri" w:eastAsia="Amiri" w:cs="Amiri"/>
          <w:lang w:bidi="ar-SA"/>
          <w:color w:val="111111"/>
          <w:sz w:val="28"/>
          <w:szCs w:val="28"/>
          <w:rtl/>
        </w:rPr>
        <w:t xml:space="preserve">أمّا على الأوّل فواضح.</w:t>
      </w:r>
    </w:p>
    <w:p>
      <w:pPr>
        <w:pStyle w:val="BookText"/>
      </w:pPr>
      <w:r>
        <w:rPr>
          <w:rFonts w:ascii="IRNazanin" w:hAnsi="IRNazanin" w:eastAsia="IRNazanin" w:cs="IRNazanin"/>
          <w:lang w:bidi="fa-IR"/>
          <w:color w:val="111111"/>
          <w:sz w:val="28"/>
          <w:szCs w:val="28"/>
          <w:rtl/>
        </w:rPr>
        <w:t xml:space="preserve">وأمّا على الثاني فلأنّه بحث عن أنّ العقل حاكم بالإمکان أو بالامتناع وهذا بحث عن حال الدّليل الّذي هو العقل بناء على أنّ الموضوع هو ذات العقل وبناء على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6784_51095"/>
    <w:bookmarkEnd w:id="20"/>
    <w:p>
      <w:pPr>
        <w:pStyle w:val="BookText"/>
      </w:pPr>
      <w:r>
        <w:rPr>
          <w:rFonts w:ascii="IRNazanin" w:hAnsi="IRNazanin" w:eastAsia="IRNazanin" w:cs="IRNazanin"/>
          <w:lang w:bidi="fa-IR"/>
          <w:color w:val="111111"/>
          <w:sz w:val="28"/>
          <w:szCs w:val="28"/>
          <w:rtl/>
        </w:rPr>
        <w:t xml:space="preserve">أنّه حكم العقل حيث يقال: إنّ الدّليل العقلي حکم عقلي يتوصّل به إلى حكم شرعي فيكون البحث عن وجوده وعدمه وهو بحث</w:t>
      </w:r>
      <w:r>
        <w:rPr>
          <w:rStyle w:val="FootnoteReference"/>
        </w:rPr>
        <w:footnoteReference w:id="58"/>
      </w:r>
      <w:r>
        <w:rPr>
          <w:rFonts w:ascii="IRNazanin" w:hAnsi="IRNazanin" w:eastAsia="IRNazanin" w:cs="IRNazanin"/>
          <w:lang w:bidi="fa-IR"/>
          <w:color w:val="111111"/>
          <w:sz w:val="28"/>
          <w:szCs w:val="28"/>
          <w:rtl/>
        </w:rPr>
        <w:t xml:space="preserve">عنه.</w:t>
      </w:r>
    </w:p>
    <w:p>
      <w:pPr>
        <w:pStyle w:val="BookText"/>
      </w:pPr>
      <w:r>
        <w:rPr>
          <w:rFonts w:ascii="Amiri" w:hAnsi="Amiri" w:eastAsia="Amiri" w:cs="Amiri"/>
          <w:lang w:bidi="ar-SA"/>
          <w:color w:val="111111"/>
          <w:sz w:val="28"/>
          <w:szCs w:val="28"/>
          <w:rtl/>
        </w:rPr>
        <w:t xml:space="preserve">فالبحث عن حال الدّليل أعمّ من أن يكون بحثاً عن حاله بعد وجوده ودليليّته كما في البحث عن تخصيص الكتاب بخبر الواحد بعد الفراغ عن حجيّتهما وكالبحث عن حكم العقل في المقام وسائر المقامات بناء على جعل الدّليل ذات العقل فإنّحكمه حال من أحواله، أو بحثاً عن حجيّته وعدم حجيّته كما في</w:t>
      </w:r>
      <w:r>
        <w:rPr>
          <w:rStyle w:val="FootnoteReference"/>
        </w:rPr>
        <w:footnoteReference w:id="59"/>
      </w:r>
      <w:r>
        <w:rPr>
          <w:rFonts w:ascii="IRNazanin" w:hAnsi="IRNazanin" w:eastAsia="IRNazanin" w:cs="IRNazanin"/>
          <w:lang w:bidi="fa-IR"/>
          <w:color w:val="111111"/>
          <w:sz w:val="28"/>
          <w:szCs w:val="28"/>
          <w:rtl/>
        </w:rPr>
        <w:t xml:space="preserve">البحث</w:t>
      </w:r>
      <w:r>
        <w:rPr>
          <w:rStyle w:val="FootnoteReference"/>
        </w:rPr>
        <w:footnoteReference w:id="60"/>
      </w:r>
      <w:r>
        <w:rPr>
          <w:rFonts w:ascii="Amiri" w:hAnsi="Amiri" w:eastAsia="Amiri" w:cs="Amiri"/>
          <w:lang w:bidi="ar-SA"/>
          <w:color w:val="111111"/>
          <w:sz w:val="28"/>
          <w:szCs w:val="28"/>
          <w:rtl/>
        </w:rPr>
        <w:t xml:space="preserve">عن حجيّة خبر الواحد، أو بحثاً عن وجوده وعدمه كالبحث عن حكم العقل في المقام بناء على كون الدّليل حكم العقل لا ذاته فإنّه راجع إلى البحث عن وجود الدّليل الّذي هو حكم العقل.</w:t>
      </w:r>
    </w:p>
    <w:p>
      <w:pPr>
        <w:pStyle w:val="Heading5"/>
      </w:pPr>
      <w:bookmarkStart w:id="348" w:name="_Toc29"/>
      <w:r>
        <w:t>[تقریر المسألة أصولیّة لفظیّة]</w:t>
      </w:r>
      <w:bookmarkEnd w:id="348"/>
    </w:p>
    <w:p>
      <w:pPr>
        <w:pStyle w:val="BookText"/>
      </w:pPr>
      <w:r>
        <w:rPr>
          <w:rFonts w:ascii="Amiri" w:hAnsi="Amiri" w:eastAsia="Amiri" w:cs="Amiri"/>
          <w:lang w:bidi="ar-SA"/>
          <w:color w:val="111111"/>
          <w:sz w:val="28"/>
          <w:szCs w:val="28"/>
          <w:rtl/>
        </w:rPr>
        <w:t xml:space="preserve">ويمكن تقريرها أصوليّة لفظيّة بأن يكون البحث عن حال الأوامر والنّواهي الواردة في الكتاب والسّنّة وأنّها دالّة على كون متعلّقاتها غير حرام أو غير واجب.</w:t>
      </w:r>
    </w:p>
    <w:p>
      <w:pPr>
        <w:pStyle w:val="BookText"/>
      </w:pPr>
      <w:r>
        <w:rPr>
          <w:rFonts w:ascii="IRNazanin" w:hAnsi="IRNazanin" w:eastAsia="IRNazanin" w:cs="IRNazanin"/>
          <w:lang w:bidi="fa-IR"/>
          <w:color w:val="111111"/>
          <w:sz w:val="28"/>
          <w:szCs w:val="28"/>
          <w:rtl/>
        </w:rPr>
        <w:t xml:space="preserve">أو</w:t>
      </w:r>
      <w:r>
        <w:rPr>
          <w:rStyle w:val="FootnoteReference"/>
        </w:rPr>
        <w:footnoteReference w:id="61"/>
      </w:r>
      <w:r>
        <w:rPr>
          <w:rFonts w:ascii="Amiri" w:hAnsi="Amiri" w:eastAsia="Amiri" w:cs="Amiri"/>
          <w:lang w:bidi="ar-SA"/>
          <w:color w:val="111111"/>
          <w:sz w:val="28"/>
          <w:szCs w:val="28"/>
          <w:rtl/>
        </w:rPr>
        <w:t xml:space="preserve">أنّ العرف هل يفهم من الأمر والنّهي المتعلّقين بموضوعين بينهما عموم من وجه التّخصيص وأنّ</w:t>
      </w:r>
      <w:r>
        <w:rPr>
          <w:rStyle w:val="FootnoteReference"/>
        </w:rPr>
        <w:footnoteReference w:id="62"/>
      </w:r>
      <w:r>
        <w:rPr>
          <w:rFonts w:ascii="IRNazanin" w:hAnsi="IRNazanin" w:eastAsia="IRNazanin" w:cs="IRNazanin"/>
          <w:lang w:bidi="fa-IR"/>
          <w:color w:val="111111"/>
          <w:sz w:val="28"/>
          <w:szCs w:val="28"/>
          <w:rtl/>
        </w:rPr>
        <w:t xml:space="preserve">الفرد الجامع خارج عن أحدهما أو لا؟</w:t>
      </w:r>
    </w:p>
    <w:p>
      <w:pPr>
        <w:pStyle w:val="BookText"/>
      </w:pPr>
      <w:r>
        <w:rPr>
          <w:rFonts w:ascii="Amiri" w:hAnsi="Amiri" w:eastAsia="Amiri" w:cs="Amiri"/>
          <w:lang w:bidi="ar-SA"/>
          <w:color w:val="111111"/>
          <w:sz w:val="28"/>
          <w:szCs w:val="28"/>
          <w:rtl/>
        </w:rPr>
        <w:t xml:space="preserve">أو أنّه هل يكون في الشّرع ما يدلّ على عدم جواز الاجتماع أو لا؟</w:t>
      </w:r>
    </w:p>
    <w:p>
      <w:pPr>
        <w:pStyle w:val="BookText"/>
      </w:pPr>
      <w:r>
        <w:rPr>
          <w:rFonts w:ascii="Amiri" w:hAnsi="Amiri" w:eastAsia="Amiri" w:cs="Amiri"/>
          <w:lang w:bidi="ar-SA"/>
          <w:color w:val="111111"/>
          <w:sz w:val="28"/>
          <w:szCs w:val="28"/>
          <w:rtl/>
        </w:rPr>
        <w:t xml:space="preserve">كأن يكون مقتضى خبر أو آية عدم جواز الاجتماع أو جوازه كما يمكن أن يدّعى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6784_51096"/>
    <w:bookmarkEnd w:id="21"/>
    <w:p>
      <w:pPr>
        <w:pStyle w:val="BookText"/>
      </w:pPr>
      <w:r>
        <w:rPr>
          <w:rFonts w:ascii="Amiri" w:hAnsi="Amiri" w:eastAsia="Amiri" w:cs="Amiri"/>
          <w:lang w:bidi="ar-SA"/>
          <w:color w:val="111111"/>
          <w:sz w:val="28"/>
          <w:szCs w:val="28"/>
          <w:rtl/>
        </w:rPr>
        <w:t xml:space="preserve">أنّ قوله: «لا يطاع الله من حيث يعصى»</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نعم ورد عن أبي بصير، قال: سألت أبا عبدالله (علیه‌السلام) عن قول الله: </w:t>
      </w:r>
      <w:r>
        <w:rPr>
          <w:rFonts w:ascii="Amiri" w:hAnsi="Amiri" w:eastAsia="Amiri" w:cs="Amiri"/>
          <w:lang w:bidi="ar-SA"/>
          <w:color w:val="111111"/>
          <w:sz w:val="28"/>
          <w:szCs w:val="28"/>
          <w:rtl/>
        </w:rPr>
        <w:t xml:space="preserve">‌اتَّقُوا الله حَقَّ تُقاتِهِ‌</w:t>
      </w:r>
      <w:r>
        <w:rPr>
          <w:rFonts w:ascii="IRNazanin" w:hAnsi="IRNazanin" w:eastAsia="IRNazanin" w:cs="IRNazanin"/>
          <w:lang w:bidi="fa-IR"/>
          <w:color w:val="111111"/>
          <w:sz w:val="28"/>
          <w:szCs w:val="28"/>
          <w:rtl/>
        </w:rPr>
        <w:t xml:space="preserve">. قال: «يطاع فلا يعصى، ويذكر فلا ينسى ويشكر فلا يكفر». راجع: کتاب الزهد، ص17، ح37.</w:t>
      </w:r>
    </w:p>
    <w:p>
      <w:pPr>
        <w:pStyle w:val="BookText"/>
      </w:pPr>
      <w:r>
        <w:rPr>
          <w:rFonts w:ascii="IRNazanin" w:hAnsi="IRNazanin" w:eastAsia="IRNazanin" w:cs="IRNazanin"/>
          <w:lang w:bidi="fa-IR"/>
          <w:color w:val="111111"/>
          <w:sz w:val="28"/>
          <w:szCs w:val="28"/>
          <w:rtl/>
        </w:rPr>
        <w:t xml:space="preserve">، دالّ على عدم الجواز الشّرعي وكذا قوله (علیه‌السلام): «لو أنّ النّاس أخذوا ما أمرهم الله [عزوجلّ]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به فأنفقوه فيما نهاهم عنه ما قبله منهم، ولو أخذوا ما نهاهم الله عنه فأنفقوه فيما أمرهم به ما قبله منهم حتّى يأخذوه من حقّ وينفقوه في حقّ».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فعلى هذه الوجوه الثّلاثة - وحاصلها كون الأمر والنّهي دالّين عرفاً على شرطيّة كون متعلّقهما غير حرام أو غير واجب أو كون اجتماعهما في مورد بحسب الظّاهروالعموم</w:t>
      </w:r>
      <w:r>
        <w:rPr>
          <w:rStyle w:val="FootnoteReference"/>
        </w:rPr>
        <w:footnoteReference w:id="64"/>
      </w:r>
      <w:r>
        <w:rPr>
          <w:rFonts w:ascii="Amiri" w:hAnsi="Amiri" w:eastAsia="Amiri" w:cs="Amiri"/>
          <w:lang w:bidi="ar-SA"/>
          <w:color w:val="111111"/>
          <w:sz w:val="28"/>
          <w:szCs w:val="28"/>
          <w:rtl/>
        </w:rPr>
        <w:t xml:space="preserve">ظاهراً</w:t>
      </w:r>
      <w:r>
        <w:rPr>
          <w:rStyle w:val="FootnoteReference"/>
        </w:rPr>
        <w:footnoteReference w:id="65"/>
      </w:r>
      <w:r>
        <w:rPr>
          <w:rFonts w:ascii="Amiri" w:hAnsi="Amiri" w:eastAsia="Amiri" w:cs="Amiri"/>
          <w:lang w:bidi="ar-SA"/>
          <w:color w:val="111111"/>
          <w:sz w:val="28"/>
          <w:szCs w:val="28"/>
          <w:rtl/>
        </w:rPr>
        <w:t xml:space="preserve">في نظر العرف في تخصيص أحدهما أو استفادة قرينة عامّة من مثل الخبرين على عدم الاجتماع - يكون البحث أصوليّاً لفظيّاً.</w:t>
      </w:r>
    </w:p>
    <w:p>
      <w:pPr>
        <w:pStyle w:val="Heading5"/>
      </w:pPr>
      <w:bookmarkStart w:id="349" w:name="_Toc30"/>
      <w:r>
        <w:t>[تقریر المسألة فرعیّة]</w:t>
      </w:r>
      <w:bookmarkEnd w:id="349"/>
    </w:p>
    <w:p>
      <w:pPr>
        <w:pStyle w:val="BookText"/>
      </w:pPr>
      <w:r>
        <w:rPr>
          <w:rFonts w:ascii="Amiri" w:hAnsi="Amiri" w:eastAsia="Amiri" w:cs="Amiri"/>
          <w:lang w:bidi="ar-SA"/>
          <w:color w:val="111111"/>
          <w:sz w:val="28"/>
          <w:szCs w:val="28"/>
          <w:rtl/>
        </w:rPr>
        <w:t xml:space="preserve">ويمكن على وجه بعيد أبعد تقريرها فرعيّة بأن يكون البحث عن حال ما تعلّق</w:t>
      </w:r>
      <w:r>
        <w:rPr>
          <w:rStyle w:val="FootnoteReference"/>
        </w:rPr>
        <w:footnoteReference w:id="66"/>
      </w:r>
      <w:r>
        <w:rPr>
          <w:rFonts w:ascii="Amiri" w:hAnsi="Amiri" w:eastAsia="Amiri" w:cs="Amiri"/>
          <w:lang w:bidi="ar-SA"/>
          <w:color w:val="111111"/>
          <w:sz w:val="28"/>
          <w:szCs w:val="28"/>
          <w:rtl/>
        </w:rPr>
        <w:t xml:space="preserve">به الأمر والنّهي بحسب العموم وأنّه صحيح أو لا؟</w:t>
      </w:r>
    </w:p>
    <w:p>
      <w:pPr>
        <w:pStyle w:val="Heading5"/>
      </w:pPr>
      <w:bookmarkStart w:id="350" w:name="_Toc31"/>
      <w:r>
        <w:t>[اختلاف حیثیة المسألة بحسب اختلاف التقریرات]</w:t>
      </w:r>
      <w:bookmarkEnd w:id="350"/>
    </w:p>
    <w:p>
      <w:pPr>
        <w:pStyle w:val="BookText"/>
      </w:pPr>
      <w:r>
        <w:rPr>
          <w:rFonts w:ascii="Amiri" w:hAnsi="Amiri" w:eastAsia="Amiri" w:cs="Amiri"/>
          <w:lang w:bidi="ar-SA"/>
          <w:color w:val="111111"/>
          <w:sz w:val="28"/>
          <w:szCs w:val="28"/>
          <w:rtl/>
        </w:rPr>
        <w:t xml:space="preserve">فتحصّل أنّ هذه المسألة يختلف حالها بحسب اختلاف التّقريرات كمسألة مقدّمة الواجب ومسألة الضدّ ومسألة حرمة التّجري إلى غير ذلك.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2" w:name="pg6784_51097"/>
    <w:bookmarkEnd w:id="22"/>
    <w:p>
      <w:pPr>
        <w:pStyle w:val="BookText"/>
      </w:pPr>
      <w:r>
        <w:rPr>
          <w:rFonts w:ascii="IRNazanin" w:hAnsi="IRNazanin" w:eastAsia="IRNazanin" w:cs="IRNazanin"/>
          <w:lang w:bidi="fa-IR"/>
          <w:color w:val="111111"/>
          <w:sz w:val="28"/>
          <w:szCs w:val="28"/>
          <w:rtl/>
        </w:rPr>
        <w:t xml:space="preserve">ولا يضرّ الاختلاف بحسب اختلاف التّقرير وحيثيّة البحث؛ لأنّه في الحقيقة ليست مسألة واحدة مختلفة الحال، بل هي على کلّ تقدير وتقرير مسألة أخرى من جهة حیثیّة البحث من</w:t>
      </w:r>
      <w:r>
        <w:rPr>
          <w:rStyle w:val="FootnoteReference"/>
        </w:rPr>
        <w:footnoteReference w:id="67"/>
      </w:r>
      <w:r>
        <w:rPr>
          <w:rFonts w:ascii="Amiri" w:hAnsi="Amiri" w:eastAsia="Amiri" w:cs="Amiri"/>
          <w:lang w:bidi="ar-SA"/>
          <w:color w:val="111111"/>
          <w:sz w:val="28"/>
          <w:szCs w:val="28"/>
          <w:rtl/>
        </w:rPr>
        <w:t xml:space="preserve">اختلاف الموضوع أو المحمول وإن كانا واحداً في النّظر</w:t>
      </w:r>
      <w:r>
        <w:rPr>
          <w:rStyle w:val="FootnoteReference"/>
        </w:rPr>
        <w:footnoteReference w:id="68"/>
      </w:r>
      <w:r>
        <w:rPr>
          <w:rFonts w:ascii="Amiri" w:hAnsi="Amiri" w:eastAsia="Amiri" w:cs="Amiri"/>
          <w:lang w:bidi="ar-SA"/>
          <w:color w:val="111111"/>
          <w:sz w:val="28"/>
          <w:szCs w:val="28"/>
          <w:rtl/>
        </w:rPr>
        <w:t xml:space="preserve">البدوي في الجميع.</w:t>
      </w:r>
    </w:p>
    <w:p>
      <w:pPr>
        <w:pStyle w:val="BookText"/>
      </w:pPr>
      <w:r>
        <w:rPr>
          <w:rFonts w:ascii="IRNazanin" w:hAnsi="IRNazanin" w:eastAsia="IRNazanin" w:cs="IRNazanin"/>
          <w:lang w:bidi="fa-IR"/>
          <w:color w:val="111111"/>
          <w:sz w:val="28"/>
          <w:szCs w:val="28"/>
          <w:rtl/>
        </w:rPr>
        <w:t xml:space="preserve">مع أنّ الاختلاف باختلاف حيثيّة البحث من حيث هو أیضاً لا بأس به مع قطع النّظر عن التحليل المذكور.</w:t>
      </w:r>
    </w:p>
    <w:p>
      <w:pPr>
        <w:pStyle w:val="BookText"/>
      </w:pPr>
      <w:r>
        <w:rPr>
          <w:rFonts w:ascii="Amiri" w:hAnsi="Amiri" w:eastAsia="Amiri" w:cs="Amiri"/>
          <w:lang w:bidi="ar-SA"/>
          <w:color w:val="111111"/>
          <w:sz w:val="28"/>
          <w:szCs w:val="28"/>
          <w:rtl/>
        </w:rPr>
        <w:t xml:space="preserve">ألا ترى أنّ مسألة مفهوم الشّرط من حيث هي من المسائل النّحوية أو البيانية وإذا لوحظ في البحث حال القضايا الواردة في الكتاب والسّنة كانت من المسائل الأصوليّة وهكذا مسألة دلالة الأمر على الوجوب وغير ذلك كمباحث العمومات والمطلقات. فتدبّر.</w:t>
      </w:r>
    </w:p>
    <w:p>
      <w:pPr>
        <w:pStyle w:val="Heading5"/>
      </w:pPr>
      <w:bookmarkStart w:id="351" w:name="_Toc32"/>
      <w:r>
        <w:t>[ما یظهر من العنوان في کلمات الأصولیین]</w:t>
      </w:r>
      <w:bookmarkEnd w:id="351"/>
    </w:p>
    <w:p>
      <w:pPr>
        <w:pStyle w:val="BookText"/>
      </w:pPr>
      <w:r>
        <w:rPr>
          <w:rFonts w:ascii="IRNazanin" w:hAnsi="IRNazanin" w:eastAsia="IRNazanin" w:cs="IRNazanin"/>
          <w:lang w:bidi="fa-IR"/>
          <w:color w:val="111111"/>
          <w:sz w:val="28"/>
          <w:szCs w:val="28"/>
          <w:rtl/>
        </w:rPr>
        <w:t xml:space="preserve">هذا، ولكن ظاهر العنوان الموجود في کلمات القوم أنّها من المسائل الأصوليةالعقلية الآن وإن كانت في الأصل من المسائل الکلاميّة على ما يظهر من کلام المحقّق القمي</w:t>
      </w:r>
      <w:r>
        <w:rPr>
          <w:rStyle w:val="FootnoteReference"/>
        </w:rPr>
        <w:footnoteReference w:id="69"/>
      </w:r>
      <w:r>
        <w:rPr>
          <w:rFonts w:ascii="IRNazanin" w:hAnsi="IRNazanin" w:eastAsia="IRNazanin" w:cs="IRNazanin"/>
          <w:lang w:bidi="fa-IR"/>
          <w:color w:val="111111"/>
          <w:sz w:val="28"/>
          <w:szCs w:val="28"/>
          <w:rtl/>
        </w:rPr>
        <w:t xml:space="preserve">وإن کان دعوى ظهور كونها من المبادي الأحکاميّة أیضاً</w:t>
      </w:r>
      <w:r>
        <w:rPr>
          <w:rStyle w:val="FootnoteReference"/>
        </w:rPr>
        <w:footnoteReference w:id="70"/>
      </w:r>
      <w:r>
        <w:rPr>
          <w:rFonts w:ascii="Amiri" w:hAnsi="Amiri" w:eastAsia="Amiri" w:cs="Amiri"/>
          <w:lang w:bidi="ar-SA"/>
          <w:color w:val="111111"/>
          <w:sz w:val="28"/>
          <w:szCs w:val="28"/>
          <w:rtl/>
        </w:rPr>
        <w:t xml:space="preserve">قريبة.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3" w:name="pg6784_51098"/>
    <w:bookmarkEnd w:id="23"/>
    <w:p>
      <w:pPr>
        <w:pStyle w:val="Heading5"/>
      </w:pPr>
      <w:bookmarkStart w:id="352" w:name="_Toc33"/>
      <w:r>
        <w:t>[القول بأنّ المسألة من المبادي الأحکامیّة لا کلامیّة ولا أصولیّة]</w:t>
      </w:r>
      <w:bookmarkEnd w:id="352"/>
    </w:p>
    <w:p>
      <w:pPr>
        <w:pStyle w:val="Heading6"/>
      </w:pPr>
      <w:bookmarkStart w:id="353" w:name="_Toc34"/>
      <w:r>
        <w:t>اشارة</w:t>
      </w:r>
      <w:bookmarkEnd w:id="353"/>
    </w:p>
    <w:p>
      <w:pPr>
        <w:pStyle w:val="BookText"/>
      </w:pPr>
      <w:r>
        <w:rPr>
          <w:rFonts w:ascii="Amiri" w:hAnsi="Amiri" w:eastAsia="Amiri" w:cs="Amiri"/>
          <w:lang w:bidi="ar-SA"/>
          <w:color w:val="111111"/>
          <w:sz w:val="28"/>
          <w:szCs w:val="28"/>
          <w:rtl/>
        </w:rPr>
        <w:t xml:space="preserve">هذا، وقد يقال</w:t>
      </w:r>
      <w:r>
        <w:rPr>
          <w:rStyle w:val="FootnoteReference"/>
        </w:rPr>
        <w:footnoteReference w:id="71"/>
      </w:r>
      <w:r>
        <w:rPr>
          <w:rFonts w:ascii="IRNazanin" w:hAnsi="IRNazanin" w:eastAsia="IRNazanin" w:cs="IRNazanin"/>
          <w:lang w:bidi="fa-IR"/>
          <w:color w:val="111111"/>
          <w:sz w:val="28"/>
          <w:szCs w:val="28"/>
          <w:rtl/>
        </w:rPr>
        <w:t xml:space="preserve">بتعيين كونها من المبادي الأحکاميّة وأنّها ليست کلاميّة ولا أصوليّة.</w:t>
      </w:r>
    </w:p>
    <w:p>
      <w:pPr>
        <w:pStyle w:val="Heading6"/>
      </w:pPr>
      <w:bookmarkStart w:id="354" w:name="_Toc35"/>
      <w:r>
        <w:t>[الدلیل الأوّل على عدم کون المسألة کلامیة]</w:t>
      </w:r>
      <w:bookmarkEnd w:id="354"/>
    </w:p>
    <w:p>
      <w:pPr>
        <w:pStyle w:val="BookText"/>
      </w:pPr>
      <w:r>
        <w:rPr>
          <w:rFonts w:ascii="IRNazanin" w:hAnsi="IRNazanin" w:eastAsia="IRNazanin" w:cs="IRNazanin"/>
          <w:lang w:bidi="fa-IR"/>
          <w:color w:val="111111"/>
          <w:sz w:val="28"/>
          <w:szCs w:val="28"/>
          <w:rtl/>
        </w:rPr>
        <w:t xml:space="preserve">أمّا أنّها ليست کلاميّة وأنّه لا وجه لما ذكره المحقّق القمي وغيره فلأنّها</w:t>
      </w:r>
      <w:r>
        <w:rPr>
          <w:rStyle w:val="FootnoteReference"/>
        </w:rPr>
        <w:footnoteReference w:id="72"/>
      </w:r>
      <w:r>
        <w:rPr>
          <w:rFonts w:ascii="IRNazanin" w:hAnsi="IRNazanin" w:eastAsia="IRNazanin" w:cs="IRNazanin"/>
          <w:lang w:bidi="fa-IR"/>
          <w:color w:val="111111"/>
          <w:sz w:val="28"/>
          <w:szCs w:val="28"/>
          <w:rtl/>
        </w:rPr>
        <w:t xml:space="preserve">إنّما تكون کلاميّة إذا كان النّظر إلى أنّ الاجتماع قبيح أو لا؟ حيث إنّها تصير حینئذٍ من التّحسين والتقبيح العقليين وليس كذلك، إذ جملة من کلماتهم ظاهرة في دعوى استحالة الاجتماع ذاتاً حيث عدّوه من التکلیف المحال بالمحال</w:t>
      </w:r>
      <w:r>
        <w:rPr>
          <w:rStyle w:val="FootnoteReference"/>
        </w:rPr>
        <w:footnoteReference w:id="73"/>
      </w:r>
      <w:r>
        <w:rPr>
          <w:rFonts w:ascii="IRNazanin" w:hAnsi="IRNazanin" w:eastAsia="IRNazanin" w:cs="IRNazanin"/>
          <w:lang w:bidi="fa-IR"/>
          <w:color w:val="111111"/>
          <w:sz w:val="28"/>
          <w:szCs w:val="28"/>
          <w:rtl/>
        </w:rPr>
        <w:t xml:space="preserve">ولا دخل لها حینئذٍ بالحسن والقبح.</w:t>
      </w:r>
    </w:p>
    <w:p>
      <w:pPr>
        <w:pStyle w:val="BookText"/>
      </w:pPr>
      <w:r>
        <w:rPr>
          <w:rFonts w:ascii="IRNazanin" w:hAnsi="IRNazanin" w:eastAsia="IRNazanin" w:cs="IRNazanin"/>
          <w:lang w:bidi="fa-IR"/>
          <w:color w:val="111111"/>
          <w:sz w:val="28"/>
          <w:szCs w:val="28"/>
          <w:rtl/>
        </w:rPr>
        <w:t xml:space="preserve">وفيه منع انحصار المسائل الکلاميّة بالتّحسين والتقبيح كما هو واضح؛ إذ أغلبها ليست كذلك مثل مسألة الصّفات من العلم والقدرة وغيرها ممّا لا يخفى.</w:t>
      </w:r>
    </w:p>
    <w:p>
      <w:pPr>
        <w:pStyle w:val="BookText"/>
      </w:pPr>
      <w:r>
        <w:rPr>
          <w:rFonts w:ascii="IRNazanin" w:hAnsi="IRNazanin" w:eastAsia="IRNazanin" w:cs="IRNazanin"/>
          <w:lang w:bidi="fa-IR"/>
          <w:color w:val="111111"/>
          <w:sz w:val="28"/>
          <w:szCs w:val="28"/>
          <w:rtl/>
        </w:rPr>
        <w:t xml:space="preserve">ولعلّ القائل يريد بذلك أنّ المسائل الکلاميّة المرتبطة بالفرعيّات لا بدّ أن تكون باحثة عن التّحسين والتقبيح، وهو أیضاً كما ترى.</w:t>
      </w:r>
    </w:p>
    <w:p>
      <w:pPr>
        <w:pStyle w:val="Heading6"/>
      </w:pPr>
      <w:bookmarkStart w:id="355" w:name="_Toc36"/>
      <w:r>
        <w:t>[الدلیل الثاني على عدم کون المسألة کلاميّة]</w:t>
      </w:r>
      <w:bookmarkEnd w:id="355"/>
    </w:p>
    <w:p>
      <w:pPr>
        <w:pStyle w:val="BookText"/>
      </w:pPr>
      <w:r>
        <w:rPr>
          <w:rFonts w:ascii="IRNazanin" w:hAnsi="IRNazanin" w:eastAsia="IRNazanin" w:cs="IRNazanin"/>
          <w:lang w:bidi="fa-IR"/>
          <w:color w:val="111111"/>
          <w:sz w:val="28"/>
          <w:szCs w:val="28"/>
          <w:rtl/>
        </w:rPr>
        <w:t xml:space="preserve">وقد يقال - في وجه عدم كونها کلاميّة -:</w:t>
      </w:r>
    </w:p>
    <w:p>
      <w:pPr>
        <w:pStyle w:val="BookText"/>
      </w:pPr>
      <w:r>
        <w:rPr>
          <w:rFonts w:ascii="IRNazanin" w:hAnsi="IRNazanin" w:eastAsia="IRNazanin" w:cs="IRNazanin"/>
          <w:lang w:bidi="fa-IR"/>
          <w:color w:val="111111"/>
          <w:sz w:val="28"/>
          <w:szCs w:val="28"/>
          <w:rtl/>
        </w:rPr>
        <w:t xml:space="preserve">إنّ الکلام ما يبحث فيه عن أحوال المبدأ</w:t>
      </w:r>
      <w:r>
        <w:rPr>
          <w:rStyle w:val="FootnoteReference"/>
        </w:rPr>
        <w:footnoteReference w:id="74"/>
      </w:r>
      <w:r>
        <w:rPr>
          <w:rFonts w:ascii="IRNazanin" w:hAnsi="IRNazanin" w:eastAsia="IRNazanin" w:cs="IRNazanin"/>
          <w:lang w:bidi="fa-IR"/>
          <w:color w:val="111111"/>
          <w:sz w:val="28"/>
          <w:szCs w:val="28"/>
          <w:rtl/>
        </w:rPr>
        <w:t xml:space="preserve">والمعاد حيث إنّها: «صناعة نظريّةيقدر معها على إثبات الصّانع وصفاته الّتي يتوصّل بها إلى إثبات النّبيّ (صلى‌الله‌علیه‌و‌آله‌وسلم)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4" w:name="pg6784_51099"/>
    <w:bookmarkEnd w:id="24"/>
    <w:p>
      <w:pPr>
        <w:pStyle w:val="BookText"/>
      </w:pPr>
      <w:r>
        <w:rPr>
          <w:rFonts w:ascii="IRNazanin" w:hAnsi="IRNazanin" w:eastAsia="IRNazanin" w:cs="IRNazanin"/>
          <w:lang w:bidi="fa-IR"/>
          <w:color w:val="111111"/>
          <w:sz w:val="28"/>
          <w:szCs w:val="28"/>
          <w:rtl/>
        </w:rPr>
        <w:t xml:space="preserve">والوصيّ (علیه‌السلام) والمعاد بما فيها من العقائد»، وظاهر أنّ المسألة لا ترجع إليها.</w:t>
      </w:r>
    </w:p>
    <w:p>
      <w:pPr>
        <w:pStyle w:val="BookText"/>
      </w:pPr>
      <w:r>
        <w:rPr>
          <w:rFonts w:ascii="IRNazanin" w:hAnsi="IRNazanin" w:eastAsia="IRNazanin" w:cs="IRNazanin"/>
          <w:lang w:bidi="fa-IR"/>
          <w:color w:val="111111"/>
          <w:sz w:val="28"/>
          <w:szCs w:val="28"/>
          <w:rtl/>
        </w:rPr>
        <w:t xml:space="preserve">نعم لو كان البحث عن صدوره عنه كان له وجه، لكنّ الظّاهر عدم رجوع النّزاع إليه كما يظهر من کلماتهم نقضاً وإبراماً ومجرّد كونها من المباحث العقلية لا يلحقها بالکلاميّة.</w:t>
      </w:r>
      <w:r>
        <w:rPr>
          <w:rStyle w:val="FootnoteReference"/>
        </w:rPr>
        <w:footnoteReference w:id="75"/>
      </w:r>
    </w:p>
    <w:p>
      <w:pPr>
        <w:pStyle w:val="Heading6"/>
      </w:pPr>
      <w:bookmarkStart w:id="356" w:name="_Toc37"/>
      <w:r>
        <w:t>[إیرادات على الدلیل الثاني]</w:t>
      </w:r>
      <w:bookmarkEnd w:id="356"/>
    </w:p>
    <w:p>
      <w:pPr>
        <w:pStyle w:val="BookText"/>
      </w:pPr>
      <w:r>
        <w:rPr>
          <w:rFonts w:ascii="IRNazanin" w:hAnsi="IRNazanin" w:eastAsia="IRNazanin" w:cs="IRNazanin"/>
          <w:lang w:bidi="fa-IR"/>
          <w:color w:val="111111"/>
          <w:sz w:val="28"/>
          <w:szCs w:val="28"/>
          <w:rtl/>
        </w:rPr>
        <w:t xml:space="preserve">وفيه: أوّلاً: إنّ الغرض من البحث تشخيص حال الأوامر والنّواهي الشرعیّة وإن كانت الکلمات مطلقة كما في غالب المباحث الأصوليّة.</w:t>
      </w:r>
    </w:p>
    <w:p>
      <w:pPr>
        <w:pStyle w:val="BookText"/>
      </w:pPr>
      <w:r>
        <w:rPr>
          <w:rFonts w:ascii="IRNazanin" w:hAnsi="IRNazanin" w:eastAsia="IRNazanin" w:cs="IRNazanin"/>
          <w:lang w:bidi="fa-IR"/>
          <w:color w:val="111111"/>
          <w:sz w:val="28"/>
          <w:szCs w:val="28"/>
          <w:rtl/>
        </w:rPr>
        <w:t xml:space="preserve">وثانياً: إنّ الکلام ما يبحث فيه عن المطالب العقلية على وجه يوافق الشّرع والمقام كذلك.</w:t>
      </w:r>
    </w:p>
    <w:p>
      <w:pPr>
        <w:pStyle w:val="BookText"/>
      </w:pPr>
      <w:r>
        <w:rPr>
          <w:rFonts w:ascii="IRNazanin" w:hAnsi="IRNazanin" w:eastAsia="IRNazanin" w:cs="IRNazanin"/>
          <w:lang w:bidi="fa-IR"/>
          <w:color w:val="111111"/>
          <w:sz w:val="28"/>
          <w:szCs w:val="28"/>
          <w:rtl/>
        </w:rPr>
        <w:t xml:space="preserve">والإنصاف أنّها أظهر في كونها کلاميّة من غالب مباحث الأمور العامّة.</w:t>
      </w:r>
    </w:p>
    <w:p>
      <w:pPr>
        <w:pStyle w:val="BookText"/>
      </w:pPr>
      <w:r>
        <w:rPr>
          <w:rFonts w:ascii="IRNazanin" w:hAnsi="IRNazanin" w:eastAsia="IRNazanin" w:cs="IRNazanin"/>
          <w:lang w:bidi="fa-IR"/>
          <w:color w:val="111111"/>
          <w:sz w:val="28"/>
          <w:szCs w:val="28"/>
          <w:rtl/>
        </w:rPr>
        <w:t xml:space="preserve">بل جملة من مباحث الجواهر والأعراض مثل مباحث الماهيّة ولواحقها ومسألة الجزء الذي لا يتجزّى وغيرها وإن کان ربما يتخيّل دخلها في العقائد الدّينيّة بوجه بعيد.</w:t>
      </w:r>
    </w:p>
    <w:p>
      <w:pPr>
        <w:pStyle w:val="BookText"/>
      </w:pPr>
      <w:r>
        <w:rPr>
          <w:rFonts w:ascii="IRNazanin" w:hAnsi="IRNazanin" w:eastAsia="IRNazanin" w:cs="IRNazanin"/>
          <w:lang w:bidi="fa-IR"/>
          <w:color w:val="111111"/>
          <w:sz w:val="28"/>
          <w:szCs w:val="28"/>
          <w:rtl/>
        </w:rPr>
        <w:t xml:space="preserve">فعلى تقدير كون الکلام ما ذكره، نقول: هذه المسألة أولى بكونها منه من تلك المسائل وعلى تقدير العدم فالأمر أوضح</w:t>
      </w:r>
      <w:r>
        <w:rPr>
          <w:rStyle w:val="FootnoteReference"/>
        </w:rPr>
        <w:footnoteReference w:id="76"/>
      </w:r>
    </w:p>
    <w:p>
      <w:pPr>
        <w:pStyle w:val="Heading6"/>
      </w:pPr>
      <w:bookmarkStart w:id="357" w:name="_Toc38"/>
      <w:r>
        <w:t>[الدلیل على عدم کون المسألة أصولیّة]</w:t>
      </w:r>
      <w:bookmarkEnd w:id="357"/>
    </w:p>
    <w:p>
      <w:pPr>
        <w:pStyle w:val="BookText"/>
      </w:pPr>
      <w:r>
        <w:rPr>
          <w:rFonts w:ascii="Amiri" w:hAnsi="Amiri" w:eastAsia="Amiri" w:cs="Amiri"/>
          <w:lang w:bidi="ar-SA"/>
          <w:color w:val="111111"/>
          <w:sz w:val="28"/>
          <w:szCs w:val="28"/>
          <w:rtl/>
        </w:rPr>
        <w:t xml:space="preserve">وأمّا أنّها ليست أصوليّة فلأنّها ما يكون باحثاً عمّا يستنبط منه الحكم الشرعي</w:t>
      </w:r>
      <w:r>
        <w:rPr>
          <w:rStyle w:val="FootnoteReference"/>
        </w:rPr>
        <w:footnoteReference w:id="77"/>
      </w:r>
      <w:r>
        <w:rPr>
          <w:rFonts w:ascii="IRNazanin" w:hAnsi="IRNazanin" w:eastAsia="IRNazanin" w:cs="IRNazanin"/>
          <w:lang w:bidi="fa-IR"/>
          <w:color w:val="111111"/>
          <w:sz w:val="28"/>
          <w:szCs w:val="28"/>
          <w:rtl/>
        </w:rPr>
        <w:t xml:space="preserve">الفرعى بلا واسطة وفي المقام وإن کان يستنبط صحّة الصّلاة وعدمها من هذه المسألة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5" w:name="pg6784_51100"/>
    <w:bookmarkEnd w:id="25"/>
    <w:p>
      <w:pPr>
        <w:pStyle w:val="BookText"/>
      </w:pPr>
      <w:r>
        <w:rPr>
          <w:rFonts w:ascii="Amiri" w:hAnsi="Amiri" w:eastAsia="Amiri" w:cs="Amiri"/>
          <w:lang w:bidi="ar-SA"/>
          <w:color w:val="111111"/>
          <w:sz w:val="28"/>
          <w:szCs w:val="28"/>
          <w:rtl/>
        </w:rPr>
        <w:t xml:space="preserve">إلّا أنّها متفرّعة على تحقّق التّعارض وعدمه بين دليلي الأمر والنّهي وهو متفرّع على جواز الاجتماع وعدمه.فالصحّة لا تتفرّع على الجواز والعدم إلّا بتوسّط فهم التعارض وعدمه.</w:t>
      </w:r>
    </w:p>
    <w:p>
      <w:pPr>
        <w:pStyle w:val="BookText"/>
      </w:pPr>
      <w:r>
        <w:rPr>
          <w:rFonts w:ascii="Amiri" w:hAnsi="Amiri" w:eastAsia="Amiri" w:cs="Amiri"/>
          <w:lang w:bidi="ar-SA"/>
          <w:color w:val="111111"/>
          <w:sz w:val="28"/>
          <w:szCs w:val="28"/>
          <w:rtl/>
        </w:rPr>
        <w:t xml:space="preserve">فهذه المسألة من مبادي المسألة</w:t>
      </w:r>
      <w:r>
        <w:rPr>
          <w:rStyle w:val="FootnoteReference"/>
        </w:rPr>
        <w:footnoteReference w:id="78"/>
      </w:r>
      <w:r>
        <w:rPr>
          <w:rFonts w:ascii="Amiri" w:hAnsi="Amiri" w:eastAsia="Amiri" w:cs="Amiri"/>
          <w:lang w:bidi="ar-SA"/>
          <w:color w:val="111111"/>
          <w:sz w:val="28"/>
          <w:szCs w:val="28"/>
          <w:rtl/>
        </w:rPr>
        <w:t xml:space="preserve">الأصوليّة الّتي هي وجود التّعارض والتّناقض بين الأدلّة وعدمه.</w:t>
      </w:r>
      <w:r>
        <w:rPr>
          <w:rStyle w:val="FootnoteReference"/>
        </w:rPr>
        <w:footnoteReference w:id="79"/>
      </w:r>
    </w:p>
    <w:p>
      <w:pPr>
        <w:pStyle w:val="Heading6"/>
      </w:pPr>
      <w:bookmarkStart w:id="358" w:name="_Toc39"/>
      <w:r>
        <w:t>[إیرادات على هذا الدلیل]</w:t>
      </w:r>
      <w:bookmarkEnd w:id="358"/>
    </w:p>
    <w:p>
      <w:pPr>
        <w:pStyle w:val="BookText"/>
      </w:pPr>
      <w:r>
        <w:rPr>
          <w:rFonts w:ascii="Amiri" w:hAnsi="Amiri" w:eastAsia="Amiri" w:cs="Amiri"/>
          <w:lang w:bidi="ar-SA"/>
          <w:color w:val="111111"/>
          <w:sz w:val="28"/>
          <w:szCs w:val="28"/>
          <w:rtl/>
        </w:rPr>
        <w:t xml:space="preserve">ويرد عليه: أوّلاً: النّقض بجملة من المباحث الأصوليّة فإنّها يتفرّع عليها الحكم الفرعي بوسط مثل مسألة جواز تخصيص الكتاب بالخبر</w:t>
      </w:r>
      <w:r>
        <w:rPr>
          <w:rStyle w:val="FootnoteReference"/>
        </w:rPr>
        <w:footnoteReference w:id="80"/>
      </w:r>
      <w:r>
        <w:rPr>
          <w:rFonts w:ascii="Amiri" w:hAnsi="Amiri" w:eastAsia="Amiri" w:cs="Amiri"/>
          <w:lang w:bidi="ar-SA"/>
          <w:color w:val="111111"/>
          <w:sz w:val="28"/>
          <w:szCs w:val="28"/>
          <w:rtl/>
        </w:rPr>
        <w:t xml:space="preserve">الواحد أو تفسيره به فإنّه يثبت به كون الخبر مثلاً</w:t>
      </w:r>
      <w:r>
        <w:rPr>
          <w:rStyle w:val="FootnoteReference"/>
        </w:rPr>
        <w:footnoteReference w:id="81"/>
      </w:r>
      <w:r>
        <w:rPr>
          <w:rFonts w:ascii="IRNazanin" w:hAnsi="IRNazanin" w:eastAsia="IRNazanin" w:cs="IRNazanin"/>
          <w:lang w:bidi="fa-IR"/>
          <w:color w:val="111111"/>
          <w:sz w:val="28"/>
          <w:szCs w:val="28"/>
          <w:rtl/>
        </w:rPr>
        <w:t xml:space="preserve">قرينة على إرادة المعنى التأویلي من الكتاب فالحكم الفرعي وهو مؤدّى المعنى التأویلي للآية متفرّع على وجود القرينة على إرادته وهو متفرّع على جواز كون الخبر مخصّصاً</w:t>
      </w:r>
      <w:r>
        <w:rPr>
          <w:rStyle w:val="FootnoteReference"/>
        </w:rPr>
        <w:footnoteReference w:id="82"/>
      </w:r>
      <w:r>
        <w:rPr>
          <w:rFonts w:ascii="Amiri" w:hAnsi="Amiri" w:eastAsia="Amiri" w:cs="Amiri"/>
          <w:lang w:bidi="ar-SA"/>
          <w:color w:val="111111"/>
          <w:sz w:val="28"/>
          <w:szCs w:val="28"/>
          <w:rtl/>
        </w:rPr>
        <w:t xml:space="preserve">أو مفسّراً.</w:t>
      </w:r>
    </w:p>
    <w:p>
      <w:pPr>
        <w:pStyle w:val="BookText"/>
      </w:pPr>
      <w:r>
        <w:rPr>
          <w:rFonts w:ascii="Amiri" w:hAnsi="Amiri" w:eastAsia="Amiri" w:cs="Amiri"/>
          <w:lang w:bidi="ar-SA"/>
          <w:color w:val="111111"/>
          <w:sz w:val="28"/>
          <w:szCs w:val="28"/>
          <w:rtl/>
        </w:rPr>
        <w:t xml:space="preserve">ومثل مسألة جواز التّرجيح بالمرجّحات الغير المنصوصة</w:t>
      </w:r>
      <w:r>
        <w:rPr>
          <w:rStyle w:val="FootnoteReference"/>
        </w:rPr>
        <w:footnoteReference w:id="83"/>
      </w:r>
      <w:r>
        <w:rPr>
          <w:rFonts w:ascii="Amiri" w:hAnsi="Amiri" w:eastAsia="Amiri" w:cs="Amiri"/>
          <w:lang w:bidi="ar-SA"/>
          <w:color w:val="111111"/>
          <w:sz w:val="28"/>
          <w:szCs w:val="28"/>
          <w:rtl/>
        </w:rPr>
        <w:t xml:space="preserve">مثل الشّهرة الفتوائية فإنّه يتفرّع عليها كون الخبر الموافق لها أرجح ويتفرّع على الأخذ به تعيّن مدلوله وكذا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6784_51101"/>
    <w:bookmarkEnd w:id="26"/>
    <w:p>
      <w:pPr>
        <w:pStyle w:val="BookText"/>
      </w:pPr>
      <w:r>
        <w:rPr>
          <w:rFonts w:ascii="Amiri" w:hAnsi="Amiri" w:eastAsia="Amiri" w:cs="Amiri"/>
          <w:lang w:bidi="ar-SA"/>
          <w:color w:val="111111"/>
          <w:sz w:val="28"/>
          <w:szCs w:val="28"/>
          <w:rtl/>
        </w:rPr>
        <w:t xml:space="preserve">مسألة وجوب الترجيح ومسألة كون الحكم عند التّعادل التخيير دون التوقّف والتساقط وهكذا مسألة حجية خبر الواحد فإنّه يتفرّع عليها كون الخبر الفلاني دليلاً</w:t>
      </w:r>
      <w:r>
        <w:rPr>
          <w:rStyle w:val="FootnoteReference"/>
        </w:rPr>
        <w:footnoteReference w:id="84"/>
      </w:r>
      <w:r>
        <w:rPr>
          <w:rFonts w:ascii="Amiri" w:hAnsi="Amiri" w:eastAsia="Amiri" w:cs="Amiri"/>
          <w:lang w:bidi="ar-SA"/>
          <w:color w:val="111111"/>
          <w:sz w:val="28"/>
          <w:szCs w:val="28"/>
          <w:rtl/>
        </w:rPr>
        <w:t xml:space="preserve">على الحكم إلى غير ذلك.</w:t>
      </w:r>
    </w:p>
    <w:p>
      <w:pPr>
        <w:pStyle w:val="BookText"/>
      </w:pPr>
      <w:r>
        <w:rPr>
          <w:rFonts w:ascii="Amiri" w:hAnsi="Amiri" w:eastAsia="Amiri" w:cs="Amiri"/>
          <w:lang w:bidi="ar-SA"/>
          <w:color w:val="111111"/>
          <w:sz w:val="28"/>
          <w:szCs w:val="28"/>
          <w:rtl/>
        </w:rPr>
        <w:t xml:space="preserve">وثانياً: بالمنع وأنّ الأصوليّة أعمّ</w:t>
      </w:r>
      <w:r>
        <w:rPr>
          <w:rStyle w:val="FootnoteReference"/>
        </w:rPr>
        <w:footnoteReference w:id="85"/>
      </w:r>
      <w:r>
        <w:rPr>
          <w:rFonts w:ascii="Amiri" w:hAnsi="Amiri" w:eastAsia="Amiri" w:cs="Amiri"/>
          <w:lang w:bidi="ar-SA"/>
          <w:color w:val="111111"/>
          <w:sz w:val="28"/>
          <w:szCs w:val="28"/>
          <w:rtl/>
        </w:rPr>
        <w:t xml:space="preserve">ممّا يتفرّع عليه الحكم بوسط أو بلا وسط.وثالثاً: أنّ التّعارض وعدمه أمر انتزاعي وإلّا ففي الحقيقة الصحّة والفساد متفرّعان</w:t>
      </w:r>
      <w:r>
        <w:rPr>
          <w:rStyle w:val="FootnoteReference"/>
        </w:rPr>
        <w:footnoteReference w:id="86"/>
      </w:r>
      <w:r>
        <w:rPr>
          <w:rFonts w:ascii="IRNazanin" w:hAnsi="IRNazanin" w:eastAsia="IRNazanin" w:cs="IRNazanin"/>
          <w:lang w:bidi="fa-IR"/>
          <w:color w:val="111111"/>
          <w:sz w:val="28"/>
          <w:szCs w:val="28"/>
          <w:rtl/>
        </w:rPr>
        <w:t xml:space="preserve">على جواز الاجتماع وعدمه.</w:t>
      </w:r>
    </w:p>
    <w:p>
      <w:pPr>
        <w:pStyle w:val="BookText"/>
      </w:pPr>
      <w:r>
        <w:rPr>
          <w:rFonts w:ascii="Amiri" w:hAnsi="Amiri" w:eastAsia="Amiri" w:cs="Amiri"/>
          <w:lang w:bidi="ar-SA"/>
          <w:color w:val="111111"/>
          <w:sz w:val="28"/>
          <w:szCs w:val="28"/>
          <w:rtl/>
        </w:rPr>
        <w:t xml:space="preserve">بل التّعارض عبارة أخرى عن عدم جواز الاجتماع؛ إذ هو بمعنى التّنافي بين الأمر والنّهي وهو عين التّعارض.</w:t>
      </w:r>
    </w:p>
    <w:p>
      <w:pPr>
        <w:pStyle w:val="BookText"/>
      </w:pPr>
      <w:r>
        <w:rPr>
          <w:rFonts w:ascii="Amiri" w:hAnsi="Amiri" w:eastAsia="Amiri" w:cs="Amiri"/>
          <w:lang w:bidi="ar-SA"/>
          <w:color w:val="111111"/>
          <w:sz w:val="28"/>
          <w:szCs w:val="28"/>
          <w:rtl/>
        </w:rPr>
        <w:t xml:space="preserve">إلّا أن يقال: إنّ التّعارض العرفي متفرّع على ثبوت التّنافي العقلي والفساد متفرّع على التّعارض العرفي.</w:t>
      </w:r>
    </w:p>
    <w:p>
      <w:pPr>
        <w:pStyle w:val="BookText"/>
      </w:pPr>
      <w:r>
        <w:rPr>
          <w:rFonts w:ascii="Amiri" w:hAnsi="Amiri" w:eastAsia="Amiri" w:cs="Amiri"/>
          <w:lang w:bidi="ar-SA"/>
          <w:color w:val="111111"/>
          <w:sz w:val="28"/>
          <w:szCs w:val="28"/>
          <w:rtl/>
        </w:rPr>
        <w:t xml:space="preserve">وفيه: منع ذلك بل التّنافي العقلي كافٍ في التّخصيص من غير حاجة إلى التّعارض العُرفي.</w:t>
      </w:r>
    </w:p>
    <w:p>
      <w:pPr>
        <w:pStyle w:val="BookText"/>
      </w:pPr>
      <w:r>
        <w:rPr>
          <w:rFonts w:ascii="Amiri" w:hAnsi="Amiri" w:eastAsia="Amiri" w:cs="Amiri"/>
          <w:lang w:bidi="ar-SA"/>
          <w:color w:val="111111"/>
          <w:sz w:val="28"/>
          <w:szCs w:val="28"/>
          <w:rtl/>
        </w:rPr>
        <w:t xml:space="preserve">بل لا يتحقّق التّعارض العرفي بمجرّد المنافاة</w:t>
      </w:r>
      <w:r>
        <w:rPr>
          <w:rStyle w:val="FootnoteReference"/>
        </w:rPr>
        <w:footnoteReference w:id="87"/>
      </w:r>
      <w:r>
        <w:rPr>
          <w:rFonts w:ascii="Amiri" w:hAnsi="Amiri" w:eastAsia="Amiri" w:cs="Amiri"/>
          <w:lang w:bidi="ar-SA"/>
          <w:color w:val="111111"/>
          <w:sz w:val="28"/>
          <w:szCs w:val="28"/>
          <w:rtl/>
        </w:rPr>
        <w:t xml:space="preserve">العقلية كما في سائر القرائن العقلية فإنّها بنفسها قرينة من غير توسيط</w:t>
      </w:r>
      <w:r>
        <w:rPr>
          <w:rStyle w:val="FootnoteReference"/>
        </w:rPr>
        <w:footnoteReference w:id="88"/>
      </w:r>
      <w:r>
        <w:rPr>
          <w:rFonts w:ascii="Amiri" w:hAnsi="Amiri" w:eastAsia="Amiri" w:cs="Amiri"/>
          <w:lang w:bidi="ar-SA"/>
          <w:color w:val="111111"/>
          <w:sz w:val="28"/>
          <w:szCs w:val="28"/>
          <w:rtl/>
        </w:rPr>
        <w:t xml:space="preserve">العرف في ذلك.</w:t>
      </w:r>
    </w:p>
    <w:p>
      <w:pPr>
        <w:pStyle w:val="Heading6"/>
      </w:pPr>
      <w:bookmarkStart w:id="359" w:name="_Toc40"/>
      <w:r>
        <w:t>[دلیل المحقّق الأنصاري (رحمة الله‌علیه) على عدم کون مسألة الاجتماع من المسائل الأصولية اللفظیّة]</w:t>
      </w:r>
      <w:bookmarkEnd w:id="359"/>
    </w:p>
    <w:p>
      <w:pPr>
        <w:pStyle w:val="BookText"/>
      </w:pPr>
      <w:r>
        <w:rPr>
          <w:rFonts w:ascii="Amiri" w:hAnsi="Amiri" w:eastAsia="Amiri" w:cs="Amiri"/>
          <w:lang w:bidi="ar-SA"/>
          <w:color w:val="111111"/>
          <w:sz w:val="28"/>
          <w:szCs w:val="28"/>
          <w:rtl/>
        </w:rPr>
        <w:t xml:space="preserve">وقد يقال: بعدم معقوليّة كون المسألة من الأصوليّة اللّفظيّة على حذو ما ذكره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بحث المقدّمة وأنّ كون البحث في المقامين</w:t>
      </w:r>
      <w:r>
        <w:rPr>
          <w:rStyle w:val="FootnoteReference"/>
        </w:rPr>
        <w:footnoteReference w:id="89"/>
      </w:r>
      <w:r>
        <w:rPr>
          <w:rFonts w:ascii="Amiri" w:hAnsi="Amiri" w:eastAsia="Amiri" w:cs="Amiri"/>
          <w:lang w:bidi="ar-SA"/>
          <w:color w:val="111111"/>
          <w:sz w:val="28"/>
          <w:szCs w:val="28"/>
          <w:rtl/>
        </w:rPr>
        <w:t xml:space="preserve">وكذا</w:t>
      </w:r>
      <w:r>
        <w:rPr>
          <w:rStyle w:val="FootnoteReference"/>
        </w:rPr>
        <w:footnoteReference w:id="90"/>
      </w:r>
      <w:r>
        <w:rPr>
          <w:rFonts w:ascii="Amiri" w:hAnsi="Amiri" w:eastAsia="Amiri" w:cs="Amiri"/>
          <w:lang w:bidi="ar-SA"/>
          <w:color w:val="111111"/>
          <w:sz w:val="28"/>
          <w:szCs w:val="28"/>
          <w:rtl/>
        </w:rPr>
        <w:t xml:space="preserve">بحث الضدّ لفظيّاً في غاية الضّعف.</w:t>
      </w:r>
    </w:p>
    <w:p>
      <w:pPr>
        <w:pStyle w:val="BookText"/>
      </w:pPr>
      <w:r>
        <w:rPr>
          <w:rFonts w:ascii="Amiri" w:hAnsi="Amiri" w:eastAsia="Amiri" w:cs="Amiri"/>
          <w:lang w:bidi="ar-SA"/>
          <w:color w:val="111111"/>
          <w:sz w:val="28"/>
          <w:szCs w:val="28"/>
          <w:rtl/>
        </w:rPr>
        <w:t xml:space="preserve">وحاصل ما ذكره في وجه ذلك في بحث المقدّمة: «أنّ المتعارف في الأبحاث اللغويّة هو تسليم المتخاصّمين لوجود المعنى المتنازع في وضع اللّفظ بإزائه وعدمه.</w:t>
      </w:r>
    </w:p>
    <w:p>
      <w:pPr>
        <w:pStyle w:val="BookText"/>
      </w:pPr>
      <w:r>
        <w:rPr>
          <w:rFonts w:ascii="Amiri" w:hAnsi="Amiri" w:eastAsia="Amiri" w:cs="Amiri"/>
          <w:lang w:bidi="ar-SA"/>
          <w:color w:val="111111"/>
          <w:sz w:val="28"/>
          <w:szCs w:val="28"/>
          <w:rtl/>
        </w:rPr>
        <w:t xml:space="preserve">وإنّما النّزاع بينهما في ثبوت العلقة الوضعيّة الجعليّة بين ذلك المعنى المعقول وبين اللّفظ، كما في نزاعهم في أنّ الأمر للوجوب أو للنّدب؟ فإنّ الطّلب المتأكّد الّذي هو الوجوب وغير المتأكّد الّذي هو الاستحباب معنيان معقولان من حيث هما موجودان في الخارج وإنّما النّزاع في أنّ لفظ الأمر دالّ على هذا أو ذاك؟ومثل نزاعهم في أنّ الشّرط له مفهوم أو لا؟ فإنّ تعليق العدم على العدم من المعاني الموجودة في الخارج وإنّما النّزاع في أنّ القضيّة الشّرطيّة هل تدلّ</w:t>
      </w:r>
      <w:r>
        <w:rPr>
          <w:rStyle w:val="FootnoteReference"/>
        </w:rPr>
        <w:footnoteReference w:id="91"/>
      </w:r>
      <w:r>
        <w:rPr>
          <w:rFonts w:ascii="IRNazanin" w:hAnsi="IRNazanin" w:eastAsia="IRNazanin" w:cs="IRNazanin"/>
          <w:lang w:bidi="fa-IR"/>
          <w:color w:val="111111"/>
          <w:sz w:val="28"/>
          <w:szCs w:val="28"/>
          <w:rtl/>
        </w:rPr>
        <w:t xml:space="preserve">على تعليق الوجود على الوجود فقط أو تدلّ على تعليق العدم على العدم أیضاً؟</w:t>
      </w:r>
    </w:p>
    <w:p>
      <w:pPr>
        <w:pStyle w:val="BookText"/>
      </w:pPr>
      <w:r>
        <w:rPr>
          <w:rFonts w:ascii="IRNazanin" w:hAnsi="IRNazanin" w:eastAsia="IRNazanin" w:cs="IRNazanin"/>
          <w:lang w:bidi="fa-IR"/>
          <w:color w:val="111111"/>
          <w:sz w:val="28"/>
          <w:szCs w:val="28"/>
          <w:rtl/>
        </w:rPr>
        <w:t xml:space="preserve">وهكذا في سائر الموارد فاللّازم كون المعنى المشكوك في دلالة اللّفظ عليه من المعاني المتحقّقة في الخارج المعقولة في حدّ نفسه وكان النّزاع في دلالة اللّفظ عليه وعدمه وفي المقامات المذكورة النّزاع والإشکال في أصل تحقّق</w:t>
      </w:r>
      <w:r>
        <w:rPr>
          <w:rStyle w:val="FootnoteReference"/>
        </w:rPr>
        <w:footnoteReference w:id="92"/>
      </w:r>
      <w:r>
        <w:rPr>
          <w:rFonts w:ascii="Amiri" w:hAnsi="Amiri" w:eastAsia="Amiri" w:cs="Amiri"/>
          <w:lang w:bidi="ar-SA"/>
          <w:color w:val="111111"/>
          <w:sz w:val="28"/>
          <w:szCs w:val="28"/>
          <w:rtl/>
        </w:rPr>
        <w:t xml:space="preserve">المعنى في الخارج.</w:t>
      </w:r>
    </w:p>
    <w:p>
      <w:pPr>
        <w:pStyle w:val="BookText"/>
      </w:pPr>
      <w:r>
        <w:rPr>
          <w:rFonts w:ascii="Amiri" w:hAnsi="Amiri" w:eastAsia="Amiri" w:cs="Amiri"/>
          <w:lang w:bidi="ar-SA"/>
          <w:color w:val="111111"/>
          <w:sz w:val="28"/>
          <w:szCs w:val="28"/>
          <w:rtl/>
        </w:rPr>
        <w:t xml:space="preserve">مثلاً في بحث المقدّمة، النّزاع في ثبوت الملازمة العقلية وعدمها بين وجوب ذي المقدّمة ووجوبها لا في وضع اللّفظ لها بعد ثبوتها، فالقائل بالإثبات يدّعي الثّبوت والقائل بالعدم يدّعي عدم الثّبوت وليس الوجوب في الواقع تارة على وجه يحكم العقل بثبوت الملازمة وتارة على وجه لا يحكم فيكون النّزاع في أنّ اللّفظ موضوع لأيّ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الوجوبين؟</w:t>
      </w:r>
    </w:p>
    <w:p>
      <w:pPr>
        <w:pStyle w:val="BookText"/>
      </w:pPr>
      <w:r>
        <w:rPr>
          <w:rFonts w:ascii="Amiri" w:hAnsi="Amiri" w:eastAsia="Amiri" w:cs="Amiri"/>
          <w:lang w:bidi="ar-SA"/>
          <w:color w:val="111111"/>
          <w:sz w:val="28"/>
          <w:szCs w:val="28"/>
          <w:rtl/>
        </w:rPr>
        <w:t xml:space="preserve">وكذا في بحث الضدّ النّزاع في تحقّق الملازمة بين وجوب الشّي‌ء وحرمة ضدّه.</w:t>
      </w:r>
    </w:p>
    <w:p>
      <w:pPr>
        <w:pStyle w:val="BookText"/>
      </w:pPr>
      <w:r>
        <w:rPr>
          <w:rFonts w:ascii="Amiri" w:hAnsi="Amiri" w:eastAsia="Amiri" w:cs="Amiri"/>
          <w:lang w:bidi="ar-SA"/>
          <w:color w:val="111111"/>
          <w:sz w:val="28"/>
          <w:szCs w:val="28"/>
          <w:rtl/>
        </w:rPr>
        <w:t xml:space="preserve">وفي المقام النّزاع في ثبوت المضادّة والمنافاة العقلية بين الوجوب والحرمة بحيث لا يمكن اجتماعهما في مورد واحد ولو مع تعدّد الجهة وليس الوجوب والحرمة تارة على وجه يكون بينهما مضادّة وتارة على وجه لا يكون حتّى يكون النزاع في أنّ لفظ الأمر والنّهي أو الوجوب والحرمة موضوع لأيّ القسمين؟ مثلاً.</w:t>
      </w:r>
    </w:p>
    <w:p>
      <w:pPr>
        <w:pStyle w:val="BookText"/>
      </w:pPr>
      <w:r>
        <w:rPr>
          <w:rFonts w:ascii="IRNazanin" w:hAnsi="IRNazanin" w:eastAsia="IRNazanin" w:cs="IRNazanin"/>
          <w:lang w:bidi="fa-IR"/>
          <w:color w:val="111111"/>
          <w:sz w:val="28"/>
          <w:szCs w:val="28"/>
          <w:rtl/>
        </w:rPr>
        <w:t xml:space="preserve">نعم على القول بتحقّق الملازمة بين الوجوبين عقلاً في بحث المقدّمة أو بين الوجوب وحرمة الضدّ في بحث الضدّ، أو تحقّق المنافاة العقلیة بین الوجوب والحرمة في المقام تكون</w:t>
      </w:r>
      <w:r>
        <w:rPr>
          <w:rStyle w:val="FootnoteReference"/>
        </w:rPr>
        <w:footnoteReference w:id="93"/>
      </w:r>
      <w:r>
        <w:rPr>
          <w:rFonts w:ascii="Amiri" w:hAnsi="Amiri" w:eastAsia="Amiri" w:cs="Amiri"/>
          <w:lang w:bidi="ar-SA"/>
          <w:color w:val="111111"/>
          <w:sz w:val="28"/>
          <w:szCs w:val="28"/>
          <w:rtl/>
        </w:rPr>
        <w:t xml:space="preserve">الملازمة أو المنافاة من المداليل الالتزاميّة للّفظ</w:t>
      </w:r>
      <w:r>
        <w:rPr>
          <w:rStyle w:val="FootnoteReference"/>
        </w:rPr>
        <w:footnoteReference w:id="94"/>
      </w:r>
      <w:r>
        <w:rPr>
          <w:rFonts w:ascii="IRNazanin" w:hAnsi="IRNazanin" w:eastAsia="IRNazanin" w:cs="IRNazanin"/>
          <w:lang w:bidi="fa-IR"/>
          <w:color w:val="111111"/>
          <w:sz w:val="28"/>
          <w:szCs w:val="28"/>
          <w:rtl/>
        </w:rPr>
        <w:t xml:space="preserve">إذا قلنا بأنّهما</w:t>
      </w:r>
      <w:r>
        <w:rPr>
          <w:rStyle w:val="FootnoteReference"/>
        </w:rPr>
        <w:footnoteReference w:id="95"/>
      </w:r>
      <w:r>
        <w:rPr>
          <w:rFonts w:ascii="Amiri" w:hAnsi="Amiri" w:eastAsia="Amiri" w:cs="Amiri"/>
          <w:lang w:bidi="ar-SA"/>
          <w:color w:val="111111"/>
          <w:sz w:val="28"/>
          <w:szCs w:val="28"/>
          <w:rtl/>
        </w:rPr>
        <w:t xml:space="preserve">مناللّوازم الّتي لا يحتاج التّصديق بها إلى وسط في الإثبات ومجرّد ذلك لا ينهض وجهاً لدخولها في مباحث الألفاظ.</w:t>
      </w:r>
    </w:p>
    <w:p>
      <w:pPr>
        <w:pStyle w:val="BookText"/>
      </w:pPr>
      <w:r>
        <w:rPr>
          <w:rFonts w:ascii="Amiri" w:hAnsi="Amiri" w:eastAsia="Amiri" w:cs="Amiri"/>
          <w:lang w:bidi="ar-SA"/>
          <w:color w:val="111111"/>
          <w:sz w:val="28"/>
          <w:szCs w:val="28"/>
          <w:rtl/>
        </w:rPr>
        <w:t xml:space="preserve">ومن ذلك ظهر أنّه لا وجه لاستدلال صاحب المعالم على عدم وجوب المقدّمة في بحثها بانتفاء الدّلالات الثّلاث.</w:t>
      </w:r>
      <w:r>
        <w:rPr>
          <w:rStyle w:val="FootnoteReference"/>
        </w:rPr>
        <w:footnoteReference w:id="96"/>
      </w:r>
    </w:p>
    <w:p>
      <w:pPr>
        <w:pStyle w:val="BookText"/>
      </w:pPr>
      <w:r>
        <w:rPr>
          <w:rFonts w:ascii="Amiri" w:hAnsi="Amiri" w:eastAsia="Amiri" w:cs="Amiri"/>
          <w:lang w:bidi="ar-SA"/>
          <w:color w:val="111111"/>
          <w:sz w:val="28"/>
          <w:szCs w:val="28"/>
          <w:rtl/>
        </w:rPr>
        <w:t xml:space="preserve">وكذا لا وجه لجواب بعض المحقّقين</w:t>
      </w:r>
      <w:r>
        <w:rPr>
          <w:rStyle w:val="FootnoteReference"/>
        </w:rPr>
        <w:footnoteReference w:id="97"/>
      </w:r>
      <w:r>
        <w:rPr>
          <w:rFonts w:ascii="Amiri" w:hAnsi="Amiri" w:eastAsia="Amiri" w:cs="Amiri"/>
          <w:lang w:bidi="ar-SA"/>
          <w:color w:val="111111"/>
          <w:sz w:val="28"/>
          <w:szCs w:val="28"/>
          <w:rtl/>
        </w:rPr>
        <w:t xml:space="preserve">عنه بأنّ عدم الدّلالة بواسطة القرينة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7" w:name="pg6784_51104"/>
    <w:bookmarkEnd w:id="27"/>
    <w:p>
      <w:pPr>
        <w:pStyle w:val="BookText"/>
      </w:pPr>
      <w:r>
        <w:rPr>
          <w:rFonts w:ascii="Amiri" w:hAnsi="Amiri" w:eastAsia="Amiri" w:cs="Amiri"/>
          <w:lang w:bidi="ar-SA"/>
          <w:color w:val="111111"/>
          <w:sz w:val="28"/>
          <w:szCs w:val="28"/>
          <w:rtl/>
        </w:rPr>
        <w:t xml:space="preserve">لاينافي ثبوت الوضع إلى غير ذلك ممّا ينبئ عن كون</w:t>
      </w:r>
      <w:r>
        <w:rPr>
          <w:rStyle w:val="FootnoteReference"/>
        </w:rPr>
        <w:footnoteReference w:id="98"/>
      </w:r>
      <w:r>
        <w:rPr>
          <w:rFonts w:ascii="Amiri" w:hAnsi="Amiri" w:eastAsia="Amiri" w:cs="Amiri"/>
          <w:lang w:bidi="ar-SA"/>
          <w:color w:val="111111"/>
          <w:sz w:val="28"/>
          <w:szCs w:val="28"/>
          <w:rtl/>
        </w:rPr>
        <w:t xml:space="preserve">البحث لغويّاً لفظيّاً؛ لما عرفت من عدم معقوليّة ذلك بعد كون النّزاع في أصل المعقوليّة والتّحقّق في الخارج والبحث اللّغوي</w:t>
      </w:r>
      <w:r>
        <w:rPr>
          <w:rStyle w:val="FootnoteReference"/>
        </w:rPr>
        <w:footnoteReference w:id="99"/>
      </w:r>
      <w:r>
        <w:rPr>
          <w:rFonts w:ascii="Amiri" w:hAnsi="Amiri" w:eastAsia="Amiri" w:cs="Amiri"/>
          <w:lang w:bidi="ar-SA"/>
          <w:color w:val="111111"/>
          <w:sz w:val="28"/>
          <w:szCs w:val="28"/>
          <w:rtl/>
        </w:rPr>
        <w:t xml:space="preserve">فرع كون المعنى موجوداً متحقّقاً».</w:t>
      </w:r>
      <w:r>
        <w:rPr>
          <w:rStyle w:val="FootnoteReference"/>
        </w:rPr>
        <w:footnoteReference w:id="100"/>
      </w:r>
    </w:p>
    <w:p>
      <w:pPr>
        <w:pStyle w:val="Heading6"/>
      </w:pPr>
      <w:bookmarkStart w:id="360" w:name="_Toc41"/>
      <w:r>
        <w:t>[نقد کلام المحقّق الأنصاري (رحمة الله‌علیه)]</w:t>
      </w:r>
      <w:bookmarkEnd w:id="360"/>
    </w:p>
    <w:p>
      <w:pPr>
        <w:pStyle w:val="BookText"/>
      </w:pPr>
      <w:r>
        <w:rPr>
          <w:rFonts w:ascii="Amiri" w:hAnsi="Amiri" w:eastAsia="Amiri" w:cs="Amiri"/>
          <w:lang w:bidi="ar-SA"/>
          <w:color w:val="111111"/>
          <w:sz w:val="28"/>
          <w:szCs w:val="28"/>
          <w:rtl/>
        </w:rPr>
        <w:t xml:space="preserve">أقول: ليس مراد من يجعل البحث لفظيّاً أنّ اللّفظ يدلّ على الملازمة العقلية أو المنافاة العقلي حتّى يقال</w:t>
      </w:r>
      <w:r>
        <w:rPr>
          <w:rStyle w:val="FootnoteReference"/>
        </w:rPr>
        <w:footnoteReference w:id="101"/>
      </w:r>
      <w:r>
        <w:rPr>
          <w:rFonts w:ascii="Amiri" w:hAnsi="Amiri" w:eastAsia="Amiri" w:cs="Amiri"/>
          <w:lang w:bidi="ar-SA"/>
          <w:color w:val="111111"/>
          <w:sz w:val="28"/>
          <w:szCs w:val="28"/>
          <w:rtl/>
        </w:rPr>
        <w:t xml:space="preserve">: إنّه لا يعقل مع عدم تحقّق الملازمة</w:t>
      </w:r>
      <w:r>
        <w:rPr>
          <w:rStyle w:val="FootnoteReference"/>
        </w:rPr>
        <w:footnoteReference w:id="102"/>
      </w:r>
      <w:r>
        <w:rPr>
          <w:rFonts w:ascii="IRNazanin" w:hAnsi="IRNazanin" w:eastAsia="IRNazanin" w:cs="IRNazanin"/>
          <w:lang w:bidi="fa-IR"/>
          <w:color w:val="111111"/>
          <w:sz w:val="28"/>
          <w:szCs w:val="28"/>
          <w:rtl/>
        </w:rPr>
        <w:t xml:space="preserve">أو تحقّق عدمها.</w:t>
      </w:r>
    </w:p>
    <w:p>
      <w:pPr>
        <w:pStyle w:val="BookText"/>
      </w:pPr>
      <w:r>
        <w:rPr>
          <w:rFonts w:ascii="Amiri" w:hAnsi="Amiri" w:eastAsia="Amiri" w:cs="Amiri"/>
          <w:lang w:bidi="ar-SA"/>
          <w:color w:val="111111"/>
          <w:sz w:val="28"/>
          <w:szCs w:val="28"/>
          <w:rtl/>
        </w:rPr>
        <w:t xml:space="preserve">بل مراده ثبوت الملازمة الجعليّة أو المنافاة</w:t>
      </w:r>
      <w:r>
        <w:rPr>
          <w:rStyle w:val="FootnoteReference"/>
        </w:rPr>
        <w:footnoteReference w:id="103"/>
      </w:r>
      <w:r>
        <w:rPr>
          <w:rFonts w:ascii="Amiri" w:hAnsi="Amiri" w:eastAsia="Amiri" w:cs="Amiri"/>
          <w:lang w:bidi="ar-SA"/>
          <w:color w:val="111111"/>
          <w:sz w:val="28"/>
          <w:szCs w:val="28"/>
          <w:rtl/>
        </w:rPr>
        <w:t xml:space="preserve">الجعلية</w:t>
      </w:r>
      <w:r>
        <w:rPr>
          <w:rStyle w:val="FootnoteReference"/>
        </w:rPr>
        <w:footnoteReference w:id="104"/>
      </w:r>
      <w:r>
        <w:rPr>
          <w:rFonts w:ascii="Amiri" w:hAnsi="Amiri" w:eastAsia="Amiri" w:cs="Amiri"/>
          <w:lang w:bidi="ar-SA"/>
          <w:color w:val="111111"/>
          <w:sz w:val="28"/>
          <w:szCs w:val="28"/>
          <w:rtl/>
        </w:rPr>
        <w:t xml:space="preserve">أو العرفية</w:t>
      </w:r>
      <w:r>
        <w:rPr>
          <w:rStyle w:val="FootnoteReference"/>
        </w:rPr>
        <w:footnoteReference w:id="105"/>
      </w:r>
      <w:r>
        <w:rPr>
          <w:rFonts w:ascii="IRNazanin" w:hAnsi="IRNazanin" w:eastAsia="IRNazanin" w:cs="IRNazanin"/>
          <w:lang w:bidi="fa-IR"/>
          <w:color w:val="111111"/>
          <w:sz w:val="28"/>
          <w:szCs w:val="28"/>
          <w:rtl/>
        </w:rPr>
        <w:t xml:space="preserve">وهذا لا يتوقّف إلّا على إمکان جعل اللّفظ ذا دلالتين: دلالة على أصل الوجوب ودلالة على وجوب المقدّمة مثلاً، بجعل اللّزوم بينهما وضعاً أو إمکان كونه ظاهراً في العرف فيذلك من جهة أنّه لا يطلق</w:t>
      </w:r>
      <w:r>
        <w:rPr>
          <w:rStyle w:val="FootnoteReference"/>
        </w:rPr>
        <w:footnoteReference w:id="106"/>
      </w:r>
      <w:r>
        <w:rPr>
          <w:rFonts w:ascii="IRNazanin" w:hAnsi="IRNazanin" w:eastAsia="IRNazanin" w:cs="IRNazanin"/>
          <w:lang w:bidi="fa-IR"/>
          <w:color w:val="111111"/>
          <w:sz w:val="28"/>
          <w:szCs w:val="28"/>
          <w:rtl/>
        </w:rPr>
        <w:t xml:space="preserve">اللّفظ في العرف ولا يستعمل إلّا مع إرادة وجوب المقدّمة أیضاً أو مع إرادة كون متعلّقه غير حرام.</w:t>
      </w:r>
    </w:p>
    <w:p>
      <w:pPr>
        <w:pStyle w:val="BookText"/>
      </w:pPr>
      <w:r>
        <w:rPr>
          <w:rFonts w:ascii="Amiri" w:hAnsi="Amiri" w:eastAsia="Amiri" w:cs="Amiri"/>
          <w:lang w:bidi="ar-SA"/>
          <w:color w:val="111111"/>
          <w:sz w:val="28"/>
          <w:szCs w:val="28"/>
          <w:rtl/>
        </w:rPr>
        <w:t xml:space="preserve">فاللّزوم كما أنّه قد يكون عقليّاً كذلك قد يكون عرفيّاً وقد يكون وضعيّاً ولايشترط في الدّلالة الوضعيّة أو العرفيّة كون المعنى موجوداً في الخارج بل يكفيه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 متعقّلاً</w:t>
      </w:r>
      <w:r>
        <w:rPr>
          <w:rStyle w:val="FootnoteReference"/>
        </w:rPr>
        <w:footnoteReference w:id="107"/>
      </w:r>
      <w:r>
        <w:rPr>
          <w:rFonts w:ascii="Amiri" w:hAnsi="Amiri" w:eastAsia="Amiri" w:cs="Amiri"/>
          <w:lang w:bidi="ar-SA"/>
          <w:color w:val="111111"/>
          <w:sz w:val="28"/>
          <w:szCs w:val="28"/>
          <w:rtl/>
        </w:rPr>
        <w:t xml:space="preserve">ومتصوّراً ومن المعلوم أنّ إرادة وجوب المقدّمة من الأمر بذي المقدّمة معقولة وكذا إرادة كون متعلّق الوجوب غير حرام،</w:t>
      </w:r>
      <w:r>
        <w:rPr>
          <w:rStyle w:val="FootnoteReference"/>
        </w:rPr>
        <w:footnoteReference w:id="108"/>
      </w:r>
      <w:r>
        <w:rPr>
          <w:rFonts w:ascii="Amiri" w:hAnsi="Amiri" w:eastAsia="Amiri" w:cs="Amiri"/>
          <w:lang w:bidi="ar-SA"/>
          <w:color w:val="111111"/>
          <w:sz w:val="28"/>
          <w:szCs w:val="28"/>
          <w:rtl/>
        </w:rPr>
        <w:t xml:space="preserve">فيصحّ وضع اللّفظ بإزائه.</w:t>
      </w:r>
    </w:p>
    <w:p>
      <w:pPr>
        <w:pStyle w:val="BookText"/>
      </w:pPr>
      <w:r>
        <w:rPr>
          <w:rFonts w:ascii="IRNazanin" w:hAnsi="IRNazanin" w:eastAsia="IRNazanin" w:cs="IRNazanin"/>
          <w:lang w:bidi="fa-IR"/>
          <w:color w:val="111111"/>
          <w:sz w:val="28"/>
          <w:szCs w:val="28"/>
          <w:rtl/>
        </w:rPr>
        <w:t xml:space="preserve">كيف ولو كان اللّازم كون المعنى موجوداً في الخارج فلا يتمّ في مثل مفهوم الشّرط أیضاً؛ إذ من المعلوم أنّ تعليق الوجود على الوجود لا يلازم عقلاً تعليق العدم على العدم لإمکان تعدّد السّبب إلّا أنّه يعقل التّعليق</w:t>
      </w:r>
      <w:r>
        <w:rPr>
          <w:rStyle w:val="FootnoteReference"/>
        </w:rPr>
        <w:footnoteReference w:id="109"/>
      </w:r>
      <w:r>
        <w:rPr>
          <w:rFonts w:ascii="Amiri" w:hAnsi="Amiri" w:eastAsia="Amiri" w:cs="Amiri"/>
          <w:lang w:bidi="ar-SA"/>
          <w:color w:val="111111"/>
          <w:sz w:val="28"/>
          <w:szCs w:val="28"/>
          <w:rtl/>
        </w:rPr>
        <w:t xml:space="preserve">العدمي من حيث هو فيجعله مدلولاً للفظ.</w:t>
      </w:r>
    </w:p>
    <w:p>
      <w:pPr>
        <w:pStyle w:val="BookText"/>
      </w:pPr>
      <w:r>
        <w:rPr>
          <w:rFonts w:ascii="IRNazanin" w:hAnsi="IRNazanin" w:eastAsia="IRNazanin" w:cs="IRNazanin"/>
          <w:lang w:bidi="fa-IR"/>
          <w:color w:val="111111"/>
          <w:sz w:val="28"/>
          <w:szCs w:val="28"/>
          <w:rtl/>
        </w:rPr>
        <w:t xml:space="preserve">ففي المقام أیضاً يعقل ويتصوّر كون الوجوب ملازماً لوجوب المقدّمة أو لحرمة الضدّ أو لعدم حرمة الشّي‌ء</w:t>
      </w:r>
      <w:r>
        <w:rPr>
          <w:rStyle w:val="FootnoteReference"/>
        </w:rPr>
        <w:footnoteReference w:id="110"/>
      </w:r>
      <w:r>
        <w:rPr>
          <w:rFonts w:ascii="IRNazanin" w:hAnsi="IRNazanin" w:eastAsia="IRNazanin" w:cs="IRNazanin"/>
          <w:lang w:bidi="fa-IR"/>
          <w:color w:val="111111"/>
          <w:sz w:val="28"/>
          <w:szCs w:val="28"/>
          <w:rtl/>
        </w:rPr>
        <w:t xml:space="preserve">من جهة أخرى فيمكن دلالة اللّفظ عليه وحینئذٍ فيصحّ أن يقال: إنّ الوجوب متصوّر على وجهين تارة على وجه يتبعه وجوب شي‌ء آخر بمعنى أن يكون ملازماً له في الإرادة وأخرى على وجه لا يتبعه وجوب شي‌ء آخر.</w:t>
      </w:r>
    </w:p>
    <w:p>
      <w:pPr>
        <w:pStyle w:val="BookText"/>
      </w:pPr>
      <w:r>
        <w:rPr>
          <w:rFonts w:ascii="IRNazanin" w:hAnsi="IRNazanin" w:eastAsia="IRNazanin" w:cs="IRNazanin"/>
          <w:lang w:bidi="fa-IR"/>
          <w:color w:val="111111"/>
          <w:sz w:val="28"/>
          <w:szCs w:val="28"/>
          <w:rtl/>
        </w:rPr>
        <w:t xml:space="preserve">والإشکال إنّما نشأ من تخيّل كون اللّازم</w:t>
      </w:r>
      <w:r>
        <w:rPr>
          <w:rStyle w:val="FootnoteReference"/>
        </w:rPr>
        <w:footnoteReference w:id="111"/>
      </w:r>
      <w:r>
        <w:rPr>
          <w:rFonts w:ascii="Amiri" w:hAnsi="Amiri" w:eastAsia="Amiri" w:cs="Amiri"/>
          <w:lang w:bidi="ar-SA"/>
          <w:color w:val="111111"/>
          <w:sz w:val="28"/>
          <w:szCs w:val="28"/>
          <w:rtl/>
        </w:rPr>
        <w:t xml:space="preserve">أن يكون اللّازم عقلياً حتّى يكون اللّفظ دالّاً عليه، وليس الأمر كذلك؛ إذ اللزوم</w:t>
      </w:r>
      <w:r>
        <w:rPr>
          <w:rStyle w:val="FootnoteReference"/>
        </w:rPr>
        <w:footnoteReference w:id="112"/>
      </w:r>
      <w:r>
        <w:rPr>
          <w:rFonts w:ascii="Amiri" w:hAnsi="Amiri" w:eastAsia="Amiri" w:cs="Amiri"/>
          <w:lang w:bidi="ar-SA"/>
          <w:color w:val="111111"/>
          <w:sz w:val="28"/>
          <w:szCs w:val="28"/>
          <w:rtl/>
        </w:rPr>
        <w:t xml:space="preserve">عقلي وعرفي وشرعي ووضعي كما عرفت.</w:t>
      </w:r>
    </w:p>
    <w:p>
      <w:pPr>
        <w:pStyle w:val="BookText"/>
      </w:pPr>
      <w:r>
        <w:rPr>
          <w:rFonts w:ascii="IRNazanin" w:hAnsi="IRNazanin" w:eastAsia="IRNazanin" w:cs="IRNazanin"/>
          <w:lang w:bidi="fa-IR"/>
          <w:color w:val="111111"/>
          <w:sz w:val="28"/>
          <w:szCs w:val="28"/>
          <w:rtl/>
        </w:rPr>
        <w:t xml:space="preserve">فالإنصاف أنّه لا إشکال في إمکان كون</w:t>
      </w:r>
      <w:r>
        <w:rPr>
          <w:rStyle w:val="FootnoteReference"/>
        </w:rPr>
        <w:footnoteReference w:id="113"/>
      </w:r>
      <w:r>
        <w:rPr>
          <w:rFonts w:ascii="IRNazanin" w:hAnsi="IRNazanin" w:eastAsia="IRNazanin" w:cs="IRNazanin"/>
          <w:lang w:bidi="fa-IR"/>
          <w:color w:val="111111"/>
          <w:sz w:val="28"/>
          <w:szCs w:val="28"/>
          <w:rtl/>
        </w:rPr>
        <w:t xml:space="preserve">البحث لفظيّاً بأحد الوجوه المتصوّرةسابقاً وإمکان كونه أعمّ من العقلي واللّفظي إلّا أنّ ظاهر عناوين القوم أنّ نزاعهم في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الجواز العقلي وعدمه كما يظهر من استدلالاتهم أیضاً.</w:t>
      </w:r>
    </w:p>
    <w:p>
      <w:pPr>
        <w:pStyle w:val="BookText"/>
      </w:pPr>
      <w:r>
        <w:rPr>
          <w:rFonts w:ascii="IRNazanin" w:hAnsi="IRNazanin" w:eastAsia="IRNazanin" w:cs="IRNazanin"/>
          <w:lang w:bidi="fa-IR"/>
          <w:color w:val="111111"/>
          <w:sz w:val="28"/>
          <w:szCs w:val="28"/>
          <w:rtl/>
        </w:rPr>
        <w:t xml:space="preserve">وما صنعه صاحب</w:t>
      </w:r>
      <w:r>
        <w:rPr>
          <w:rStyle w:val="FootnoteReference"/>
        </w:rPr>
        <w:footnoteReference w:id="114"/>
      </w:r>
      <w:r>
        <w:rPr>
          <w:rFonts w:ascii="IRNazanin" w:hAnsi="IRNazanin" w:eastAsia="IRNazanin" w:cs="IRNazanin"/>
          <w:lang w:bidi="fa-IR"/>
          <w:color w:val="111111"/>
          <w:sz w:val="28"/>
          <w:szCs w:val="28"/>
          <w:rtl/>
        </w:rPr>
        <w:t xml:space="preserve">المعالم</w:t>
      </w:r>
      <w:r>
        <w:rPr>
          <w:rStyle w:val="FootnoteReference"/>
        </w:rPr>
        <w:footnoteReference w:id="115"/>
      </w:r>
      <w:r>
        <w:rPr>
          <w:rFonts w:ascii="Amiri" w:hAnsi="Amiri" w:eastAsia="Amiri" w:cs="Amiri"/>
          <w:lang w:bidi="ar-SA"/>
          <w:color w:val="111111"/>
          <w:sz w:val="28"/>
          <w:szCs w:val="28"/>
          <w:rtl/>
        </w:rPr>
        <w:t xml:space="preserve">من ذكر المسألة في مباحث النّهي</w:t>
      </w:r>
      <w:r>
        <w:rPr>
          <w:rStyle w:val="FootnoteReference"/>
        </w:rPr>
        <w:footnoteReference w:id="116"/>
      </w:r>
      <w:r>
        <w:rPr>
          <w:rFonts w:ascii="Amiri" w:hAnsi="Amiri" w:eastAsia="Amiri" w:cs="Amiri"/>
          <w:lang w:bidi="ar-SA"/>
          <w:color w:val="111111"/>
          <w:sz w:val="28"/>
          <w:szCs w:val="28"/>
          <w:rtl/>
        </w:rPr>
        <w:t xml:space="preserve">لا يدلّ على كون البحث لفظيّاً لقوّة احتمال كونه من جهة أنّ الغالب أنّ الوجوب والحرمة مستفادان من اللفظ.</w:t>
      </w:r>
    </w:p>
    <w:p>
      <w:pPr>
        <w:pStyle w:val="BookText"/>
      </w:pPr>
      <w:r>
        <w:rPr>
          <w:rFonts w:ascii="Amiri" w:hAnsi="Amiri" w:eastAsia="Amiri" w:cs="Amiri"/>
          <w:lang w:bidi="ar-SA"/>
          <w:color w:val="111111"/>
          <w:sz w:val="28"/>
          <w:szCs w:val="28"/>
          <w:rtl/>
        </w:rPr>
        <w:t xml:space="preserve">وكذا لا دلالة في تفصيل الأردبيلي</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في الوضوء في المکان الغصبي: «لم يأت بالمأمور به عرفاً... نعم العقل يجوّز الصحة لو صرّح بأنّه لو فعلت في المكان الغصبى بعد نهيك عنه، لصحّ وعوقبت بما فعلت من مخالفة الأمر في الجملة».</w:t>
      </w:r>
    </w:p>
    <w:p>
      <w:pPr>
        <w:pStyle w:val="BookText"/>
      </w:pPr>
      <w:r>
        <w:rPr>
          <w:rFonts w:ascii="IRNazanin" w:hAnsi="IRNazanin" w:eastAsia="IRNazanin" w:cs="IRNazanin"/>
          <w:lang w:bidi="fa-IR"/>
          <w:color w:val="111111"/>
          <w:sz w:val="28"/>
          <w:szCs w:val="28"/>
          <w:rtl/>
        </w:rPr>
        <w:t xml:space="preserve">ولکن عن الشیخ الأنصاري (رحمة الله‌علیه) في التقریرات: «ولعلّ موضع الاستفادة من هذا الكلام قوله: «لأنّه لم يأت بالمأمور به عرفاً، نعم العقل يجوّز الصحّة لو صرّح» وأنت خبير بما في هذه الاستفادة، إذ لم نجد لكلامه دلالة على المدّعى بوجه». ولتفصیل الکلام راجع مطارح الأنظار، ج1، ص612.</w:t>
      </w:r>
    </w:p>
    <w:p>
      <w:pPr>
        <w:pStyle w:val="BookText"/>
      </w:pPr>
      <w:r>
        <w:rPr>
          <w:rFonts w:ascii="IRNazanin" w:hAnsi="IRNazanin" w:eastAsia="IRNazanin" w:cs="IRNazanin"/>
          <w:lang w:bidi="fa-IR"/>
          <w:color w:val="111111"/>
          <w:sz w:val="28"/>
          <w:szCs w:val="28"/>
          <w:rtl/>
        </w:rPr>
        <w:t xml:space="preserve">فتحصّل أنّ نسبة التفصیل إلیه مشکلة.</w:t>
      </w:r>
    </w:p>
    <w:p>
      <w:pPr>
        <w:pStyle w:val="BookText"/>
      </w:pPr>
      <w:r>
        <w:rPr>
          <w:rFonts w:ascii="Amiri" w:hAnsi="Amiri" w:eastAsia="Amiri" w:cs="Amiri"/>
          <w:lang w:bidi="ar-SA"/>
          <w:color w:val="111111"/>
          <w:sz w:val="28"/>
          <w:szCs w:val="28"/>
          <w:rtl/>
        </w:rPr>
        <w:t xml:space="preserve">وسيّد الرّياض</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بين العقل والعرف على كون البحث أعمّ من اللّفظي والعقلي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لقوّة احتمال كون المراد التّفصيل بين حكم العقل بالنّظر البدوي المسامحي وبين حكمه بالنّظر الدّقيق الحكمي فمرادهما من العرف حكم العقل على حسب ما يفهمه العرف المبنيّ أفهامهم على المسامحة وعدم المداقّة والغرض أنّ العقل في أوّل النّظر يحكم بالامتناع لكن في النّظر الدّقيق يحكم بالجواز.</w:t>
      </w:r>
    </w:p>
    <w:p>
      <w:pPr>
        <w:pStyle w:val="BookText"/>
      </w:pPr>
      <w:r>
        <w:rPr>
          <w:rFonts w:ascii="IRNazanin" w:hAnsi="IRNazanin" w:eastAsia="IRNazanin" w:cs="IRNazanin"/>
          <w:lang w:bidi="fa-IR"/>
          <w:color w:val="111111"/>
          <w:sz w:val="28"/>
          <w:szCs w:val="28"/>
          <w:rtl/>
        </w:rPr>
        <w:t xml:space="preserve">وقد يوجّه کلامهما بأنّ مرادهما الفرق بين المعنى الّذي يفهمه العقل</w:t>
      </w:r>
      <w:r>
        <w:rPr>
          <w:rStyle w:val="FootnoteReference"/>
        </w:rPr>
        <w:footnoteReference w:id="118"/>
      </w:r>
      <w:r>
        <w:rPr>
          <w:rFonts w:ascii="IRNazanin" w:hAnsi="IRNazanin" w:eastAsia="IRNazanin" w:cs="IRNazanin"/>
          <w:lang w:bidi="fa-IR"/>
          <w:color w:val="111111"/>
          <w:sz w:val="28"/>
          <w:szCs w:val="28"/>
          <w:rtl/>
        </w:rPr>
        <w:t xml:space="preserve">من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الوجوب والحرمة والمعنى الّذي يفهمه العرف منهما فغرضهما أنّ العقل يحكم بجواز اجتماع الوجوب والحرمة بمعناهما</w:t>
      </w:r>
      <w:r>
        <w:rPr>
          <w:rStyle w:val="FootnoteReference"/>
        </w:rPr>
        <w:footnoteReference w:id="119"/>
      </w:r>
      <w:r>
        <w:rPr>
          <w:rFonts w:ascii="Amiri" w:hAnsi="Amiri" w:eastAsia="Amiri" w:cs="Amiri"/>
          <w:lang w:bidi="ar-SA"/>
          <w:color w:val="111111"/>
          <w:sz w:val="28"/>
          <w:szCs w:val="28"/>
          <w:rtl/>
        </w:rPr>
        <w:t xml:space="preserve">العرفي وبعدم جواز اجتماعهما بمعناهما</w:t>
      </w:r>
      <w:r>
        <w:rPr>
          <w:rStyle w:val="FootnoteReference"/>
        </w:rPr>
        <w:footnoteReference w:id="120"/>
      </w:r>
      <w:r>
        <w:rPr>
          <w:rFonts w:ascii="IRNazanin" w:hAnsi="IRNazanin" w:eastAsia="IRNazanin" w:cs="IRNazanin"/>
          <w:lang w:bidi="fa-IR"/>
          <w:color w:val="111111"/>
          <w:sz w:val="28"/>
          <w:szCs w:val="28"/>
          <w:rtl/>
        </w:rPr>
        <w:t xml:space="preserve">الحقيقيالعقلي، فعلى التّقديرين الحاكم هو العقل، والتّفاوت إنّما هو في متعلّق الحكمین</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والأوجه الوجه الأوّل؛ إذ ليس معناهما العرفي غير معناهما الحقيقي بل لا حقیقة لهما إلّا ما عند العرف؛ إذ الأحکام الخمسة حقیقتها الاعتبارات العقلائيّة العرفيّة إلّا إذا جعلنا الطّلب عين الإرادة النفسيّة لا إنشاء الاقتضاء فإنّها على هذا التّقدير أمور متأصّلة خارجيّة ومن الأوصاف الحقيقيّة، فيمكن أن يكون حقیقة الإرادة غير ما يتعقّله</w:t>
      </w:r>
      <w:r>
        <w:rPr>
          <w:rStyle w:val="FootnoteReference"/>
        </w:rPr>
        <w:footnoteReference w:id="122"/>
      </w:r>
      <w:r>
        <w:rPr>
          <w:rFonts w:ascii="Amiri" w:hAnsi="Amiri" w:eastAsia="Amiri" w:cs="Amiri"/>
          <w:lang w:bidi="ar-SA"/>
          <w:color w:val="111111"/>
          <w:sz w:val="28"/>
          <w:szCs w:val="28"/>
          <w:rtl/>
        </w:rPr>
        <w:t xml:space="preserve">العرف منها بخلافه على الأوّل فإنّ تأصّلها عين هذه الاعتبارات فإنّ إنشاء الاقتضاء</w:t>
      </w:r>
      <w:r>
        <w:rPr>
          <w:rStyle w:val="FootnoteReference"/>
        </w:rPr>
        <w:footnoteReference w:id="123"/>
      </w:r>
      <w:r>
        <w:rPr>
          <w:rFonts w:ascii="IRNazanin" w:hAnsi="IRNazanin" w:eastAsia="IRNazanin" w:cs="IRNazanin"/>
          <w:lang w:bidi="fa-IR"/>
          <w:color w:val="111111"/>
          <w:sz w:val="28"/>
          <w:szCs w:val="28"/>
          <w:rtl/>
        </w:rPr>
        <w:t xml:space="preserve">اعتبار من الاعتبارات فحقیقته ليس إلّا هذا الاعتبار العرفي.</w:t>
      </w:r>
    </w:p>
    <w:p>
      <w:pPr>
        <w:pStyle w:val="BookText"/>
      </w:pPr>
      <w:r>
        <w:rPr>
          <w:rFonts w:ascii="Amiri" w:hAnsi="Amiri" w:eastAsia="Amiri" w:cs="Amiri"/>
          <w:lang w:bidi="ar-SA"/>
          <w:color w:val="111111"/>
          <w:sz w:val="28"/>
          <w:szCs w:val="28"/>
          <w:rtl/>
        </w:rPr>
        <w:t xml:space="preserve">فتحصّل أنّه لم يعلم من أحد منهم جعل النّزاع لفظيّاً أو أعمّ</w:t>
      </w:r>
      <w:r>
        <w:rPr>
          <w:rStyle w:val="FootnoteReference"/>
        </w:rPr>
        <w:footnoteReference w:id="124"/>
      </w:r>
      <w:r>
        <w:rPr>
          <w:rFonts w:ascii="Amiri" w:hAnsi="Amiri" w:eastAsia="Amiri" w:cs="Amiri"/>
          <w:lang w:bidi="ar-SA"/>
          <w:color w:val="111111"/>
          <w:sz w:val="28"/>
          <w:szCs w:val="28"/>
          <w:rtl/>
        </w:rPr>
        <w:t xml:space="preserve">منه ومن العقلي وما يذكرون في طيّ الاستدلالات من فهم العرف التّخصيص</w:t>
      </w:r>
      <w:r>
        <w:rPr>
          <w:rStyle w:val="FootnoteReference"/>
        </w:rPr>
        <w:footnoteReference w:id="125"/>
      </w:r>
      <w:r>
        <w:rPr>
          <w:rFonts w:ascii="IRNazanin" w:hAnsi="IRNazanin" w:eastAsia="IRNazanin" w:cs="IRNazanin"/>
          <w:lang w:bidi="fa-IR"/>
          <w:color w:val="111111"/>
          <w:sz w:val="28"/>
          <w:szCs w:val="28"/>
          <w:rtl/>
        </w:rPr>
        <w:t xml:space="preserve">فهو استطراد وإلّا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فأصل النّزاع في الحكم العقلي.</w:t>
      </w:r>
    </w:p>
    <w:p>
      <w:pPr>
        <w:pStyle w:val="BookText"/>
      </w:pPr>
      <w:r>
        <w:rPr>
          <w:rFonts w:ascii="IRNazanin" w:hAnsi="IRNazanin" w:eastAsia="IRNazanin" w:cs="IRNazanin"/>
          <w:lang w:bidi="fa-IR"/>
          <w:color w:val="111111"/>
          <w:sz w:val="28"/>
          <w:szCs w:val="28"/>
          <w:rtl/>
        </w:rPr>
        <w:t xml:space="preserve">نعم قال في الهداية: «فالکلام في جواز اجتماع الوجوب والتحريم بأيّ لفظ وردا. هذا بالنّظر إلى الکلام في الجواز العقلي وأمّا بالنسبة إلى الفهم العرفي الذي هو أحد المعنيين اللّذين وقع البحث فيهما فإنّما يقوم البحث في الظواهر والإطلاقات دون النّصوص والتّصريحات».</w:t>
      </w:r>
      <w:r>
        <w:rPr>
          <w:rStyle w:val="FootnoteReference"/>
        </w:rPr>
        <w:footnoteReference w:id="126"/>
      </w:r>
    </w:p>
    <w:p>
      <w:pPr>
        <w:pStyle w:val="BookText"/>
      </w:pPr>
      <w:r>
        <w:rPr>
          <w:rFonts w:ascii="Amiri" w:hAnsi="Amiri" w:eastAsia="Amiri" w:cs="Amiri"/>
          <w:lang w:bidi="ar-SA"/>
          <w:color w:val="111111"/>
          <w:sz w:val="28"/>
          <w:szCs w:val="28"/>
          <w:rtl/>
        </w:rPr>
        <w:t xml:space="preserve">ويظهر منه تعميم النّزاع.</w:t>
      </w:r>
    </w:p>
    <w:p>
      <w:pPr>
        <w:pStyle w:val="BookText"/>
      </w:pPr>
      <w:r>
        <w:rPr>
          <w:rFonts w:ascii="IRNazanin" w:hAnsi="IRNazanin" w:eastAsia="IRNazanin" w:cs="IRNazanin"/>
          <w:lang w:bidi="fa-IR"/>
          <w:color w:val="111111"/>
          <w:sz w:val="28"/>
          <w:szCs w:val="28"/>
          <w:rtl/>
        </w:rPr>
        <w:t xml:space="preserve">وكذا يظهر من المناهج أیضاً حيث قال: «اعلم أنّ مسألة اجتماع الوجوب والحرمة من المسائل الکلاميّة الّتي ليس من شأن الأصولي البحث عنها</w:t>
      </w:r>
      <w:r>
        <w:rPr>
          <w:rStyle w:val="FootnoteReference"/>
        </w:rPr>
        <w:footnoteReference w:id="127"/>
      </w:r>
      <w:r>
        <w:rPr>
          <w:rFonts w:ascii="Amiri" w:hAnsi="Amiri" w:eastAsia="Amiri" w:cs="Amiri"/>
          <w:lang w:bidi="ar-SA"/>
          <w:color w:val="111111"/>
          <w:sz w:val="28"/>
          <w:szCs w:val="28"/>
          <w:rtl/>
        </w:rPr>
        <w:t xml:space="preserve">من حيث هيهي.</w:t>
      </w:r>
    </w:p>
    <w:p>
      <w:pPr>
        <w:pStyle w:val="BookText"/>
      </w:pPr>
      <w:r>
        <w:rPr>
          <w:rFonts w:ascii="Amiri" w:hAnsi="Amiri" w:eastAsia="Amiri" w:cs="Amiri"/>
          <w:lang w:bidi="ar-SA"/>
          <w:color w:val="111111"/>
          <w:sz w:val="28"/>
          <w:szCs w:val="28"/>
          <w:rtl/>
        </w:rPr>
        <w:t xml:space="preserve">والمسألة الأصولية الّتي يريدون بيانها هنا أنّه إذا ورد عامّان من وجه متنافيان فهل يخصّص أحدهما بالآخر في موضع التّنافي أم لا؟</w:t>
      </w:r>
    </w:p>
    <w:p>
      <w:pPr>
        <w:pStyle w:val="BookText"/>
      </w:pPr>
      <w:r>
        <w:rPr>
          <w:rFonts w:ascii="IRNazanin" w:hAnsi="IRNazanin" w:eastAsia="IRNazanin" w:cs="IRNazanin"/>
          <w:lang w:bidi="fa-IR"/>
          <w:color w:val="111111"/>
          <w:sz w:val="28"/>
          <w:szCs w:val="28"/>
          <w:rtl/>
        </w:rPr>
        <w:t xml:space="preserve">والبحث عن ذلك هو مراد الأصولي ولكنّ التخصيص تارة بالفهم العرفي وأخرى بتلك المسألة الکلاميّة الّتي هي امتناع</w:t>
      </w:r>
      <w:r>
        <w:rPr>
          <w:rStyle w:val="FootnoteReference"/>
        </w:rPr>
        <w:footnoteReference w:id="128"/>
      </w:r>
      <w:r>
        <w:rPr>
          <w:rFonts w:ascii="Amiri" w:hAnsi="Amiri" w:eastAsia="Amiri" w:cs="Amiri"/>
          <w:lang w:bidi="ar-SA"/>
          <w:color w:val="111111"/>
          <w:sz w:val="28"/>
          <w:szCs w:val="28"/>
          <w:rtl/>
        </w:rPr>
        <w:t xml:space="preserve">اجتماع الحكمين».</w:t>
      </w:r>
      <w:r>
        <w:rPr>
          <w:rStyle w:val="FootnoteReference"/>
        </w:rPr>
        <w:footnoteReference w:id="129"/>
      </w:r>
      <w:r>
        <w:rPr>
          <w:rFonts w:ascii="IRNazanin" w:hAnsi="IRNazanin" w:eastAsia="IRNazanin" w:cs="IRNazanin"/>
          <w:lang w:bidi="fa-IR"/>
          <w:color w:val="111111"/>
          <w:sz w:val="28"/>
          <w:szCs w:val="28"/>
          <w:rtl/>
        </w:rPr>
        <w:t xml:space="preserve">إلى آخر کلامه.</w:t>
      </w:r>
    </w:p>
    <w:p>
      <w:pPr>
        <w:pStyle w:val="BookText"/>
      </w:pPr>
      <w:r>
        <w:rPr>
          <w:rFonts w:ascii="Amiri" w:hAnsi="Amiri" w:eastAsia="Amiri" w:cs="Amiri"/>
          <w:lang w:bidi="ar-SA"/>
          <w:color w:val="111111"/>
          <w:sz w:val="28"/>
          <w:szCs w:val="28"/>
          <w:rtl/>
        </w:rPr>
        <w:t xml:space="preserve">ولكن يمكن أن يقال: إنّ غرضه أنّ الأولى أن يجعل العنوان كذلك لا أنّ النّزاع فعلاً</w:t>
      </w:r>
      <w:r>
        <w:rPr>
          <w:rStyle w:val="FootnoteReference"/>
        </w:rPr>
        <w:footnoteReference w:id="130"/>
      </w:r>
      <w:r>
        <w:rPr>
          <w:rFonts w:ascii="Amiri" w:hAnsi="Amiri" w:eastAsia="Amiri" w:cs="Amiri"/>
          <w:lang w:bidi="ar-SA"/>
          <w:color w:val="111111"/>
          <w:sz w:val="28"/>
          <w:szCs w:val="28"/>
          <w:rtl/>
        </w:rPr>
        <w:t xml:space="preserve">كذلك.</w:t>
      </w:r>
      <w:r>
        <w:rPr>
          <w:rStyle w:val="FootnoteReference"/>
        </w:rPr>
        <w:footnoteReference w:id="131"/>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8" w:name="pg6784_51109"/>
    <w:bookmarkEnd w:id="28"/>
    <w:p>
      <w:pPr>
        <w:pStyle w:val="Heading4"/>
      </w:pPr>
      <w:bookmarkStart w:id="361" w:name="_Toc42"/>
      <w:r>
        <w:t>تذنیب [في ذکر کلام الحاج محمّد إبراهیم الکلباسي (رحمة الله‌علیه) والإشکال فیه]</w:t>
      </w:r>
      <w:bookmarkEnd w:id="361"/>
    </w:p>
    <w:p>
      <w:pPr>
        <w:pStyle w:val="BookText"/>
      </w:pPr>
      <w:r>
        <w:rPr>
          <w:rFonts w:ascii="IRNazanin" w:hAnsi="IRNazanin" w:eastAsia="IRNazanin" w:cs="IRNazanin"/>
          <w:lang w:bidi="fa-IR"/>
          <w:color w:val="111111"/>
          <w:sz w:val="28"/>
          <w:szCs w:val="28"/>
          <w:rtl/>
        </w:rPr>
        <w:t xml:space="preserve">قال في الإشارات - بعد ما ذكر أنّ المسألة عقليّة لا دخل لها باللّغة واستجود كونها کلاميّة وأنّ المناسب ذكرها في المبادي الأحکاميّة -:</w:t>
      </w:r>
    </w:p>
    <w:p>
      <w:pPr>
        <w:pStyle w:val="BookText"/>
      </w:pPr>
      <w:r>
        <w:rPr>
          <w:rFonts w:ascii="Amiri" w:hAnsi="Amiri" w:eastAsia="Amiri" w:cs="Amiri"/>
          <w:lang w:bidi="ar-SA"/>
          <w:color w:val="111111"/>
          <w:sz w:val="28"/>
          <w:szCs w:val="28"/>
          <w:rtl/>
        </w:rPr>
        <w:t xml:space="preserve">«نعم لو ذكرها من يقول بامتناع الاجتماع في الأدلّة العقلية حيث إنّ بناءه على أنّ العقل يحكم برفع أحد الحكمين فله وجه ويصير حاله كحال أصالة البراءة في أنّه لايستدلّ بها إلّا على نفي الحكم الشّرعي ولذا يمكن ذكره</w:t>
      </w:r>
      <w:r>
        <w:rPr>
          <w:rStyle w:val="FootnoteReference"/>
        </w:rPr>
        <w:footnoteReference w:id="132"/>
      </w:r>
      <w:r>
        <w:rPr>
          <w:rFonts w:ascii="Amiri" w:hAnsi="Amiri" w:eastAsia="Amiri" w:cs="Amiri"/>
          <w:lang w:bidi="ar-SA"/>
          <w:color w:val="111111"/>
          <w:sz w:val="28"/>
          <w:szCs w:val="28"/>
          <w:rtl/>
        </w:rPr>
        <w:t xml:space="preserve">فيها لغيره تبعاً».</w:t>
      </w:r>
      <w:r>
        <w:rPr>
          <w:rStyle w:val="FootnoteReference"/>
        </w:rPr>
        <w:footnoteReference w:id="133"/>
      </w:r>
      <w:r>
        <w:rPr>
          <w:rFonts w:ascii="IRNazanin" w:hAnsi="IRNazanin" w:eastAsia="IRNazanin" w:cs="IRNazanin"/>
          <w:lang w:bidi="fa-IR"/>
          <w:color w:val="111111"/>
          <w:sz w:val="28"/>
          <w:szCs w:val="28"/>
          <w:rtl/>
        </w:rPr>
        <w:t xml:space="preserve">انتهى.</w:t>
      </w:r>
    </w:p>
    <w:p>
      <w:pPr>
        <w:pStyle w:val="BookText"/>
      </w:pPr>
      <w:r>
        <w:rPr>
          <w:rFonts w:ascii="IRNazanin" w:hAnsi="IRNazanin" w:eastAsia="IRNazanin" w:cs="IRNazanin"/>
          <w:lang w:bidi="fa-IR"/>
          <w:color w:val="111111"/>
          <w:sz w:val="28"/>
          <w:szCs w:val="28"/>
          <w:rtl/>
        </w:rPr>
        <w:t xml:space="preserve">ويستفاد من کلامه أنّ كونها أصوليّة عقلية مبنيّ على الحكم</w:t>
      </w:r>
      <w:r>
        <w:rPr>
          <w:rStyle w:val="FootnoteReference"/>
        </w:rPr>
        <w:footnoteReference w:id="134"/>
      </w:r>
      <w:r>
        <w:rPr>
          <w:rFonts w:ascii="Amiri" w:hAnsi="Amiri" w:eastAsia="Amiri" w:cs="Amiri"/>
          <w:lang w:bidi="ar-SA"/>
          <w:color w:val="111111"/>
          <w:sz w:val="28"/>
          <w:szCs w:val="28"/>
          <w:rtl/>
        </w:rPr>
        <w:t xml:space="preserve">بالامتناع فعند القائلين</w:t>
      </w:r>
      <w:r>
        <w:rPr>
          <w:rStyle w:val="FootnoteReference"/>
        </w:rPr>
        <w:footnoteReference w:id="135"/>
      </w:r>
      <w:r>
        <w:rPr>
          <w:rFonts w:ascii="Amiri" w:hAnsi="Amiri" w:eastAsia="Amiri" w:cs="Amiri"/>
          <w:lang w:bidi="ar-SA"/>
          <w:color w:val="111111"/>
          <w:sz w:val="28"/>
          <w:szCs w:val="28"/>
          <w:rtl/>
        </w:rPr>
        <w:t xml:space="preserve">بالامتناع تكون أصوليّة عقلية؛ إذ البحث عنها بحث عن الدّليل العقلي على رفع أحد الحكمين.</w:t>
      </w:r>
    </w:p>
    <w:p>
      <w:pPr>
        <w:pStyle w:val="BookText"/>
      </w:pPr>
      <w:r>
        <w:rPr>
          <w:rFonts w:ascii="Amiri" w:hAnsi="Amiri" w:eastAsia="Amiri" w:cs="Amiri"/>
          <w:lang w:bidi="ar-SA"/>
          <w:color w:val="111111"/>
          <w:sz w:val="28"/>
          <w:szCs w:val="28"/>
          <w:rtl/>
        </w:rPr>
        <w:t xml:space="preserve">وأمّا عند القائلين بالجواز فلا يكون الدّليل على الحكم وهو صحّة الصّلاة إلّا العموم؛ إذ لا مانع منه بناء على هذا القول والعقل إنّما يحكم بعدم المانع عن مقتضي العموم.</w:t>
      </w:r>
    </w:p>
    <w:p>
      <w:pPr>
        <w:pStyle w:val="BookText"/>
      </w:pPr>
      <w:r>
        <w:rPr>
          <w:rFonts w:ascii="Amiri" w:hAnsi="Amiri" w:eastAsia="Amiri" w:cs="Amiri"/>
          <w:lang w:bidi="ar-SA"/>
          <w:color w:val="111111"/>
          <w:sz w:val="28"/>
          <w:szCs w:val="28"/>
          <w:rtl/>
        </w:rPr>
        <w:t xml:space="preserve">وفيه: أنّ البحث عنها ليس إلّا عن ثبوت الحكم بالامتناع أو الجواز</w:t>
      </w:r>
      <w:r>
        <w:rPr>
          <w:rStyle w:val="FootnoteReference"/>
        </w:rPr>
        <w:footnoteReference w:id="136"/>
      </w:r>
      <w:r>
        <w:rPr>
          <w:rFonts w:ascii="IRNazanin" w:hAnsi="IRNazanin" w:eastAsia="IRNazanin" w:cs="IRNazanin"/>
          <w:lang w:bidi="fa-IR"/>
          <w:color w:val="111111"/>
          <w:sz w:val="28"/>
          <w:szCs w:val="28"/>
          <w:rtl/>
        </w:rPr>
        <w:t xml:space="preserve">فإذا كانت أصوليّة عقلية فعلى القولين وإلّا فكذلك فلا يمكن التّفكيك بینهما.</w:t>
      </w:r>
    </w:p>
    <w:p>
      <w:pPr>
        <w:pStyle w:val="BookText"/>
      </w:pPr>
      <w:r>
        <w:rPr>
          <w:rFonts w:ascii="Amiri" w:hAnsi="Amiri" w:eastAsia="Amiri" w:cs="Amiri"/>
          <w:lang w:bidi="ar-SA"/>
          <w:color w:val="111111"/>
          <w:sz w:val="28"/>
          <w:szCs w:val="28"/>
          <w:rtl/>
        </w:rPr>
        <w:t xml:space="preserve">نعم لو كان البحث بعد الفراغ عن إثبات الامتناع أو الجواز أمكن أن يقال: إنّه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9" w:name="pg6784_51110"/>
    <w:bookmarkEnd w:id="29"/>
    <w:p>
      <w:pPr>
        <w:pStyle w:val="BookText"/>
      </w:pPr>
      <w:r>
        <w:rPr>
          <w:rFonts w:ascii="Amiri" w:hAnsi="Amiri" w:eastAsia="Amiri" w:cs="Amiri"/>
          <w:lang w:bidi="ar-SA"/>
          <w:color w:val="111111"/>
          <w:sz w:val="28"/>
          <w:szCs w:val="28"/>
          <w:rtl/>
        </w:rPr>
        <w:t xml:space="preserve">بحث عن الدّليل</w:t>
      </w:r>
      <w:r>
        <w:rPr>
          <w:rStyle w:val="FootnoteReference"/>
        </w:rPr>
        <w:footnoteReference w:id="137"/>
      </w:r>
      <w:r>
        <w:rPr>
          <w:rFonts w:ascii="Amiri" w:hAnsi="Amiri" w:eastAsia="Amiri" w:cs="Amiri"/>
          <w:lang w:bidi="ar-SA"/>
          <w:color w:val="111111"/>
          <w:sz w:val="28"/>
          <w:szCs w:val="28"/>
          <w:rtl/>
        </w:rPr>
        <w:t xml:space="preserve">العقلي بناء على القول بالامتناع وليس كذلك بناء على الجواز وليس الأمر كذلك؛ إذ المفروض أنّ البحث منحصر في أصل الإثبات وجوداً أوعدماً فلا وجه لكون ذكر القائل بالجواز هناك تبعيّاً والقائل بالامتناع بالأصالة من جهة كون المسألة من ذلك الباب.</w:t>
      </w:r>
    </w:p>
    <w:p>
      <w:pPr>
        <w:pStyle w:val="BookText"/>
      </w:pPr>
      <w:r>
        <w:rPr>
          <w:rFonts w:ascii="Amiri" w:hAnsi="Amiri" w:eastAsia="Amiri" w:cs="Amiri"/>
          <w:lang w:bidi="ar-SA"/>
          <w:color w:val="111111"/>
          <w:sz w:val="28"/>
          <w:szCs w:val="28"/>
          <w:rtl/>
        </w:rPr>
        <w:t xml:space="preserve">والحاصل: أنّ البحث عن جواز الاجتماع والعدم بحث واحد، غاية الأمر أنّ واحداً يقول بالامتناع والآخر يقول بالجواز فإذا ناسب ذكر هذا البحث في الأدلّة العقلية فلا يتفاوت الحال بالنّسبة إلى القولين.</w:t>
      </w:r>
    </w:p>
    <w:p>
      <w:pPr>
        <w:pStyle w:val="BookText"/>
      </w:pPr>
      <w:r>
        <w:rPr>
          <w:rFonts w:ascii="Amiri" w:hAnsi="Amiri" w:eastAsia="Amiri" w:cs="Amiri"/>
          <w:lang w:bidi="ar-SA"/>
          <w:color w:val="111111"/>
          <w:sz w:val="28"/>
          <w:szCs w:val="28"/>
          <w:rtl/>
        </w:rPr>
        <w:t xml:space="preserve">ولعلّ نظره فيما ذكره إلى أنّ البحث المذكور عند القائل بالامتناع بحث عن الدّليل العقلي وهذا البحث بعينه بالنّظر إلى القول بالجواز بحث عن غير الدّليل العقلي؛ إذ القائل به لم يبحث عن الدّليل العقلي في الواقع بحسب نظره.</w:t>
      </w:r>
    </w:p>
    <w:p>
      <w:pPr>
        <w:pStyle w:val="BookText"/>
      </w:pPr>
      <w:r>
        <w:rPr>
          <w:rFonts w:ascii="IRNazanin" w:hAnsi="IRNazanin" w:eastAsia="IRNazanin" w:cs="IRNazanin"/>
          <w:lang w:bidi="fa-IR"/>
          <w:color w:val="111111"/>
          <w:sz w:val="28"/>
          <w:szCs w:val="28"/>
          <w:rtl/>
        </w:rPr>
        <w:t xml:space="preserve">فهو نظير ما يمكن أن يقال - بل ببالي أنّه قيل أیضاً -: إنّ البحث عن حجيّة خبر الواحد بحث عن مسألة أصوليّة عند من أثبت الجواز؛ لأنّه عنده بحث عن الدّليل الذي هو موضوع علم الأصول، غاية الأمر أنّه بحث عن دليليّة الدّليل، وعند القائل بعدم الحجيّة</w:t>
      </w:r>
      <w:r>
        <w:rPr>
          <w:rStyle w:val="FootnoteReference"/>
        </w:rPr>
        <w:footnoteReference w:id="138"/>
      </w:r>
      <w:r>
        <w:rPr>
          <w:rFonts w:ascii="Amiri" w:hAnsi="Amiri" w:eastAsia="Amiri" w:cs="Amiri"/>
          <w:lang w:bidi="ar-SA"/>
          <w:color w:val="111111"/>
          <w:sz w:val="28"/>
          <w:szCs w:val="28"/>
          <w:rtl/>
        </w:rPr>
        <w:t xml:space="preserve">هذا البحث بعينه بحث عن غير الدّليل فليس من المسائل الأصوليّة.</w:t>
      </w:r>
    </w:p>
    <w:p>
      <w:pPr>
        <w:pStyle w:val="BookText"/>
      </w:pPr>
      <w:r>
        <w:rPr>
          <w:rFonts w:ascii="Amiri" w:hAnsi="Amiri" w:eastAsia="Amiri" w:cs="Amiri"/>
          <w:lang w:bidi="ar-SA"/>
          <w:color w:val="111111"/>
          <w:sz w:val="28"/>
          <w:szCs w:val="28"/>
          <w:rtl/>
        </w:rPr>
        <w:t xml:space="preserve">لكنّه كما ترى.</w:t>
      </w:r>
      <w:r>
        <w:rPr>
          <w:rStyle w:val="FootnoteReference"/>
        </w:rPr>
        <w:footnoteReference w:id="139"/>
      </w:r>
    </w:p>
    <w:p>
      <w:pPr>
        <w:pStyle w:val="Heading4"/>
      </w:pPr>
      <w:bookmarkStart w:id="362" w:name="_Toc43"/>
      <w:r>
        <w:t>[ثمرة البحث في کون المسألة أصولیّة أو کلامیّة أو من المبادي الأحکامیّة]</w:t>
      </w:r>
      <w:bookmarkEnd w:id="362"/>
    </w:p>
    <w:p>
      <w:pPr>
        <w:pStyle w:val="BookText"/>
      </w:pPr>
      <w:r>
        <w:rPr>
          <w:rFonts w:ascii="IRNazanin" w:hAnsi="IRNazanin" w:eastAsia="IRNazanin" w:cs="IRNazanin"/>
          <w:lang w:bidi="fa-IR"/>
          <w:color w:val="111111"/>
          <w:sz w:val="28"/>
          <w:szCs w:val="28"/>
          <w:rtl/>
        </w:rPr>
        <w:t xml:space="preserve">بقي الکلام في الثمرة بين كون المسألة المذكورة</w:t>
      </w:r>
      <w:r>
        <w:rPr>
          <w:rStyle w:val="FootnoteReference"/>
        </w:rPr>
        <w:footnoteReference w:id="140"/>
      </w:r>
      <w:r>
        <w:rPr>
          <w:rFonts w:ascii="Amiri" w:hAnsi="Amiri" w:eastAsia="Amiri" w:cs="Amiri"/>
          <w:lang w:bidi="ar-SA"/>
          <w:color w:val="111111"/>
          <w:sz w:val="28"/>
          <w:szCs w:val="28"/>
          <w:rtl/>
        </w:rPr>
        <w:t xml:space="preserve">أصوليّة أو کلاميّة أو من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المبادي والظاهر عدم ترتّب ثمرة إلّا في النّذر وأشباهه؛ إذ غاية ما يتصوّر من الثّمرة أن يقال: بناء على كونها أصوليّة يمكن إثباتها بالظّن بناء على</w:t>
      </w:r>
      <w:r>
        <w:rPr>
          <w:rStyle w:val="FootnoteReference"/>
        </w:rPr>
        <w:footnoteReference w:id="141"/>
      </w:r>
      <w:r>
        <w:rPr>
          <w:rFonts w:ascii="IRNazanin" w:hAnsi="IRNazanin" w:eastAsia="IRNazanin" w:cs="IRNazanin"/>
          <w:lang w:bidi="fa-IR"/>
          <w:color w:val="111111"/>
          <w:sz w:val="28"/>
          <w:szCs w:val="28"/>
          <w:rtl/>
        </w:rPr>
        <w:t xml:space="preserve">حجيّة الظّن في الأصول أیضاً وبناء على كونها کلاميّة لا يمكن؛ لأنّ الظّن ليس بحجة فيها.</w:t>
      </w:r>
    </w:p>
    <w:p>
      <w:pPr>
        <w:pStyle w:val="BookText"/>
      </w:pPr>
      <w:r>
        <w:rPr>
          <w:rFonts w:ascii="Amiri" w:hAnsi="Amiri" w:eastAsia="Amiri" w:cs="Amiri"/>
          <w:lang w:bidi="ar-SA"/>
          <w:color w:val="111111"/>
          <w:sz w:val="28"/>
          <w:szCs w:val="28"/>
          <w:rtl/>
        </w:rPr>
        <w:t xml:space="preserve">ولكنّه كما ترى؛ إذ لو قلنا بحجيّة الظّن في الأصول</w:t>
      </w:r>
      <w:r>
        <w:rPr>
          <w:rStyle w:val="FootnoteReference"/>
        </w:rPr>
        <w:footnoteReference w:id="142"/>
      </w:r>
      <w:r>
        <w:rPr>
          <w:rFonts w:ascii="IRNazanin" w:hAnsi="IRNazanin" w:eastAsia="IRNazanin" w:cs="IRNazanin"/>
          <w:lang w:bidi="fa-IR"/>
          <w:color w:val="111111"/>
          <w:sz w:val="28"/>
          <w:szCs w:val="28"/>
          <w:rtl/>
        </w:rPr>
        <w:t xml:space="preserve">فلا فرق بين ما كان منها حقیقة وبين ما كان من غيرها ممّا ذكرها الأصوليّون فيها لتوقّف الاستنباط عليها،فالظّن معتبر فيها من هذه الحيثيّة وإن لم يكن معتبراً فيها من حيث هي.</w:t>
      </w:r>
    </w:p>
    <w:p>
      <w:pPr>
        <w:pStyle w:val="BookText"/>
      </w:pPr>
      <w:r>
        <w:rPr>
          <w:rFonts w:ascii="IRNazanin" w:hAnsi="IRNazanin" w:eastAsia="IRNazanin" w:cs="IRNazanin"/>
          <w:lang w:bidi="fa-IR"/>
          <w:color w:val="111111"/>
          <w:sz w:val="28"/>
          <w:szCs w:val="28"/>
          <w:rtl/>
        </w:rPr>
        <w:t xml:space="preserve">وذلك لأنّ ملاك حجّية الظّن في الأصول حجيّته من حيث استلزامه الظّن بالحكم الفرعيّ الکلّي و</w:t>
      </w:r>
      <w:r>
        <w:rPr>
          <w:rStyle w:val="FootnoteReference"/>
        </w:rPr>
        <w:footnoteReference w:id="143"/>
      </w:r>
      <w:r>
        <w:rPr>
          <w:rFonts w:ascii="IRNazanin" w:hAnsi="IRNazanin" w:eastAsia="IRNazanin" w:cs="IRNazanin"/>
          <w:lang w:bidi="fa-IR"/>
          <w:color w:val="111111"/>
          <w:sz w:val="28"/>
          <w:szCs w:val="28"/>
          <w:rtl/>
        </w:rPr>
        <w:t xml:space="preserve">لا يتفاوت الحال في ذلك بين كونها من الأصول أو من غيره؛ إذ الدّليل على فرضه دلّ على حجيّة کلّ ظنّ تولّد منه الظّن بالحكم الفرعي.</w:t>
      </w:r>
    </w:p>
    <w:p>
      <w:pPr>
        <w:pStyle w:val="BookText"/>
      </w:pPr>
      <w:r>
        <w:rPr>
          <w:rFonts w:ascii="Amiri" w:hAnsi="Amiri" w:eastAsia="Amiri" w:cs="Amiri"/>
          <w:lang w:bidi="ar-SA"/>
          <w:color w:val="111111"/>
          <w:sz w:val="28"/>
          <w:szCs w:val="28"/>
          <w:rtl/>
        </w:rPr>
        <w:t xml:space="preserve">نعم لو فرض وجود دليل خاصّ على حجيّة الظّن في خصوص المسائل الأصوليّة دون سائر مقدّمات</w:t>
      </w:r>
      <w:r>
        <w:rPr>
          <w:rStyle w:val="FootnoteReference"/>
        </w:rPr>
        <w:footnoteReference w:id="144"/>
      </w:r>
      <w:r>
        <w:rPr>
          <w:rFonts w:ascii="Amiri" w:hAnsi="Amiri" w:eastAsia="Amiri" w:cs="Amiri"/>
          <w:lang w:bidi="ar-SA"/>
          <w:color w:val="111111"/>
          <w:sz w:val="28"/>
          <w:szCs w:val="28"/>
          <w:rtl/>
        </w:rPr>
        <w:t xml:space="preserve">الفقه تمّ ما ذكر من الثّمر</w:t>
      </w:r>
      <w:r>
        <w:rPr>
          <w:rStyle w:val="FootnoteReference"/>
        </w:rPr>
        <w:footnoteReference w:id="145"/>
      </w:r>
      <w:r>
        <w:rPr>
          <w:rFonts w:ascii="Amiri" w:hAnsi="Amiri" w:eastAsia="Amiri" w:cs="Amiri"/>
          <w:lang w:bidi="ar-SA"/>
          <w:color w:val="111111"/>
          <w:sz w:val="28"/>
          <w:szCs w:val="28"/>
          <w:rtl/>
        </w:rPr>
        <w:t xml:space="preserve">لكنّه فرض غير واقع، فتدبّر.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0" w:name="pg6784_51112"/>
    <w:bookmarkEnd w:id="30"/>
    <w:p>
      <w:pPr>
        <w:pStyle w:val="Heading3"/>
      </w:pPr>
      <w:bookmarkStart w:id="363" w:name="_Toc44"/>
      <w:r>
        <w:t>مقدمات</w:t>
      </w:r>
      <w:bookmarkEnd w:id="363"/>
    </w:p>
    <w:p>
      <w:pPr>
        <w:pStyle w:val="Heading4"/>
      </w:pPr>
      <w:bookmarkStart w:id="364" w:name="_Toc45"/>
      <w:r>
        <w:t>اشارة</w:t>
      </w:r>
      <w:bookmarkEnd w:id="364"/>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1" w:name="pg6784_51113"/>
    <w:bookmarkEnd w:id="31"/>
    <w:p>
      <w:pPr>
        <w:pStyle w:val="Heading4"/>
      </w:pPr>
      <w:bookmarkStart w:id="365" w:name="_Toc46"/>
      <w:r>
        <w:t>[مقدّمات قبل الشّروع في أصل المطلب]</w:t>
      </w:r>
      <w:bookmarkEnd w:id="365"/>
    </w:p>
    <w:p>
      <w:pPr>
        <w:pStyle w:val="Heading5"/>
      </w:pPr>
      <w:bookmarkStart w:id="366" w:name="_Toc47"/>
      <w:r>
        <w:t>اشارة</w:t>
      </w:r>
      <w:bookmarkEnd w:id="366"/>
    </w:p>
    <w:p>
      <w:pPr>
        <w:pStyle w:val="BookText"/>
      </w:pPr>
      <w:r>
        <w:rPr>
          <w:rFonts w:ascii="Amiri" w:hAnsi="Amiri" w:eastAsia="Amiri" w:cs="Amiri"/>
          <w:lang w:bidi="ar-SA"/>
          <w:color w:val="111111"/>
          <w:sz w:val="28"/>
          <w:szCs w:val="28"/>
          <w:rtl/>
        </w:rPr>
        <w:t xml:space="preserve">ثمّ إنّه لا بدّ قبل الشّروع في أصل</w:t>
      </w:r>
      <w:r>
        <w:rPr>
          <w:rStyle w:val="FootnoteReference"/>
        </w:rPr>
        <w:footnoteReference w:id="146"/>
      </w:r>
      <w:r>
        <w:rPr>
          <w:rFonts w:ascii="Amiri" w:hAnsi="Amiri" w:eastAsia="Amiri" w:cs="Amiri"/>
          <w:lang w:bidi="ar-SA"/>
          <w:color w:val="111111"/>
          <w:sz w:val="28"/>
          <w:szCs w:val="28"/>
          <w:rtl/>
        </w:rPr>
        <w:t xml:space="preserve">المطلب من ذكر مقدّمات:</w:t>
      </w:r>
    </w:p>
    <w:p>
      <w:pPr>
        <w:pStyle w:val="Heading5"/>
      </w:pPr>
      <w:bookmarkStart w:id="367" w:name="_Toc48"/>
      <w:r>
        <w:t>[المقدّمة الأولى: في تحریر محلّ النزاع في المسألة]</w:t>
      </w:r>
      <w:bookmarkEnd w:id="367"/>
    </w:p>
    <w:p>
      <w:pPr>
        <w:pStyle w:val="Heading6"/>
      </w:pPr>
      <w:bookmarkStart w:id="368" w:name="_Toc49"/>
      <w:r>
        <w:t>اشارة</w:t>
      </w:r>
      <w:bookmarkEnd w:id="368"/>
    </w:p>
    <w:p>
      <w:pPr>
        <w:pStyle w:val="BookText"/>
      </w:pPr>
      <w:r>
        <w:rPr>
          <w:rFonts w:ascii="IRNazanin" w:hAnsi="IRNazanin" w:eastAsia="IRNazanin" w:cs="IRNazanin"/>
          <w:lang w:bidi="fa-IR"/>
          <w:color w:val="111111"/>
          <w:sz w:val="28"/>
          <w:szCs w:val="28"/>
          <w:rtl/>
        </w:rPr>
        <w:t xml:space="preserve">المقدّمة الأولى: في بيان محلّ النّزاع في المسألة والکلام فيه في مواضع:</w:t>
      </w:r>
    </w:p>
    <w:p>
      <w:pPr>
        <w:pStyle w:val="Heading6"/>
      </w:pPr>
      <w:bookmarkStart w:id="369" w:name="_Toc50"/>
      <w:r>
        <w:t>[الموضع الأوّل: في معنى الجواز لغةً وعرفاً واصطلاحاً]</w:t>
      </w:r>
      <w:bookmarkEnd w:id="369"/>
    </w:p>
    <w:p>
      <w:pPr>
        <w:pStyle w:val="BookText"/>
      </w:pPr>
      <w:r>
        <w:rPr>
          <w:rFonts w:ascii="Amiri" w:hAnsi="Amiri" w:eastAsia="Amiri" w:cs="Amiri"/>
          <w:lang w:bidi="ar-SA"/>
          <w:color w:val="111111"/>
          <w:sz w:val="28"/>
          <w:szCs w:val="28"/>
          <w:rtl/>
        </w:rPr>
        <w:t xml:space="preserve">أحدها: الجَواز لغةً</w:t>
      </w:r>
      <w:r>
        <w:rPr>
          <w:rStyle w:val="FootnoteReference"/>
        </w:rPr>
        <w:footnoteReference w:id="147"/>
      </w:r>
      <w:r>
        <w:rPr>
          <w:rFonts w:ascii="Amiri" w:hAnsi="Amiri" w:eastAsia="Amiri" w:cs="Amiri"/>
          <w:lang w:bidi="ar-SA"/>
          <w:color w:val="111111"/>
          <w:sz w:val="28"/>
          <w:szCs w:val="28"/>
          <w:rtl/>
        </w:rPr>
        <w:t xml:space="preserve">بل وعرفاً هو الانتقال وعدم الوقوف في حيّز.</w:t>
      </w:r>
      <w:r>
        <w:rPr>
          <w:rStyle w:val="FootnoteReference"/>
        </w:rPr>
        <w:footnoteReference w:id="148"/>
      </w:r>
      <w:r>
        <w:rPr>
          <w:rFonts w:ascii="Amiri" w:hAnsi="Amiri" w:eastAsia="Amiri" w:cs="Amiri"/>
          <w:lang w:bidi="ar-SA"/>
          <w:color w:val="111111"/>
          <w:sz w:val="28"/>
          <w:szCs w:val="28"/>
          <w:rtl/>
        </w:rPr>
        <w:t xml:space="preserve">يقال: «جاز منه إلى كذا». ومنه التّجاوز.</w:t>
      </w:r>
      <w:r>
        <w:rPr>
          <w:rStyle w:val="FootnoteReference"/>
        </w:rPr>
        <w:footnoteReference w:id="149"/>
      </w:r>
    </w:p>
    <w:p>
      <w:pPr>
        <w:pStyle w:val="BookText"/>
      </w:pPr>
      <w:r>
        <w:rPr>
          <w:rFonts w:ascii="Amiri" w:hAnsi="Amiri" w:eastAsia="Amiri" w:cs="Amiri"/>
          <w:lang w:bidi="ar-SA"/>
          <w:color w:val="111111"/>
          <w:sz w:val="28"/>
          <w:szCs w:val="28"/>
          <w:rtl/>
        </w:rPr>
        <w:t xml:space="preserve">واستعماله فيما يقابل المنع إنّما هو بالمناسبة؛ لأنّ ما لا مانع منه من المطالب كأنّه غير واقف على أحد الطّرفين من الوجود والعدم.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الاصطلاح يستعمل في معانٍ على ما قيل.</w:t>
      </w:r>
      <w:r>
        <w:rPr>
          <w:rStyle w:val="FootnoteReference"/>
        </w:rPr>
        <w:footnoteReference w:id="150"/>
      </w:r>
      <w:r>
        <w:rPr>
          <w:rFonts w:ascii="Amiri" w:hAnsi="Amiri" w:eastAsia="Amiri" w:cs="Amiri"/>
          <w:lang w:bidi="ar-SA"/>
          <w:color w:val="111111"/>
          <w:sz w:val="28"/>
          <w:szCs w:val="28"/>
          <w:rtl/>
        </w:rPr>
        <w:t xml:space="preserve">فقد يستعمل في قبال الاستحالة كما يقال: «يجوز</w:t>
      </w:r>
      <w:r>
        <w:rPr>
          <w:rStyle w:val="FootnoteReference"/>
        </w:rPr>
        <w:footnoteReference w:id="151"/>
      </w:r>
      <w:r>
        <w:rPr>
          <w:rFonts w:ascii="IRNazanin" w:hAnsi="IRNazanin" w:eastAsia="IRNazanin" w:cs="IRNazanin"/>
          <w:lang w:bidi="fa-IR"/>
          <w:color w:val="111111"/>
          <w:sz w:val="28"/>
          <w:szCs w:val="28"/>
          <w:rtl/>
        </w:rPr>
        <w:t xml:space="preserve">ارتفاع الضدّین ولا يجوز اجتماع النقيضين».</w:t>
      </w:r>
    </w:p>
    <w:p>
      <w:pPr>
        <w:pStyle w:val="BookText"/>
      </w:pPr>
      <w:r>
        <w:rPr>
          <w:rFonts w:ascii="Amiri" w:hAnsi="Amiri" w:eastAsia="Amiri" w:cs="Amiri"/>
          <w:lang w:bidi="ar-SA"/>
          <w:color w:val="111111"/>
          <w:sz w:val="28"/>
          <w:szCs w:val="28"/>
          <w:rtl/>
        </w:rPr>
        <w:t xml:space="preserve">وقد يستعمل فيما</w:t>
      </w:r>
      <w:r>
        <w:rPr>
          <w:rStyle w:val="FootnoteReference"/>
        </w:rPr>
        <w:footnoteReference w:id="152"/>
      </w:r>
      <w:r>
        <w:rPr>
          <w:rFonts w:ascii="Amiri" w:hAnsi="Amiri" w:eastAsia="Amiri" w:cs="Amiri"/>
          <w:lang w:bidi="ar-SA"/>
          <w:color w:val="111111"/>
          <w:sz w:val="28"/>
          <w:szCs w:val="28"/>
          <w:rtl/>
        </w:rPr>
        <w:t xml:space="preserve">يقابل القبح</w:t>
      </w:r>
      <w:r>
        <w:rPr>
          <w:rStyle w:val="FootnoteReference"/>
        </w:rPr>
        <w:footnoteReference w:id="153"/>
      </w:r>
      <w:r>
        <w:rPr>
          <w:rFonts w:ascii="Amiri" w:hAnsi="Amiri" w:eastAsia="Amiri" w:cs="Amiri"/>
          <w:lang w:bidi="ar-SA"/>
          <w:color w:val="111111"/>
          <w:sz w:val="28"/>
          <w:szCs w:val="28"/>
          <w:rtl/>
        </w:rPr>
        <w:t xml:space="preserve">كما يقال: «لا يجوز صدور المعجزة على يد الكاذب</w:t>
      </w:r>
      <w:r>
        <w:rPr>
          <w:rStyle w:val="FootnoteReference"/>
        </w:rPr>
        <w:footnoteReference w:id="154"/>
      </w:r>
      <w:r>
        <w:rPr>
          <w:rFonts w:ascii="IRNazanin" w:hAnsi="IRNazanin" w:eastAsia="IRNazanin" w:cs="IRNazanin"/>
          <w:lang w:bidi="fa-IR"/>
          <w:color w:val="111111"/>
          <w:sz w:val="28"/>
          <w:szCs w:val="28"/>
          <w:rtl/>
        </w:rPr>
        <w:t xml:space="preserve">» أو «لا يجوز الظّلم من الله تعالی» مثلاً.</w:t>
      </w:r>
    </w:p>
    <w:p>
      <w:pPr>
        <w:pStyle w:val="BookText"/>
      </w:pPr>
      <w:r>
        <w:rPr>
          <w:rFonts w:ascii="Amiri" w:hAnsi="Amiri" w:eastAsia="Amiri" w:cs="Amiri"/>
          <w:lang w:bidi="ar-SA"/>
          <w:color w:val="111111"/>
          <w:sz w:val="28"/>
          <w:szCs w:val="28"/>
          <w:rtl/>
        </w:rPr>
        <w:t xml:space="preserve">وقد يستعمل فيما يقابل الغلط كما يقال: «يجوز استعمال اللّفظ في المعنى المجازي مع القرينة ولا يجوز استعمال المشترك في أزيد من معنى».</w:t>
      </w:r>
    </w:p>
    <w:p>
      <w:pPr>
        <w:pStyle w:val="BookText"/>
      </w:pPr>
      <w:r>
        <w:rPr>
          <w:rFonts w:ascii="IRNazanin" w:hAnsi="IRNazanin" w:eastAsia="IRNazanin" w:cs="IRNazanin"/>
          <w:lang w:bidi="fa-IR"/>
          <w:color w:val="111111"/>
          <w:sz w:val="28"/>
          <w:szCs w:val="28"/>
          <w:rtl/>
        </w:rPr>
        <w:t xml:space="preserve">وقد يستعمل فيما يقابل الباطل كما يقال: «يجوز بيع الفضولي» یعني يصحّ.</w:t>
      </w:r>
    </w:p>
    <w:p>
      <w:pPr>
        <w:pStyle w:val="BookText"/>
      </w:pPr>
      <w:r>
        <w:rPr>
          <w:rFonts w:ascii="Amiri" w:hAnsi="Amiri" w:eastAsia="Amiri" w:cs="Amiri"/>
          <w:lang w:bidi="ar-SA"/>
          <w:color w:val="111111"/>
          <w:sz w:val="28"/>
          <w:szCs w:val="28"/>
          <w:rtl/>
        </w:rPr>
        <w:t xml:space="preserve">وقد يستعمل</w:t>
      </w:r>
      <w:r>
        <w:rPr>
          <w:rStyle w:val="FootnoteReference"/>
        </w:rPr>
        <w:footnoteReference w:id="155"/>
      </w:r>
      <w:r>
        <w:rPr>
          <w:rFonts w:ascii="Amiri" w:hAnsi="Amiri" w:eastAsia="Amiri" w:cs="Amiri"/>
          <w:lang w:bidi="ar-SA"/>
          <w:color w:val="111111"/>
          <w:sz w:val="28"/>
          <w:szCs w:val="28"/>
          <w:rtl/>
        </w:rPr>
        <w:t xml:space="preserve">فيما يقابل الوجوب والحرمة الشّرعيّين أو العقليين.</w:t>
      </w:r>
    </w:p>
    <w:p>
      <w:pPr>
        <w:pStyle w:val="BookText"/>
      </w:pPr>
      <w:r>
        <w:rPr>
          <w:rFonts w:ascii="IRNazanin" w:hAnsi="IRNazanin" w:eastAsia="IRNazanin" w:cs="IRNazanin"/>
          <w:lang w:bidi="fa-IR"/>
          <w:color w:val="111111"/>
          <w:sz w:val="28"/>
          <w:szCs w:val="28"/>
          <w:rtl/>
        </w:rPr>
        <w:t xml:space="preserve">والجامع بين الکلّ هو المضيّ وعدم المنع إلّا أنّ المانع قد يكون حكم العقل بالاستحالة أو</w:t>
      </w:r>
      <w:r>
        <w:rPr>
          <w:rStyle w:val="FootnoteReference"/>
        </w:rPr>
        <w:footnoteReference w:id="156"/>
      </w:r>
      <w:r>
        <w:rPr>
          <w:rFonts w:ascii="IRNazanin" w:hAnsi="IRNazanin" w:eastAsia="IRNazanin" w:cs="IRNazanin"/>
          <w:lang w:bidi="fa-IR"/>
          <w:color w:val="111111"/>
          <w:sz w:val="28"/>
          <w:szCs w:val="28"/>
          <w:rtl/>
        </w:rPr>
        <w:t xml:space="preserve">القبح</w:t>
      </w:r>
      <w:r>
        <w:rPr>
          <w:rStyle w:val="FootnoteReference"/>
        </w:rPr>
        <w:footnoteReference w:id="157"/>
      </w:r>
      <w:r>
        <w:rPr>
          <w:rFonts w:ascii="Amiri" w:hAnsi="Amiri" w:eastAsia="Amiri" w:cs="Amiri"/>
          <w:lang w:bidi="ar-SA"/>
          <w:color w:val="111111"/>
          <w:sz w:val="28"/>
          <w:szCs w:val="28"/>
          <w:rtl/>
        </w:rPr>
        <w:t xml:space="preserve">وقد يكون شرعيّاً وضعيّاً وقد يكون شرعيّاً تکلیفيّاً وقد يكون لُغويّاً.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2" w:name="pg6784_51115"/>
    <w:bookmarkEnd w:id="32"/>
    <w:p>
      <w:pPr>
        <w:pStyle w:val="BookText"/>
      </w:pPr>
      <w:r>
        <w:rPr>
          <w:rFonts w:ascii="IRNazanin" w:hAnsi="IRNazanin" w:eastAsia="IRNazanin" w:cs="IRNazanin"/>
          <w:lang w:bidi="fa-IR"/>
          <w:color w:val="111111"/>
          <w:sz w:val="28"/>
          <w:szCs w:val="28"/>
          <w:rtl/>
        </w:rPr>
        <w:t xml:space="preserve">والجواز أیضاً كذلك عقلي وشرعي تکلیفي ووضعي ولغوي.</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والمراد به في المقام بناء على كون المسألة عقلية محضة - على ما عرفت من ظاهر عنوان القوم - هو الأعمّ ممّا يقابل الاستحالة أو القبح، فالمراد به الإمکان العقلي الأعمّ من الذّاتي والوقوعي وبناء على تعميم محلّ</w:t>
      </w:r>
      <w:r>
        <w:rPr>
          <w:rStyle w:val="FootnoteReference"/>
        </w:rPr>
        <w:footnoteReference w:id="159"/>
      </w:r>
      <w:r>
        <w:rPr>
          <w:rFonts w:ascii="IRNazanin" w:hAnsi="IRNazanin" w:eastAsia="IRNazanin" w:cs="IRNazanin"/>
          <w:lang w:bidi="fa-IR"/>
          <w:color w:val="111111"/>
          <w:sz w:val="28"/>
          <w:szCs w:val="28"/>
          <w:rtl/>
        </w:rPr>
        <w:t xml:space="preserve">النزاع إلى اللّفظي أیضاً - كما هو الأليق بالمقصود - المراد به الأعمّ منهما ومن عدم المنع الشّرعي بمعنى عدم الدّليل على عدم الاجتماع شرعاً ويكفي القائل بالمنع إثبات أحد الأمور المذكورة. ولا بدّ للقائل بالجواز من نفي الکلّ.</w:t>
      </w:r>
    </w:p>
    <w:p>
      <w:pPr>
        <w:pStyle w:val="Heading6"/>
      </w:pPr>
      <w:bookmarkStart w:id="370" w:name="_Toc51"/>
      <w:r>
        <w:t>[الموضع الثاني: في تحقیق معنى الاجتماع]</w:t>
      </w:r>
      <w:bookmarkEnd w:id="370"/>
    </w:p>
    <w:p>
      <w:pPr>
        <w:pStyle w:val="Heading6"/>
      </w:pPr>
      <w:bookmarkStart w:id="371" w:name="_Toc52"/>
      <w:r>
        <w:t>اشارة</w:t>
      </w:r>
      <w:bookmarkEnd w:id="371"/>
    </w:p>
    <w:p>
      <w:pPr>
        <w:pStyle w:val="BookText"/>
      </w:pPr>
      <w:r>
        <w:rPr>
          <w:rFonts w:ascii="Amiri" w:hAnsi="Amiri" w:eastAsia="Amiri" w:cs="Amiri"/>
          <w:lang w:bidi="ar-SA"/>
          <w:color w:val="111111"/>
          <w:sz w:val="28"/>
          <w:szCs w:val="28"/>
          <w:rtl/>
        </w:rPr>
        <w:t xml:space="preserve">ثانيها</w:t>
      </w:r>
      <w:r>
        <w:rPr>
          <w:rStyle w:val="FootnoteReference"/>
        </w:rPr>
        <w:footnoteReference w:id="160"/>
      </w:r>
      <w:r>
        <w:rPr>
          <w:rFonts w:ascii="Amiri" w:hAnsi="Amiri" w:eastAsia="Amiri" w:cs="Amiri"/>
          <w:lang w:bidi="ar-SA"/>
          <w:color w:val="111111"/>
          <w:sz w:val="28"/>
          <w:szCs w:val="28"/>
          <w:rtl/>
        </w:rPr>
        <w:t xml:space="preserve">: المراد بالاجتماع المضاف إلى الأمر والنّهي هو كون أمر واحد متعلّقاً لهما فعلاً ولو بالانطباق العقلي ولو مع عدم الالتزام بترتّب لوازمهما وآثارهما.</w:t>
      </w:r>
    </w:p>
    <w:p>
      <w:pPr>
        <w:pStyle w:val="BookText"/>
      </w:pPr>
      <w:r>
        <w:rPr>
          <w:rFonts w:ascii="Amiri" w:hAnsi="Amiri" w:eastAsia="Amiri" w:cs="Amiri"/>
          <w:lang w:bidi="ar-SA"/>
          <w:color w:val="111111"/>
          <w:sz w:val="28"/>
          <w:szCs w:val="28"/>
          <w:rtl/>
        </w:rPr>
        <w:t xml:space="preserve">فالمراد اجتماعهما بنفسهما ولا يعتبر في صدقه وكونه داخلاً في محلّ النّزاع التزام ترتّب جميع اللّوازم من الصحّة وحصول القرب والثواب والعقاب.</w:t>
      </w:r>
    </w:p>
    <w:p>
      <w:pPr>
        <w:pStyle w:val="BookText"/>
      </w:pPr>
      <w:r>
        <w:rPr>
          <w:rFonts w:ascii="Amiri" w:hAnsi="Amiri" w:eastAsia="Amiri" w:cs="Amiri"/>
          <w:lang w:bidi="ar-SA"/>
          <w:color w:val="111111"/>
          <w:sz w:val="28"/>
          <w:szCs w:val="28"/>
          <w:rtl/>
        </w:rPr>
        <w:t xml:space="preserve">فلو فرضنا عدم حصول القرب مع الالتزام بوجود الأمر والنّهي كما ربما يظهر من المحقّق القمي</w:t>
      </w:r>
      <w:r>
        <w:rPr>
          <w:rStyle w:val="FootnoteReference"/>
        </w:rPr>
        <w:footnoteReference w:id="161"/>
      </w:r>
      <w:r>
        <w:rPr>
          <w:rFonts w:ascii="IRNazanin" w:hAnsi="IRNazanin" w:eastAsia="IRNazanin" w:cs="IRNazanin"/>
          <w:lang w:bidi="fa-IR"/>
          <w:color w:val="111111"/>
          <w:sz w:val="28"/>
          <w:szCs w:val="28"/>
          <w:rtl/>
        </w:rPr>
        <w:t xml:space="preserve">(قدس‌سره) أو عدم إمکان قصد التقرّب كما قد يقال كان من الاجتماع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المتنازع فيه والقائل به قائل بجواز الاجتماع وإن کان باطلاً من حيث إنّه إذا فرض وجود الأمر فلا معنى لعدم إمکان قصد القربة وكذا لا معنى لعدم حصول القرب والثواب من هذه الحيثيّة</w:t>
      </w:r>
      <w:r>
        <w:rPr>
          <w:rStyle w:val="FootnoteReference"/>
        </w:rPr>
        <w:footnoteReference w:id="162"/>
      </w:r>
      <w:r>
        <w:rPr>
          <w:rFonts w:ascii="IRNazanin" w:hAnsi="IRNazanin" w:eastAsia="IRNazanin" w:cs="IRNazanin"/>
          <w:lang w:bidi="fa-IR"/>
          <w:color w:val="111111"/>
          <w:sz w:val="28"/>
          <w:szCs w:val="28"/>
          <w:rtl/>
        </w:rPr>
        <w:t xml:space="preserve">وإن کان معاقباً من الحيثيّة</w:t>
      </w:r>
      <w:r>
        <w:rPr>
          <w:rStyle w:val="FootnoteReference"/>
        </w:rPr>
        <w:footnoteReference w:id="163"/>
      </w:r>
      <w:r>
        <w:rPr>
          <w:rFonts w:ascii="IRNazanin" w:hAnsi="IRNazanin" w:eastAsia="IRNazanin" w:cs="IRNazanin"/>
          <w:lang w:bidi="fa-IR"/>
          <w:color w:val="111111"/>
          <w:sz w:val="28"/>
          <w:szCs w:val="28"/>
          <w:rtl/>
        </w:rPr>
        <w:t xml:space="preserve">الأخرى.</w:t>
      </w:r>
    </w:p>
    <w:p>
      <w:pPr>
        <w:pStyle w:val="BookText"/>
      </w:pPr>
      <w:r>
        <w:rPr>
          <w:rFonts w:ascii="IRNazanin" w:hAnsi="IRNazanin" w:eastAsia="IRNazanin" w:cs="IRNazanin"/>
          <w:lang w:bidi="fa-IR"/>
          <w:color w:val="111111"/>
          <w:sz w:val="28"/>
          <w:szCs w:val="28"/>
          <w:rtl/>
        </w:rPr>
        <w:t xml:space="preserve">فالغرض أنّه ليس المراد من الاجتماع المتنازع فيه الاجتماع بجميع الآثار واللّوازم وإن کان القول به متعيّناً على فرضه.</w:t>
      </w:r>
    </w:p>
    <w:p>
      <w:pPr>
        <w:pStyle w:val="BookText"/>
      </w:pPr>
      <w:r>
        <w:rPr>
          <w:rFonts w:ascii="Amiri" w:hAnsi="Amiri" w:eastAsia="Amiri" w:cs="Amiri"/>
          <w:lang w:bidi="ar-SA"/>
          <w:color w:val="111111"/>
          <w:sz w:val="28"/>
          <w:szCs w:val="28"/>
          <w:rtl/>
        </w:rPr>
        <w:t xml:space="preserve">كما أنّه لا يكفي فيه الالتزام بترتّب الآثار مع عدم أحدهما كأن يقال: إنّ النّهي غير موجود لكنّ العقاب موجود، كما يقال: إنّ الامتناع بالاختيار لا ينافي الاختيار عقاباً وإن نافاه خطاباً.</w:t>
      </w:r>
    </w:p>
    <w:p>
      <w:pPr>
        <w:pStyle w:val="BookText"/>
      </w:pPr>
      <w:r>
        <w:rPr>
          <w:rFonts w:ascii="Amiri" w:hAnsi="Amiri" w:eastAsia="Amiri" w:cs="Amiri"/>
          <w:lang w:bidi="ar-SA"/>
          <w:color w:val="111111"/>
          <w:sz w:val="28"/>
          <w:szCs w:val="28"/>
          <w:rtl/>
        </w:rPr>
        <w:t xml:space="preserve">فمن قال بأنّ من توسّط أرضاً مغصوبةً ليس منهياً</w:t>
      </w:r>
      <w:r>
        <w:rPr>
          <w:rStyle w:val="FootnoteReference"/>
        </w:rPr>
        <w:footnoteReference w:id="164"/>
      </w:r>
      <w:r>
        <w:rPr>
          <w:rFonts w:ascii="IRNazanin" w:hAnsi="IRNazanin" w:eastAsia="IRNazanin" w:cs="IRNazanin"/>
          <w:lang w:bidi="fa-IR"/>
          <w:color w:val="111111"/>
          <w:sz w:val="28"/>
          <w:szCs w:val="28"/>
          <w:rtl/>
        </w:rPr>
        <w:t xml:space="preserve">عن الخروج لكنّه معاقب عليه، لیس قائلاً بالاجتماع وكذا</w:t>
      </w:r>
      <w:r>
        <w:rPr>
          <w:rStyle w:val="FootnoteReference"/>
        </w:rPr>
        <w:footnoteReference w:id="165"/>
      </w:r>
      <w:r>
        <w:rPr>
          <w:rFonts w:ascii="Amiri" w:hAnsi="Amiri" w:eastAsia="Amiri" w:cs="Amiri"/>
          <w:lang w:bidi="ar-SA"/>
          <w:color w:val="111111"/>
          <w:sz w:val="28"/>
          <w:szCs w:val="28"/>
          <w:rtl/>
        </w:rPr>
        <w:t xml:space="preserve">من قال: إنّ الصّلاة في الدّار الغصبيّة</w:t>
      </w:r>
      <w:r>
        <w:rPr>
          <w:rStyle w:val="FootnoteReference"/>
        </w:rPr>
        <w:footnoteReference w:id="166"/>
      </w:r>
      <w:r>
        <w:rPr>
          <w:rFonts w:ascii="Amiri" w:hAnsi="Amiri" w:eastAsia="Amiri" w:cs="Amiri"/>
          <w:lang w:bidi="ar-SA"/>
          <w:color w:val="111111"/>
          <w:sz w:val="28"/>
          <w:szCs w:val="28"/>
          <w:rtl/>
        </w:rPr>
        <w:t xml:space="preserve">ليست مأموراًبها لكنّها صحيحة من جهة أنّها واجدة لمصلحة المأمور بها</w:t>
      </w:r>
      <w:r>
        <w:rPr>
          <w:rStyle w:val="FootnoteReference"/>
        </w:rPr>
        <w:footnoteReference w:id="167"/>
      </w:r>
      <w:r>
        <w:rPr>
          <w:rFonts w:ascii="Amiri" w:hAnsi="Amiri" w:eastAsia="Amiri" w:cs="Amiri"/>
          <w:lang w:bidi="ar-SA"/>
          <w:color w:val="111111"/>
          <w:sz w:val="28"/>
          <w:szCs w:val="28"/>
          <w:rtl/>
        </w:rPr>
        <w:t xml:space="preserve">ومطابقة للطّبيعة المأمور بها، كما نلتزم به على فرض</w:t>
      </w:r>
      <w:r>
        <w:rPr>
          <w:rStyle w:val="FootnoteReference"/>
        </w:rPr>
        <w:footnoteReference w:id="168"/>
      </w:r>
      <w:r>
        <w:rPr>
          <w:rFonts w:ascii="IRNazanin" w:hAnsi="IRNazanin" w:eastAsia="IRNazanin" w:cs="IRNazanin"/>
          <w:lang w:bidi="fa-IR"/>
          <w:color w:val="111111"/>
          <w:sz w:val="28"/>
          <w:szCs w:val="28"/>
          <w:rtl/>
        </w:rPr>
        <w:t xml:space="preserve">القول بعدم الجواز أو</w:t>
      </w:r>
      <w:r>
        <w:rPr>
          <w:rStyle w:val="FootnoteReference"/>
        </w:rPr>
        <w:footnoteReference w:id="169"/>
      </w:r>
      <w:r>
        <w:rPr>
          <w:rFonts w:ascii="IRNazanin" w:hAnsi="IRNazanin" w:eastAsia="IRNazanin" w:cs="IRNazanin"/>
          <w:lang w:bidi="fa-IR"/>
          <w:color w:val="111111"/>
          <w:sz w:val="28"/>
          <w:szCs w:val="28"/>
          <w:rtl/>
        </w:rPr>
        <w:t xml:space="preserve">أنّها غير صحيحة أیضاً لكنّها مسقطة للتکلیف بالصّلاة، ليس قائلاً بالاجتماع؛ إذ ليس هذا اجتماعاً للأمر والنّهي.</w:t>
      </w:r>
    </w:p>
    <w:p>
      <w:pPr>
        <w:pStyle w:val="BookText"/>
      </w:pPr>
      <w:r>
        <w:rPr>
          <w:rFonts w:ascii="Amiri" w:hAnsi="Amiri" w:eastAsia="Amiri" w:cs="Amiri"/>
          <w:lang w:bidi="ar-SA"/>
          <w:color w:val="111111"/>
          <w:sz w:val="28"/>
          <w:szCs w:val="28"/>
          <w:rtl/>
        </w:rPr>
        <w:t xml:space="preserve">ومن ذلك ظهر أنّه لا وجه لما يظهر من بعضهم من أنّ المراد الاجتماع مع جميع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3" w:name="pg6784_51117"/>
    <w:bookmarkEnd w:id="33"/>
    <w:p>
      <w:pPr>
        <w:pStyle w:val="BookText"/>
      </w:pPr>
      <w:r>
        <w:rPr>
          <w:rFonts w:ascii="Amiri" w:hAnsi="Amiri" w:eastAsia="Amiri" w:cs="Amiri"/>
          <w:lang w:bidi="ar-SA"/>
          <w:color w:val="111111"/>
          <w:sz w:val="28"/>
          <w:szCs w:val="28"/>
          <w:rtl/>
        </w:rPr>
        <w:t xml:space="preserve">خواصّهما ولوازمهما وأحكامهما من حصول القرب والامتثال والثواب والعقاب،</w:t>
      </w:r>
      <w:r>
        <w:rPr>
          <w:rStyle w:val="FootnoteReference"/>
        </w:rPr>
        <w:footnoteReference w:id="170"/>
      </w:r>
      <w:r>
        <w:rPr>
          <w:rFonts w:ascii="Amiri" w:hAnsi="Amiri" w:eastAsia="Amiri" w:cs="Amiri"/>
          <w:lang w:bidi="ar-SA"/>
          <w:color w:val="111111"/>
          <w:sz w:val="28"/>
          <w:szCs w:val="28"/>
          <w:rtl/>
        </w:rPr>
        <w:t xml:space="preserve">إلّا أن يكون غرضه أنّ النّزاع في الاجتماع الذي</w:t>
      </w:r>
      <w:r>
        <w:rPr>
          <w:rStyle w:val="FootnoteReference"/>
        </w:rPr>
        <w:footnoteReference w:id="171"/>
      </w:r>
      <w:r>
        <w:rPr>
          <w:rFonts w:ascii="Amiri" w:hAnsi="Amiri" w:eastAsia="Amiri" w:cs="Amiri"/>
          <w:lang w:bidi="ar-SA"/>
          <w:color w:val="111111"/>
          <w:sz w:val="28"/>
          <w:szCs w:val="28"/>
          <w:rtl/>
        </w:rPr>
        <w:t xml:space="preserve">من شأنه ما ذكر واقعاً وإن لم يلتزم القائل به بذلك.</w:t>
      </w:r>
    </w:p>
    <w:p>
      <w:pPr>
        <w:pStyle w:val="BookText"/>
      </w:pPr>
      <w:r>
        <w:rPr>
          <w:rFonts w:ascii="Amiri" w:hAnsi="Amiri" w:eastAsia="Amiri" w:cs="Amiri"/>
          <w:lang w:bidi="ar-SA"/>
          <w:color w:val="111111"/>
          <w:sz w:val="28"/>
          <w:szCs w:val="28"/>
          <w:rtl/>
        </w:rPr>
        <w:t xml:space="preserve">وكذا لا وجه لما حكي عن العضدي من ذكر القول بالإسقاط في عداد أقوال المسألة حيث إنّه - بعد ما مثّل لمحلّ النّزاع بمسألة الصّلاة في الدّار المغصوبة - قال:</w:t>
      </w:r>
    </w:p>
    <w:p>
      <w:pPr>
        <w:pStyle w:val="BookText"/>
      </w:pPr>
      <w:r>
        <w:rPr>
          <w:rFonts w:ascii="IRNazanin" w:hAnsi="IRNazanin" w:eastAsia="IRNazanin" w:cs="IRNazanin"/>
          <w:lang w:bidi="fa-IR"/>
          <w:color w:val="111111"/>
          <w:sz w:val="28"/>
          <w:szCs w:val="28"/>
          <w:rtl/>
        </w:rPr>
        <w:t xml:space="preserve">«قال الجمهور: تصحّ الصّلاة، وقال القاضي: لا تصحّ لكن یسقط الفعل</w:t>
      </w:r>
      <w:r>
        <w:rPr>
          <w:rStyle w:val="FootnoteReference"/>
        </w:rPr>
        <w:footnoteReference w:id="172"/>
      </w:r>
      <w:r>
        <w:rPr>
          <w:rFonts w:ascii="IRNazanin" w:hAnsi="IRNazanin" w:eastAsia="IRNazanin" w:cs="IRNazanin"/>
          <w:lang w:bidi="fa-IR"/>
          <w:color w:val="111111"/>
          <w:sz w:val="28"/>
          <w:szCs w:val="28"/>
          <w:rtl/>
        </w:rPr>
        <w:t xml:space="preserve">عندها لا بها، وقال أحمد وأكثر المتکلّمين والجُبّائي: لا تصحّ ولا تسقط</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r>
        <w:rPr>
          <w:rStyle w:val="FootnoteReference"/>
        </w:rPr>
        <w:footnoteReference w:id="174"/>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فإنّ الإسقاط ليس اجتماعاً بل عرفت أنّ الصحّة مع عدم</w:t>
      </w:r>
      <w:r>
        <w:rPr>
          <w:rStyle w:val="FootnoteReference"/>
        </w:rPr>
        <w:footnoteReference w:id="175"/>
      </w:r>
      <w:r>
        <w:rPr>
          <w:rFonts w:ascii="IRNazanin" w:hAnsi="IRNazanin" w:eastAsia="IRNazanin" w:cs="IRNazanin"/>
          <w:lang w:bidi="fa-IR"/>
          <w:color w:val="111111"/>
          <w:sz w:val="28"/>
          <w:szCs w:val="28"/>
          <w:rtl/>
        </w:rPr>
        <w:t xml:space="preserve">الأمر أیضاً ليس اجتماعاً فضلاً عن الإسقاط ولعلّ غرضه ذكر الأقوال في خصوص الصّلاة المذكورة وإن کان لا دخل لبعضها بمسألة الاجتماع أو أنّ قولين</w:t>
      </w:r>
      <w:r>
        <w:rPr>
          <w:rStyle w:val="FootnoteReference"/>
        </w:rPr>
        <w:footnoteReference w:id="176"/>
      </w:r>
      <w:r>
        <w:rPr>
          <w:rFonts w:ascii="IRNazanin" w:hAnsi="IRNazanin" w:eastAsia="IRNazanin" w:cs="IRNazanin"/>
          <w:lang w:bidi="fa-IR"/>
          <w:color w:val="111111"/>
          <w:sz w:val="28"/>
          <w:szCs w:val="28"/>
          <w:rtl/>
        </w:rPr>
        <w:t xml:space="preserve">منها راجعان إلى قول واحد في أصل المسألة فإنّ القول الثّاني والثّالث کليهما قول بالامتناع</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6"/>
      </w:pPr>
      <w:bookmarkStart w:id="372" w:name="_Toc53"/>
      <w:r>
        <w:t>[خروج الاجتماع الآمري الصرف والمأموري كذلك عن محلّ النزاع]</w:t>
      </w:r>
      <w:bookmarkEnd w:id="372"/>
    </w:p>
    <w:p>
      <w:pPr>
        <w:pStyle w:val="BookText"/>
      </w:pPr>
      <w:r>
        <w:rPr>
          <w:rFonts w:ascii="Amiri" w:hAnsi="Amiri" w:eastAsia="Amiri" w:cs="Amiri"/>
          <w:lang w:bidi="ar-SA"/>
          <w:color w:val="111111"/>
          <w:sz w:val="28"/>
          <w:szCs w:val="28"/>
          <w:rtl/>
        </w:rPr>
        <w:t xml:space="preserve">ثمّ المراد من الاجتماع المذكور أعمّ من الآمري والمأموري المشوبين، وأمّا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الآمري الصّرف والمأموري كذلك فخارجان عن النّزاع.</w:t>
      </w:r>
    </w:p>
    <w:p>
      <w:pPr>
        <w:pStyle w:val="BookText"/>
      </w:pPr>
      <w:r>
        <w:rPr>
          <w:rFonts w:ascii="IRNazanin" w:hAnsi="IRNazanin" w:eastAsia="IRNazanin" w:cs="IRNazanin"/>
          <w:lang w:bidi="fa-IR"/>
          <w:color w:val="111111"/>
          <w:sz w:val="28"/>
          <w:szCs w:val="28"/>
          <w:rtl/>
        </w:rPr>
        <w:t xml:space="preserve">بيان ذلك: أنّ الاجتماع إمّا آمري صرف كما إذا کلّف الشّارع بالصّلاة في الدّار المغصوبة مع النّهي عن الغصب إذا</w:t>
      </w:r>
      <w:r>
        <w:rPr>
          <w:rStyle w:val="FootnoteReference"/>
        </w:rPr>
        <w:footnoteReference w:id="178"/>
      </w:r>
      <w:r>
        <w:rPr>
          <w:rFonts w:ascii="IRNazanin" w:hAnsi="IRNazanin" w:eastAsia="IRNazanin" w:cs="IRNazanin"/>
          <w:lang w:bidi="fa-IR"/>
          <w:color w:val="111111"/>
          <w:sz w:val="28"/>
          <w:szCs w:val="28"/>
          <w:rtl/>
        </w:rPr>
        <w:t xml:space="preserve">كان المکلّف محبوساً فيها وكما إذا کلّف بإکرام زيد وتركه بخصوصه.</w:t>
      </w:r>
    </w:p>
    <w:p>
      <w:pPr>
        <w:pStyle w:val="BookText"/>
      </w:pPr>
      <w:r>
        <w:rPr>
          <w:rFonts w:ascii="IRNazanin" w:hAnsi="IRNazanin" w:eastAsia="IRNazanin" w:cs="IRNazanin"/>
          <w:lang w:bidi="fa-IR"/>
          <w:color w:val="111111"/>
          <w:sz w:val="28"/>
          <w:szCs w:val="28"/>
          <w:rtl/>
        </w:rPr>
        <w:t xml:space="preserve">وإمّا آمري مشوب بأن يكون لاختيار المکلّف أیضاً مدخل</w:t>
      </w:r>
      <w:r>
        <w:rPr>
          <w:rStyle w:val="FootnoteReference"/>
        </w:rPr>
        <w:footnoteReference w:id="179"/>
      </w:r>
      <w:r>
        <w:rPr>
          <w:rFonts w:ascii="Amiri" w:hAnsi="Amiri" w:eastAsia="Amiri" w:cs="Amiri"/>
          <w:lang w:bidi="ar-SA"/>
          <w:color w:val="111111"/>
          <w:sz w:val="28"/>
          <w:szCs w:val="28"/>
          <w:rtl/>
        </w:rPr>
        <w:t xml:space="preserve">في الاجتماع، وهو قسمان:</w:t>
      </w:r>
    </w:p>
    <w:p>
      <w:pPr>
        <w:pStyle w:val="BookText"/>
      </w:pPr>
      <w:r>
        <w:rPr>
          <w:rFonts w:ascii="IRNazanin" w:hAnsi="IRNazanin" w:eastAsia="IRNazanin" w:cs="IRNazanin"/>
          <w:lang w:bidi="fa-IR"/>
          <w:color w:val="111111"/>
          <w:sz w:val="28"/>
          <w:szCs w:val="28"/>
          <w:rtl/>
        </w:rPr>
        <w:t xml:space="preserve">فقد يكون الاختيار موجوداً حين العمل كما إذا قلنا بأنّ متعلّق الأحکام هي الأفراد وکلّفنا بالصّلاة وترك الغصب فإنّ في الصّلاة في الدّار المغصوبة اجتماعاً</w:t>
      </w:r>
      <w:r>
        <w:rPr>
          <w:rStyle w:val="FootnoteReference"/>
        </w:rPr>
        <w:footnoteReference w:id="180"/>
      </w:r>
      <w:r>
        <w:rPr>
          <w:rFonts w:ascii="IRNazanin" w:hAnsi="IRNazanin" w:eastAsia="IRNazanin" w:cs="IRNazanin"/>
          <w:lang w:bidi="fa-IR"/>
          <w:color w:val="111111"/>
          <w:sz w:val="28"/>
          <w:szCs w:val="28"/>
          <w:rtl/>
        </w:rPr>
        <w:t xml:space="preserve">للأمر والنهي من قبل الشارع حيث أمر بجميع الأفراد على سبيل البدليّة بناء على هذا القول ويكون المکلّف أیضاً دخيلاً فيه</w:t>
      </w:r>
      <w:r>
        <w:rPr>
          <w:rStyle w:val="FootnoteReference"/>
        </w:rPr>
        <w:footnoteReference w:id="181"/>
      </w:r>
      <w:r>
        <w:rPr>
          <w:rFonts w:ascii="Amiri" w:hAnsi="Amiri" w:eastAsia="Amiri" w:cs="Amiri"/>
          <w:lang w:bidi="ar-SA"/>
          <w:color w:val="111111"/>
          <w:sz w:val="28"/>
          <w:szCs w:val="28"/>
          <w:rtl/>
        </w:rPr>
        <w:t xml:space="preserve">حيث</w:t>
      </w:r>
      <w:r>
        <w:rPr>
          <w:rStyle w:val="FootnoteReference"/>
        </w:rPr>
        <w:footnoteReference w:id="182"/>
      </w:r>
      <w:r>
        <w:rPr>
          <w:rFonts w:ascii="Amiri" w:hAnsi="Amiri" w:eastAsia="Amiri" w:cs="Amiri"/>
          <w:lang w:bidi="ar-SA"/>
          <w:color w:val="111111"/>
          <w:sz w:val="28"/>
          <w:szCs w:val="28"/>
          <w:rtl/>
        </w:rPr>
        <w:t xml:space="preserve">إنّه كان له</w:t>
      </w:r>
      <w:r>
        <w:rPr>
          <w:rStyle w:val="FootnoteReference"/>
        </w:rPr>
        <w:footnoteReference w:id="183"/>
      </w:r>
      <w:r>
        <w:rPr>
          <w:rFonts w:ascii="Amiri" w:hAnsi="Amiri" w:eastAsia="Amiri" w:cs="Amiri"/>
          <w:lang w:bidi="ar-SA"/>
          <w:color w:val="111111"/>
          <w:sz w:val="28"/>
          <w:szCs w:val="28"/>
          <w:rtl/>
        </w:rPr>
        <w:t xml:space="preserve">أن يختار فرداً آخر</w:t>
      </w:r>
      <w:r>
        <w:rPr>
          <w:rStyle w:val="FootnoteReference"/>
        </w:rPr>
        <w:footnoteReference w:id="184"/>
      </w:r>
      <w:r>
        <w:rPr>
          <w:rFonts w:ascii="Amiri" w:hAnsi="Amiri" w:eastAsia="Amiri" w:cs="Amiri"/>
          <w:lang w:bidi="ar-SA"/>
          <w:color w:val="111111"/>
          <w:sz w:val="28"/>
          <w:szCs w:val="28"/>
          <w:rtl/>
        </w:rPr>
        <w:t xml:space="preserve">فبسوء اختياره جمع بينهما.</w:t>
      </w:r>
    </w:p>
    <w:p>
      <w:pPr>
        <w:pStyle w:val="BookText"/>
      </w:pPr>
      <w:r>
        <w:rPr>
          <w:rFonts w:ascii="IRNazanin" w:hAnsi="IRNazanin" w:eastAsia="IRNazanin" w:cs="IRNazanin"/>
          <w:lang w:bidi="fa-IR"/>
          <w:color w:val="111111"/>
          <w:sz w:val="28"/>
          <w:szCs w:val="28"/>
          <w:rtl/>
        </w:rPr>
        <w:t xml:space="preserve">وقد يكون الاختيار سابقاً على حال العمل كما إذا دخل المكان الغصبي وقلنا بأنّه مأمور بالخروج وترك الغصب أو بالصّلاة وترك الغصب وأنّ الامتناع بالاختيار لا ينافي الاختيار خطاباً أیضاً.</w:t>
      </w:r>
    </w:p>
    <w:p>
      <w:pPr>
        <w:pStyle w:val="BookText"/>
      </w:pPr>
      <w:r>
        <w:rPr>
          <w:rFonts w:ascii="Amiri" w:hAnsi="Amiri" w:eastAsia="Amiri" w:cs="Amiri"/>
          <w:lang w:bidi="ar-SA"/>
          <w:color w:val="111111"/>
          <w:sz w:val="28"/>
          <w:szCs w:val="28"/>
          <w:rtl/>
        </w:rPr>
        <w:t xml:space="preserve">وإمّا مأموري مشوبٌ كما إذا قلنا إنّ</w:t>
      </w:r>
      <w:r>
        <w:rPr>
          <w:rStyle w:val="FootnoteReference"/>
        </w:rPr>
        <w:footnoteReference w:id="185"/>
      </w:r>
      <w:r>
        <w:rPr>
          <w:rFonts w:ascii="IRNazanin" w:hAnsi="IRNazanin" w:eastAsia="IRNazanin" w:cs="IRNazanin"/>
          <w:lang w:bidi="fa-IR"/>
          <w:color w:val="111111"/>
          <w:sz w:val="28"/>
          <w:szCs w:val="28"/>
          <w:rtl/>
        </w:rPr>
        <w:t xml:space="preserve">متعلّق الأحکام هي الطبایع وفرضنا أنّ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الشّارع أمر بالصّلاة من غير تقييد بكونها في غير المكان المغصوب فأتى المکلّف بهافيه فإنّ الاجتماع</w:t>
      </w:r>
      <w:r>
        <w:rPr>
          <w:rStyle w:val="FootnoteReference"/>
        </w:rPr>
        <w:footnoteReference w:id="186"/>
      </w:r>
      <w:r>
        <w:rPr>
          <w:rFonts w:ascii="IRNazanin" w:hAnsi="IRNazanin" w:eastAsia="IRNazanin" w:cs="IRNazanin"/>
          <w:lang w:bidi="fa-IR"/>
          <w:color w:val="111111"/>
          <w:sz w:val="28"/>
          <w:szCs w:val="28"/>
          <w:rtl/>
        </w:rPr>
        <w:t xml:space="preserve">إنّما جاء من سوء اختيار المکلّف فهو مأموري إلّا أنّ الآمر أیضاً دخيل فيه حيث إنّه أیضاً لم يقيّد الطّبيعة المطلوبة.</w:t>
      </w:r>
    </w:p>
    <w:p>
      <w:pPr>
        <w:pStyle w:val="BookText"/>
      </w:pPr>
      <w:r>
        <w:rPr>
          <w:rFonts w:ascii="IRNazanin" w:hAnsi="IRNazanin" w:eastAsia="IRNazanin" w:cs="IRNazanin"/>
          <w:lang w:bidi="fa-IR"/>
          <w:color w:val="111111"/>
          <w:sz w:val="28"/>
          <w:szCs w:val="28"/>
          <w:rtl/>
        </w:rPr>
        <w:t xml:space="preserve">وإنّما جعلنا هذا القسم مأمورياً والسّابقين آمرياً مع أنّ الکلّ مشترك في أنّ الاجتماع من قبل الآمر والمأمور بمعنى أنّ لکلّ منهما دخلاً فيه؛ لأنّ في السّابقين مدخليّة الآمر أكثر من مدخليّة المکلّف حيث أمر بخصوص الفرد ونهى عنه وإن کان الأمر تخييرياً وكان للمکلّف مندوحة وفي هذا القسم مدخليّة المأمور أكثر حيث إنّ الآمر لم يلاحظ خصوص الأفراد ولم يأمر بها، غاية الأمر أنّه لم يقيّد الطبيعة.</w:t>
      </w:r>
    </w:p>
    <w:p>
      <w:pPr>
        <w:pStyle w:val="BookText"/>
      </w:pPr>
      <w:r>
        <w:rPr>
          <w:rFonts w:ascii="IRNazanin" w:hAnsi="IRNazanin" w:eastAsia="IRNazanin" w:cs="IRNazanin"/>
          <w:lang w:bidi="fa-IR"/>
          <w:color w:val="111111"/>
          <w:sz w:val="28"/>
          <w:szCs w:val="28"/>
          <w:rtl/>
        </w:rPr>
        <w:t xml:space="preserve">وإمّا مأموري صرف كما إذا قلنا إنّ متعلّق الطّلب هي الطّبيعة المقيّدة بكونها في غير الفرد المحرّم بأن لا يكون الفرد المحرّم مورداً للأمر العقلي التطبیقي أیضاً إلّا أنّ ذات ذلك الفرد في حدّ نفسه واجد</w:t>
      </w:r>
      <w:r>
        <w:rPr>
          <w:rStyle w:val="FootnoteReference"/>
        </w:rPr>
        <w:footnoteReference w:id="187"/>
      </w:r>
      <w:r>
        <w:rPr>
          <w:rFonts w:ascii="Amiri" w:hAnsi="Amiri" w:eastAsia="Amiri" w:cs="Amiri"/>
          <w:lang w:bidi="ar-SA"/>
          <w:color w:val="111111"/>
          <w:sz w:val="28"/>
          <w:szCs w:val="28"/>
          <w:rtl/>
        </w:rPr>
        <w:t xml:space="preserve">لمصلحة المأمور به</w:t>
      </w:r>
      <w:r>
        <w:rPr>
          <w:rStyle w:val="FootnoteReference"/>
        </w:rPr>
        <w:footnoteReference w:id="188"/>
      </w:r>
      <w:r>
        <w:rPr>
          <w:rFonts w:ascii="IRNazanin" w:hAnsi="IRNazanin" w:eastAsia="IRNazanin" w:cs="IRNazanin"/>
          <w:lang w:bidi="fa-IR"/>
          <w:color w:val="111111"/>
          <w:sz w:val="28"/>
          <w:szCs w:val="28"/>
          <w:rtl/>
        </w:rPr>
        <w:t xml:space="preserve">فيكون مطلوباً لكنّه غير مأمور به بأن يكون دائرة المطلوب أوسع من دائرة الطّلب كما في التوصّليات بل التعبّديات أیضاً يمكن أن تكون كذلك كما سيأتي بيانه إن شاء الله تعالى.</w:t>
      </w:r>
    </w:p>
    <w:p>
      <w:pPr>
        <w:pStyle w:val="BookText"/>
      </w:pPr>
      <w:r>
        <w:rPr>
          <w:rFonts w:ascii="IRNazanin" w:hAnsi="IRNazanin" w:eastAsia="IRNazanin" w:cs="IRNazanin"/>
          <w:lang w:bidi="fa-IR"/>
          <w:color w:val="111111"/>
          <w:sz w:val="28"/>
          <w:szCs w:val="28"/>
          <w:rtl/>
        </w:rPr>
        <w:t xml:space="preserve">لا إشکال في خروج القسم الأوّل وهو الآمري الصّرف عن محلّ النّزاع؛ لأنّه تکلیف محال أو بالمحال، وهو واضح.</w:t>
      </w:r>
    </w:p>
    <w:p>
      <w:pPr>
        <w:pStyle w:val="BookText"/>
      </w:pPr>
      <w:r>
        <w:rPr>
          <w:rFonts w:ascii="Amiri" w:hAnsi="Amiri" w:eastAsia="Amiri" w:cs="Amiri"/>
          <w:lang w:bidi="ar-SA"/>
          <w:color w:val="111111"/>
          <w:sz w:val="28"/>
          <w:szCs w:val="28"/>
          <w:rtl/>
        </w:rPr>
        <w:t xml:space="preserve">وكذا في</w:t>
      </w:r>
      <w:r>
        <w:rPr>
          <w:rStyle w:val="FootnoteReference"/>
        </w:rPr>
        <w:footnoteReference w:id="189"/>
      </w:r>
      <w:r>
        <w:rPr>
          <w:rFonts w:ascii="IRNazanin" w:hAnsi="IRNazanin" w:eastAsia="IRNazanin" w:cs="IRNazanin"/>
          <w:lang w:bidi="fa-IR"/>
          <w:color w:val="111111"/>
          <w:sz w:val="28"/>
          <w:szCs w:val="28"/>
          <w:rtl/>
        </w:rPr>
        <w:t xml:space="preserve">خروج القسم الأخير لما عرفت أیضاً من أنّه ليس من اجتماع الأمر والنّهي بل اجتماع ذات المأمور به مع المنهي عنه وإن کان لا بدّ من التّکلّم فيه بعد الفراغ عن المسألة وأنّه إذا قلنا بعدم جواز الاجتماع فهل يمكن تصحيح العمل من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الوجه أو لا؟ وذلك</w:t>
      </w:r>
      <w:r>
        <w:rPr>
          <w:rStyle w:val="FootnoteReference"/>
        </w:rPr>
        <w:footnoteReference w:id="190"/>
      </w:r>
      <w:r>
        <w:rPr>
          <w:rFonts w:ascii="Amiri" w:hAnsi="Amiri" w:eastAsia="Amiri" w:cs="Amiri"/>
          <w:lang w:bidi="ar-SA"/>
          <w:color w:val="111111"/>
          <w:sz w:val="28"/>
          <w:szCs w:val="28"/>
          <w:rtl/>
        </w:rPr>
        <w:t xml:space="preserve">بأن يقال: إنّ الصّلاة في الدّار الغصبيّة وإن لم تكن</w:t>
      </w:r>
      <w:r>
        <w:rPr>
          <w:rStyle w:val="FootnoteReference"/>
        </w:rPr>
        <w:footnoteReference w:id="191"/>
      </w:r>
      <w:r>
        <w:rPr>
          <w:rFonts w:ascii="Amiri" w:hAnsi="Amiri" w:eastAsia="Amiri" w:cs="Amiri"/>
          <w:lang w:bidi="ar-SA"/>
          <w:color w:val="111111"/>
          <w:sz w:val="28"/>
          <w:szCs w:val="28"/>
          <w:rtl/>
        </w:rPr>
        <w:t xml:space="preserve">مأموراً بها مطلقاً</w:t>
      </w:r>
      <w:r>
        <w:rPr>
          <w:rStyle w:val="FootnoteReference"/>
        </w:rPr>
        <w:footnoteReference w:id="192"/>
      </w:r>
      <w:r>
        <w:rPr>
          <w:rFonts w:ascii="IRNazanin" w:hAnsi="IRNazanin" w:eastAsia="IRNazanin" w:cs="IRNazanin"/>
          <w:lang w:bidi="fa-IR"/>
          <w:color w:val="111111"/>
          <w:sz w:val="28"/>
          <w:szCs w:val="28"/>
          <w:rtl/>
        </w:rPr>
        <w:t xml:space="preserve">إلّا أنّها مثل سائر أفراد الصّلاة في واجديتها للمصلحة. غاية الأمر أنّ الشّارع لا يمكنه طلبها؛ لأنّ المفروض أنّه نهى عن الغصب المتّحد معها فلو عصى المکلّفوأتى بها فقد حصل الغرض وأتى بالمطلوب.</w:t>
      </w:r>
    </w:p>
    <w:p>
      <w:pPr>
        <w:pStyle w:val="BookText"/>
      </w:pPr>
      <w:r>
        <w:rPr>
          <w:rFonts w:ascii="Amiri" w:hAnsi="Amiri" w:eastAsia="Amiri" w:cs="Amiri"/>
          <w:lang w:bidi="ar-SA"/>
          <w:color w:val="111111"/>
          <w:sz w:val="28"/>
          <w:szCs w:val="28"/>
          <w:rtl/>
        </w:rPr>
        <w:t xml:space="preserve">كما إذا فرضنا أنّ المولى يريد الماء لرفع</w:t>
      </w:r>
      <w:r>
        <w:rPr>
          <w:rStyle w:val="FootnoteReference"/>
        </w:rPr>
        <w:footnoteReference w:id="193"/>
      </w:r>
      <w:r>
        <w:rPr>
          <w:rFonts w:ascii="IRNazanin" w:hAnsi="IRNazanin" w:eastAsia="IRNazanin" w:cs="IRNazanin"/>
          <w:lang w:bidi="fa-IR"/>
          <w:color w:val="111111"/>
          <w:sz w:val="28"/>
          <w:szCs w:val="28"/>
          <w:rtl/>
        </w:rPr>
        <w:t xml:space="preserve">العطش فأمر عبده بإتیانه ولا يمكنه أمر غير عبده لأنّه</w:t>
      </w:r>
      <w:r>
        <w:rPr>
          <w:rStyle w:val="FootnoteReference"/>
        </w:rPr>
        <w:footnoteReference w:id="194"/>
      </w:r>
      <w:r>
        <w:rPr>
          <w:rFonts w:ascii="Amiri" w:hAnsi="Amiri" w:eastAsia="Amiri" w:cs="Amiri"/>
          <w:lang w:bidi="ar-SA"/>
          <w:color w:val="111111"/>
          <w:sz w:val="28"/>
          <w:szCs w:val="28"/>
          <w:rtl/>
        </w:rPr>
        <w:t xml:space="preserve">ليس مطاعاً بالنّسبة إليه</w:t>
      </w:r>
      <w:r>
        <w:rPr>
          <w:rStyle w:val="FootnoteReference"/>
        </w:rPr>
        <w:footnoteReference w:id="195"/>
      </w:r>
      <w:r>
        <w:rPr>
          <w:rFonts w:ascii="Amiri" w:hAnsi="Amiri" w:eastAsia="Amiri" w:cs="Amiri"/>
          <w:lang w:bidi="ar-SA"/>
          <w:color w:val="111111"/>
          <w:sz w:val="28"/>
          <w:szCs w:val="28"/>
          <w:rtl/>
        </w:rPr>
        <w:t xml:space="preserve">لكنّه إذا أتى بالماء فقد أتى بمطلوبه ويحصل غرضه.</w:t>
      </w:r>
    </w:p>
    <w:p>
      <w:pPr>
        <w:pStyle w:val="BookText"/>
      </w:pPr>
      <w:r>
        <w:rPr>
          <w:rFonts w:ascii="Amiri" w:hAnsi="Amiri" w:eastAsia="Amiri" w:cs="Amiri"/>
          <w:lang w:bidi="ar-SA"/>
          <w:color w:val="111111"/>
          <w:sz w:val="28"/>
          <w:szCs w:val="28"/>
          <w:rtl/>
        </w:rPr>
        <w:t xml:space="preserve">لكنّ هذا إسقاط وما نحن فيه يمكن أن يكون أداء؛ لأنّ المأمور</w:t>
      </w:r>
      <w:r>
        <w:rPr>
          <w:rStyle w:val="FootnoteReference"/>
        </w:rPr>
        <w:footnoteReference w:id="196"/>
      </w:r>
      <w:r>
        <w:rPr>
          <w:rFonts w:ascii="Amiri" w:hAnsi="Amiri" w:eastAsia="Amiri" w:cs="Amiri"/>
          <w:lang w:bidi="ar-SA"/>
          <w:color w:val="111111"/>
          <w:sz w:val="28"/>
          <w:szCs w:val="28"/>
          <w:rtl/>
        </w:rPr>
        <w:t xml:space="preserve">أتى بذلك الفرد لا غيره.</w:t>
      </w:r>
    </w:p>
    <w:p>
      <w:pPr>
        <w:pStyle w:val="BookText"/>
      </w:pPr>
      <w:r>
        <w:rPr>
          <w:rFonts w:ascii="Amiri" w:hAnsi="Amiri" w:eastAsia="Amiri" w:cs="Amiri"/>
          <w:lang w:bidi="ar-SA"/>
          <w:color w:val="111111"/>
          <w:sz w:val="28"/>
          <w:szCs w:val="28"/>
          <w:rtl/>
        </w:rPr>
        <w:t xml:space="preserve">وكيف كان فلا دخل له بما نحن فيه من اجتماع الأمر والنّهي نظير القول بالإسقاط.</w:t>
      </w:r>
    </w:p>
    <w:p>
      <w:pPr>
        <w:pStyle w:val="BookText"/>
      </w:pPr>
      <w:r>
        <w:rPr>
          <w:rFonts w:ascii="IRNazanin" w:hAnsi="IRNazanin" w:eastAsia="IRNazanin" w:cs="IRNazanin"/>
          <w:lang w:bidi="fa-IR"/>
          <w:color w:val="111111"/>
          <w:sz w:val="28"/>
          <w:szCs w:val="28"/>
          <w:rtl/>
        </w:rPr>
        <w:t xml:space="preserve">وأمّا الأقسام الأخر فکلّها محلّ النزاع.</w:t>
      </w:r>
    </w:p>
    <w:p>
      <w:pPr>
        <w:pStyle w:val="BookText"/>
      </w:pPr>
      <w:r>
        <w:rPr>
          <w:rFonts w:ascii="Amiri" w:hAnsi="Amiri" w:eastAsia="Amiri" w:cs="Amiri"/>
          <w:lang w:bidi="ar-SA"/>
          <w:color w:val="111111"/>
          <w:sz w:val="28"/>
          <w:szCs w:val="28"/>
          <w:rtl/>
        </w:rPr>
        <w:t xml:space="preserve">لكن قد يقال بخروج القسم الثاني</w:t>
      </w:r>
      <w:r>
        <w:rPr>
          <w:rStyle w:val="FootnoteReference"/>
        </w:rPr>
        <w:footnoteReference w:id="197"/>
      </w:r>
      <w:r>
        <w:rPr>
          <w:rFonts w:ascii="IRNazanin" w:hAnsi="IRNazanin" w:eastAsia="IRNazanin" w:cs="IRNazanin"/>
          <w:lang w:bidi="fa-IR"/>
          <w:color w:val="111111"/>
          <w:sz w:val="28"/>
          <w:szCs w:val="28"/>
          <w:rtl/>
        </w:rPr>
        <w:t xml:space="preserve">منها</w:t>
      </w:r>
      <w:r>
        <w:rPr>
          <w:rStyle w:val="FootnoteReference"/>
        </w:rPr>
        <w:footnoteReference w:id="198"/>
      </w:r>
      <w:r>
        <w:rPr>
          <w:rFonts w:ascii="IRNazanin" w:hAnsi="IRNazanin" w:eastAsia="IRNazanin" w:cs="IRNazanin"/>
          <w:lang w:bidi="fa-IR"/>
          <w:color w:val="111111"/>
          <w:sz w:val="28"/>
          <w:szCs w:val="28"/>
          <w:rtl/>
        </w:rPr>
        <w:t xml:space="preserve">عنه</w:t>
      </w:r>
      <w:r>
        <w:rPr>
          <w:rStyle w:val="FootnoteReference"/>
        </w:rPr>
        <w:footnoteReference w:id="199"/>
      </w:r>
      <w:r>
        <w:rPr>
          <w:rFonts w:ascii="IRNazanin" w:hAnsi="IRNazanin" w:eastAsia="IRNazanin" w:cs="IRNazanin"/>
          <w:lang w:bidi="fa-IR"/>
          <w:color w:val="111111"/>
          <w:sz w:val="28"/>
          <w:szCs w:val="28"/>
          <w:rtl/>
        </w:rPr>
        <w:t xml:space="preserve">إذ مسألة الامتناع بالاختيار مسألة برأسها وقد تکلّموا فيها مستقلّاً.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وفيه: أنّ الحيثيّة الّتي يتکلّمون فيها هناك غير هذه الحيثيّة؛ إذ يمكن أن يقال: إنّ الامتناع بالاختيار لا ينافي الاختيار من حيث هو، لكن إذا كان من اجتماع الأمر والنّهي فلا يجوز التکلیف؛ لأنّه محال، فیختصّ حینئذٍ جواز التکلیف مع عدم القدرة حين العمل بما إذا كان مثل ترك المقدّمة الوجوديّة في زمان ذى المقدّمة أو قبله</w:t>
      </w:r>
      <w:r>
        <w:rPr>
          <w:rStyle w:val="FootnoteReference"/>
        </w:rPr>
        <w:footnoteReference w:id="200"/>
      </w:r>
      <w:r>
        <w:rPr>
          <w:rFonts w:ascii="Amiri" w:hAnsi="Amiri" w:eastAsia="Amiri" w:cs="Amiri"/>
          <w:lang w:bidi="ar-SA"/>
          <w:color w:val="111111"/>
          <w:sz w:val="28"/>
          <w:szCs w:val="28"/>
          <w:rtl/>
        </w:rPr>
        <w:t xml:space="preserve">فإنّه يمكن أن يقال: إنّه مأمور به وإن لم يمكنه</w:t>
      </w:r>
      <w:r>
        <w:rPr>
          <w:rStyle w:val="FootnoteReference"/>
        </w:rPr>
        <w:footnoteReference w:id="201"/>
      </w:r>
      <w:r>
        <w:rPr>
          <w:rFonts w:ascii="IRNazanin" w:hAnsi="IRNazanin" w:eastAsia="IRNazanin" w:cs="IRNazanin"/>
          <w:lang w:bidi="fa-IR"/>
          <w:color w:val="111111"/>
          <w:sz w:val="28"/>
          <w:szCs w:val="28"/>
          <w:rtl/>
        </w:rPr>
        <w:t xml:space="preserve">الإتیان؛ لأنّه ممتنع بالاختيار، أمّا مثل المثال المذكور أي الخروج عن المكان المغصوب فيبتني جواز حرمته ووجوبه على هذه المسألة.وقد يتخيّل خروج القسم الأوّل</w:t>
      </w:r>
      <w:r>
        <w:rPr>
          <w:rStyle w:val="FootnoteReference"/>
        </w:rPr>
        <w:footnoteReference w:id="202"/>
      </w:r>
      <w:r>
        <w:rPr>
          <w:rFonts w:ascii="IRNazanin" w:hAnsi="IRNazanin" w:eastAsia="IRNazanin" w:cs="IRNazanin"/>
          <w:lang w:bidi="fa-IR"/>
          <w:color w:val="111111"/>
          <w:sz w:val="28"/>
          <w:szCs w:val="28"/>
          <w:rtl/>
        </w:rPr>
        <w:t xml:space="preserve">منها</w:t>
      </w:r>
      <w:r>
        <w:rPr>
          <w:rStyle w:val="FootnoteReference"/>
        </w:rPr>
        <w:footnoteReference w:id="203"/>
      </w:r>
      <w:r>
        <w:rPr>
          <w:rFonts w:ascii="IRNazanin" w:hAnsi="IRNazanin" w:eastAsia="IRNazanin" w:cs="IRNazanin"/>
          <w:lang w:bidi="fa-IR"/>
          <w:color w:val="111111"/>
          <w:sz w:val="28"/>
          <w:szCs w:val="28"/>
          <w:rtl/>
        </w:rPr>
        <w:t xml:space="preserve">عنه</w:t>
      </w:r>
      <w:r>
        <w:rPr>
          <w:rStyle w:val="FootnoteReference"/>
        </w:rPr>
        <w:footnoteReference w:id="204"/>
      </w:r>
      <w:r>
        <w:rPr>
          <w:rFonts w:ascii="IRNazanin" w:hAnsi="IRNazanin" w:eastAsia="IRNazanin" w:cs="IRNazanin"/>
          <w:lang w:bidi="fa-IR"/>
          <w:color w:val="111111"/>
          <w:sz w:val="28"/>
          <w:szCs w:val="28"/>
          <w:rtl/>
        </w:rPr>
        <w:t xml:space="preserve">من حيث إنّ متعلّق الأحکام إذا كان هو الأفراد فيكون الوجوب المتعلّق بها وجوباً تخييريّاً شرعيّاً والمفروض أنّ الحرمة عينية فإذا تعلّق الحرمة العينية</w:t>
      </w:r>
      <w:r>
        <w:rPr>
          <w:rStyle w:val="FootnoteReference"/>
        </w:rPr>
        <w:footnoteReference w:id="205"/>
      </w:r>
      <w:r>
        <w:rPr>
          <w:rFonts w:ascii="Amiri" w:hAnsi="Amiri" w:eastAsia="Amiri" w:cs="Amiri"/>
          <w:lang w:bidi="ar-SA"/>
          <w:color w:val="111111"/>
          <w:sz w:val="28"/>
          <w:szCs w:val="28"/>
          <w:rtl/>
        </w:rPr>
        <w:t xml:space="preserve">بفرد فلا يمكن</w:t>
      </w:r>
      <w:r>
        <w:rPr>
          <w:rStyle w:val="FootnoteReference"/>
        </w:rPr>
        <w:footnoteReference w:id="206"/>
      </w:r>
      <w:r>
        <w:rPr>
          <w:rFonts w:ascii="Amiri" w:hAnsi="Amiri" w:eastAsia="Amiri" w:cs="Amiri"/>
          <w:lang w:bidi="ar-SA"/>
          <w:color w:val="111111"/>
          <w:sz w:val="28"/>
          <w:szCs w:val="28"/>
          <w:rtl/>
        </w:rPr>
        <w:t xml:space="preserve">تعلّق الأمر الشّرعي به ولو كان تخييريّاً للزوم السّفه في ترخيص فعله فضلاً عن الوجوب، مع أنّ كونه من التّناقض واضح لايخفى على أحد فلا يظنّ من أحد النزاع فيه.</w:t>
      </w:r>
    </w:p>
    <w:p>
      <w:pPr>
        <w:pStyle w:val="BookText"/>
      </w:pPr>
      <w:r>
        <w:rPr>
          <w:rFonts w:ascii="Amiri" w:hAnsi="Amiri" w:eastAsia="Amiri" w:cs="Amiri"/>
          <w:lang w:bidi="ar-SA"/>
          <w:color w:val="111111"/>
          <w:sz w:val="28"/>
          <w:szCs w:val="28"/>
          <w:rtl/>
        </w:rPr>
        <w:t xml:space="preserve">وهذا بخلاف القسم الأخير وهو المأموري المشوب حيث إنّ المتعلّق إذا كان هو الطّبيعة كما هو المفروض فيه فلا يكون من التّخيير الشّرعي وليس من التناقض لاختلاف موضوعي الحكمين أو ليس تناقضه على فرضه واضحاً حتّى لا يقبل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النّزاع.</w:t>
      </w:r>
      <w:r>
        <w:rPr>
          <w:rStyle w:val="FootnoteReference"/>
        </w:rPr>
        <w:footnoteReference w:id="207"/>
      </w:r>
    </w:p>
    <w:p>
      <w:pPr>
        <w:pStyle w:val="BookText"/>
      </w:pPr>
      <w:r>
        <w:rPr>
          <w:rFonts w:ascii="Amiri" w:hAnsi="Amiri" w:eastAsia="Amiri" w:cs="Amiri"/>
          <w:lang w:bidi="ar-SA"/>
          <w:color w:val="111111"/>
          <w:sz w:val="28"/>
          <w:szCs w:val="28"/>
          <w:rtl/>
        </w:rPr>
        <w:t xml:space="preserve">وفيه: أوّلاً: أنّ رجوعه إلى التّخيير الشّرعي ممنوع؛ إذ فرق واضح بين التخيير بين الأفراد</w:t>
      </w:r>
      <w:r>
        <w:rPr>
          <w:rStyle w:val="FootnoteReference"/>
        </w:rPr>
        <w:footnoteReference w:id="208"/>
      </w:r>
      <w:r>
        <w:rPr>
          <w:rFonts w:ascii="IRNazanin" w:hAnsi="IRNazanin" w:eastAsia="IRNazanin" w:cs="IRNazanin"/>
          <w:lang w:bidi="fa-IR"/>
          <w:color w:val="111111"/>
          <w:sz w:val="28"/>
          <w:szCs w:val="28"/>
          <w:rtl/>
        </w:rPr>
        <w:t xml:space="preserve">شرعاً وبين ما نحن فيه؛ إذ في التّخيير الشّرعي جميع الأفراد واجبة على سبيل التخيير بخصوصيّتها لا من حيث انطباقها على الطّبيعة وفي المقام ولو قلنا إنّ الطّلب متعلّق بالفرد إلّا أنّ المطلوب کلّ واحد من الأفراد من حيث إنّه وجود الطّبيعة فالخصوصيّات ملغاة وكان المطلوب هو الطّبيعة إلّا أنّه لمّا</w:t>
      </w:r>
      <w:r>
        <w:rPr>
          <w:rStyle w:val="FootnoteReference"/>
        </w:rPr>
        <w:footnoteReference w:id="209"/>
      </w:r>
      <w:r>
        <w:rPr>
          <w:rFonts w:ascii="Amiri" w:hAnsi="Amiri" w:eastAsia="Amiri" w:cs="Amiri"/>
          <w:lang w:bidi="ar-SA"/>
          <w:color w:val="111111"/>
          <w:sz w:val="28"/>
          <w:szCs w:val="28"/>
          <w:rtl/>
        </w:rPr>
        <w:t xml:space="preserve">لم يمكن طلب الطّبيعة من حيث هي اعتبروا أنّ الطّلب تعلّق بالأفراد فالمطلوب على هذا الفرض الفرد لا من حيث إنّه فرد بل من حيث إنّه طبيعة.</w:t>
      </w:r>
    </w:p>
    <w:p>
      <w:pPr>
        <w:pStyle w:val="BookText"/>
      </w:pPr>
      <w:r>
        <w:rPr>
          <w:rFonts w:ascii="Amiri" w:hAnsi="Amiri" w:eastAsia="Amiri" w:cs="Amiri"/>
          <w:lang w:bidi="ar-SA"/>
          <w:color w:val="111111"/>
          <w:sz w:val="28"/>
          <w:szCs w:val="28"/>
          <w:rtl/>
        </w:rPr>
        <w:t xml:space="preserve">وإن شئت فقل: إنّ المطلوب فرد ما من الأفراد لا هذا وذاك</w:t>
      </w:r>
      <w:r>
        <w:rPr>
          <w:rStyle w:val="FootnoteReference"/>
        </w:rPr>
        <w:footnoteReference w:id="210"/>
      </w:r>
      <w:r>
        <w:rPr>
          <w:rFonts w:ascii="Amiri" w:hAnsi="Amiri" w:eastAsia="Amiri" w:cs="Amiri"/>
          <w:lang w:bidi="ar-SA"/>
          <w:color w:val="111111"/>
          <w:sz w:val="28"/>
          <w:szCs w:val="28"/>
          <w:rtl/>
        </w:rPr>
        <w:t xml:space="preserve">على سبيل التّخيير وإذا كان كذلك فلا يلزم سفه في إيجابه على هذا الوجه وتحريمه عيناً مع أنّ مجرّد ذلك لايوجب كونه خارجاً عن محلّ النّزاع فإنّه يمكن أن يختفي هذا البيانأي كونه راجعاً إلى التّخيير الشّرعي على واحد.</w:t>
      </w:r>
    </w:p>
    <w:p>
      <w:pPr>
        <w:pStyle w:val="BookText"/>
      </w:pPr>
      <w:r>
        <w:rPr>
          <w:rFonts w:ascii="IRNazanin" w:hAnsi="IRNazanin" w:eastAsia="IRNazanin" w:cs="IRNazanin"/>
          <w:lang w:bidi="fa-IR"/>
          <w:color w:val="111111"/>
          <w:sz w:val="28"/>
          <w:szCs w:val="28"/>
          <w:rtl/>
        </w:rPr>
        <w:t xml:space="preserve">ومن ذلك ظهر أنّه لا وجه لما قد يحتمل في المقام من كون أصل النّزاع في المسألة صغرويّاً بأن يكون النّزاع في أنّ متعلّق الأحکام هي الطّبائع حتّى يجوز الاجتماع بالاتّفاق أو الأفراد حتّى لا يجوز كذلك.</w:t>
      </w:r>
    </w:p>
    <w:p>
      <w:pPr>
        <w:pStyle w:val="BookText"/>
      </w:pPr>
      <w:r>
        <w:rPr>
          <w:rFonts w:ascii="IRNazanin" w:hAnsi="IRNazanin" w:eastAsia="IRNazanin" w:cs="IRNazanin"/>
          <w:lang w:bidi="fa-IR"/>
          <w:color w:val="111111"/>
          <w:sz w:val="28"/>
          <w:szCs w:val="28"/>
          <w:rtl/>
        </w:rPr>
        <w:t xml:space="preserve">وبعبارة أخری: الاجتماع في مثل الصّلاة والغصب آمري حتّى لا يكون جائزاً أو مأموري حتّى يكون جائزاً.</w:t>
      </w:r>
    </w:p>
    <w:p>
      <w:pPr>
        <w:pStyle w:val="BookText"/>
      </w:pPr>
      <w:r>
        <w:rPr>
          <w:rFonts w:ascii="Amiri" w:hAnsi="Amiri" w:eastAsia="Amiri" w:cs="Amiri"/>
          <w:lang w:bidi="ar-SA"/>
          <w:color w:val="111111"/>
          <w:sz w:val="28"/>
          <w:szCs w:val="28"/>
          <w:rtl/>
        </w:rPr>
        <w:t xml:space="preserve">ويؤيّده ما يرى من استدلال المجوّز بكون المتعلّق هو الطّبيعة والمانع بكونه هو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4" w:name="pg6784_51123"/>
    <w:bookmarkEnd w:id="34"/>
    <w:p>
      <w:pPr>
        <w:pStyle w:val="BookText"/>
      </w:pPr>
      <w:r>
        <w:rPr>
          <w:rFonts w:ascii="IRNazanin" w:hAnsi="IRNazanin" w:eastAsia="IRNazanin" w:cs="IRNazanin"/>
          <w:lang w:bidi="fa-IR"/>
          <w:color w:val="111111"/>
          <w:sz w:val="28"/>
          <w:szCs w:val="28"/>
          <w:rtl/>
        </w:rPr>
        <w:t xml:space="preserve">الفرد.</w:t>
      </w:r>
    </w:p>
    <w:p>
      <w:pPr>
        <w:pStyle w:val="BookText"/>
      </w:pPr>
      <w:r>
        <w:rPr>
          <w:rFonts w:ascii="IRNazanin" w:hAnsi="IRNazanin" w:eastAsia="IRNazanin" w:cs="IRNazanin"/>
          <w:lang w:bidi="fa-IR"/>
          <w:color w:val="111111"/>
          <w:sz w:val="28"/>
          <w:szCs w:val="28"/>
          <w:rtl/>
        </w:rPr>
        <w:t xml:space="preserve">وذلك لما عرفت من إمکان النّزاع على التّقديرين مع إطلاق کلماتهم وظهورها في كونه كبرويّاً فلا وجه لصرفها عن ظاهرها.</w:t>
      </w:r>
    </w:p>
    <w:p>
      <w:pPr>
        <w:pStyle w:val="BookText"/>
      </w:pPr>
      <w:r>
        <w:rPr>
          <w:rFonts w:ascii="IRNazanin" w:hAnsi="IRNazanin" w:eastAsia="IRNazanin" w:cs="IRNazanin"/>
          <w:lang w:bidi="fa-IR"/>
          <w:color w:val="111111"/>
          <w:sz w:val="28"/>
          <w:szCs w:val="28"/>
          <w:rtl/>
        </w:rPr>
        <w:t xml:space="preserve">مع أنّ ظاهر أدلّتهم الأخر ما ذكرنا خصوصاً مع أنّه لو كان كما ذكر لم يكن وجه لهذا النّزاع بعد البحث عن تلك المسألة أي كون متعلّق الأحکام هو الطّبيعة أو الفرد مع أنّ أكثرهم عنونوا هذه المسألة بعد التکلّم في تلك المسألة.</w:t>
      </w:r>
    </w:p>
    <w:p>
      <w:pPr>
        <w:pStyle w:val="BookText"/>
      </w:pPr>
      <w:r>
        <w:rPr>
          <w:rFonts w:ascii="IRNazanin" w:hAnsi="IRNazanin" w:eastAsia="IRNazanin" w:cs="IRNazanin"/>
          <w:lang w:bidi="fa-IR"/>
          <w:color w:val="111111"/>
          <w:sz w:val="28"/>
          <w:szCs w:val="28"/>
          <w:rtl/>
        </w:rPr>
        <w:t xml:space="preserve">فظهر أنّ الأقسام</w:t>
      </w:r>
      <w:r>
        <w:rPr>
          <w:rStyle w:val="FootnoteReference"/>
        </w:rPr>
        <w:footnoteReference w:id="211"/>
      </w:r>
      <w:r>
        <w:rPr>
          <w:rFonts w:ascii="Amiri" w:hAnsi="Amiri" w:eastAsia="Amiri" w:cs="Amiri"/>
          <w:lang w:bidi="ar-SA"/>
          <w:color w:val="111111"/>
          <w:sz w:val="28"/>
          <w:szCs w:val="28"/>
          <w:rtl/>
        </w:rPr>
        <w:t xml:space="preserve">الثّلاثة</w:t>
      </w:r>
      <w:r>
        <w:rPr>
          <w:rStyle w:val="FootnoteReference"/>
        </w:rPr>
        <w:footnoteReference w:id="212"/>
      </w:r>
      <w:r>
        <w:rPr>
          <w:rFonts w:ascii="IRNazanin" w:hAnsi="IRNazanin" w:eastAsia="IRNazanin" w:cs="IRNazanin"/>
          <w:lang w:bidi="fa-IR"/>
          <w:color w:val="111111"/>
          <w:sz w:val="28"/>
          <w:szCs w:val="28"/>
          <w:rtl/>
        </w:rPr>
        <w:t xml:space="preserve">کلّها محلّ النّزاع وکلّها من اجتماع الأمر والنّهي إلّا أنّ في القسم الأخير الأمر تطبیقي وفي القسمين الأوّلين تحقيقي.</w:t>
      </w:r>
    </w:p>
    <w:p>
      <w:pPr>
        <w:pStyle w:val="BookText"/>
      </w:pPr>
      <w:r>
        <w:rPr>
          <w:rFonts w:ascii="Amiri" w:hAnsi="Amiri" w:eastAsia="Amiri" w:cs="Amiri"/>
          <w:lang w:bidi="ar-SA"/>
          <w:color w:val="111111"/>
          <w:sz w:val="28"/>
          <w:szCs w:val="28"/>
          <w:rtl/>
        </w:rPr>
        <w:t xml:space="preserve">وإن شئت فقل: إنّهما من اجتماع الأمر والنّهي والأخير من اجتماع المأمور به من حيث إنّه مأمور به مع المنهي عنه لكنّه مع هذه الحيثيّة من اجتماع الأمر والنّهي والنّزاع فيه من هذه الجهة.</w:t>
      </w:r>
    </w:p>
    <w:p>
      <w:pPr>
        <w:pStyle w:val="Heading6"/>
      </w:pPr>
      <w:bookmarkStart w:id="373" w:name="_Toc54"/>
      <w:r>
        <w:t>[في تضعیف قول صاحب المناهج]</w:t>
      </w:r>
      <w:bookmarkEnd w:id="373"/>
    </w:p>
    <w:p>
      <w:pPr>
        <w:pStyle w:val="BookText"/>
      </w:pPr>
      <w:r>
        <w:rPr>
          <w:rFonts w:ascii="Amiri" w:hAnsi="Amiri" w:eastAsia="Amiri" w:cs="Amiri"/>
          <w:lang w:bidi="ar-SA"/>
          <w:color w:val="111111"/>
          <w:sz w:val="28"/>
          <w:szCs w:val="28"/>
          <w:rtl/>
        </w:rPr>
        <w:t xml:space="preserve">ومن ذلك ظهر ضعف ما يظهر من المناهج</w:t>
      </w:r>
      <w:r>
        <w:rPr>
          <w:rStyle w:val="FootnoteReference"/>
        </w:rPr>
        <w:footnoteReference w:id="213"/>
      </w:r>
      <w:r>
        <w:rPr>
          <w:rFonts w:ascii="Amiri" w:hAnsi="Amiri" w:eastAsia="Amiri" w:cs="Amiri"/>
          <w:lang w:bidi="ar-SA"/>
          <w:color w:val="111111"/>
          <w:sz w:val="28"/>
          <w:szCs w:val="28"/>
          <w:rtl/>
        </w:rPr>
        <w:t xml:space="preserve">من خروج اجتماع المأمور به والمنهي عنه عن هذا النّزاع حيث قال:«اعلم أنّ ه-ٰهنا مسألتين:</w:t>
      </w:r>
    </w:p>
    <w:p>
      <w:pPr>
        <w:pStyle w:val="BookText"/>
      </w:pPr>
      <w:r>
        <w:rPr>
          <w:rFonts w:ascii="Amiri" w:hAnsi="Amiri" w:eastAsia="Amiri" w:cs="Amiri"/>
          <w:lang w:bidi="ar-SA"/>
          <w:color w:val="111111"/>
          <w:sz w:val="28"/>
          <w:szCs w:val="28"/>
          <w:rtl/>
        </w:rPr>
        <w:t xml:space="preserve">إحداهما: أنّه هل يجوز كون شي‌ء واحد متعلّقاً للوجوب والحرمة من جهتين - إلى أن قال -:</w:t>
      </w:r>
    </w:p>
    <w:p>
      <w:pPr>
        <w:pStyle w:val="BookText"/>
      </w:pPr>
      <w:r>
        <w:rPr>
          <w:rFonts w:ascii="IRNazanin" w:hAnsi="IRNazanin" w:eastAsia="IRNazanin" w:cs="IRNazanin"/>
          <w:lang w:bidi="fa-IR"/>
          <w:color w:val="111111"/>
          <w:sz w:val="28"/>
          <w:szCs w:val="28"/>
          <w:rtl/>
        </w:rPr>
        <w:t xml:space="preserve">وثانيتهما: أنّه إذا أمر بعامّ ونهى عن آخر أعمّ من وجه من الأوّل فأتى المکلّف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بالفرد الجامع فهل يحصل له الامتثال مع الإثم أم لا يمتثل؟</w:t>
      </w:r>
    </w:p>
    <w:p>
      <w:pPr>
        <w:pStyle w:val="BookText"/>
      </w:pPr>
      <w:r>
        <w:rPr>
          <w:rFonts w:ascii="IRNazanin" w:hAnsi="IRNazanin" w:eastAsia="IRNazanin" w:cs="IRNazanin"/>
          <w:lang w:bidi="fa-IR"/>
          <w:color w:val="111111"/>
          <w:sz w:val="28"/>
          <w:szCs w:val="28"/>
          <w:rtl/>
        </w:rPr>
        <w:t xml:space="preserve">والکلام في المسألة الأولى غير الکلام في الثانية؛ إذ لا دخل لها بتعلّق الأوامر والنّواهى بالطّبایع أو الأفراد ولا بوجوب المقدّمة وعدمه</w:t>
      </w:r>
      <w:r>
        <w:rPr>
          <w:rStyle w:val="FootnoteReference"/>
        </w:rPr>
        <w:footnoteReference w:id="214"/>
      </w:r>
    </w:p>
    <w:p>
      <w:pPr>
        <w:pStyle w:val="BookText"/>
      </w:pPr>
      <w:r>
        <w:rPr>
          <w:rFonts w:ascii="Amiri" w:hAnsi="Amiri" w:eastAsia="Amiri" w:cs="Amiri"/>
          <w:lang w:bidi="ar-SA"/>
          <w:color w:val="111111"/>
          <w:sz w:val="28"/>
          <w:szCs w:val="28"/>
          <w:rtl/>
        </w:rPr>
        <w:t xml:space="preserve">نعم يصلح الفرد الّذي هو محلّ الاجتماع في الثانية مثالاً للأولى على بعض الوجوه.</w:t>
      </w:r>
    </w:p>
    <w:p>
      <w:pPr>
        <w:pStyle w:val="BookText"/>
      </w:pPr>
      <w:r>
        <w:rPr>
          <w:rFonts w:ascii="IRNazanin" w:hAnsi="IRNazanin" w:eastAsia="IRNazanin" w:cs="IRNazanin"/>
          <w:lang w:bidi="fa-IR"/>
          <w:color w:val="111111"/>
          <w:sz w:val="28"/>
          <w:szCs w:val="28"/>
          <w:rtl/>
        </w:rPr>
        <w:t xml:space="preserve">وأمّا الکلام في الثّانية فإنّما هو بعد الکلام في الأولى ومتفرّع علیه</w:t>
      </w:r>
      <w:r>
        <w:rPr>
          <w:rStyle w:val="FootnoteReference"/>
        </w:rPr>
        <w:footnoteReference w:id="215"/>
      </w:r>
      <w:r>
        <w:rPr>
          <w:rFonts w:ascii="IRNazanin" w:hAnsi="IRNazanin" w:eastAsia="IRNazanin" w:cs="IRNazanin"/>
          <w:lang w:bidi="fa-IR"/>
          <w:color w:val="111111"/>
          <w:sz w:val="28"/>
          <w:szCs w:val="28"/>
          <w:rtl/>
        </w:rPr>
        <w:t xml:space="preserve">فإنّا لوقلنا في الأولى بالجواز يتفرّع عليه الامتثال بهذا الفرد مع الإثم وإن قلنا فيها بالامتناع فتحقیق حال ذلك الفرد موقوف على مسائل معنونة:</w:t>
      </w:r>
    </w:p>
    <w:p>
      <w:pPr>
        <w:pStyle w:val="BookText"/>
      </w:pPr>
      <w:r>
        <w:rPr>
          <w:rFonts w:ascii="IRNazanin" w:hAnsi="IRNazanin" w:eastAsia="IRNazanin" w:cs="IRNazanin"/>
          <w:lang w:bidi="fa-IR"/>
          <w:color w:val="111111"/>
          <w:sz w:val="28"/>
          <w:szCs w:val="28"/>
          <w:rtl/>
        </w:rPr>
        <w:t xml:space="preserve">إحداها: أنّ متعلّق الأحکام هوالطّبيعة أو الأفراد؟</w:t>
      </w:r>
    </w:p>
    <w:p>
      <w:pPr>
        <w:pStyle w:val="BookText"/>
      </w:pPr>
      <w:r>
        <w:rPr>
          <w:rFonts w:ascii="Amiri" w:hAnsi="Amiri" w:eastAsia="Amiri" w:cs="Amiri"/>
          <w:lang w:bidi="ar-SA"/>
          <w:color w:val="111111"/>
          <w:sz w:val="28"/>
          <w:szCs w:val="28"/>
          <w:rtl/>
        </w:rPr>
        <w:t xml:space="preserve">ثانيتها: أنّ مقدّمة الواجب واجبة أم لا؟</w:t>
      </w:r>
    </w:p>
    <w:p>
      <w:pPr>
        <w:pStyle w:val="BookText"/>
      </w:pPr>
      <w:r>
        <w:rPr>
          <w:rFonts w:ascii="Amiri" w:hAnsi="Amiri" w:eastAsia="Amiri" w:cs="Amiri"/>
          <w:lang w:bidi="ar-SA"/>
          <w:color w:val="111111"/>
          <w:sz w:val="28"/>
          <w:szCs w:val="28"/>
          <w:rtl/>
        </w:rPr>
        <w:t xml:space="preserve">ثالثتها: أنّه لو توصّل بالمقدّمة المحرّمة</w:t>
      </w:r>
      <w:r>
        <w:rPr>
          <w:rStyle w:val="FootnoteReference"/>
        </w:rPr>
        <w:footnoteReference w:id="216"/>
      </w:r>
      <w:r>
        <w:rPr>
          <w:rFonts w:ascii="Amiri" w:hAnsi="Amiri" w:eastAsia="Amiri" w:cs="Amiri"/>
          <w:lang w:bidi="ar-SA"/>
          <w:color w:val="111111"/>
          <w:sz w:val="28"/>
          <w:szCs w:val="28"/>
          <w:rtl/>
        </w:rPr>
        <w:t xml:space="preserve">إلى الواجب هل يحصل الامتثال بذى المقدّمة أم لا؟</w:t>
      </w:r>
    </w:p>
    <w:p>
      <w:pPr>
        <w:pStyle w:val="BookText"/>
      </w:pPr>
      <w:r>
        <w:rPr>
          <w:rFonts w:ascii="Amiri" w:hAnsi="Amiri" w:eastAsia="Amiri" w:cs="Amiri"/>
          <w:lang w:bidi="ar-SA"/>
          <w:color w:val="111111"/>
          <w:sz w:val="28"/>
          <w:szCs w:val="28"/>
          <w:rtl/>
        </w:rPr>
        <w:t xml:space="preserve">فإن قلنا: إنّ المتعلّق هو الفرد يتعيّن عدم الامتثال بالفرد وكذا إن قلنا بوجوب المقدّمة وعدم الامتثال بالمقدّمة المحرّمة</w:t>
      </w:r>
      <w:r>
        <w:rPr>
          <w:rStyle w:val="FootnoteReference"/>
        </w:rPr>
        <w:footnoteReference w:id="217"/>
      </w:r>
      <w:r>
        <w:rPr>
          <w:rFonts w:ascii="Amiri" w:hAnsi="Amiri" w:eastAsia="Amiri" w:cs="Amiri"/>
          <w:lang w:bidi="ar-SA"/>
          <w:color w:val="111111"/>
          <w:sz w:val="28"/>
          <w:szCs w:val="28"/>
          <w:rtl/>
        </w:rPr>
        <w:t xml:space="preserve">وإن قلنا إنّ المتعلّق هو الطبيعة ولا يجب المقدّمة أو يجب ولكن لو توصّل بالمقدّمة المحرّمة يسقط وجوب المقدّمة الواجبة ويحصل الامتثال بذي المقدّمة أمكن القول بصحّة هذا الفرد مع حصول الإثم.- إلى أن قال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لمّا كان بناء الأكثر على تعلّق الأوامر بالأفراد ووجوب المقدّمة فرّعوا المسألة الثانية على الأولى مطلقاً وذكروها في خلالها لما ذكر ولأجل ذلك اشتبه الأمر على بعضهم وغفل وخلط واختلط ولم يفرّق بين المسألتين فعنون الأولى وحكم بالجواز فيها واستدلّ عليه بأنّ الفرد في الثّانية ليس متعلّقاً للأمر وما أدري ما المناسبة بين الدّليل وبين المدلول؟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IRNazanin" w:hAnsi="IRNazanin" w:eastAsia="IRNazanin" w:cs="IRNazanin"/>
          <w:lang w:bidi="fa-IR"/>
          <w:color w:val="111111"/>
          <w:sz w:val="28"/>
          <w:szCs w:val="28"/>
          <w:rtl/>
        </w:rPr>
        <w:t xml:space="preserve">والأحسن أن يعنون کلّ من المسألتين بعنوان على حدة».</w:t>
      </w:r>
      <w:r>
        <w:rPr>
          <w:rStyle w:val="FootnoteReference"/>
        </w:rPr>
        <w:footnoteReference w:id="218"/>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وجه الضّعف أنّ العنوان إذا كان اجتماع الأمر والنّهي الأعمّ من القسمين فلا فرق بين المسألتين.</w:t>
      </w:r>
    </w:p>
    <w:p>
      <w:pPr>
        <w:pStyle w:val="BookText"/>
      </w:pPr>
      <w:r>
        <w:rPr>
          <w:rFonts w:ascii="IRNazanin" w:hAnsi="IRNazanin" w:eastAsia="IRNazanin" w:cs="IRNazanin"/>
          <w:lang w:bidi="fa-IR"/>
          <w:color w:val="111111"/>
          <w:sz w:val="28"/>
          <w:szCs w:val="28"/>
          <w:rtl/>
        </w:rPr>
        <w:t xml:space="preserve">ويدلّ على التّعميم مضافاً إلى تعميم العنوان ملاحظة الاستدلالات على ما ذكره والمناسبة بين الدّليل والمدلول حینئذٍ واضحة ولا اختصاص لما ذكره من العنوان بما ذكر والاستدلال كما ذكر ببعض دون بعض.</w:t>
      </w:r>
    </w:p>
    <w:p>
      <w:pPr>
        <w:pStyle w:val="BookText"/>
      </w:pPr>
      <w:r>
        <w:rPr>
          <w:rFonts w:ascii="IRNazanin" w:hAnsi="IRNazanin" w:eastAsia="IRNazanin" w:cs="IRNazanin"/>
          <w:lang w:bidi="fa-IR"/>
          <w:color w:val="111111"/>
          <w:sz w:val="28"/>
          <w:szCs w:val="28"/>
          <w:rtl/>
        </w:rPr>
        <w:t xml:space="preserve">بل هو كذلك في کلام المتقدّمين أیضاً مثل العضدي</w:t>
      </w:r>
      <w:r>
        <w:rPr>
          <w:rStyle w:val="FootnoteReference"/>
        </w:rPr>
        <w:footnoteReference w:id="219"/>
      </w:r>
      <w:r>
        <w:rPr>
          <w:rFonts w:ascii="Amiri" w:hAnsi="Amiri" w:eastAsia="Amiri" w:cs="Amiri"/>
          <w:lang w:bidi="ar-SA"/>
          <w:color w:val="111111"/>
          <w:sz w:val="28"/>
          <w:szCs w:val="28"/>
          <w:rtl/>
        </w:rPr>
        <w:t xml:space="preserve">وغيره وليس مرادهم من الاستدلال المذكور</w:t>
      </w:r>
      <w:r>
        <w:rPr>
          <w:rStyle w:val="FootnoteReference"/>
        </w:rPr>
        <w:footnoteReference w:id="220"/>
      </w:r>
      <w:r>
        <w:rPr>
          <w:rFonts w:ascii="IRNazanin" w:hAnsi="IRNazanin" w:eastAsia="IRNazanin" w:cs="IRNazanin"/>
          <w:lang w:bidi="fa-IR"/>
          <w:color w:val="111111"/>
          <w:sz w:val="28"/>
          <w:szCs w:val="28"/>
          <w:rtl/>
        </w:rPr>
        <w:t xml:space="preserve">مجرّد إثبات الصحّة ولو مع عدم الأمر العقلي التطبیقي أیضاً بل غرضهم أنّ المتعلّق إذا كان هو الطّبيعة المرسلة السّارية في جميع الأفراد، فالفرد الجامع صحيح من حيث إنّه منطبق على الطّبيعة المأموربها وإنّه وإن کان منهياً</w:t>
      </w:r>
      <w:r>
        <w:rPr>
          <w:rStyle w:val="FootnoteReference"/>
        </w:rPr>
        <w:footnoteReference w:id="221"/>
      </w:r>
      <w:r>
        <w:rPr>
          <w:rFonts w:ascii="Amiri" w:hAnsi="Amiri" w:eastAsia="Amiri" w:cs="Amiri"/>
          <w:lang w:bidi="ar-SA"/>
          <w:color w:val="111111"/>
          <w:sz w:val="28"/>
          <w:szCs w:val="28"/>
          <w:rtl/>
        </w:rPr>
        <w:t xml:space="preserve">عنه إلّا أنّه</w:t>
      </w:r>
      <w:r>
        <w:rPr>
          <w:rStyle w:val="FootnoteReference"/>
        </w:rPr>
        <w:footnoteReference w:id="222"/>
      </w:r>
      <w:r>
        <w:rPr>
          <w:rFonts w:ascii="IRNazanin" w:hAnsi="IRNazanin" w:eastAsia="IRNazanin" w:cs="IRNazanin"/>
          <w:lang w:bidi="fa-IR"/>
          <w:color w:val="111111"/>
          <w:sz w:val="28"/>
          <w:szCs w:val="28"/>
          <w:rtl/>
        </w:rPr>
        <w:t xml:space="preserve">مأمور به بالأمر التطبیقي وأنّه لا مانع من هذا الاجتماع؛ لأنّ المفروض أنّ الشّارع لم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يأمر بخصوص هذا الفرد المحرّم بل أمر بالطّبيعة من غير نظر إلى الأفراد أصلاً.</w:t>
      </w:r>
    </w:p>
    <w:p>
      <w:pPr>
        <w:pStyle w:val="BookText"/>
      </w:pPr>
      <w:r>
        <w:rPr>
          <w:rFonts w:ascii="IRNazanin" w:hAnsi="IRNazanin" w:eastAsia="IRNazanin" w:cs="IRNazanin"/>
          <w:lang w:bidi="fa-IR"/>
          <w:color w:val="111111"/>
          <w:sz w:val="28"/>
          <w:szCs w:val="28"/>
          <w:rtl/>
        </w:rPr>
        <w:t xml:space="preserve">غاية الأمر أنّه إذا لم يقيّد الطّبيعة فللعقل أن يجعل هذا الفرد متعلّقاً لأمره لأنّه منطبق على ما أمر به فلا يكون الدّليل غير مناسب لعنوان المسألة.فإن کان مراد صاحب المناهج</w:t>
      </w:r>
      <w:r>
        <w:rPr>
          <w:rStyle w:val="FootnoteReference"/>
        </w:rPr>
        <w:footnoteReference w:id="223"/>
      </w:r>
      <w:r>
        <w:rPr>
          <w:rFonts w:ascii="IRNazanin" w:hAnsi="IRNazanin" w:eastAsia="IRNazanin" w:cs="IRNazanin"/>
          <w:lang w:bidi="fa-IR"/>
          <w:color w:val="111111"/>
          <w:sz w:val="28"/>
          <w:szCs w:val="28"/>
          <w:rtl/>
        </w:rPr>
        <w:t xml:space="preserve">من المسألة الثّانية النزاع في صحّة الصّلاة مع فرض كون المطلوب والمأمور به هو الطّبيعة السّارية وعدم كونها مقيّدة فلا نسلّم كونها مسألة أخرى، بل هي من أفراد المسألة الأولی؛ إذ قد عرفت أنّه راجع إلى اجتماع الأمر والنهي وإن کان مراده النّزاع فيها مع الالتزام بعدم الأمر ولو تطبيقاً بأن يكون المطلوب هو الطّبيعة المقيّدة فكونها مسألة أخرى مسلّم إلّا أنّ نظر القوم إلى ما ذكرنا، فهو خارج عن مفروضهم كما عرفت.</w:t>
      </w:r>
    </w:p>
    <w:p>
      <w:pPr>
        <w:pStyle w:val="BookText"/>
      </w:pPr>
      <w:r>
        <w:rPr>
          <w:rFonts w:ascii="IRNazanin" w:hAnsi="IRNazanin" w:eastAsia="IRNazanin" w:cs="IRNazanin"/>
          <w:lang w:bidi="fa-IR"/>
          <w:color w:val="111111"/>
          <w:sz w:val="28"/>
          <w:szCs w:val="28"/>
          <w:rtl/>
        </w:rPr>
        <w:t xml:space="preserve">هذا مع إمکان دعوى أنّ هذا القسم من الاجتماع الّذي يرجع في الحقيقة إلى اجتماع المأمور به والمنهي عنه مع فرض عدم الأمر أیضاً داخل في نزاعهم هذا وأنّ نزاعهم في الأعمّ من اجتماع الأمر والنّهي واجتماع ذات المأمور به مع المنهي عنه كما يظهر من جواب المانعين عن الاستدلال بمثال الخياطة من أنّ المقصود حصولها كيفما اتّفقت.</w:t>
      </w:r>
    </w:p>
    <w:p>
      <w:pPr>
        <w:pStyle w:val="BookText"/>
      </w:pPr>
      <w:r>
        <w:rPr>
          <w:rFonts w:ascii="IRNazanin" w:hAnsi="IRNazanin" w:eastAsia="IRNazanin" w:cs="IRNazanin"/>
          <w:lang w:bidi="fa-IR"/>
          <w:color w:val="111111"/>
          <w:sz w:val="28"/>
          <w:szCs w:val="28"/>
          <w:rtl/>
        </w:rPr>
        <w:t xml:space="preserve">فإنّ ظاهر هذا الکلام بعد بداهة عدم الفرق بين التعبّدي والتوصّلي في الجواز وعدمه أنّ ذات المقصود والمطلوب حاصل، ولهذا يحكم بالامتثال في التوصّليات؛ لأنّ</w:t>
      </w:r>
      <w:r>
        <w:rPr>
          <w:rStyle w:val="FootnoteReference"/>
        </w:rPr>
        <w:footnoteReference w:id="224"/>
      </w:r>
      <w:r>
        <w:rPr>
          <w:rFonts w:ascii="IRNazanin" w:hAnsi="IRNazanin" w:eastAsia="IRNazanin" w:cs="IRNazanin"/>
          <w:lang w:bidi="fa-IR"/>
          <w:color w:val="111111"/>
          <w:sz w:val="28"/>
          <w:szCs w:val="28"/>
          <w:rtl/>
        </w:rPr>
        <w:t xml:space="preserve">المأمور به من حيث إنّه مأمور به حصول الخياطة كيفما اتّفقت وإنّ اجتماع الأمر والنّهي فيها جائز وحینئذٍ فيشهد على أنّ مثل هذا الاجتماع أیضاً من محلّ النزاع إذ</w:t>
      </w:r>
      <w:r>
        <w:rPr>
          <w:rStyle w:val="FootnoteReference"/>
        </w:rPr>
        <w:footnoteReference w:id="225"/>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غاية الأمر أنّه</w:t>
      </w:r>
      <w:r>
        <w:rPr>
          <w:rStyle w:val="FootnoteReference"/>
        </w:rPr>
        <w:footnoteReference w:id="226"/>
      </w:r>
      <w:r>
        <w:rPr>
          <w:rFonts w:ascii="Amiri" w:hAnsi="Amiri" w:eastAsia="Amiri" w:cs="Amiri"/>
          <w:lang w:bidi="ar-SA"/>
          <w:color w:val="111111"/>
          <w:sz w:val="28"/>
          <w:szCs w:val="28"/>
          <w:rtl/>
        </w:rPr>
        <w:t xml:space="preserve">في التوصّلي جائز وفي التعبّدى ليس بجائز. فتأمّل.</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ویحتمل أن یکون إشارة إلى عدم الفرق بین التعبدي والتوصّلي في هذا المقام؛ لأنّ الحاکم في هذا المقام هو العقل وإن رأى مانعاً فهو مانع عن الأمر التوصّلي وعن الأمر التعبدي وإن لم تر مانعاً فلا مانع لا في التوصّلي ولا في التعبّدي.</w:t>
      </w:r>
    </w:p>
    <w:p>
      <w:pPr>
        <w:pStyle w:val="BookText"/>
      </w:pPr>
      <w:r>
        <w:rPr>
          <w:rFonts w:ascii="IRNazanin" w:hAnsi="IRNazanin" w:eastAsia="IRNazanin" w:cs="IRNazanin"/>
          <w:lang w:bidi="fa-IR"/>
          <w:color w:val="111111"/>
          <w:sz w:val="28"/>
          <w:szCs w:val="28"/>
          <w:rtl/>
        </w:rPr>
        <w:t xml:space="preserve">ويمكن استظهاره کذلك</w:t>
      </w:r>
      <w:r>
        <w:rPr>
          <w:rStyle w:val="FootnoteReference"/>
        </w:rPr>
        <w:footnoteReference w:id="228"/>
      </w:r>
      <w:r>
        <w:rPr>
          <w:rFonts w:ascii="Amiri" w:hAnsi="Amiri" w:eastAsia="Amiri" w:cs="Amiri"/>
          <w:lang w:bidi="ar-SA"/>
          <w:color w:val="111111"/>
          <w:sz w:val="28"/>
          <w:szCs w:val="28"/>
          <w:rtl/>
        </w:rPr>
        <w:t xml:space="preserve">من قول بعضهم بجواز الاجتماع في التوصّلياتوأنّها خارجة عن</w:t>
      </w:r>
      <w:r>
        <w:rPr>
          <w:rStyle w:val="FootnoteReference"/>
        </w:rPr>
        <w:footnoteReference w:id="229"/>
      </w:r>
      <w:r>
        <w:rPr>
          <w:rFonts w:ascii="Amiri" w:hAnsi="Amiri" w:eastAsia="Amiri" w:cs="Amiri"/>
          <w:lang w:bidi="ar-SA"/>
          <w:color w:val="111111"/>
          <w:sz w:val="28"/>
          <w:szCs w:val="28"/>
          <w:rtl/>
        </w:rPr>
        <w:t xml:space="preserve">محلّ النّزاع؛ حيث إنّه جعله من الاجتماع مع أنّه ليس من اجتماع الأمر والنّهي؛ لما عرفت من بداهة عدم الفرق في الجواز وعدمه بين التعبّديات والتوصّليات.</w:t>
      </w:r>
    </w:p>
    <w:p>
      <w:pPr>
        <w:pStyle w:val="BookText"/>
      </w:pPr>
      <w:r>
        <w:rPr>
          <w:rFonts w:ascii="IRNazanin" w:hAnsi="IRNazanin" w:eastAsia="IRNazanin" w:cs="IRNazanin"/>
          <w:lang w:bidi="fa-IR"/>
          <w:color w:val="111111"/>
          <w:sz w:val="28"/>
          <w:szCs w:val="28"/>
          <w:rtl/>
        </w:rPr>
        <w:t xml:space="preserve">هذا، ولكن التّحقیق عدم شمول النزاع لهذا القسم حسبما ذكرنا سابقاً حيث إنّه ليس من اجتماع الأمر والنّهي</w:t>
      </w:r>
      <w:r>
        <w:rPr>
          <w:rStyle w:val="FootnoteReference"/>
        </w:rPr>
        <w:footnoteReference w:id="230"/>
      </w:r>
      <w:r>
        <w:rPr>
          <w:rFonts w:ascii="Amiri" w:hAnsi="Amiri" w:eastAsia="Amiri" w:cs="Amiri"/>
          <w:lang w:bidi="ar-SA"/>
          <w:color w:val="111111"/>
          <w:sz w:val="28"/>
          <w:szCs w:val="28"/>
          <w:rtl/>
        </w:rPr>
        <w:t xml:space="preserve">ولو تطبيقاً فهو خارج عن عنوانهم. وحكمهم بالجواز في التوصّليات إمّا محمول على ظاهره ويحكم بفساده أو محمول على أنّه ليس من الاجتماع الّذي هو محلّ النزاع لا أنّه منه ولكنّه جائز لأنّه توصّلي، وكذلك جوابهم عن استدلال الخياطة</w:t>
      </w:r>
      <w:r>
        <w:rPr>
          <w:rStyle w:val="FootnoteReference"/>
        </w:rPr>
        <w:footnoteReference w:id="231"/>
      </w:r>
      <w:r>
        <w:rPr>
          <w:rFonts w:ascii="IRNazanin" w:hAnsi="IRNazanin" w:eastAsia="IRNazanin" w:cs="IRNazanin"/>
          <w:lang w:bidi="fa-IR"/>
          <w:color w:val="111111"/>
          <w:sz w:val="28"/>
          <w:szCs w:val="28"/>
          <w:rtl/>
        </w:rPr>
        <w:t xml:space="preserve">مع أنّه ظاهر في حصول الامتثال الّذي هو فرع الأمر فتعبيرهم بلفظ الإطاعة والامتثال كاشف عن أنّ مرادهم من هذا الکلام ظاهره فلا يكون شاهداً على ما ذكر.</w:t>
      </w:r>
    </w:p>
    <w:p>
      <w:pPr>
        <w:pStyle w:val="BookText"/>
      </w:pPr>
      <w:r>
        <w:rPr>
          <w:rFonts w:ascii="Amiri" w:hAnsi="Amiri" w:eastAsia="Amiri" w:cs="Amiri"/>
          <w:lang w:bidi="ar-SA"/>
          <w:color w:val="111111"/>
          <w:sz w:val="28"/>
          <w:szCs w:val="28"/>
          <w:rtl/>
        </w:rPr>
        <w:t xml:space="preserve">وكيف كان فالاجتماع التّطبيقي الّذي ذكرنا داخل في العنوان وليس مسألة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5" w:name="pg6784_51128"/>
    <w:bookmarkEnd w:id="35"/>
    <w:p>
      <w:pPr>
        <w:pStyle w:val="BookText"/>
      </w:pPr>
      <w:r>
        <w:rPr>
          <w:rFonts w:ascii="IRNazanin" w:hAnsi="IRNazanin" w:eastAsia="IRNazanin" w:cs="IRNazanin"/>
          <w:lang w:bidi="fa-IR"/>
          <w:color w:val="111111"/>
          <w:sz w:val="28"/>
          <w:szCs w:val="28"/>
          <w:rtl/>
        </w:rPr>
        <w:t xml:space="preserve">أخرى.</w:t>
      </w:r>
    </w:p>
    <w:p>
      <w:pPr>
        <w:pStyle w:val="Heading6"/>
      </w:pPr>
      <w:bookmarkStart w:id="374" w:name="_Toc55"/>
      <w:r>
        <w:t>[الموضع الثالث: في تحقیق الفرق بین أقسام الأمر والنهي وعدمه]</w:t>
      </w:r>
      <w:bookmarkEnd w:id="374"/>
    </w:p>
    <w:p>
      <w:pPr>
        <w:pStyle w:val="Heading6"/>
      </w:pPr>
      <w:bookmarkStart w:id="375" w:name="_Toc56"/>
      <w:r>
        <w:t>اشارة</w:t>
      </w:r>
      <w:bookmarkEnd w:id="375"/>
    </w:p>
    <w:p>
      <w:pPr>
        <w:pStyle w:val="BookText"/>
      </w:pPr>
      <w:r>
        <w:rPr>
          <w:rFonts w:ascii="IRNazanin" w:hAnsi="IRNazanin" w:eastAsia="IRNazanin" w:cs="IRNazanin"/>
          <w:lang w:bidi="fa-IR"/>
          <w:color w:val="111111"/>
          <w:sz w:val="28"/>
          <w:szCs w:val="28"/>
          <w:rtl/>
        </w:rPr>
        <w:t xml:space="preserve">ثالثها: لا إشکال في عدم اختصاص النّزاع بما إذا كان الحكم مستفاداً من لفظي الأمر والنّهي بل يشمل کلّ لفظ يؤدي مؤدّاهما بل وما كان مستفاداً من الأدلّة اللبّيّة أیضاً</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وهل یختصّ بخصوص الوجوب والحرمة أم يعمّهما والاستحباب والكراهة؟</w:t>
      </w:r>
    </w:p>
    <w:p>
      <w:pPr>
        <w:pStyle w:val="BookText"/>
      </w:pPr>
      <w:r>
        <w:rPr>
          <w:rFonts w:ascii="IRNazanin" w:hAnsi="IRNazanin" w:eastAsia="IRNazanin" w:cs="IRNazanin"/>
          <w:lang w:bidi="fa-IR"/>
          <w:color w:val="111111"/>
          <w:sz w:val="28"/>
          <w:szCs w:val="28"/>
          <w:rtl/>
        </w:rPr>
        <w:t xml:space="preserve">وبعبارة أخری: هل النّزاع مختصّ بالإلزاميّين</w:t>
      </w:r>
      <w:r>
        <w:rPr>
          <w:rStyle w:val="FootnoteReference"/>
        </w:rPr>
        <w:footnoteReference w:id="233"/>
      </w:r>
      <w:r>
        <w:rPr>
          <w:rFonts w:ascii="IRNazanin" w:hAnsi="IRNazanin" w:eastAsia="IRNazanin" w:cs="IRNazanin"/>
          <w:lang w:bidi="fa-IR"/>
          <w:color w:val="111111"/>
          <w:sz w:val="28"/>
          <w:szCs w:val="28"/>
          <w:rtl/>
        </w:rPr>
        <w:t xml:space="preserve">أو يجري في غيرهما أیضاً من غيرهما والمختلفين</w:t>
      </w:r>
      <w:r>
        <w:rPr>
          <w:rStyle w:val="FootnoteReference"/>
        </w:rPr>
        <w:footnoteReference w:id="234"/>
      </w:r>
      <w:r>
        <w:rPr>
          <w:rFonts w:ascii="IRNazanin" w:hAnsi="IRNazanin" w:eastAsia="IRNazanin" w:cs="IRNazanin"/>
          <w:lang w:bidi="fa-IR"/>
          <w:color w:val="111111"/>
          <w:sz w:val="28"/>
          <w:szCs w:val="28"/>
          <w:rtl/>
        </w:rPr>
        <w:t xml:space="preserve">أو يعمّ مطلق الأحکام الخمسة؟</w:t>
      </w:r>
    </w:p>
    <w:p>
      <w:pPr>
        <w:pStyle w:val="BookText"/>
      </w:pPr>
      <w:r>
        <w:rPr>
          <w:rFonts w:ascii="IRNazanin" w:hAnsi="IRNazanin" w:eastAsia="IRNazanin" w:cs="IRNazanin"/>
          <w:lang w:bidi="fa-IR"/>
          <w:color w:val="111111"/>
          <w:sz w:val="28"/>
          <w:szCs w:val="28"/>
          <w:rtl/>
        </w:rPr>
        <w:t xml:space="preserve">وجوه، فيظهر من بعضهم الاختصاص بهما وإن کان المناط جارياً في غيرهماأیضاً ومن آخر شموله لمطلق الطّلبين المتضادّين.</w:t>
      </w:r>
    </w:p>
    <w:p>
      <w:pPr>
        <w:pStyle w:val="BookText"/>
      </w:pPr>
      <w:r>
        <w:rPr>
          <w:rFonts w:ascii="IRNazanin" w:hAnsi="IRNazanin" w:eastAsia="IRNazanin" w:cs="IRNazanin"/>
          <w:lang w:bidi="fa-IR"/>
          <w:color w:val="111111"/>
          <w:sz w:val="28"/>
          <w:szCs w:val="28"/>
          <w:rtl/>
        </w:rPr>
        <w:t xml:space="preserve">وقال في الإشارات: «إنّ النّزاع هل يخصّ الوجوب والحرمة أم يعمّهما وغيرهما من الأحکام الخمسة؟ لا ريب في الثاني فإنّ ما يقتضي الجواز فيهما يعمّ غيرهما وما يقتضي الامتناع كذلك».</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وظاهره أنّ مثل اجتماع الوجوب والإباحة أیضاً داخل في النّزاع والظاهر أنّ مراد من قال باختصاص النّزاع انصراف العنوان ومراد من قال بالتعميم شمول المناط فلا اختلاف.</w:t>
      </w:r>
    </w:p>
    <w:p>
      <w:pPr>
        <w:pStyle w:val="BookText"/>
      </w:pPr>
      <w:r>
        <w:rPr>
          <w:rFonts w:ascii="Amiri" w:hAnsi="Amiri" w:eastAsia="Amiri" w:cs="Amiri"/>
          <w:lang w:bidi="ar-SA"/>
          <w:color w:val="111111"/>
          <w:sz w:val="28"/>
          <w:szCs w:val="28"/>
          <w:rtl/>
        </w:rPr>
        <w:t xml:space="preserve">ثمّ هل يشمل النّزاع لجميع أقسام الأمر والنهي من النّفسيّين والغيريّين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6" w:name="pg6784_51129"/>
    <w:bookmarkEnd w:id="36"/>
    <w:p>
      <w:pPr>
        <w:pStyle w:val="BookText"/>
      </w:pPr>
      <w:r>
        <w:rPr>
          <w:rFonts w:ascii="Amiri" w:hAnsi="Amiri" w:eastAsia="Amiri" w:cs="Amiri"/>
          <w:lang w:bidi="ar-SA"/>
          <w:color w:val="111111"/>
          <w:sz w:val="28"/>
          <w:szCs w:val="28"/>
          <w:rtl/>
        </w:rPr>
        <w:t xml:space="preserve">والتعبّديّين والتوصّليّين والتّعينيّين والتّخييريّين والكفائيّين والعينيّين والمختلفين في الجميع إلى غير ذلك من الأقسام أو لا؟</w:t>
      </w:r>
    </w:p>
    <w:p>
      <w:pPr>
        <w:pStyle w:val="BookText"/>
      </w:pPr>
      <w:r>
        <w:rPr>
          <w:rFonts w:ascii="Amiri" w:hAnsi="Amiri" w:eastAsia="Amiri" w:cs="Amiri"/>
          <w:lang w:bidi="ar-SA"/>
          <w:color w:val="111111"/>
          <w:sz w:val="28"/>
          <w:szCs w:val="28"/>
          <w:rtl/>
        </w:rPr>
        <w:t xml:space="preserve">قال في الفصول: «وإطلاق الأمر والنّهي في العنوانات ينصرف إلى النّفسيّين العينيّين التعينيّين».</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وقال في الإشارات: «ولا فرق في جميع الصّور بين كون الوجوب والحرمة عينيّين أو تخييریّين أو كفائيّين موقّتين أو لا، نعم لا يجوز أن يكونا مضیّقين».</w:t>
      </w:r>
      <w:r>
        <w:rPr>
          <w:rStyle w:val="FootnoteReference"/>
        </w:rPr>
        <w:footnoteReference w:id="237"/>
      </w:r>
    </w:p>
    <w:p>
      <w:pPr>
        <w:pStyle w:val="BookText"/>
      </w:pPr>
      <w:r>
        <w:rPr>
          <w:rFonts w:ascii="Amiri" w:hAnsi="Amiri" w:eastAsia="Amiri" w:cs="Amiri"/>
          <w:lang w:bidi="ar-SA"/>
          <w:color w:val="111111"/>
          <w:sz w:val="28"/>
          <w:szCs w:val="28"/>
          <w:rtl/>
        </w:rPr>
        <w:t xml:space="preserve">وظاهره التّعميم ولكن لا يبعد صحّة ما ذكره في الفصول من الانصراف إلّا أنّه لا بأس بالإشارة الإجماليّة إلى جميع الأقسام وأنّ أيّاً منها داخل في النزاع ولو بالمناط وأيّاً منها خارج عنه إمّا لأنّه جائز الاجتماع بالإجماع أو لأنّه</w:t>
      </w:r>
      <w:r>
        <w:rPr>
          <w:rStyle w:val="FootnoteReference"/>
        </w:rPr>
        <w:footnoteReference w:id="238"/>
      </w:r>
      <w:r>
        <w:rPr>
          <w:rFonts w:ascii="Amiri" w:hAnsi="Amiri" w:eastAsia="Amiri" w:cs="Amiri"/>
          <w:lang w:bidi="ar-SA"/>
          <w:color w:val="111111"/>
          <w:sz w:val="28"/>
          <w:szCs w:val="28"/>
          <w:rtl/>
        </w:rPr>
        <w:t xml:space="preserve">ممتنع الاجتماع كذلك.</w:t>
      </w:r>
    </w:p>
    <w:p>
      <w:pPr>
        <w:pStyle w:val="Heading6"/>
      </w:pPr>
      <w:bookmarkStart w:id="376" w:name="_Toc57"/>
      <w:r>
        <w:t>[النفسي والغيري]</w:t>
      </w:r>
      <w:bookmarkEnd w:id="376"/>
    </w:p>
    <w:p>
      <w:pPr>
        <w:pStyle w:val="BookText"/>
      </w:pPr>
      <w:r>
        <w:rPr>
          <w:rFonts w:ascii="Amiri" w:hAnsi="Amiri" w:eastAsia="Amiri" w:cs="Amiri"/>
          <w:lang w:bidi="ar-SA"/>
          <w:color w:val="111111"/>
          <w:sz w:val="28"/>
          <w:szCs w:val="28"/>
          <w:rtl/>
        </w:rPr>
        <w:t xml:space="preserve">فنقول: أمّا من حيث النفسيّة والغيريّة</w:t>
      </w:r>
      <w:r>
        <w:rPr>
          <w:rStyle w:val="FootnoteReference"/>
        </w:rPr>
        <w:footnoteReference w:id="239"/>
      </w:r>
      <w:r>
        <w:rPr>
          <w:rFonts w:ascii="IRNazanin" w:hAnsi="IRNazanin" w:eastAsia="IRNazanin" w:cs="IRNazanin"/>
          <w:lang w:bidi="fa-IR"/>
          <w:color w:val="111111"/>
          <w:sz w:val="28"/>
          <w:szCs w:val="28"/>
          <w:rtl/>
        </w:rPr>
        <w:t xml:space="preserve">فلا إشکال في التعميم.</w:t>
      </w:r>
      <w:r>
        <w:rPr>
          <w:rStyle w:val="FootnoteReference"/>
        </w:rPr>
        <w:footnoteReference w:id="240"/>
      </w:r>
      <w:r>
        <w:rPr>
          <w:rFonts w:ascii="Amiri" w:hAnsi="Amiri" w:eastAsia="Amiri" w:cs="Amiri"/>
          <w:lang w:bidi="ar-SA"/>
          <w:color w:val="111111"/>
          <w:sz w:val="28"/>
          <w:szCs w:val="28"/>
          <w:rtl/>
        </w:rPr>
        <w:t xml:space="preserve">وما يظهر من المعالم</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ولقائل أن یقول: إنّا نمنع هذه الاستفادة خصوصاً مع ملاحظة کلامه بعد هذا الجواب: «سلّمنا، لکن نمنع کونه مطیعاً والحال هذه». راجع: معالم الدین وملاذ المجتهدین، ص95.</w:t>
      </w:r>
    </w:p>
    <w:p>
      <w:pPr>
        <w:pStyle w:val="BookText"/>
      </w:pPr>
      <w:r>
        <w:rPr>
          <w:rFonts w:ascii="IRNazanin" w:hAnsi="IRNazanin" w:eastAsia="IRNazanin" w:cs="IRNazanin"/>
          <w:lang w:bidi="fa-IR"/>
          <w:color w:val="111111"/>
          <w:sz w:val="28"/>
          <w:szCs w:val="28"/>
          <w:rtl/>
        </w:rPr>
        <w:t xml:space="preserve">من عدم الإشکال في جواز اجتماع الوجوب الغيري مع</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7" w:name="pg6784_51130"/>
    <w:bookmarkEnd w:id="37"/>
    <w:p>
      <w:pPr>
        <w:pStyle w:val="BookText"/>
      </w:pPr>
      <w:r>
        <w:rPr>
          <w:rFonts w:ascii="Amiri" w:hAnsi="Amiri" w:eastAsia="Amiri" w:cs="Amiri"/>
          <w:lang w:bidi="ar-SA"/>
          <w:color w:val="111111"/>
          <w:sz w:val="28"/>
          <w:szCs w:val="28"/>
          <w:rtl/>
        </w:rPr>
        <w:t xml:space="preserve">الحرمة النفسيّة فالظاهر أنّ مراده الغيري التوصّلي لا مثل الوضوء والغسل من الغيري التعبّدي.</w:t>
      </w:r>
    </w:p>
    <w:p>
      <w:pPr>
        <w:pStyle w:val="Heading6"/>
      </w:pPr>
      <w:bookmarkStart w:id="377" w:name="_Toc58"/>
      <w:r>
        <w:t>[الأصلي والتبعي]</w:t>
      </w:r>
      <w:bookmarkEnd w:id="377"/>
    </w:p>
    <w:p>
      <w:pPr>
        <w:pStyle w:val="BookText"/>
      </w:pPr>
      <w:r>
        <w:rPr>
          <w:rFonts w:ascii="IRNazanin" w:hAnsi="IRNazanin" w:eastAsia="IRNazanin" w:cs="IRNazanin"/>
          <w:lang w:bidi="fa-IR"/>
          <w:color w:val="111111"/>
          <w:sz w:val="28"/>
          <w:szCs w:val="28"/>
          <w:rtl/>
        </w:rPr>
        <w:t xml:space="preserve">وكذا لا إشکال في التّعميم من حيث الأصليّة والتبعيّة</w:t>
      </w:r>
      <w:r>
        <w:rPr>
          <w:rStyle w:val="FootnoteReference"/>
        </w:rPr>
        <w:footnoteReference w:id="242"/>
      </w:r>
      <w:r>
        <w:rPr>
          <w:rFonts w:ascii="Amiri" w:hAnsi="Amiri" w:eastAsia="Amiri" w:cs="Amiri"/>
          <w:lang w:bidi="ar-SA"/>
          <w:color w:val="111111"/>
          <w:sz w:val="28"/>
          <w:szCs w:val="28"/>
          <w:rtl/>
        </w:rPr>
        <w:t xml:space="preserve">إذ لا يتفاوت الحال بين كون الحكم مستفاداً من خطاب مستقلّ أو لا، كما هو واضح.</w:t>
      </w:r>
    </w:p>
    <w:p>
      <w:pPr>
        <w:pStyle w:val="Heading6"/>
      </w:pPr>
      <w:bookmarkStart w:id="378" w:name="_Toc59"/>
      <w:r>
        <w:t>[التوصّلي والتعبّدي]</w:t>
      </w:r>
      <w:bookmarkEnd w:id="378"/>
    </w:p>
    <w:p>
      <w:pPr>
        <w:pStyle w:val="BookText"/>
      </w:pPr>
      <w:r>
        <w:rPr>
          <w:rFonts w:ascii="Amiri" w:hAnsi="Amiri" w:eastAsia="Amiri" w:cs="Amiri"/>
          <w:lang w:bidi="ar-SA"/>
          <w:color w:val="111111"/>
          <w:sz w:val="28"/>
          <w:szCs w:val="28"/>
          <w:rtl/>
        </w:rPr>
        <w:t xml:space="preserve">وأمّا من حيث التوصّلية</w:t>
      </w:r>
      <w:r>
        <w:rPr>
          <w:rStyle w:val="FootnoteReference"/>
        </w:rPr>
        <w:footnoteReference w:id="243"/>
      </w:r>
      <w:r>
        <w:rPr>
          <w:rFonts w:ascii="Amiri" w:hAnsi="Amiri" w:eastAsia="Amiri" w:cs="Amiri"/>
          <w:lang w:bidi="ar-SA"/>
          <w:color w:val="111111"/>
          <w:sz w:val="28"/>
          <w:szCs w:val="28"/>
          <w:rtl/>
        </w:rPr>
        <w:t xml:space="preserve">والتعبّدية</w:t>
      </w:r>
      <w:r>
        <w:rPr>
          <w:rStyle w:val="FootnoteReference"/>
        </w:rPr>
        <w:footnoteReference w:id="244"/>
      </w:r>
      <w:r>
        <w:rPr>
          <w:rFonts w:ascii="Amiri" w:hAnsi="Amiri" w:eastAsia="Amiri" w:cs="Amiri"/>
          <w:lang w:bidi="ar-SA"/>
          <w:color w:val="111111"/>
          <w:sz w:val="28"/>
          <w:szCs w:val="28"/>
          <w:rtl/>
        </w:rPr>
        <w:t xml:space="preserve">فيظهر من صاحب المعالم</w:t>
      </w:r>
      <w:r>
        <w:rPr>
          <w:rStyle w:val="FootnoteReference"/>
        </w:rPr>
        <w:footnoteReference w:id="245"/>
      </w:r>
      <w:r>
        <w:rPr>
          <w:rFonts w:ascii="Amiri" w:hAnsi="Amiri" w:eastAsia="Amiri" w:cs="Amiri"/>
          <w:lang w:bidi="ar-SA"/>
          <w:color w:val="111111"/>
          <w:sz w:val="28"/>
          <w:szCs w:val="28"/>
          <w:rtl/>
        </w:rPr>
        <w:t xml:space="preserve">وغيره الفرق وأنّ الاجتماع في التوصّليات جائز، إلّا أنّه لا ينبغي التأمّل في عدم الفرق.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ويمكن أن يحمل کلام من قال بالفرق على إرادة الإسقاط وأنّه</w:t>
      </w:r>
      <w:r>
        <w:rPr>
          <w:rStyle w:val="FootnoteReference"/>
        </w:rPr>
        <w:footnoteReference w:id="246"/>
      </w:r>
      <w:r>
        <w:rPr>
          <w:rFonts w:ascii="IRNazanin" w:hAnsi="IRNazanin" w:eastAsia="IRNazanin" w:cs="IRNazanin"/>
          <w:lang w:bidi="fa-IR"/>
          <w:color w:val="111111"/>
          <w:sz w:val="28"/>
          <w:szCs w:val="28"/>
          <w:rtl/>
        </w:rPr>
        <w:t xml:space="preserve">في التوصّليات يمكن سقوط الطلب بإتیان الفرد المحرّم من جهة حصول الغرض بخلاف التعبّديات أو على إرادة اجتماع ذات المأمور به مع عدم الأمر</w:t>
      </w:r>
      <w:r>
        <w:rPr>
          <w:rStyle w:val="FootnoteReference"/>
        </w:rPr>
        <w:footnoteReference w:id="247"/>
      </w:r>
      <w:r>
        <w:rPr>
          <w:rFonts w:ascii="IRNazanin" w:hAnsi="IRNazanin" w:eastAsia="IRNazanin" w:cs="IRNazanin"/>
          <w:lang w:bidi="fa-IR"/>
          <w:color w:val="111111"/>
          <w:sz w:val="28"/>
          <w:szCs w:val="28"/>
          <w:rtl/>
        </w:rPr>
        <w:t xml:space="preserve">مع المنهي عنه وأنّ الصحّة من هذه الجهة مع الالتزام بخروجه عن محلّ النّزاع أو بدعوى كون النزاع وإن کان أعمّ من اجتماع الأمر والنّهي أو اجتماع ذات المأمور به مع المنهي عنه إلّا أنّ هذا الاجتماع جائز في خصوص التوصّليات وإن لم يجز اجتماع الأمر والنّهي فيها</w:t>
      </w:r>
      <w:r>
        <w:rPr>
          <w:rStyle w:val="FootnoteReference"/>
        </w:rPr>
        <w:footnoteReference w:id="248"/>
      </w:r>
      <w:r>
        <w:rPr>
          <w:rFonts w:ascii="Amiri" w:hAnsi="Amiri" w:eastAsia="Amiri" w:cs="Amiri"/>
          <w:lang w:bidi="ar-SA"/>
          <w:color w:val="111111"/>
          <w:sz w:val="28"/>
          <w:szCs w:val="28"/>
          <w:rtl/>
        </w:rPr>
        <w:t xml:space="preserve">مثل التعبّديات.</w:t>
      </w:r>
    </w:p>
    <w:p>
      <w:pPr>
        <w:pStyle w:val="BookText"/>
      </w:pPr>
      <w:r>
        <w:rPr>
          <w:rFonts w:ascii="IRNazanin" w:hAnsi="IRNazanin" w:eastAsia="IRNazanin" w:cs="IRNazanin"/>
          <w:lang w:bidi="fa-IR"/>
          <w:color w:val="111111"/>
          <w:sz w:val="28"/>
          <w:szCs w:val="28"/>
          <w:rtl/>
        </w:rPr>
        <w:t xml:space="preserve">والحاصل: إن کان</w:t>
      </w:r>
      <w:r>
        <w:rPr>
          <w:rStyle w:val="FootnoteReference"/>
        </w:rPr>
        <w:footnoteReference w:id="249"/>
      </w:r>
      <w:r>
        <w:rPr>
          <w:rFonts w:ascii="Amiri" w:hAnsi="Amiri" w:eastAsia="Amiri" w:cs="Amiri"/>
          <w:lang w:bidi="ar-SA"/>
          <w:color w:val="111111"/>
          <w:sz w:val="28"/>
          <w:szCs w:val="28"/>
          <w:rtl/>
        </w:rPr>
        <w:t xml:space="preserve">مراد القائل ما هو ظاهر عبارته من جواز اجتماع الأمر والنّهي في التوصّليات وإن لم يجز في التعبّديات فلا وجه له لوضوح عدم الفرق.</w:t>
      </w:r>
    </w:p>
    <w:p>
      <w:pPr>
        <w:pStyle w:val="BookText"/>
      </w:pPr>
      <w:r>
        <w:rPr>
          <w:rFonts w:ascii="IRNazanin" w:hAnsi="IRNazanin" w:eastAsia="IRNazanin" w:cs="IRNazanin"/>
          <w:lang w:bidi="fa-IR"/>
          <w:color w:val="111111"/>
          <w:sz w:val="28"/>
          <w:szCs w:val="28"/>
          <w:rtl/>
        </w:rPr>
        <w:t xml:space="preserve">وإن کان مراده الإسقاط وجواز</w:t>
      </w:r>
      <w:r>
        <w:rPr>
          <w:rStyle w:val="FootnoteReference"/>
        </w:rPr>
        <w:footnoteReference w:id="250"/>
      </w:r>
      <w:r>
        <w:rPr>
          <w:rFonts w:ascii="Amiri" w:hAnsi="Amiri" w:eastAsia="Amiri" w:cs="Amiri"/>
          <w:lang w:bidi="ar-SA"/>
          <w:color w:val="111111"/>
          <w:sz w:val="28"/>
          <w:szCs w:val="28"/>
          <w:rtl/>
        </w:rPr>
        <w:t xml:space="preserve">اجتماع ذات المأمور به مع المنهي عنه وأنّه خارج عن محلّ النّزاع فهو حقّ في الجملة.</w:t>
      </w:r>
    </w:p>
    <w:p>
      <w:pPr>
        <w:pStyle w:val="BookText"/>
      </w:pPr>
      <w:r>
        <w:rPr>
          <w:rFonts w:ascii="IRNazanin" w:hAnsi="IRNazanin" w:eastAsia="IRNazanin" w:cs="IRNazanin"/>
          <w:lang w:bidi="fa-IR"/>
          <w:color w:val="111111"/>
          <w:sz w:val="28"/>
          <w:szCs w:val="28"/>
          <w:rtl/>
        </w:rPr>
        <w:t xml:space="preserve">وإن کان مراده كون هذا الاجتماع</w:t>
      </w:r>
      <w:r>
        <w:rPr>
          <w:rStyle w:val="FootnoteReference"/>
        </w:rPr>
        <w:footnoteReference w:id="251"/>
      </w:r>
      <w:r>
        <w:rPr>
          <w:rFonts w:ascii="IRNazanin" w:hAnsi="IRNazanin" w:eastAsia="IRNazanin" w:cs="IRNazanin"/>
          <w:lang w:bidi="fa-IR"/>
          <w:color w:val="111111"/>
          <w:sz w:val="28"/>
          <w:szCs w:val="28"/>
          <w:rtl/>
        </w:rPr>
        <w:t xml:space="preserve">داخلاً في النّزاع وأنّه يجوز في التوصّليات دون التعبّديات فله وجه إلّا أنّ التحقیق كما عرفت خروج هذا القسم عن النّزاع مع إمکان كونه جائزاً في التعبّديّات أیضاً كما أشرنا إليه سابقاً</w:t>
      </w:r>
      <w:r>
        <w:rPr>
          <w:rStyle w:val="FootnoteReference"/>
        </w:rPr>
        <w:footnoteReference w:id="252"/>
      </w:r>
      <w:r>
        <w:rPr>
          <w:rFonts w:ascii="IRNazanin" w:hAnsi="IRNazanin" w:eastAsia="IRNazanin" w:cs="IRNazanin"/>
          <w:lang w:bidi="fa-IR"/>
          <w:color w:val="111111"/>
          <w:sz w:val="28"/>
          <w:szCs w:val="28"/>
          <w:rtl/>
        </w:rPr>
        <w:t xml:space="preserve">وسيأتي تمام الکلام فيه لاحقاً.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8" w:name="pg6784_51132"/>
    <w:bookmarkEnd w:id="38"/>
    <w:p>
      <w:pPr>
        <w:pStyle w:val="Heading6"/>
      </w:pPr>
      <w:bookmarkStart w:id="379" w:name="_Toc60"/>
      <w:r>
        <w:t>[التعییني والتخییري]</w:t>
      </w:r>
      <w:bookmarkEnd w:id="379"/>
    </w:p>
    <w:p>
      <w:pPr>
        <w:pStyle w:val="BookText"/>
      </w:pPr>
      <w:r>
        <w:rPr>
          <w:rFonts w:ascii="Amiri" w:hAnsi="Amiri" w:eastAsia="Amiri" w:cs="Amiri"/>
          <w:lang w:bidi="ar-SA"/>
          <w:color w:val="111111"/>
          <w:sz w:val="28"/>
          <w:szCs w:val="28"/>
          <w:rtl/>
        </w:rPr>
        <w:t xml:space="preserve">وأمّا من حيث التّعيين والتّخيير:</w:t>
      </w:r>
    </w:p>
    <w:p>
      <w:pPr>
        <w:pStyle w:val="BookText"/>
      </w:pPr>
      <w:r>
        <w:rPr>
          <w:rFonts w:ascii="IRNazanin" w:hAnsi="IRNazanin" w:eastAsia="IRNazanin" w:cs="IRNazanin"/>
          <w:lang w:bidi="fa-IR"/>
          <w:color w:val="111111"/>
          <w:sz w:val="28"/>
          <w:szCs w:val="28"/>
          <w:rtl/>
        </w:rPr>
        <w:t xml:space="preserve">فأمّا التعيينیان بالتعيين العقلي فقد يقال بخروجهما عن محلّ الکلام؛ إذ لا يجوز الاجتماع فيهما اتّفاقاً؛ لأنّه يعتبر في محلّ النزاع أن يكون للمکلّف مندوحة وإلّا كانمن الاجتماع الآمري الصّرف ولا مندوحة في المقام.</w:t>
      </w:r>
    </w:p>
    <w:p>
      <w:pPr>
        <w:pStyle w:val="BookText"/>
      </w:pPr>
      <w:r>
        <w:rPr>
          <w:rFonts w:ascii="IRNazanin" w:hAnsi="IRNazanin" w:eastAsia="IRNazanin" w:cs="IRNazanin"/>
          <w:lang w:bidi="fa-IR"/>
          <w:color w:val="111111"/>
          <w:sz w:val="28"/>
          <w:szCs w:val="28"/>
          <w:rtl/>
        </w:rPr>
        <w:t xml:space="preserve">ولكن يمكن إجراء النزاع فيهما أیضاً</w:t>
      </w:r>
      <w:r>
        <w:rPr>
          <w:rStyle w:val="FootnoteReference"/>
        </w:rPr>
        <w:footnoteReference w:id="253"/>
      </w:r>
      <w:r>
        <w:rPr>
          <w:rFonts w:ascii="IRNazanin" w:hAnsi="IRNazanin" w:eastAsia="IRNazanin" w:cs="IRNazanin"/>
          <w:lang w:bidi="fa-IR"/>
          <w:color w:val="111111"/>
          <w:sz w:val="28"/>
          <w:szCs w:val="28"/>
          <w:rtl/>
        </w:rPr>
        <w:t xml:space="preserve">إذا كان التعيين من سوء اختيار المکلّف كمسألة</w:t>
      </w:r>
      <w:r>
        <w:rPr>
          <w:rStyle w:val="FootnoteReference"/>
        </w:rPr>
        <w:footnoteReference w:id="254"/>
      </w:r>
      <w:r>
        <w:rPr>
          <w:rFonts w:ascii="Amiri" w:hAnsi="Amiri" w:eastAsia="Amiri" w:cs="Amiri"/>
          <w:lang w:bidi="ar-SA"/>
          <w:color w:val="111111"/>
          <w:sz w:val="28"/>
          <w:szCs w:val="28"/>
          <w:rtl/>
        </w:rPr>
        <w:t xml:space="preserve">من توسّط أرضاً مغصوبة فإنّه من محلّ النّزاع إذا قلنا: إنّ الامتناع بالاختيار لاينافي الاختيار خطاباً.</w:t>
      </w:r>
    </w:p>
    <w:p>
      <w:pPr>
        <w:pStyle w:val="BookText"/>
      </w:pPr>
      <w:r>
        <w:rPr>
          <w:rFonts w:ascii="Amiri" w:hAnsi="Amiri" w:eastAsia="Amiri" w:cs="Amiri"/>
          <w:lang w:bidi="ar-SA"/>
          <w:color w:val="111111"/>
          <w:sz w:val="28"/>
          <w:szCs w:val="28"/>
          <w:rtl/>
        </w:rPr>
        <w:t xml:space="preserve">نعم على القول بالمنافاة</w:t>
      </w:r>
      <w:r>
        <w:rPr>
          <w:rStyle w:val="FootnoteReference"/>
        </w:rPr>
        <w:footnoteReference w:id="255"/>
      </w:r>
      <w:r>
        <w:rPr>
          <w:rFonts w:ascii="IRNazanin" w:hAnsi="IRNazanin" w:eastAsia="IRNazanin" w:cs="IRNazanin"/>
          <w:lang w:bidi="fa-IR"/>
          <w:color w:val="111111"/>
          <w:sz w:val="28"/>
          <w:szCs w:val="28"/>
          <w:rtl/>
        </w:rPr>
        <w:t xml:space="preserve">خارج عن النزاع</w:t>
      </w:r>
      <w:r>
        <w:rPr>
          <w:rStyle w:val="FootnoteReference"/>
        </w:rPr>
        <w:footnoteReference w:id="256"/>
      </w:r>
      <w:r>
        <w:rPr>
          <w:rFonts w:ascii="IRNazanin" w:hAnsi="IRNazanin" w:eastAsia="IRNazanin" w:cs="IRNazanin"/>
          <w:lang w:bidi="fa-IR"/>
          <w:color w:val="111111"/>
          <w:sz w:val="28"/>
          <w:szCs w:val="28"/>
          <w:rtl/>
        </w:rPr>
        <w:t xml:space="preserve">إذا كان النّزاع في اجتماعهما في زمان واحد وإلّا أمكن جريان النّزاع على هذا القول أیضاً كما سيأتي بيانه إن شاء الله.</w:t>
      </w:r>
    </w:p>
    <w:p>
      <w:pPr>
        <w:pStyle w:val="BookText"/>
      </w:pPr>
      <w:r>
        <w:rPr>
          <w:rFonts w:ascii="Amiri" w:hAnsi="Amiri" w:eastAsia="Amiri" w:cs="Amiri"/>
          <w:lang w:bidi="ar-SA"/>
          <w:color w:val="111111"/>
          <w:sz w:val="28"/>
          <w:szCs w:val="28"/>
          <w:rtl/>
        </w:rPr>
        <w:t xml:space="preserve">وأمّا التخييريان فقد عرفت من الإشارات</w:t>
      </w:r>
      <w:r>
        <w:rPr>
          <w:rStyle w:val="FootnoteReference"/>
        </w:rPr>
        <w:footnoteReference w:id="257"/>
      </w:r>
      <w:r>
        <w:rPr>
          <w:rFonts w:ascii="Amiri" w:hAnsi="Amiri" w:eastAsia="Amiri" w:cs="Amiri"/>
          <w:lang w:bidi="ar-SA"/>
          <w:color w:val="111111"/>
          <w:sz w:val="28"/>
          <w:szCs w:val="28"/>
          <w:rtl/>
        </w:rPr>
        <w:t xml:space="preserve">دخولهما في النّزاع.</w:t>
      </w:r>
    </w:p>
    <w:p>
      <w:pPr>
        <w:pStyle w:val="BookText"/>
      </w:pPr>
      <w:r>
        <w:rPr>
          <w:rFonts w:ascii="IRNazanin" w:hAnsi="IRNazanin" w:eastAsia="IRNazanin" w:cs="IRNazanin"/>
          <w:lang w:bidi="fa-IR"/>
          <w:color w:val="111111"/>
          <w:sz w:val="28"/>
          <w:szCs w:val="28"/>
          <w:rtl/>
        </w:rPr>
        <w:t xml:space="preserve">وقد يقال بخروجهما عنه وأنّ الاجتماع جائز فيهما بلا إشکال من غير فرق بين كون تخييرهما شرعيّاً كما في الأمر بتزويج إحدى الأختين والنّهي عن الأخرى أو عقليّاً كما لو فرض الأمر بطبيعة باعتبار فرد والنّهي عنها باعتبار فرد آخر فإنّ المرجِع في الأوّل إلى وجوب أحدهما وحرمة الجمع وفي الثاني إلى وجوب أحد الأفراد وحرمة إتباعه بفرد آخر.</w:t>
      </w:r>
      <w:r>
        <w:rPr>
          <w:rStyle w:val="FootnoteReference"/>
        </w:rPr>
        <w:footnoteReference w:id="258"/>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9" w:name="pg6784_51133"/>
    <w:bookmarkEnd w:id="39"/>
    <w:p>
      <w:pPr>
        <w:pStyle w:val="BookText"/>
      </w:pPr>
      <w:r>
        <w:rPr>
          <w:rFonts w:ascii="Amiri" w:hAnsi="Amiri" w:eastAsia="Amiri" w:cs="Amiri"/>
          <w:lang w:bidi="ar-SA"/>
          <w:color w:val="111111"/>
          <w:sz w:val="28"/>
          <w:szCs w:val="28"/>
          <w:rtl/>
        </w:rPr>
        <w:t xml:space="preserve">هذا والحقّ دخولهما في محلّ النّزاع على ما ذكره في الإشارات.</w:t>
      </w:r>
      <w:r>
        <w:rPr>
          <w:rStyle w:val="FootnoteReference"/>
        </w:rPr>
        <w:footnoteReference w:id="259"/>
      </w:r>
    </w:p>
    <w:p>
      <w:pPr>
        <w:pStyle w:val="Heading6"/>
      </w:pPr>
      <w:bookmarkStart w:id="380" w:name="_Toc61"/>
      <w:r>
        <w:t>[في تحقّق التخيير في الحرام على نحو تحقّقه في الواجب]</w:t>
      </w:r>
      <w:bookmarkEnd w:id="380"/>
    </w:p>
    <w:p>
      <w:pPr>
        <w:pStyle w:val="BookText"/>
      </w:pPr>
      <w:r>
        <w:rPr>
          <w:rFonts w:ascii="IRNazanin" w:hAnsi="IRNazanin" w:eastAsia="IRNazanin" w:cs="IRNazanin"/>
          <w:lang w:bidi="fa-IR"/>
          <w:color w:val="111111"/>
          <w:sz w:val="28"/>
          <w:szCs w:val="28"/>
          <w:rtl/>
        </w:rPr>
        <w:t xml:space="preserve">وتحقیق الحال يقتضي بيان حقیقة الحرام التخييري ولو على وجه الإجمال.</w:t>
      </w:r>
    </w:p>
    <w:p>
      <w:pPr>
        <w:pStyle w:val="BookText"/>
      </w:pPr>
      <w:r>
        <w:rPr>
          <w:rFonts w:ascii="Amiri" w:hAnsi="Amiri" w:eastAsia="Amiri" w:cs="Amiri"/>
          <w:lang w:bidi="ar-SA"/>
          <w:color w:val="111111"/>
          <w:sz w:val="28"/>
          <w:szCs w:val="28"/>
          <w:rtl/>
        </w:rPr>
        <w:t xml:space="preserve">فنقول: اختلفوا في تحقّق التخيير في الحرام على نحو تحقّقه في الواجب وعدمه، وأنّه هل يجوز النّهي عن شيئين</w:t>
      </w:r>
      <w:r>
        <w:rPr>
          <w:rStyle w:val="FootnoteReference"/>
        </w:rPr>
        <w:footnoteReference w:id="260"/>
      </w:r>
      <w:r>
        <w:rPr>
          <w:rFonts w:ascii="Amiri" w:hAnsi="Amiri" w:eastAsia="Amiri" w:cs="Amiri"/>
          <w:lang w:bidi="ar-SA"/>
          <w:color w:val="111111"/>
          <w:sz w:val="28"/>
          <w:szCs w:val="28"/>
          <w:rtl/>
        </w:rPr>
        <w:t xml:space="preserve">على سبيل التخيير بأن يكون المحرّم أحدهما أو لا؟فالأشاعرة</w:t>
      </w:r>
      <w:r>
        <w:rPr>
          <w:rStyle w:val="FootnoteReference"/>
        </w:rPr>
        <w:footnoteReference w:id="261"/>
      </w:r>
      <w:r>
        <w:rPr>
          <w:rFonts w:ascii="IRNazanin" w:hAnsi="IRNazanin" w:eastAsia="IRNazanin" w:cs="IRNazanin"/>
          <w:lang w:bidi="fa-IR"/>
          <w:color w:val="111111"/>
          <w:sz w:val="28"/>
          <w:szCs w:val="28"/>
          <w:rtl/>
        </w:rPr>
        <w:t xml:space="preserve">على الجواز وأنّه لا مانع منه ولازمه تحقّق المخالفة مع الإتیان بهما والامتثال إذا تركهما أو أحدهما كما أنّ لازم الوجوب التخييري تحقّق المخالفة بتركهما والامتثال بإتیان أحدهما أو إتیانهما دفعة.</w:t>
      </w:r>
    </w:p>
    <w:p>
      <w:pPr>
        <w:pStyle w:val="BookText"/>
      </w:pPr>
      <w:r>
        <w:rPr>
          <w:rFonts w:ascii="IRNazanin" w:hAnsi="IRNazanin" w:eastAsia="IRNazanin" w:cs="IRNazanin"/>
          <w:lang w:bidi="fa-IR"/>
          <w:color w:val="111111"/>
          <w:sz w:val="28"/>
          <w:szCs w:val="28"/>
          <w:rtl/>
        </w:rPr>
        <w:t xml:space="preserve">وعن المعتزلة إنكاره؛ إذ النّهي حینئذٍ يرجع إلى مفهوم أحدهما وهو يقتضي حرمتهما معاً على سبيل التّعيين؛ لأنّ الإتیان بکلّ واحد منهما إتیان لمفهوم أحدهما فيكون حراماً كما هو الشّأن في کلّ نهي تعلّق بالقدر المشترك بين أمرين أو أمور؛ إذ النّهي المتعلّق بکلّي يقتضي عدم إيجاده في الخارج أصلاً.</w:t>
      </w:r>
    </w:p>
    <w:p>
      <w:pPr>
        <w:pStyle w:val="BookText"/>
      </w:pPr>
      <w:r>
        <w:rPr>
          <w:rFonts w:ascii="Amiri" w:hAnsi="Amiri" w:eastAsia="Amiri" w:cs="Amiri"/>
          <w:lang w:bidi="ar-SA"/>
          <w:color w:val="111111"/>
          <w:sz w:val="28"/>
          <w:szCs w:val="28"/>
          <w:rtl/>
        </w:rPr>
        <w:t xml:space="preserve">وأجابوا عن النقض بالتّحريم المتعلّق بالأختين والأمّ والبنت بأنّه متعلّق بالجمع بينهما فليس من الحرام التخييري.</w:t>
      </w:r>
    </w:p>
    <w:p>
      <w:pPr>
        <w:pStyle w:val="BookText"/>
      </w:pPr>
      <w:r>
        <w:rPr>
          <w:rFonts w:ascii="IRNazanin" w:hAnsi="IRNazanin" w:eastAsia="IRNazanin" w:cs="IRNazanin"/>
          <w:lang w:bidi="fa-IR"/>
          <w:color w:val="111111"/>
          <w:sz w:val="28"/>
          <w:szCs w:val="28"/>
          <w:rtl/>
        </w:rPr>
        <w:t xml:space="preserve">كيف ولو كان متعلّقاً بمفهوم أحدهما اقتضى حرمة أحدهما أیضاً؛ لأنّ إيجاده إيجاد لذلك القدر المشترك. وعن ظاهر الشهيد</w:t>
      </w:r>
      <w:r>
        <w:rPr>
          <w:rStyle w:val="FootnoteReference"/>
        </w:rPr>
        <w:footnoteReference w:id="262"/>
      </w:r>
      <w:r>
        <w:rPr>
          <w:rFonts w:ascii="IRNazanin" w:hAnsi="IRNazanin" w:eastAsia="IRNazanin" w:cs="IRNazanin"/>
          <w:lang w:bidi="fa-IR"/>
          <w:color w:val="111111"/>
          <w:sz w:val="28"/>
          <w:szCs w:val="28"/>
          <w:rtl/>
        </w:rPr>
        <w:t xml:space="preserve">(رحمة‌الله) أیضاً اختياره.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0" w:name="pg6784_51134"/>
    <w:bookmarkEnd w:id="40"/>
    <w:p>
      <w:pPr>
        <w:pStyle w:val="Heading6"/>
      </w:pPr>
      <w:bookmarkStart w:id="381" w:name="_Toc62"/>
      <w:r>
        <w:t>[الردّ على منکري الحرام التخییري]</w:t>
      </w:r>
      <w:bookmarkEnd w:id="381"/>
    </w:p>
    <w:p>
      <w:pPr>
        <w:pStyle w:val="BookText"/>
      </w:pPr>
      <w:r>
        <w:rPr>
          <w:rFonts w:ascii="IRNazanin" w:hAnsi="IRNazanin" w:eastAsia="IRNazanin" w:cs="IRNazanin"/>
          <w:lang w:bidi="fa-IR"/>
          <w:color w:val="111111"/>
          <w:sz w:val="28"/>
          <w:szCs w:val="28"/>
          <w:rtl/>
        </w:rPr>
        <w:t xml:space="preserve">وفيه أوّلاً: منع كون الحرمة متعلّقاً في الحرام التخييري بمفهوم أحدهما بل بکلّ منهما على سبيل التّخيير، وكذا في الواجب.</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وثانياً: منع كون اللازم حرمة الجميع؛ إذ النّهي المتعلّق بالقدر المشترك یتصوّر</w:t>
      </w:r>
      <w:r>
        <w:rPr>
          <w:rStyle w:val="FootnoteReference"/>
        </w:rPr>
        <w:footnoteReference w:id="264"/>
      </w:r>
      <w:r>
        <w:rPr>
          <w:rFonts w:ascii="Amiri" w:hAnsi="Amiri" w:eastAsia="Amiri" w:cs="Amiri"/>
          <w:lang w:bidi="ar-SA"/>
          <w:color w:val="111111"/>
          <w:sz w:val="28"/>
          <w:szCs w:val="28"/>
          <w:rtl/>
        </w:rPr>
        <w:t xml:space="preserve">على وجهين؛ إذ قد يتعلّق النّهي به بمعنى عدم</w:t>
      </w:r>
      <w:r>
        <w:rPr>
          <w:rStyle w:val="FootnoteReference"/>
        </w:rPr>
        <w:footnoteReference w:id="265"/>
      </w:r>
      <w:r>
        <w:rPr>
          <w:rFonts w:ascii="Amiri" w:hAnsi="Amiri" w:eastAsia="Amiri" w:cs="Amiri"/>
          <w:lang w:bidi="ar-SA"/>
          <w:color w:val="111111"/>
          <w:sz w:val="28"/>
          <w:szCs w:val="28"/>
          <w:rtl/>
        </w:rPr>
        <w:t xml:space="preserve">إيجاده في الخارج أصلاً وقديتعلّق به مع إرادة عدم إيجاده في الجملة فيكفيه عدم إيجاد واحد من أفراده.</w:t>
      </w:r>
    </w:p>
    <w:p>
      <w:pPr>
        <w:pStyle w:val="BookText"/>
      </w:pPr>
      <w:r>
        <w:rPr>
          <w:rFonts w:ascii="Amiri" w:hAnsi="Amiri" w:eastAsia="Amiri" w:cs="Amiri"/>
          <w:lang w:bidi="ar-SA"/>
          <w:color w:val="111111"/>
          <w:sz w:val="28"/>
          <w:szCs w:val="28"/>
          <w:rtl/>
        </w:rPr>
        <w:t xml:space="preserve">ولذا قلنا: إنّ النّهي كالأمر لا يقتضي الدّوام والتكرار من حيث هو وإنّ الدّوام والتّكرار مستفادان من إطلاقه وإلّا فمجرّد تعلّق النّهي بالطبيعة يقتضي ترك إيجادها في الجملة الصّادق بترك فرد واحد في زمان واحد.</w:t>
      </w:r>
    </w:p>
    <w:p>
      <w:pPr>
        <w:pStyle w:val="BookText"/>
      </w:pPr>
      <w:r>
        <w:rPr>
          <w:rFonts w:ascii="IRNazanin" w:hAnsi="IRNazanin" w:eastAsia="IRNazanin" w:cs="IRNazanin"/>
          <w:lang w:bidi="fa-IR"/>
          <w:color w:val="111111"/>
          <w:sz w:val="28"/>
          <w:szCs w:val="28"/>
          <w:rtl/>
        </w:rPr>
        <w:t xml:space="preserve">فنقول: النّهي المتعلّق في المقام بالقدر المشترك بناء عليه إنّما هو على الوجه الثّاني، وتمام الکلام في محلّه. وحینئذٍ فلا وجه لما ذكروه.</w:t>
      </w:r>
    </w:p>
    <w:p>
      <w:pPr>
        <w:pStyle w:val="BookText"/>
      </w:pPr>
      <w:r>
        <w:rPr>
          <w:rFonts w:ascii="Amiri" w:hAnsi="Amiri" w:eastAsia="Amiri" w:cs="Amiri"/>
          <w:lang w:bidi="ar-SA"/>
          <w:color w:val="111111"/>
          <w:sz w:val="28"/>
          <w:szCs w:val="28"/>
          <w:rtl/>
        </w:rPr>
        <w:t xml:space="preserve">نعم جوابهم عن مسألة تحريم الأختين والأمّ والبنت صحيح حيث إنّ ظاهر الآية</w:t>
      </w:r>
      <w:r>
        <w:rPr>
          <w:rStyle w:val="FootnoteReference"/>
        </w:rPr>
        <w:footnoteReference w:id="266"/>
      </w:r>
      <w:r>
        <w:rPr>
          <w:rFonts w:ascii="Amiri" w:hAnsi="Amiri" w:eastAsia="Amiri" w:cs="Amiri"/>
          <w:lang w:bidi="ar-SA"/>
          <w:color w:val="111111"/>
          <w:sz w:val="28"/>
          <w:szCs w:val="28"/>
          <w:rtl/>
        </w:rPr>
        <w:t xml:space="preserve">كون الحرمة متعلّقة بالجمع.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1" w:name="pg6784_51135"/>
    <w:bookmarkEnd w:id="41"/>
    <w:p>
      <w:pPr>
        <w:pStyle w:val="BookText"/>
      </w:pPr>
      <w:r>
        <w:rPr>
          <w:rFonts w:ascii="Amiri" w:hAnsi="Amiri" w:eastAsia="Amiri" w:cs="Amiri"/>
          <w:lang w:bidi="ar-SA"/>
          <w:color w:val="111111"/>
          <w:sz w:val="28"/>
          <w:szCs w:val="28"/>
          <w:rtl/>
        </w:rPr>
        <w:t xml:space="preserve">وأمّا إذا فرضنا كون لسان الدّليل «لا تفعل إمّا هذا أو ذاك</w:t>
      </w:r>
      <w:r>
        <w:rPr>
          <w:rStyle w:val="FootnoteReference"/>
        </w:rPr>
        <w:footnoteReference w:id="267"/>
      </w:r>
      <w:r>
        <w:rPr>
          <w:rFonts w:ascii="Amiri" w:hAnsi="Amiri" w:eastAsia="Amiri" w:cs="Amiri"/>
          <w:lang w:bidi="ar-SA"/>
          <w:color w:val="111111"/>
          <w:sz w:val="28"/>
          <w:szCs w:val="28"/>
          <w:rtl/>
        </w:rPr>
        <w:t xml:space="preserve">» فيؤخذ بظاهره ويحمل على الحرمة التخييريّة لعدم المانع.</w:t>
      </w:r>
    </w:p>
    <w:p>
      <w:pPr>
        <w:pStyle w:val="Heading6"/>
      </w:pPr>
      <w:bookmarkStart w:id="382" w:name="_Toc63"/>
      <w:r>
        <w:t>[کلام صاحب هدایة المسترشدین]</w:t>
      </w:r>
      <w:bookmarkEnd w:id="382"/>
    </w:p>
    <w:p>
      <w:pPr>
        <w:pStyle w:val="BookText"/>
      </w:pPr>
      <w:r>
        <w:rPr>
          <w:rFonts w:ascii="IRNazanin" w:hAnsi="IRNazanin" w:eastAsia="IRNazanin" w:cs="IRNazanin"/>
          <w:lang w:bidi="fa-IR"/>
          <w:color w:val="111111"/>
          <w:sz w:val="28"/>
          <w:szCs w:val="28"/>
          <w:rtl/>
        </w:rPr>
        <w:t xml:space="preserve">هذا واختار بعض المحقّقين بعد اختياره الجواز وإيراده على استدلال المعتزلة بما ذكرنا أنّ التحريم حینئذٍ يتعلّق بالجمع</w:t>
      </w:r>
      <w:r>
        <w:rPr>
          <w:rStyle w:val="FootnoteReference"/>
        </w:rPr>
        <w:footnoteReference w:id="268"/>
      </w:r>
      <w:r>
        <w:rPr>
          <w:rFonts w:ascii="IRNazanin" w:hAnsi="IRNazanin" w:eastAsia="IRNazanin" w:cs="IRNazanin"/>
          <w:lang w:bidi="fa-IR"/>
          <w:color w:val="111111"/>
          <w:sz w:val="28"/>
          <w:szCs w:val="28"/>
          <w:rtl/>
        </w:rPr>
        <w:t xml:space="preserve">لا بکلّ منهما على سبيل التخيير على ما هو الشّأن في الواجب.</w:t>
      </w:r>
    </w:p>
    <w:p>
      <w:pPr>
        <w:pStyle w:val="BookText"/>
      </w:pPr>
      <w:r>
        <w:rPr>
          <w:rFonts w:ascii="Amiri" w:hAnsi="Amiri" w:eastAsia="Amiri" w:cs="Amiri"/>
          <w:lang w:bidi="ar-SA"/>
          <w:color w:val="111111"/>
          <w:sz w:val="28"/>
          <w:szCs w:val="28"/>
          <w:rtl/>
        </w:rPr>
        <w:t xml:space="preserve">ومحصّل مرامه: أنّ التّحريم إنّما يكون متفرّعاً على المفسدة كما أنّ الوجوب متفرّع</w:t>
      </w:r>
      <w:r>
        <w:rPr>
          <w:rStyle w:val="FootnoteReference"/>
        </w:rPr>
        <w:footnoteReference w:id="269"/>
      </w:r>
      <w:r>
        <w:rPr>
          <w:rFonts w:ascii="IRNazanin" w:hAnsi="IRNazanin" w:eastAsia="IRNazanin" w:cs="IRNazanin"/>
          <w:lang w:bidi="fa-IR"/>
          <w:color w:val="111111"/>
          <w:sz w:val="28"/>
          <w:szCs w:val="28"/>
          <w:rtl/>
        </w:rPr>
        <w:t xml:space="preserve">على المصلحة فإذا تعلّق الحرمة بشيئين على وجه التخيير اقتضى أن يكون في کلّ منهما مفسدة</w:t>
      </w:r>
      <w:r>
        <w:rPr>
          <w:rStyle w:val="FootnoteReference"/>
        </w:rPr>
        <w:footnoteReference w:id="270"/>
      </w:r>
      <w:r>
        <w:rPr>
          <w:rFonts w:ascii="IRNazanin" w:hAnsi="IRNazanin" w:eastAsia="IRNazanin" w:cs="IRNazanin"/>
          <w:lang w:bidi="fa-IR"/>
          <w:color w:val="111111"/>
          <w:sz w:val="28"/>
          <w:szCs w:val="28"/>
          <w:rtl/>
        </w:rPr>
        <w:t xml:space="preserve">كما أنّ في کلّ من الواجبين التخييريّين مصلحة.ولازم كون کلّ</w:t>
      </w:r>
      <w:r>
        <w:rPr>
          <w:rStyle w:val="FootnoteReference"/>
        </w:rPr>
        <w:footnoteReference w:id="271"/>
      </w:r>
      <w:r>
        <w:rPr>
          <w:rFonts w:ascii="IRNazanin" w:hAnsi="IRNazanin" w:eastAsia="IRNazanin" w:cs="IRNazanin"/>
          <w:lang w:bidi="fa-IR"/>
          <w:color w:val="111111"/>
          <w:sz w:val="28"/>
          <w:szCs w:val="28"/>
          <w:rtl/>
        </w:rPr>
        <w:t xml:space="preserve">منهما ذا مفسدة حرمتهما عيناً وإن كانت المفسدة واحدة؛ لأنّ إيجاد کلّ منهما إيجاد لتلك المفسدة.</w:t>
      </w:r>
    </w:p>
    <w:p>
      <w:pPr>
        <w:pStyle w:val="BookText"/>
      </w:pPr>
      <w:r>
        <w:rPr>
          <w:rFonts w:ascii="IRNazanin" w:hAnsi="IRNazanin" w:eastAsia="IRNazanin" w:cs="IRNazanin"/>
          <w:lang w:bidi="fa-IR"/>
          <w:color w:val="111111"/>
          <w:sz w:val="28"/>
          <w:szCs w:val="28"/>
          <w:rtl/>
        </w:rPr>
        <w:t xml:space="preserve">وهذا بخلاف الواجب فإنّ المصلحة في کلّ منهما لا تقتضي</w:t>
      </w:r>
      <w:r>
        <w:rPr>
          <w:rStyle w:val="FootnoteReference"/>
        </w:rPr>
        <w:footnoteReference w:id="272"/>
      </w:r>
      <w:r>
        <w:rPr>
          <w:rFonts w:ascii="IRNazanin" w:hAnsi="IRNazanin" w:eastAsia="IRNazanin" w:cs="IRNazanin"/>
          <w:lang w:bidi="fa-IR"/>
          <w:color w:val="111111"/>
          <w:sz w:val="28"/>
          <w:szCs w:val="28"/>
          <w:rtl/>
        </w:rPr>
        <w:t xml:space="preserve">وجوبهما تعييناً؛ إذ المفروض إذا كان وحدة المصلحة فبإيجاد کلّ منهما يوجد تلك المصلحة في الخارج ويسقط الوجوب عن الآخر فلا بدّ أن يكون المفسدة في الجمع بينهما ومقتضى ذلك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2" w:name="pg6784_51136"/>
    <w:bookmarkEnd w:id="42"/>
    <w:p>
      <w:pPr>
        <w:pStyle w:val="BookText"/>
      </w:pPr>
      <w:r>
        <w:rPr>
          <w:rFonts w:ascii="Amiri" w:hAnsi="Amiri" w:eastAsia="Amiri" w:cs="Amiri"/>
          <w:lang w:bidi="ar-SA"/>
          <w:color w:val="111111"/>
          <w:sz w:val="28"/>
          <w:szCs w:val="28"/>
          <w:rtl/>
        </w:rPr>
        <w:t xml:space="preserve">حرمة الجمع لا الجميع على وجه التخيير.</w:t>
      </w:r>
    </w:p>
    <w:p>
      <w:pPr>
        <w:pStyle w:val="BookText"/>
      </w:pPr>
      <w:r>
        <w:rPr>
          <w:rFonts w:ascii="Amiri" w:hAnsi="Amiri" w:eastAsia="Amiri" w:cs="Amiri"/>
          <w:lang w:bidi="ar-SA"/>
          <w:color w:val="111111"/>
          <w:sz w:val="28"/>
          <w:szCs w:val="28"/>
          <w:rtl/>
        </w:rPr>
        <w:t xml:space="preserve">وبالجملة: المفسدة</w:t>
      </w:r>
      <w:r>
        <w:rPr>
          <w:rStyle w:val="FootnoteReference"/>
        </w:rPr>
        <w:footnoteReference w:id="273"/>
      </w:r>
      <w:r>
        <w:rPr>
          <w:rFonts w:ascii="IRNazanin" w:hAnsi="IRNazanin" w:eastAsia="IRNazanin" w:cs="IRNazanin"/>
          <w:lang w:bidi="fa-IR"/>
          <w:color w:val="111111"/>
          <w:sz w:val="28"/>
          <w:szCs w:val="28"/>
          <w:rtl/>
        </w:rPr>
        <w:t xml:space="preserve">المقتضية للنّهي إمّا أن تكون في کلّ منهما أو في أحدهما المعيّن أو في مفهوم أحدهما أو في الجمع بينهما.</w:t>
      </w:r>
    </w:p>
    <w:p>
      <w:pPr>
        <w:pStyle w:val="BookText"/>
      </w:pPr>
      <w:r>
        <w:rPr>
          <w:rFonts w:ascii="IRNazanin" w:hAnsi="IRNazanin" w:eastAsia="IRNazanin" w:cs="IRNazanin"/>
          <w:lang w:bidi="fa-IR"/>
          <w:color w:val="111111"/>
          <w:sz w:val="28"/>
          <w:szCs w:val="28"/>
          <w:rtl/>
        </w:rPr>
        <w:t xml:space="preserve">فعلى الأوّل والثالث يلزم كون الحرمة تعيینية.</w:t>
      </w:r>
    </w:p>
    <w:p>
      <w:pPr>
        <w:pStyle w:val="BookText"/>
      </w:pPr>
      <w:r>
        <w:rPr>
          <w:rFonts w:ascii="Amiri" w:hAnsi="Amiri" w:eastAsia="Amiri" w:cs="Amiri"/>
          <w:lang w:bidi="ar-SA"/>
          <w:color w:val="111111"/>
          <w:sz w:val="28"/>
          <w:szCs w:val="28"/>
          <w:rtl/>
        </w:rPr>
        <w:t xml:space="preserve">وعلى الثاني كون الحرام خصوص ذلك الواحد.</w:t>
      </w:r>
    </w:p>
    <w:p>
      <w:pPr>
        <w:pStyle w:val="BookText"/>
      </w:pPr>
      <w:r>
        <w:rPr>
          <w:rFonts w:ascii="Amiri" w:hAnsi="Amiri" w:eastAsia="Amiri" w:cs="Amiri"/>
          <w:lang w:bidi="ar-SA"/>
          <w:color w:val="111111"/>
          <w:sz w:val="28"/>
          <w:szCs w:val="28"/>
          <w:rtl/>
        </w:rPr>
        <w:t xml:space="preserve">فتعين الرّابع ولازمه</w:t>
      </w:r>
      <w:r>
        <w:rPr>
          <w:rStyle w:val="FootnoteReference"/>
        </w:rPr>
        <w:footnoteReference w:id="274"/>
      </w:r>
      <w:r>
        <w:rPr>
          <w:rFonts w:ascii="Amiri" w:hAnsi="Amiri" w:eastAsia="Amiri" w:cs="Amiri"/>
          <w:lang w:bidi="ar-SA"/>
          <w:color w:val="111111"/>
          <w:sz w:val="28"/>
          <w:szCs w:val="28"/>
          <w:rtl/>
        </w:rPr>
        <w:t xml:space="preserve">ما ذكر من حرمة الجمع.</w:t>
      </w:r>
    </w:p>
    <w:p>
      <w:pPr>
        <w:pStyle w:val="BookText"/>
      </w:pPr>
      <w:r>
        <w:rPr>
          <w:rFonts w:ascii="Amiri" w:hAnsi="Amiri" w:eastAsia="Amiri" w:cs="Amiri"/>
          <w:lang w:bidi="ar-SA"/>
          <w:color w:val="111111"/>
          <w:sz w:val="28"/>
          <w:szCs w:val="28"/>
          <w:rtl/>
        </w:rPr>
        <w:t xml:space="preserve">فالمتحصّل من تعلّق النّهي بشيئين على وجه التخيير النّهي عن الجمع، فإن أراد الأشاعرة من الجواز هذا المعنى فهو، وإن أرادوا</w:t>
      </w:r>
      <w:r>
        <w:rPr>
          <w:rStyle w:val="FootnoteReference"/>
        </w:rPr>
        <w:footnoteReference w:id="275"/>
      </w:r>
      <w:r>
        <w:rPr>
          <w:rFonts w:ascii="IRNazanin" w:hAnsi="IRNazanin" w:eastAsia="IRNazanin" w:cs="IRNazanin"/>
          <w:lang w:bidi="fa-IR"/>
          <w:color w:val="111111"/>
          <w:sz w:val="28"/>
          <w:szCs w:val="28"/>
          <w:rtl/>
        </w:rPr>
        <w:t xml:space="preserve">كونه على نحو الأمر المتعلّق بهما كذلك من كون کلّ منهما واجباً فهو غير متّجه.</w:t>
      </w:r>
      <w:r>
        <w:rPr>
          <w:rStyle w:val="FootnoteReference"/>
        </w:rPr>
        <w:footnoteReference w:id="276"/>
      </w:r>
    </w:p>
    <w:p>
      <w:pPr>
        <w:pStyle w:val="Heading6"/>
      </w:pPr>
      <w:bookmarkStart w:id="383" w:name="_Toc64"/>
      <w:r>
        <w:t>[نقد کلام صاحب الهدایة]</w:t>
      </w:r>
      <w:bookmarkEnd w:id="383"/>
    </w:p>
    <w:p>
      <w:pPr>
        <w:pStyle w:val="BookText"/>
      </w:pPr>
      <w:r>
        <w:rPr>
          <w:rFonts w:ascii="Amiri" w:hAnsi="Amiri" w:eastAsia="Amiri" w:cs="Amiri"/>
          <w:lang w:bidi="ar-SA"/>
          <w:color w:val="111111"/>
          <w:sz w:val="28"/>
          <w:szCs w:val="28"/>
          <w:rtl/>
        </w:rPr>
        <w:t xml:space="preserve">أقول: لا يخفى أنّ ما ذكره التزام بمقالة المعتزلة بتغيير</w:t>
      </w:r>
      <w:r>
        <w:rPr>
          <w:rStyle w:val="FootnoteReference"/>
        </w:rPr>
        <w:footnoteReference w:id="277"/>
      </w:r>
      <w:r>
        <w:rPr>
          <w:rFonts w:ascii="Amiri" w:hAnsi="Amiri" w:eastAsia="Amiri" w:cs="Amiri"/>
          <w:lang w:bidi="ar-SA"/>
          <w:color w:val="111111"/>
          <w:sz w:val="28"/>
          <w:szCs w:val="28"/>
          <w:rtl/>
        </w:rPr>
        <w:t xml:space="preserve">الدّليل فإنّهم منعوا من جواز التخيير على نحو التخيير في الواجب وأنّ ما ظاهره ذلك لا بدّ أن يؤوّل</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مع أنّ فيه: أنّ ه-ٰهنا شقّاً آخر وهو أن يكون المفسدة في کلّ واحد منهمابشرط اجتماعه مع الآخر أو في حال الاجتماع ولازمه</w:t>
      </w:r>
      <w:r>
        <w:rPr>
          <w:rStyle w:val="FootnoteReference"/>
        </w:rPr>
        <w:footnoteReference w:id="279"/>
      </w:r>
      <w:r>
        <w:rPr>
          <w:rFonts w:ascii="IRNazanin" w:hAnsi="IRNazanin" w:eastAsia="IRNazanin" w:cs="IRNazanin"/>
          <w:lang w:bidi="fa-IR"/>
          <w:color w:val="111111"/>
          <w:sz w:val="28"/>
          <w:szCs w:val="28"/>
          <w:rtl/>
        </w:rPr>
        <w:t xml:space="preserve">حرمة کلّ منهما بشرط اجتماعه مع الآخر أو في حال الاجتماع على وجه التخيير على نحو الواجب، فمجرّد إتیان أحدهما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3" w:name="pg6784_51137"/>
    <w:bookmarkEnd w:id="43"/>
    <w:p>
      <w:pPr>
        <w:pStyle w:val="BookText"/>
      </w:pPr>
      <w:r>
        <w:rPr>
          <w:rFonts w:ascii="Amiri" w:hAnsi="Amiri" w:eastAsia="Amiri" w:cs="Amiri"/>
          <w:lang w:bidi="ar-SA"/>
          <w:color w:val="111111"/>
          <w:sz w:val="28"/>
          <w:szCs w:val="28"/>
          <w:rtl/>
        </w:rPr>
        <w:t xml:space="preserve">لايستلزم حصول المفسدة حتّى يلزم أن يكون حراماً تعييناً.</w:t>
      </w:r>
    </w:p>
    <w:p>
      <w:pPr>
        <w:pStyle w:val="Heading6"/>
      </w:pPr>
      <w:bookmarkStart w:id="384" w:name="_Toc65"/>
      <w:r>
        <w:t>[التحقیق في الحرام التخییري]</w:t>
      </w:r>
      <w:bookmarkEnd w:id="384"/>
    </w:p>
    <w:p>
      <w:pPr>
        <w:pStyle w:val="BookText"/>
      </w:pPr>
      <w:r>
        <w:rPr>
          <w:rFonts w:ascii="IRNazanin" w:hAnsi="IRNazanin" w:eastAsia="IRNazanin" w:cs="IRNazanin"/>
          <w:lang w:bidi="fa-IR"/>
          <w:color w:val="111111"/>
          <w:sz w:val="28"/>
          <w:szCs w:val="28"/>
          <w:rtl/>
        </w:rPr>
        <w:t xml:space="preserve">والتحقیق جواز</w:t>
      </w:r>
      <w:r>
        <w:rPr>
          <w:rStyle w:val="FootnoteReference"/>
        </w:rPr>
        <w:footnoteReference w:id="280"/>
      </w:r>
      <w:r>
        <w:rPr>
          <w:rFonts w:ascii="Amiri" w:hAnsi="Amiri" w:eastAsia="Amiri" w:cs="Amiri"/>
          <w:lang w:bidi="ar-SA"/>
          <w:color w:val="111111"/>
          <w:sz w:val="28"/>
          <w:szCs w:val="28"/>
          <w:rtl/>
        </w:rPr>
        <w:t xml:space="preserve">التخيير على نحو الواجب:</w:t>
      </w:r>
    </w:p>
    <w:p>
      <w:pPr>
        <w:pStyle w:val="BookText"/>
      </w:pPr>
      <w:r>
        <w:rPr>
          <w:rFonts w:ascii="IRNazanin" w:hAnsi="IRNazanin" w:eastAsia="IRNazanin" w:cs="IRNazanin"/>
          <w:lang w:bidi="fa-IR"/>
          <w:color w:val="111111"/>
          <w:sz w:val="28"/>
          <w:szCs w:val="28"/>
          <w:rtl/>
        </w:rPr>
        <w:t xml:space="preserve">أمّا على مذهب الأشاعرة من عدم كون الأحکام تابعة للمفاسد والمصالح فواضح وكذا على مذهب من يكتفي بمصلحة التکلیف ولا يوجب كون المصلحة والمفسدة في الفعل.</w:t>
      </w:r>
    </w:p>
    <w:p>
      <w:pPr>
        <w:pStyle w:val="BookText"/>
      </w:pPr>
      <w:r>
        <w:rPr>
          <w:rFonts w:ascii="IRNazanin" w:hAnsi="IRNazanin" w:eastAsia="IRNazanin" w:cs="IRNazanin"/>
          <w:lang w:bidi="fa-IR"/>
          <w:color w:val="111111"/>
          <w:sz w:val="28"/>
          <w:szCs w:val="28"/>
          <w:rtl/>
        </w:rPr>
        <w:t xml:space="preserve">وأمّا على القول بكون الأحکام تابعة للمصالح والمفاسد في المکلّف به فنختار أنّ کلّ واحد من الفعلين مشتمل على المفسدة في حال اجتماعه مع الآخر إلّا أنّ المفسدة واحدة ولازم ذلك كون کلّ منهما حراماً تخييرياً كما هو واضح.</w:t>
      </w:r>
    </w:p>
    <w:p>
      <w:pPr>
        <w:pStyle w:val="BookText"/>
      </w:pPr>
      <w:r>
        <w:rPr>
          <w:rFonts w:ascii="Amiri" w:hAnsi="Amiri" w:eastAsia="Amiri" w:cs="Amiri"/>
          <w:lang w:bidi="ar-SA"/>
          <w:color w:val="111111"/>
          <w:sz w:val="28"/>
          <w:szCs w:val="28"/>
          <w:rtl/>
        </w:rPr>
        <w:t xml:space="preserve">وهذا لا يرجع إلى حرمة الجمع فإنّه إنّما يكون إذا كانت المفسدة في هذا العنوان والمفروض</w:t>
      </w:r>
      <w:r>
        <w:rPr>
          <w:rStyle w:val="FootnoteReference"/>
        </w:rPr>
        <w:footnoteReference w:id="281"/>
      </w:r>
      <w:r>
        <w:rPr>
          <w:rFonts w:ascii="IRNazanin" w:hAnsi="IRNazanin" w:eastAsia="IRNazanin" w:cs="IRNazanin"/>
          <w:lang w:bidi="fa-IR"/>
          <w:color w:val="111111"/>
          <w:sz w:val="28"/>
          <w:szCs w:val="28"/>
          <w:rtl/>
        </w:rPr>
        <w:t xml:space="preserve">عدمه.</w:t>
      </w:r>
    </w:p>
    <w:p>
      <w:pPr>
        <w:pStyle w:val="BookText"/>
      </w:pPr>
      <w:r>
        <w:rPr>
          <w:rFonts w:ascii="Amiri" w:hAnsi="Amiri" w:eastAsia="Amiri" w:cs="Amiri"/>
          <w:lang w:bidi="ar-SA"/>
          <w:color w:val="111111"/>
          <w:sz w:val="28"/>
          <w:szCs w:val="28"/>
          <w:rtl/>
        </w:rPr>
        <w:t xml:space="preserve">وكذا لا يرجع إلى حرمة</w:t>
      </w:r>
      <w:r>
        <w:rPr>
          <w:rStyle w:val="FootnoteReference"/>
        </w:rPr>
        <w:footnoteReference w:id="282"/>
      </w:r>
      <w:r>
        <w:rPr>
          <w:rFonts w:ascii="IRNazanin" w:hAnsi="IRNazanin" w:eastAsia="IRNazanin" w:cs="IRNazanin"/>
          <w:lang w:bidi="fa-IR"/>
          <w:color w:val="111111"/>
          <w:sz w:val="28"/>
          <w:szCs w:val="28"/>
          <w:rtl/>
        </w:rPr>
        <w:t xml:space="preserve">المجموع من حيث المجموع فإنّه فرع كون کلّ من الفعلين جزء محقّق المفسدة وهو أیضاً خلاف المفروض.</w:t>
      </w:r>
    </w:p>
    <w:p>
      <w:pPr>
        <w:pStyle w:val="BookText"/>
      </w:pPr>
      <w:r>
        <w:rPr>
          <w:rFonts w:ascii="IRNazanin" w:hAnsi="IRNazanin" w:eastAsia="IRNazanin" w:cs="IRNazanin"/>
          <w:lang w:bidi="fa-IR"/>
          <w:color w:val="111111"/>
          <w:sz w:val="28"/>
          <w:szCs w:val="28"/>
          <w:rtl/>
        </w:rPr>
        <w:t xml:space="preserve">فه-ٰهنا صور ثلاث:</w:t>
      </w:r>
    </w:p>
    <w:p>
      <w:pPr>
        <w:pStyle w:val="BookText"/>
      </w:pPr>
      <w:r>
        <w:rPr>
          <w:rFonts w:ascii="IRNazanin" w:hAnsi="IRNazanin" w:eastAsia="IRNazanin" w:cs="IRNazanin"/>
          <w:lang w:bidi="fa-IR"/>
          <w:color w:val="111111"/>
          <w:sz w:val="28"/>
          <w:szCs w:val="28"/>
          <w:rtl/>
        </w:rPr>
        <w:t xml:space="preserve">إحداها: أن تكون المفسدة في المجموع بأن يكون کلّ منهما دخيلاً فيها.</w:t>
      </w:r>
    </w:p>
    <w:p>
      <w:pPr>
        <w:pStyle w:val="BookText"/>
      </w:pPr>
      <w:r>
        <w:rPr>
          <w:rFonts w:ascii="Amiri" w:hAnsi="Amiri" w:eastAsia="Amiri" w:cs="Amiri"/>
          <w:lang w:bidi="ar-SA"/>
          <w:color w:val="111111"/>
          <w:sz w:val="28"/>
          <w:szCs w:val="28"/>
          <w:rtl/>
        </w:rPr>
        <w:t xml:space="preserve">الثّانية: أن تكون</w:t>
      </w:r>
      <w:r>
        <w:rPr>
          <w:rStyle w:val="FootnoteReference"/>
        </w:rPr>
        <w:footnoteReference w:id="283"/>
      </w:r>
      <w:r>
        <w:rPr>
          <w:rFonts w:ascii="IRNazanin" w:hAnsi="IRNazanin" w:eastAsia="IRNazanin" w:cs="IRNazanin"/>
          <w:lang w:bidi="fa-IR"/>
          <w:color w:val="111111"/>
          <w:sz w:val="28"/>
          <w:szCs w:val="28"/>
          <w:rtl/>
        </w:rPr>
        <w:t xml:space="preserve">في کلّ واحد منهما.</w:t>
      </w:r>
    </w:p>
    <w:p>
      <w:pPr>
        <w:pStyle w:val="BookText"/>
      </w:pPr>
      <w:r>
        <w:rPr>
          <w:rFonts w:ascii="Amiri" w:hAnsi="Amiri" w:eastAsia="Amiri" w:cs="Amiri"/>
          <w:lang w:bidi="ar-SA"/>
          <w:color w:val="111111"/>
          <w:sz w:val="28"/>
          <w:szCs w:val="28"/>
          <w:rtl/>
        </w:rPr>
        <w:t xml:space="preserve">الثّالثة: أن تكون</w:t>
      </w:r>
      <w:r>
        <w:rPr>
          <w:rStyle w:val="FootnoteReference"/>
        </w:rPr>
        <w:footnoteReference w:id="284"/>
      </w:r>
      <w:r>
        <w:rPr>
          <w:rFonts w:ascii="Amiri" w:hAnsi="Amiri" w:eastAsia="Amiri" w:cs="Amiri"/>
          <w:lang w:bidi="ar-SA"/>
          <w:color w:val="111111"/>
          <w:sz w:val="28"/>
          <w:szCs w:val="28"/>
          <w:rtl/>
        </w:rPr>
        <w:t xml:space="preserve">في عنوان الجمع بينهما.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4" w:name="pg6784_51138"/>
    <w:bookmarkEnd w:id="44"/>
    <w:p>
      <w:pPr>
        <w:pStyle w:val="BookText"/>
      </w:pPr>
      <w:r>
        <w:rPr>
          <w:rFonts w:ascii="IRNazanin" w:hAnsi="IRNazanin" w:eastAsia="IRNazanin" w:cs="IRNazanin"/>
          <w:lang w:bidi="fa-IR"/>
          <w:color w:val="111111"/>
          <w:sz w:val="28"/>
          <w:szCs w:val="28"/>
          <w:rtl/>
        </w:rPr>
        <w:t xml:space="preserve">ولازم الأولى حرمة المجموع المركّب. ولازم الثّانية حرمة الجميع تعييناً إذاكانت المفسدة في کلّ منهما مطلقاً وتخييراً</w:t>
      </w:r>
      <w:r>
        <w:rPr>
          <w:rStyle w:val="FootnoteReference"/>
        </w:rPr>
        <w:footnoteReference w:id="285"/>
      </w:r>
      <w:r>
        <w:rPr>
          <w:rFonts w:ascii="Amiri" w:hAnsi="Amiri" w:eastAsia="Amiri" w:cs="Amiri"/>
          <w:lang w:bidi="ar-SA"/>
          <w:color w:val="111111"/>
          <w:sz w:val="28"/>
          <w:szCs w:val="28"/>
          <w:rtl/>
        </w:rPr>
        <w:t xml:space="preserve">إذا كانت بشرط الاجتماع أو في حاله مع كون المفسدة واحدة. ولازم الثّالثة حرمة الجمع.</w:t>
      </w:r>
    </w:p>
    <w:p>
      <w:pPr>
        <w:pStyle w:val="BookText"/>
      </w:pPr>
      <w:r>
        <w:rPr>
          <w:rFonts w:ascii="IRNazanin" w:hAnsi="IRNazanin" w:eastAsia="IRNazanin" w:cs="IRNazanin"/>
          <w:lang w:bidi="fa-IR"/>
          <w:color w:val="111111"/>
          <w:sz w:val="28"/>
          <w:szCs w:val="28"/>
          <w:rtl/>
        </w:rPr>
        <w:t xml:space="preserve">وإذا كان کلّ واحدة من هذه الصّور معقولاً فلا بدّ من ملاحظة لسان الدّليل وبعد كونه</w:t>
      </w:r>
      <w:r>
        <w:rPr>
          <w:rStyle w:val="FootnoteReference"/>
        </w:rPr>
        <w:footnoteReference w:id="286"/>
      </w:r>
      <w:r>
        <w:rPr>
          <w:rFonts w:ascii="IRNazanin" w:hAnsi="IRNazanin" w:eastAsia="IRNazanin" w:cs="IRNazanin"/>
          <w:lang w:bidi="fa-IR"/>
          <w:color w:val="111111"/>
          <w:sz w:val="28"/>
          <w:szCs w:val="28"/>
          <w:rtl/>
        </w:rPr>
        <w:t xml:space="preserve">على وجه يوافق الوجه الثّاني فلا داعي إلى الصّرف والتأویل.</w:t>
      </w:r>
    </w:p>
    <w:p>
      <w:pPr>
        <w:pStyle w:val="Heading6"/>
      </w:pPr>
      <w:bookmarkStart w:id="385" w:name="_Toc66"/>
      <w:r>
        <w:t>[دخول الاجتماع بین الأمر والنهي التخییرین في محلّ النزاع]</w:t>
      </w:r>
      <w:bookmarkEnd w:id="385"/>
    </w:p>
    <w:p>
      <w:pPr>
        <w:pStyle w:val="BookText"/>
      </w:pPr>
      <w:r>
        <w:rPr>
          <w:rFonts w:ascii="IRNazanin" w:hAnsi="IRNazanin" w:eastAsia="IRNazanin" w:cs="IRNazanin"/>
          <w:lang w:bidi="fa-IR"/>
          <w:color w:val="111111"/>
          <w:sz w:val="28"/>
          <w:szCs w:val="28"/>
          <w:rtl/>
        </w:rPr>
        <w:t xml:space="preserve">إذا عرفت ذلك ظهر لك كون الاجتماع في التخييريين أیضاً محلّ إشکال</w:t>
      </w:r>
      <w:r>
        <w:rPr>
          <w:rStyle w:val="FootnoteReference"/>
        </w:rPr>
        <w:footnoteReference w:id="287"/>
      </w:r>
      <w:r>
        <w:rPr>
          <w:rFonts w:ascii="IRNazanin" w:hAnsi="IRNazanin" w:eastAsia="IRNazanin" w:cs="IRNazanin"/>
          <w:lang w:bidi="fa-IR"/>
          <w:color w:val="111111"/>
          <w:sz w:val="28"/>
          <w:szCs w:val="28"/>
          <w:rtl/>
        </w:rPr>
        <w:t xml:space="preserve">وذلك لما عرفت من أنّ لازم الوجوب التخييري تحقّق الامتثال بإتیان أحدهما أو کليهما دفعة حيث إنّ کلّاً منهما واجب والمخالفة بتركهما معاً.</w:t>
      </w:r>
    </w:p>
    <w:p>
      <w:pPr>
        <w:pStyle w:val="BookText"/>
      </w:pPr>
      <w:r>
        <w:rPr>
          <w:rFonts w:ascii="IRNazanin" w:hAnsi="IRNazanin" w:eastAsia="IRNazanin" w:cs="IRNazanin"/>
          <w:lang w:bidi="fa-IR"/>
          <w:color w:val="111111"/>
          <w:sz w:val="28"/>
          <w:szCs w:val="28"/>
          <w:rtl/>
        </w:rPr>
        <w:t xml:space="preserve">ولازم الحرمة التخييريّة تحقّق الامتثال بترك أحدهما أو کليهما دفعة حيث إنّ کلّا منهما حرام والمخالفة بإتیانهما معاً، فإذا فرض أنّ المکلّف أتى بهما فيصدق أنّه أتى بالواجب والحرام</w:t>
      </w:r>
      <w:r>
        <w:rPr>
          <w:rStyle w:val="FootnoteReference"/>
        </w:rPr>
        <w:footnoteReference w:id="288"/>
      </w:r>
      <w:r>
        <w:rPr>
          <w:rFonts w:ascii="Amiri" w:hAnsi="Amiri" w:eastAsia="Amiri" w:cs="Amiri"/>
          <w:lang w:bidi="ar-SA"/>
          <w:color w:val="111111"/>
          <w:sz w:val="28"/>
          <w:szCs w:val="28"/>
          <w:rtl/>
        </w:rPr>
        <w:t xml:space="preserve">فيلزم اجتماع الطّاعة والمعصية في شي‌ء واحد.</w:t>
      </w:r>
    </w:p>
    <w:p>
      <w:pPr>
        <w:pStyle w:val="BookText"/>
      </w:pPr>
      <w:r>
        <w:rPr>
          <w:rFonts w:ascii="IRNazanin" w:hAnsi="IRNazanin" w:eastAsia="IRNazanin" w:cs="IRNazanin"/>
          <w:lang w:bidi="fa-IR"/>
          <w:color w:val="111111"/>
          <w:sz w:val="28"/>
          <w:szCs w:val="28"/>
          <w:rtl/>
        </w:rPr>
        <w:t xml:space="preserve">وكذا إذا تركهما يصدق أنّه ترك الواجب والحرام فيلزم اجتماع الطّاعة والمعصية في التركين؛ إذ لا يمكن الحكم بأنّ أحدهما معيّناً واجب والآخر حرام في کلّ من الفرضين؛ إذ لا معيّن كما هو واضح.</w:t>
      </w:r>
    </w:p>
    <w:p>
      <w:pPr>
        <w:pStyle w:val="BookText"/>
      </w:pPr>
      <w:r>
        <w:rPr>
          <w:rFonts w:ascii="IRNazanin" w:hAnsi="IRNazanin" w:eastAsia="IRNazanin" w:cs="IRNazanin"/>
          <w:lang w:bidi="fa-IR"/>
          <w:color w:val="111111"/>
          <w:sz w:val="28"/>
          <w:szCs w:val="28"/>
          <w:rtl/>
        </w:rPr>
        <w:t xml:space="preserve">فلا بدّ على القول بالجواز من الالتزام بالصحّة والإثم في صورة الإتیان بهما معاً وبالامتثال للنّهي والإثم بالنسبة إلى الأمر في صورة تركهما معاً.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وعلى القول بالامتناع لا بدّ من تقييد الوجوب بصورة عدم إتیانهما معاً</w:t>
      </w:r>
      <w:r>
        <w:rPr>
          <w:rStyle w:val="FootnoteReference"/>
        </w:rPr>
        <w:footnoteReference w:id="289"/>
      </w:r>
      <w:r>
        <w:rPr>
          <w:rFonts w:ascii="IRNazanin" w:hAnsi="IRNazanin" w:eastAsia="IRNazanin" w:cs="IRNazanin"/>
          <w:lang w:bidi="fa-IR"/>
          <w:color w:val="111111"/>
          <w:sz w:val="28"/>
          <w:szCs w:val="28"/>
          <w:rtl/>
        </w:rPr>
        <w:t xml:space="preserve">وجعل</w:t>
      </w:r>
      <w:r>
        <w:rPr>
          <w:rStyle w:val="FootnoteReference"/>
        </w:rPr>
        <w:footnoteReference w:id="290"/>
      </w:r>
      <w:r>
        <w:rPr>
          <w:rFonts w:ascii="IRNazanin" w:hAnsi="IRNazanin" w:eastAsia="IRNazanin" w:cs="IRNazanin"/>
          <w:lang w:bidi="fa-IR"/>
          <w:color w:val="111111"/>
          <w:sz w:val="28"/>
          <w:szCs w:val="28"/>
          <w:rtl/>
        </w:rPr>
        <w:t xml:space="preserve">الواجب أحدهما بشرط لا فإذا أتى بهما فقد أتى بالمحرّم فقط.ومن تقييد الحرمة بصورة عدم تركهما معاً فالحرام هو أحدهما بشرط الإتیان بالآخر فتركهما معاً ليس تركاً للحرام بل ترك للواجب فقط، فيرجع الأمر إلى كون کلّ منهما واجباً بشرط الانفراد وکلّ منهما حراماً بشرط الاجتماع وهذا ليس من الحرام والواجب التخييريين حقیقة.</w:t>
      </w:r>
    </w:p>
    <w:p>
      <w:pPr>
        <w:pStyle w:val="BookText"/>
      </w:pPr>
      <w:r>
        <w:rPr>
          <w:rFonts w:ascii="Amiri" w:hAnsi="Amiri" w:eastAsia="Amiri" w:cs="Amiri"/>
          <w:lang w:bidi="ar-SA"/>
          <w:color w:val="111111"/>
          <w:sz w:val="28"/>
          <w:szCs w:val="28"/>
          <w:rtl/>
        </w:rPr>
        <w:t xml:space="preserve">ولا فرق في ذلك بين كون متعلّق الطّلبين واحداً أو متعدّداً</w:t>
      </w:r>
      <w:r>
        <w:rPr>
          <w:rStyle w:val="FootnoteReference"/>
        </w:rPr>
        <w:footnoteReference w:id="291"/>
      </w:r>
      <w:r>
        <w:rPr>
          <w:rFonts w:ascii="Amiri" w:hAnsi="Amiri" w:eastAsia="Amiri" w:cs="Amiri"/>
          <w:lang w:bidi="ar-SA"/>
          <w:color w:val="111111"/>
          <w:sz w:val="28"/>
          <w:szCs w:val="28"/>
          <w:rtl/>
        </w:rPr>
        <w:t xml:space="preserve">وبين كون التخيير عقليّاً أو شرعيّاً.</w:t>
      </w:r>
    </w:p>
    <w:p>
      <w:pPr>
        <w:pStyle w:val="BookText"/>
      </w:pPr>
      <w:r>
        <w:rPr>
          <w:rFonts w:ascii="IRNazanin" w:hAnsi="IRNazanin" w:eastAsia="IRNazanin" w:cs="IRNazanin"/>
          <w:lang w:bidi="fa-IR"/>
          <w:color w:val="111111"/>
          <w:sz w:val="28"/>
          <w:szCs w:val="28"/>
          <w:rtl/>
        </w:rPr>
        <w:t xml:space="preserve">مثال الأوّل في التخيير العقلي: كما إذا قال: «أکرم العالم [و]</w:t>
      </w:r>
      <w:r>
        <w:rPr>
          <w:rStyle w:val="FootnoteReference"/>
        </w:rPr>
        <w:footnoteReference w:id="292"/>
      </w:r>
      <w:r>
        <w:rPr>
          <w:rFonts w:ascii="IRNazanin" w:hAnsi="IRNazanin" w:eastAsia="IRNazanin" w:cs="IRNazanin"/>
          <w:lang w:bidi="fa-IR"/>
          <w:color w:val="111111"/>
          <w:sz w:val="28"/>
          <w:szCs w:val="28"/>
          <w:rtl/>
        </w:rPr>
        <w:t xml:space="preserve">لا تكرم العالم في الجملة» وفي الشرعي ما إذا قال: «أکرم إمّا زيداً أو عمرواً و لا تكرم إمّا زيداً أو عمرواً».</w:t>
      </w:r>
    </w:p>
    <w:p>
      <w:pPr>
        <w:pStyle w:val="BookText"/>
      </w:pPr>
      <w:r>
        <w:rPr>
          <w:rFonts w:ascii="Amiri" w:hAnsi="Amiri" w:eastAsia="Amiri" w:cs="Amiri"/>
          <w:lang w:bidi="ar-SA"/>
          <w:color w:val="111111"/>
          <w:sz w:val="28"/>
          <w:szCs w:val="28"/>
          <w:rtl/>
        </w:rPr>
        <w:t xml:space="preserve">ومثال الثّاني في العقلي ما إذا قال: «صلّ ولا تغصب في الجملة».</w:t>
      </w:r>
    </w:p>
    <w:p>
      <w:pPr>
        <w:pStyle w:val="BookText"/>
      </w:pPr>
      <w:r>
        <w:rPr>
          <w:rFonts w:ascii="Amiri" w:hAnsi="Amiri" w:eastAsia="Amiri" w:cs="Amiri"/>
          <w:lang w:bidi="ar-SA"/>
          <w:color w:val="111111"/>
          <w:sz w:val="28"/>
          <w:szCs w:val="28"/>
          <w:rtl/>
        </w:rPr>
        <w:t xml:space="preserve">وفي الشرعي ما إذا قال: «صلّ أو صم يوم الجمعة ولا تغصب أو لا تكرم زيداً».</w:t>
      </w:r>
    </w:p>
    <w:p>
      <w:pPr>
        <w:pStyle w:val="BookText"/>
      </w:pPr>
      <w:r>
        <w:rPr>
          <w:rFonts w:ascii="IRNazanin" w:hAnsi="IRNazanin" w:eastAsia="IRNazanin" w:cs="IRNazanin"/>
          <w:lang w:bidi="fa-IR"/>
          <w:color w:val="111111"/>
          <w:sz w:val="28"/>
          <w:szCs w:val="28"/>
          <w:rtl/>
        </w:rPr>
        <w:t xml:space="preserve">فلو فرضنا أنّه</w:t>
      </w:r>
      <w:r>
        <w:rPr>
          <w:rStyle w:val="FootnoteReference"/>
        </w:rPr>
        <w:footnoteReference w:id="293"/>
      </w:r>
      <w:r>
        <w:rPr>
          <w:rFonts w:ascii="IRNazanin" w:hAnsi="IRNazanin" w:eastAsia="IRNazanin" w:cs="IRNazanin"/>
          <w:lang w:bidi="fa-IR"/>
          <w:color w:val="111111"/>
          <w:sz w:val="28"/>
          <w:szCs w:val="28"/>
          <w:rtl/>
        </w:rPr>
        <w:t xml:space="preserve">أکرم جميع العلماء في المثال الأوّل أو ترك إکرام الجميع وأکرم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زيداً وعمرواً</w:t>
      </w:r>
      <w:r>
        <w:rPr>
          <w:rStyle w:val="FootnoteReference"/>
        </w:rPr>
        <w:footnoteReference w:id="294"/>
      </w:r>
      <w:r>
        <w:rPr>
          <w:rFonts w:ascii="IRNazanin" w:hAnsi="IRNazanin" w:eastAsia="IRNazanin" w:cs="IRNazanin"/>
          <w:lang w:bidi="fa-IR"/>
          <w:color w:val="111111"/>
          <w:sz w:val="28"/>
          <w:szCs w:val="28"/>
          <w:rtl/>
        </w:rPr>
        <w:t xml:space="preserve">في المثال الثّاني أو ترك إکرامهما معاً أو صلّى في المكان المغصوب مع ارتكاب سائر أفراد الغصب ممّا</w:t>
      </w:r>
      <w:r>
        <w:rPr>
          <w:rStyle w:val="FootnoteReference"/>
        </w:rPr>
        <w:footnoteReference w:id="295"/>
      </w:r>
      <w:r>
        <w:rPr>
          <w:rFonts w:ascii="IRNazanin" w:hAnsi="IRNazanin" w:eastAsia="IRNazanin" w:cs="IRNazanin"/>
          <w:lang w:bidi="fa-IR"/>
          <w:color w:val="111111"/>
          <w:sz w:val="28"/>
          <w:szCs w:val="28"/>
          <w:rtl/>
        </w:rPr>
        <w:t xml:space="preserve">كان مورداً لابتلائه في الثّالث أو اختار الصّلاة في المكان المغصوب مع إکرام زيدٍ في الرّابع يجيء الإشکال المذكور من اجتماع الطّاعة والمعصية.</w:t>
      </w:r>
    </w:p>
    <w:p>
      <w:pPr>
        <w:pStyle w:val="BookText"/>
      </w:pPr>
      <w:r>
        <w:rPr>
          <w:rFonts w:ascii="IRNazanin" w:hAnsi="IRNazanin" w:eastAsia="IRNazanin" w:cs="IRNazanin"/>
          <w:lang w:bidi="fa-IR"/>
          <w:color w:val="111111"/>
          <w:sz w:val="28"/>
          <w:szCs w:val="28"/>
          <w:rtl/>
        </w:rPr>
        <w:t xml:space="preserve">نعم لو ترك الصّلاة والغصب في الثّالث أو ترك الجميع في الرّابع فلا إشکال فإنّه آثم بترك الصّلاة مطيع بترك الغصب ولا وحدة فيهما كما هو واضح.</w:t>
      </w:r>
    </w:p>
    <w:p>
      <w:pPr>
        <w:pStyle w:val="BookText"/>
      </w:pPr>
      <w:r>
        <w:rPr>
          <w:rFonts w:ascii="IRNazanin" w:hAnsi="IRNazanin" w:eastAsia="IRNazanin" w:cs="IRNazanin"/>
          <w:lang w:bidi="fa-IR"/>
          <w:color w:val="111111"/>
          <w:sz w:val="28"/>
          <w:szCs w:val="28"/>
          <w:rtl/>
        </w:rPr>
        <w:t xml:space="preserve">والحاصل: أنّه على القول بالامتناع لا بدّ من تقييد وجوب کلّ منهما بصورة عدم الإتیان بالآخر حتّى يكون إتیان کلّ منهما في حال إتیان الآخر غير مشمول للأمر ويكون حراماً صِرفاً وتقييد حرمة کلّ منهما بصورة الإتیان بالآخر حتّى يكون تركأحدهما في حال ترك الآخر تركاً لغير الحرام بل للواجب وعلى القول بالجواز لا حاجة إلى هذا التّقييد. فدعوى خروج التّخييريّين عن محلّ النّزاع لا وجه لها.</w:t>
      </w:r>
    </w:p>
    <w:p>
      <w:pPr>
        <w:pStyle w:val="BookText"/>
      </w:pPr>
      <w:r>
        <w:rPr>
          <w:rFonts w:ascii="IRNazanin" w:hAnsi="IRNazanin" w:eastAsia="IRNazanin" w:cs="IRNazanin"/>
          <w:lang w:bidi="fa-IR"/>
          <w:color w:val="111111"/>
          <w:sz w:val="28"/>
          <w:szCs w:val="28"/>
          <w:rtl/>
        </w:rPr>
        <w:t xml:space="preserve">هذا کلّه في صورة الإتیان بهما دفعة أو تركهما كذلك. وأمّا إذا كانا تدريجيين فيمكن أن يقال بعدم ورود الإشکال من حيث إنّه إذا أتى بأحدهما يتعيّن الآخر للحرمة وإذا ترك أحدهما يتعيّن الآخر للوجوب فإذا أتى بالثّاني أیضاً فيكون هو المحرّم دون الأوّل ولا يجتمع الطّاعة والعصيان وكذا إذا ترك الآخر أیضاً بعد تركه الأوّل يكون تركاً للواجب والأوّل امتثال للحرام.</w:t>
      </w:r>
    </w:p>
    <w:p>
      <w:pPr>
        <w:pStyle w:val="BookText"/>
      </w:pPr>
      <w:r>
        <w:rPr>
          <w:rFonts w:ascii="IRNazanin" w:hAnsi="IRNazanin" w:eastAsia="IRNazanin" w:cs="IRNazanin"/>
          <w:lang w:bidi="fa-IR"/>
          <w:color w:val="111111"/>
          <w:sz w:val="28"/>
          <w:szCs w:val="28"/>
          <w:rtl/>
        </w:rPr>
        <w:t xml:space="preserve">ولكن هذا موقوف على كون المبغوض في الواجب التّخييري إذا ترك أحد الفردين أوّلاً بحيث تعيّن الآخر خصوص ترك الآخر لا الأوّل أیضاً وكذا كون</w:t>
      </w:r>
      <w:r>
        <w:rPr>
          <w:rStyle w:val="FootnoteReference"/>
        </w:rPr>
        <w:footnoteReference w:id="296"/>
      </w:r>
      <w:r>
        <w:rPr>
          <w:rFonts w:ascii="Amiri" w:hAnsi="Amiri" w:eastAsia="Amiri" w:cs="Amiri"/>
          <w:lang w:bidi="ar-SA"/>
          <w:color w:val="111111"/>
          <w:sz w:val="28"/>
          <w:szCs w:val="28"/>
          <w:rtl/>
        </w:rPr>
        <w:t xml:space="preserve">المبغوض في الحرام التّخييري فعل الآخر فقط بعد فعل الأوّل ويمكن منعه وأنّ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المبغوض کلا الفعلين أو کلا التّركين وإن کان الثّاني متعيّناً للفعل أو التّرك وصار واجباً أو حراماً تعيينيّاً بأن يكون فعل الثّاني بعد فعل الأوّل أو تركه بعد ترك الأوّل كاشفاً عن كون الأوّل أیضاً مبغوضاً.</w:t>
      </w:r>
    </w:p>
    <w:p>
      <w:pPr>
        <w:pStyle w:val="BookText"/>
      </w:pPr>
      <w:r>
        <w:rPr>
          <w:rFonts w:ascii="Amiri" w:hAnsi="Amiri" w:eastAsia="Amiri" w:cs="Amiri"/>
          <w:lang w:bidi="ar-SA"/>
          <w:color w:val="111111"/>
          <w:sz w:val="28"/>
          <w:szCs w:val="28"/>
          <w:rtl/>
        </w:rPr>
        <w:t xml:space="preserve">وهذا لا ينافي التّعيين</w:t>
      </w:r>
      <w:r>
        <w:rPr>
          <w:rStyle w:val="FootnoteReference"/>
        </w:rPr>
        <w:footnoteReference w:id="297"/>
      </w:r>
      <w:r>
        <w:rPr>
          <w:rFonts w:ascii="IRNazanin" w:hAnsi="IRNazanin" w:eastAsia="IRNazanin" w:cs="IRNazanin"/>
          <w:lang w:bidi="fa-IR"/>
          <w:color w:val="111111"/>
          <w:sz w:val="28"/>
          <w:szCs w:val="28"/>
          <w:rtl/>
        </w:rPr>
        <w:t xml:space="preserve">العرضي بالنّسبة إلى الثّاني كما لا يخفى وعلى هذا فيجري الإشکال المذكور ويحتاج إلى التّقييد الّذي ذكرنا على القول بالامتناع فيكون التّخيير بين التّدريجيّين أیضاً محلّاً</w:t>
      </w:r>
      <w:r>
        <w:rPr>
          <w:rStyle w:val="FootnoteReference"/>
        </w:rPr>
        <w:footnoteReference w:id="298"/>
      </w:r>
      <w:r>
        <w:rPr>
          <w:rFonts w:ascii="Amiri" w:hAnsi="Amiri" w:eastAsia="Amiri" w:cs="Amiri"/>
          <w:lang w:bidi="ar-SA"/>
          <w:color w:val="111111"/>
          <w:sz w:val="28"/>
          <w:szCs w:val="28"/>
          <w:rtl/>
        </w:rPr>
        <w:t xml:space="preserve">للنّزاع.</w:t>
      </w:r>
    </w:p>
    <w:p>
      <w:pPr>
        <w:pStyle w:val="BookText"/>
      </w:pPr>
      <w:r>
        <w:rPr>
          <w:rFonts w:ascii="IRNazanin" w:hAnsi="IRNazanin" w:eastAsia="IRNazanin" w:cs="IRNazanin"/>
          <w:lang w:bidi="fa-IR"/>
          <w:color w:val="111111"/>
          <w:sz w:val="28"/>
          <w:szCs w:val="28"/>
          <w:rtl/>
        </w:rPr>
        <w:t xml:space="preserve">فإن قلت: غاية ما ذكرت أنّ اللّازم على القول بالامتناع تقييد کلّ من الوجوب والحرمة بالقيد الّذي ذكر وأنّ کلّاً منهما</w:t>
      </w:r>
      <w:r>
        <w:rPr>
          <w:rStyle w:val="FootnoteReference"/>
        </w:rPr>
        <w:footnoteReference w:id="299"/>
      </w:r>
      <w:r>
        <w:rPr>
          <w:rFonts w:ascii="IRNazanin" w:hAnsi="IRNazanin" w:eastAsia="IRNazanin" w:cs="IRNazanin"/>
          <w:lang w:bidi="fa-IR"/>
          <w:color w:val="111111"/>
          <w:sz w:val="28"/>
          <w:szCs w:val="28"/>
          <w:rtl/>
        </w:rPr>
        <w:t xml:space="preserve">واجب بشرط الانفراد وحرام بشرط الاجتماع</w:t>
      </w:r>
      <w:r>
        <w:rPr>
          <w:rStyle w:val="FootnoteReference"/>
        </w:rPr>
        <w:footnoteReference w:id="300"/>
      </w:r>
      <w:r>
        <w:rPr>
          <w:rFonts w:ascii="IRNazanin" w:hAnsi="IRNazanin" w:eastAsia="IRNazanin" w:cs="IRNazanin"/>
          <w:lang w:bidi="fa-IR"/>
          <w:color w:val="111111"/>
          <w:sz w:val="28"/>
          <w:szCs w:val="28"/>
          <w:rtl/>
        </w:rPr>
        <w:t xml:space="preserve">وهذا لا يخرجهما عن الوجوب والحرمة التّخييريّين؛ إذ حینئذٍ أیضاً کلّ منهما واجب وحرام فيلزم اجتماعهما</w:t>
      </w:r>
      <w:r>
        <w:rPr>
          <w:rStyle w:val="FootnoteReference"/>
        </w:rPr>
        <w:footnoteReference w:id="301"/>
      </w:r>
      <w:r>
        <w:rPr>
          <w:rFonts w:ascii="Amiri" w:hAnsi="Amiri" w:eastAsia="Amiri" w:cs="Amiri"/>
          <w:lang w:bidi="ar-SA"/>
          <w:color w:val="111111"/>
          <w:sz w:val="28"/>
          <w:szCs w:val="28"/>
          <w:rtl/>
        </w:rPr>
        <w:t xml:space="preserve">غاية الأمر عدم اجتماع الطّاعة والمعصيةفي شي‌ء واحد.</w:t>
      </w:r>
    </w:p>
    <w:p>
      <w:pPr>
        <w:pStyle w:val="BookText"/>
      </w:pPr>
      <w:r>
        <w:rPr>
          <w:rFonts w:ascii="Amiri" w:hAnsi="Amiri" w:eastAsia="Amiri" w:cs="Amiri"/>
          <w:lang w:bidi="ar-SA"/>
          <w:color w:val="111111"/>
          <w:sz w:val="28"/>
          <w:szCs w:val="28"/>
          <w:rtl/>
        </w:rPr>
        <w:t xml:space="preserve">قلت: لا نسلّم</w:t>
      </w:r>
      <w:r>
        <w:rPr>
          <w:rStyle w:val="FootnoteReference"/>
        </w:rPr>
        <w:footnoteReference w:id="302"/>
      </w:r>
      <w:r>
        <w:rPr>
          <w:rFonts w:ascii="IRNazanin" w:hAnsi="IRNazanin" w:eastAsia="IRNazanin" w:cs="IRNazanin"/>
          <w:lang w:bidi="fa-IR"/>
          <w:color w:val="111111"/>
          <w:sz w:val="28"/>
          <w:szCs w:val="28"/>
          <w:rtl/>
        </w:rPr>
        <w:t xml:space="preserve">اجتماعهما على الوجه الّذي ذكرنا؛ إذ الاجتماع إنّما يتحقّق إذا كان کلّ منهما واجباً وحراماً مطلقاً والمفروض أنّه إذا كان هذا واجباً كان الحرام هو الآخر وإذا كان حراماً كان الواجب هو الآخر فلم يجتمعا في الاعتبار في شي‌ء واحد.</w:t>
      </w:r>
    </w:p>
    <w:p>
      <w:pPr>
        <w:pStyle w:val="BookText"/>
      </w:pPr>
      <w:r>
        <w:rPr>
          <w:rFonts w:ascii="IRNazanin" w:hAnsi="IRNazanin" w:eastAsia="IRNazanin" w:cs="IRNazanin"/>
          <w:lang w:bidi="fa-IR"/>
          <w:color w:val="111111"/>
          <w:sz w:val="28"/>
          <w:szCs w:val="28"/>
          <w:rtl/>
        </w:rPr>
        <w:t xml:space="preserve">فمآل ما ذكرنا إلى أنّ هذا حرام بشرط الإتیان بالآخر وواجب بشرط ترك الآخر فيصير من باب الاجتماع مع تعدّد الشّرط كما إذا قال: «يجب إکرام زيد إن جاء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ويحرم إکرامه إن لم يجئ» ومثل هذا الاجتماع خارج عن محلّ</w:t>
      </w:r>
      <w:r>
        <w:rPr>
          <w:rStyle w:val="FootnoteReference"/>
        </w:rPr>
        <w:footnoteReference w:id="303"/>
      </w:r>
      <w:r>
        <w:rPr>
          <w:rFonts w:ascii="Amiri" w:hAnsi="Amiri" w:eastAsia="Amiri" w:cs="Amiri"/>
          <w:lang w:bidi="ar-SA"/>
          <w:color w:val="111111"/>
          <w:sz w:val="28"/>
          <w:szCs w:val="28"/>
          <w:rtl/>
        </w:rPr>
        <w:t xml:space="preserve">النّزاع.</w:t>
      </w:r>
    </w:p>
    <w:p>
      <w:pPr>
        <w:pStyle w:val="BookText"/>
      </w:pPr>
      <w:r>
        <w:rPr>
          <w:rFonts w:ascii="IRNazanin" w:hAnsi="IRNazanin" w:eastAsia="IRNazanin" w:cs="IRNazanin"/>
          <w:lang w:bidi="fa-IR"/>
          <w:color w:val="111111"/>
          <w:sz w:val="28"/>
          <w:szCs w:val="28"/>
          <w:rtl/>
        </w:rPr>
        <w:t xml:space="preserve">هذا، مع أنّ وجوب التّقييد المذكور على القول بالامتناع وعدمه على القول بالجواز يكفي في كون التّخييريّين محلّ النّزاع وإن کان بعد التّقييد أیضاً من الاجتماع الجائز الّذي هو خارج عن النّزاع.</w:t>
      </w:r>
    </w:p>
    <w:p>
      <w:pPr>
        <w:pStyle w:val="BookText"/>
      </w:pPr>
      <w:r>
        <w:rPr>
          <w:rFonts w:ascii="IRNazanin" w:hAnsi="IRNazanin" w:eastAsia="IRNazanin" w:cs="IRNazanin"/>
          <w:lang w:bidi="fa-IR"/>
          <w:color w:val="111111"/>
          <w:sz w:val="28"/>
          <w:szCs w:val="28"/>
          <w:rtl/>
        </w:rPr>
        <w:t xml:space="preserve">ثمّ هذا کلّه بناء على المختار وتصوير</w:t>
      </w:r>
      <w:r>
        <w:rPr>
          <w:rStyle w:val="FootnoteReference"/>
        </w:rPr>
        <w:footnoteReference w:id="304"/>
      </w:r>
      <w:r>
        <w:rPr>
          <w:rFonts w:ascii="IRNazanin" w:hAnsi="IRNazanin" w:eastAsia="IRNazanin" w:cs="IRNazanin"/>
          <w:lang w:bidi="fa-IR"/>
          <w:color w:val="111111"/>
          <w:sz w:val="28"/>
          <w:szCs w:val="28"/>
          <w:rtl/>
        </w:rPr>
        <w:t xml:space="preserve">الحرام التّخييري وأنّ النّهي متعلّق بکلّ واحد منهما في غير صورة الاجتماع مع الوجوب.</w:t>
      </w:r>
    </w:p>
    <w:p>
      <w:pPr>
        <w:pStyle w:val="BookText"/>
      </w:pPr>
      <w:r>
        <w:rPr>
          <w:rFonts w:ascii="IRNazanin" w:hAnsi="IRNazanin" w:eastAsia="IRNazanin" w:cs="IRNazanin"/>
          <w:lang w:bidi="fa-IR"/>
          <w:color w:val="111111"/>
          <w:sz w:val="28"/>
          <w:szCs w:val="28"/>
          <w:rtl/>
        </w:rPr>
        <w:t xml:space="preserve">وأمّا إذا قلنا بأنّ النّهي متعلّق بالجمع فيمكن أن يقال في صورة الاجتماع وإتیانهما: «لم يجتمع الطّاعة والمعصية في شي‌ء واحد؛ إذ کلّ منهما واجب والحرام عنوان الجمع بينهما».</w:t>
      </w:r>
    </w:p>
    <w:p>
      <w:pPr>
        <w:pStyle w:val="BookText"/>
      </w:pPr>
      <w:r>
        <w:rPr>
          <w:rFonts w:ascii="IRNazanin" w:hAnsi="IRNazanin" w:eastAsia="IRNazanin" w:cs="IRNazanin"/>
          <w:lang w:bidi="fa-IR"/>
          <w:color w:val="111111"/>
          <w:sz w:val="28"/>
          <w:szCs w:val="28"/>
          <w:rtl/>
        </w:rPr>
        <w:t xml:space="preserve">لكنّه أیضاً لا يتمّ؛ إذ لو كان الجمع حراماً كان المجموع علّة له وعلّة الحرام حرام فيلزم اجتماع الطّاعة والمعصية لو أتى بهما.</w:t>
      </w:r>
    </w:p>
    <w:p>
      <w:pPr>
        <w:pStyle w:val="BookText"/>
      </w:pPr>
      <w:r>
        <w:rPr>
          <w:rFonts w:ascii="Amiri" w:hAnsi="Amiri" w:eastAsia="Amiri" w:cs="Amiri"/>
          <w:lang w:bidi="ar-SA"/>
          <w:color w:val="111111"/>
          <w:sz w:val="28"/>
          <w:szCs w:val="28"/>
          <w:rtl/>
        </w:rPr>
        <w:t xml:space="preserve">نعم يتمّ ما ذكر</w:t>
      </w:r>
      <w:r>
        <w:rPr>
          <w:rStyle w:val="FootnoteReference"/>
        </w:rPr>
        <w:footnoteReference w:id="305"/>
      </w:r>
      <w:r>
        <w:rPr>
          <w:rFonts w:ascii="IRNazanin" w:hAnsi="IRNazanin" w:eastAsia="IRNazanin" w:cs="IRNazanin"/>
          <w:lang w:bidi="fa-IR"/>
          <w:color w:val="111111"/>
          <w:sz w:val="28"/>
          <w:szCs w:val="28"/>
          <w:rtl/>
        </w:rPr>
        <w:t xml:space="preserve">لو قلنا إنّ مقدّمة الحرام ليست محرّمة ولو كانت علّة وهو خلاف التّحقیق.</w:t>
      </w:r>
    </w:p>
    <w:p>
      <w:pPr>
        <w:pStyle w:val="BookText"/>
      </w:pPr>
      <w:r>
        <w:rPr>
          <w:rFonts w:ascii="IRNazanin" w:hAnsi="IRNazanin" w:eastAsia="IRNazanin" w:cs="IRNazanin"/>
          <w:lang w:bidi="fa-IR"/>
          <w:color w:val="111111"/>
          <w:sz w:val="28"/>
          <w:szCs w:val="28"/>
          <w:rtl/>
        </w:rPr>
        <w:t xml:space="preserve">وممّا ذكرنا ظهر ما في کلام القائل المتقدّم</w:t>
      </w:r>
      <w:r>
        <w:rPr>
          <w:rStyle w:val="FootnoteReference"/>
        </w:rPr>
        <w:footnoteReference w:id="306"/>
      </w:r>
      <w:r>
        <w:rPr>
          <w:rFonts w:ascii="Amiri" w:hAnsi="Amiri" w:eastAsia="Amiri" w:cs="Amiri"/>
          <w:lang w:bidi="ar-SA"/>
          <w:color w:val="111111"/>
          <w:sz w:val="28"/>
          <w:szCs w:val="28"/>
          <w:rtl/>
        </w:rPr>
        <w:t xml:space="preserve">من أنّ التّخييريّين خارجان عنالنّزاع وأنّ الاجتماع فيهما</w:t>
      </w:r>
      <w:r>
        <w:rPr>
          <w:rStyle w:val="FootnoteReference"/>
        </w:rPr>
        <w:footnoteReference w:id="307"/>
      </w:r>
      <w:r>
        <w:rPr>
          <w:rFonts w:ascii="IRNazanin" w:hAnsi="IRNazanin" w:eastAsia="IRNazanin" w:cs="IRNazanin"/>
          <w:lang w:bidi="fa-IR"/>
          <w:color w:val="111111"/>
          <w:sz w:val="28"/>
          <w:szCs w:val="28"/>
          <w:rtl/>
        </w:rPr>
        <w:t xml:space="preserve">جائز بلا إشکال، فإنّه إن أراد الجواز بمعناه الظّاهر وأنّه لا يقيّد شي‌ء من الحكمين فقد عرفت الإشکال فيه وإن أراد الجواز بالمعنى</w:t>
      </w:r>
      <w:r>
        <w:rPr>
          <w:rStyle w:val="FootnoteReference"/>
        </w:rPr>
        <w:footnoteReference w:id="308"/>
      </w:r>
      <w:r>
        <w:rPr>
          <w:rFonts w:ascii="Amiri" w:hAnsi="Amiri" w:eastAsia="Amiri" w:cs="Amiri"/>
          <w:lang w:bidi="ar-SA"/>
          <w:color w:val="111111"/>
          <w:sz w:val="28"/>
          <w:szCs w:val="28"/>
          <w:rtl/>
        </w:rPr>
        <w:t xml:space="preserve">الأخير الّذي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ذكرناه</w:t>
      </w:r>
      <w:r>
        <w:rPr>
          <w:rStyle w:val="FootnoteReference"/>
        </w:rPr>
        <w:footnoteReference w:id="309"/>
      </w:r>
      <w:r>
        <w:rPr>
          <w:rFonts w:ascii="Amiri" w:hAnsi="Amiri" w:eastAsia="Amiri" w:cs="Amiri"/>
          <w:lang w:bidi="ar-SA"/>
          <w:color w:val="111111"/>
          <w:sz w:val="28"/>
          <w:szCs w:val="28"/>
          <w:rtl/>
        </w:rPr>
        <w:t xml:space="preserve">فقد عرفت أنّه لا يخرجهما عن النّزاع.</w:t>
      </w:r>
    </w:p>
    <w:p>
      <w:pPr>
        <w:pStyle w:val="BookText"/>
      </w:pPr>
      <w:r>
        <w:rPr>
          <w:rFonts w:ascii="IRNazanin" w:hAnsi="IRNazanin" w:eastAsia="IRNazanin" w:cs="IRNazanin"/>
          <w:lang w:bidi="fa-IR"/>
          <w:color w:val="111111"/>
          <w:sz w:val="28"/>
          <w:szCs w:val="28"/>
          <w:rtl/>
        </w:rPr>
        <w:t xml:space="preserve">مع أنّه ليس من الاجتماع حقیقة لتعدّد الشّرط.</w:t>
      </w:r>
    </w:p>
    <w:p>
      <w:pPr>
        <w:pStyle w:val="BookText"/>
      </w:pPr>
      <w:r>
        <w:rPr>
          <w:rFonts w:ascii="Amiri" w:hAnsi="Amiri" w:eastAsia="Amiri" w:cs="Amiri"/>
          <w:lang w:bidi="ar-SA"/>
          <w:color w:val="111111"/>
          <w:sz w:val="28"/>
          <w:szCs w:val="28"/>
          <w:rtl/>
        </w:rPr>
        <w:t xml:space="preserve">وأمّا المختلفان فإن کان الأمر تخييريّاً عقليّاً والنّهي تعيينيّاً فهو من محلّ النّزاع كقوله: «صلّ ولا تغصب».</w:t>
      </w:r>
    </w:p>
    <w:p>
      <w:pPr>
        <w:pStyle w:val="BookText"/>
      </w:pPr>
      <w:r>
        <w:rPr>
          <w:rFonts w:ascii="IRNazanin" w:hAnsi="IRNazanin" w:eastAsia="IRNazanin" w:cs="IRNazanin"/>
          <w:lang w:bidi="fa-IR"/>
          <w:color w:val="111111"/>
          <w:sz w:val="28"/>
          <w:szCs w:val="28"/>
          <w:rtl/>
        </w:rPr>
        <w:t xml:space="preserve">وإن کان بالعكس كما لو انحصر فرد الصّلاة في الصّلاة في المكان المغصوب وكان منهيّاً عن الغصب في الجملة فقد يقال بخروجه عن محلّ النّزاع وأنّه غير جائز</w:t>
      </w:r>
      <w:r>
        <w:rPr>
          <w:rStyle w:val="FootnoteReference"/>
        </w:rPr>
        <w:footnoteReference w:id="310"/>
      </w:r>
    </w:p>
    <w:p>
      <w:pPr>
        <w:pStyle w:val="BookText"/>
      </w:pPr>
      <w:r>
        <w:rPr>
          <w:rFonts w:ascii="Amiri" w:hAnsi="Amiri" w:eastAsia="Amiri" w:cs="Amiri"/>
          <w:lang w:bidi="ar-SA"/>
          <w:color w:val="111111"/>
          <w:sz w:val="28"/>
          <w:szCs w:val="28"/>
          <w:rtl/>
        </w:rPr>
        <w:t xml:space="preserve">لكنّه كما ترى؛ فإنّه مثل السّابق، فلو أتى بالصّلاة في المكان المغصوب مع فرض ارتكاب سائر أفراد الغصب ممّا هو محلّ لابتلائه بحيث تحقّق مخالفة النّهي كان من الاجتماع الّذي هو محلّ النّزاع.</w:t>
      </w:r>
    </w:p>
    <w:p>
      <w:pPr>
        <w:pStyle w:val="BookText"/>
      </w:pPr>
      <w:r>
        <w:rPr>
          <w:rFonts w:ascii="Amiri" w:hAnsi="Amiri" w:eastAsia="Amiri" w:cs="Amiri"/>
          <w:lang w:bidi="ar-SA"/>
          <w:color w:val="111111"/>
          <w:sz w:val="28"/>
          <w:szCs w:val="28"/>
          <w:rtl/>
        </w:rPr>
        <w:t xml:space="preserve">وكذا لو ترك الصّلاة المفروضة وجعل امتثال النّهي بترك هذا الفرد من الغصب وأتى بسائر أفراده فإنّه امتثل النّهي بالتّرك المحرّم فهذا التّرك اجتمع فيه الطّاعة والعصيان.</w:t>
      </w:r>
    </w:p>
    <w:p>
      <w:pPr>
        <w:pStyle w:val="BookText"/>
      </w:pPr>
      <w:r>
        <w:rPr>
          <w:rFonts w:ascii="Amiri" w:hAnsi="Amiri" w:eastAsia="Amiri" w:cs="Amiri"/>
          <w:lang w:bidi="ar-SA"/>
          <w:color w:val="111111"/>
          <w:sz w:val="28"/>
          <w:szCs w:val="28"/>
          <w:rtl/>
        </w:rPr>
        <w:t xml:space="preserve">وإن کان الأمر تخييريّاً شرعيّاً والنّهي تعيينيّاً أو بالعكس فهو خارج عن محلّ النّزاع؛ لأنّه اجتماع آمري، كما إذا قال: «أکرم زيداً معيّناً ولا تكرم إمّا زيداً أو عمرواً» أو «لا تكرم زيداً وأکرم إمّا زيداً أو عمرواً» فمثل هذه الصّورة غير جائز بلا تأمّل؛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5" w:name="pg6784_51144"/>
    <w:bookmarkEnd w:id="45"/>
    <w:p>
      <w:pPr>
        <w:pStyle w:val="BookText"/>
      </w:pPr>
      <w:r>
        <w:rPr>
          <w:rFonts w:ascii="IRNazanin" w:hAnsi="IRNazanin" w:eastAsia="IRNazanin" w:cs="IRNazanin"/>
          <w:lang w:bidi="fa-IR"/>
          <w:color w:val="111111"/>
          <w:sz w:val="28"/>
          <w:szCs w:val="28"/>
          <w:rtl/>
        </w:rPr>
        <w:t xml:space="preserve">لأنّه تکلیف سفهي</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وفرق واضح بينه وبين ما لو قلنا: إنّ متعلّق الأحکام هو الأفراد، حيث جعلناه محلّ النّزاع في مثل قوله: «صلّ ولا تغصب»؛ إذ قوله: «صلّ» بناء على هذا القول أیضاً لا يرجع إلى مثل المقام من التّخيير الشّرعي كما عرفت سابقاً.</w:t>
      </w:r>
    </w:p>
    <w:p>
      <w:pPr>
        <w:pStyle w:val="BookText"/>
      </w:pPr>
      <w:r>
        <w:rPr>
          <w:rFonts w:ascii="Amiri" w:hAnsi="Amiri" w:eastAsia="Amiri" w:cs="Amiri"/>
          <w:lang w:bidi="ar-SA"/>
          <w:color w:val="111111"/>
          <w:sz w:val="28"/>
          <w:szCs w:val="28"/>
          <w:rtl/>
        </w:rPr>
        <w:t xml:space="preserve">فما ذكره بعضهم من أنّ مقتضى المنع في المختلفين الشّرعيّين من جهة لزوم السّفه تخصيص</w:t>
      </w:r>
      <w:r>
        <w:rPr>
          <w:rStyle w:val="FootnoteReference"/>
        </w:rPr>
        <w:footnoteReference w:id="312"/>
      </w:r>
      <w:r>
        <w:rPr>
          <w:rFonts w:ascii="IRNazanin" w:hAnsi="IRNazanin" w:eastAsia="IRNazanin" w:cs="IRNazanin"/>
          <w:lang w:bidi="fa-IR"/>
          <w:color w:val="111111"/>
          <w:sz w:val="28"/>
          <w:szCs w:val="28"/>
          <w:rtl/>
        </w:rPr>
        <w:t xml:space="preserve">محلّ النّزاع بالقول بكون متعلّق الأحکام هو الطّبائع وإلّا رجع إلى التّخيير الشّرعي وكان التکلیف سفهاً،</w:t>
      </w:r>
      <w:r>
        <w:rPr>
          <w:rStyle w:val="FootnoteReference"/>
        </w:rPr>
        <w:footnoteReference w:id="313"/>
      </w:r>
      <w:r>
        <w:rPr>
          <w:rFonts w:ascii="Amiri" w:hAnsi="Amiri" w:eastAsia="Amiri" w:cs="Amiri"/>
          <w:lang w:bidi="ar-SA"/>
          <w:color w:val="111111"/>
          <w:sz w:val="28"/>
          <w:szCs w:val="28"/>
          <w:rtl/>
        </w:rPr>
        <w:t xml:space="preserve">لا وجه له كما ذكرنا سابقاً.</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هذا، ولازم من جعل مرجع النّهي التّخييري إلى النّهي عن عنوان الجمع جعل النّهي التّخييري الشّرعي والأمر التّعييني محلّاً للنّزاع؛ إذ في الحقيقة يكون المنهي عنه العنوان الکلّي لا خصوص کلّ من الفردين حتّى يكون سفهاً فلا تغفل.</w:t>
      </w:r>
    </w:p>
    <w:p>
      <w:pPr>
        <w:pStyle w:val="BookText"/>
      </w:pPr>
      <w:r>
        <w:rPr>
          <w:rFonts w:ascii="IRNazanin" w:hAnsi="IRNazanin" w:eastAsia="IRNazanin" w:cs="IRNazanin"/>
          <w:lang w:bidi="fa-IR"/>
          <w:color w:val="111111"/>
          <w:sz w:val="28"/>
          <w:szCs w:val="28"/>
          <w:rtl/>
        </w:rPr>
        <w:t xml:space="preserve">كما أنّ الصّورة الأخرى أیضاً تدخل في محلّ النّزاع بناء على مذهب من يقول في التّخيير الشّرعي أنّ الواجب هو عنوان أحدهما وهو القدر المشترك بين الفردين إلّا أن يقال: إنّ المدار في لزوم السّفه إنّما هو على ظاهر التّعبير فلا ينفع كون الوجوب راجعاً إلى عنوان أحدهما أو كون الحرمة راجعة إلى عنوان الجمع. فتدبّر.</w:t>
      </w:r>
    </w:p>
    <w:p>
      <w:pPr>
        <w:pStyle w:val="Heading6"/>
      </w:pPr>
      <w:bookmarkStart w:id="386" w:name="_Toc67"/>
      <w:r>
        <w:t>[العیني والکفائي]</w:t>
      </w:r>
      <w:bookmarkEnd w:id="386"/>
    </w:p>
    <w:p>
      <w:pPr>
        <w:pStyle w:val="BookText"/>
      </w:pPr>
      <w:r>
        <w:rPr>
          <w:rFonts w:ascii="Amiri" w:hAnsi="Amiri" w:eastAsia="Amiri" w:cs="Amiri"/>
          <w:lang w:bidi="ar-SA"/>
          <w:color w:val="111111"/>
          <w:sz w:val="28"/>
          <w:szCs w:val="28"/>
          <w:rtl/>
        </w:rPr>
        <w:t xml:space="preserve">وأمّا من حيث الكفائيّة والعينيّة فحكم الكفائيّين حكم التّخييريّين في كونهما محلّ النّزاع ولازم من</w:t>
      </w:r>
      <w:r>
        <w:rPr>
          <w:rStyle w:val="FootnoteReference"/>
        </w:rPr>
        <w:footnoteReference w:id="315"/>
      </w:r>
      <w:r>
        <w:rPr>
          <w:rFonts w:ascii="IRNazanin" w:hAnsi="IRNazanin" w:eastAsia="IRNazanin" w:cs="IRNazanin"/>
          <w:lang w:bidi="fa-IR"/>
          <w:color w:val="111111"/>
          <w:sz w:val="28"/>
          <w:szCs w:val="28"/>
          <w:rtl/>
        </w:rPr>
        <w:t xml:space="preserve">حكم بخروج التّخييريّين الحكم بخروجهما أیضاً كما لا يخفى.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فرق ه-ٰهنا أیضاً بين كون متعلّقهما واحداً كأن يقول: «صلّوا على الميّت كفاية ولا تصلّوا على الميّت كفاية» فيحصل اجتماع الطّاعة والعصيان لو صلّوا عليه دفعة جميعاً أو تركوها كذلك أو متعدّداً كأن يقول: «صلّ على الميّت كفاية ولا تغصب كذلك» فيحصل الاجتماع لو صلّى في المكان المغصوب مع ارتكاب الجميعللغصب أو صلّى الجميع دفعة عليه في المكان المغصوب فعلى القول بامتناع</w:t>
      </w:r>
      <w:r>
        <w:rPr>
          <w:rStyle w:val="FootnoteReference"/>
        </w:rPr>
        <w:footnoteReference w:id="316"/>
      </w:r>
      <w:r>
        <w:rPr>
          <w:rFonts w:ascii="IRNazanin" w:hAnsi="IRNazanin" w:eastAsia="IRNazanin" w:cs="IRNazanin"/>
          <w:lang w:bidi="fa-IR"/>
          <w:color w:val="111111"/>
          <w:sz w:val="28"/>
          <w:szCs w:val="28"/>
          <w:rtl/>
        </w:rPr>
        <w:t xml:space="preserve">الاجتماع لا بدّ من تقييد الأمر بصورة عدم إتیان الجميع في المثال الأوّل وبعدم الإتیان في المكان المغصوب أو بعدم ارتكاب البقيّة للغصب في المثال الثّاني وتقييد النّهي بصورة إتیان الجميع أو ارتكاب البقيّة للغصب.</w:t>
      </w:r>
    </w:p>
    <w:p>
      <w:pPr>
        <w:pStyle w:val="BookText"/>
      </w:pPr>
      <w:r>
        <w:rPr>
          <w:rFonts w:ascii="IRNazanin" w:hAnsi="IRNazanin" w:eastAsia="IRNazanin" w:cs="IRNazanin"/>
          <w:lang w:bidi="fa-IR"/>
          <w:color w:val="111111"/>
          <w:sz w:val="28"/>
          <w:szCs w:val="28"/>
          <w:rtl/>
        </w:rPr>
        <w:t xml:space="preserve">ثمّ لا يخفى أنّه في صورة مخالفة الجميع للنهي يستحقّ کلّ واحد عقاباً مستقلّاً ويكون فعل کلّ واحد مبغوضاً كما هو شأن الحرام الكفائي كما أنّ لازم الوجوب الكفائي أیضاً مبغوضیّة ترك کلّ واحد وعقابه عليه مستقلّاً لو تركوا جميعاً</w:t>
      </w:r>
      <w:r>
        <w:rPr>
          <w:rStyle w:val="FootnoteReference"/>
        </w:rPr>
        <w:footnoteReference w:id="317"/>
      </w:r>
      <w:r>
        <w:rPr>
          <w:rFonts w:ascii="Amiri" w:hAnsi="Amiri" w:eastAsia="Amiri" w:cs="Amiri"/>
          <w:lang w:bidi="ar-SA"/>
          <w:color w:val="111111"/>
          <w:sz w:val="28"/>
          <w:szCs w:val="28"/>
          <w:rtl/>
        </w:rPr>
        <w:t xml:space="preserve">ولو صلّى الجميع تدريجاً أو ارتكبوا الغصب كذلك فلا يحصل الاجتماع بل إنّما يكون الحرام هو فعل الأخير أو تركه؛ لأنّه يصير عينيّاً بالنّسبة إليه ولا يكون فعله كاشفاً عن كون فعل الجميع حراماً ولا تركه كذلك، وإن قلنا بذلك في الحرمة التّخييريّة التّدريجيّة؛ وذلك لأنّ المفروض جواز الفعل للأوّل وكونه مأذوناً في الفعل ما لم يتضيّق فلا يعقل أن يصير حراماً بسبب فعل غيره؛ لأنّه ليس باختياره، وكذا في ترك الواجب.</w:t>
      </w:r>
    </w:p>
    <w:p>
      <w:pPr>
        <w:pStyle w:val="BookText"/>
      </w:pPr>
      <w:r>
        <w:rPr>
          <w:rFonts w:ascii="IRNazanin" w:hAnsi="IRNazanin" w:eastAsia="IRNazanin" w:cs="IRNazanin"/>
          <w:lang w:bidi="fa-IR"/>
          <w:color w:val="111111"/>
          <w:sz w:val="28"/>
          <w:szCs w:val="28"/>
          <w:rtl/>
        </w:rPr>
        <w:t xml:space="preserve">وهذا بخلاف الحرام التّخييري فإنّ كون إتیانه للفرد الأخير سبباً لحرمة إتیانه الفرد الأوّل على وجه الكشف معقول؛ لأنّه مختار في فعله وتركه.</w:t>
      </w:r>
    </w:p>
    <w:p>
      <w:pPr>
        <w:pStyle w:val="BookText"/>
      </w:pPr>
      <w:r>
        <w:rPr>
          <w:rFonts w:ascii="Amiri" w:hAnsi="Amiri" w:eastAsia="Amiri" w:cs="Amiri"/>
          <w:lang w:bidi="ar-SA"/>
          <w:color w:val="111111"/>
          <w:sz w:val="28"/>
          <w:szCs w:val="28"/>
          <w:rtl/>
        </w:rPr>
        <w:t xml:space="preserve">فيظهر من ذلك أنّ صورة التّدريج في المقام خارج عن النّزاع ولو قلنا بدخولها فيه في التّخييريّين.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فيما لو كان المتعلّق واحداً؛ إذ لو ترك البقيّة</w:t>
      </w:r>
      <w:r>
        <w:rPr>
          <w:rStyle w:val="FootnoteReference"/>
        </w:rPr>
        <w:footnoteReference w:id="318"/>
      </w:r>
      <w:r>
        <w:rPr>
          <w:rFonts w:ascii="Amiri" w:hAnsi="Amiri" w:eastAsia="Amiri" w:cs="Amiri"/>
          <w:lang w:bidi="ar-SA"/>
          <w:color w:val="111111"/>
          <w:sz w:val="28"/>
          <w:szCs w:val="28"/>
          <w:rtl/>
        </w:rPr>
        <w:t xml:space="preserve">الفعل بحيث خرج عن قدرتهم وجب عليه عيناً ولو أتوا به حرم عليه عيناً فلا يكون من الاجتماع.</w:t>
      </w:r>
    </w:p>
    <w:p>
      <w:pPr>
        <w:pStyle w:val="BookText"/>
      </w:pPr>
      <w:r>
        <w:rPr>
          <w:rFonts w:ascii="Amiri" w:hAnsi="Amiri" w:eastAsia="Amiri" w:cs="Amiri"/>
          <w:lang w:bidi="ar-SA"/>
          <w:color w:val="111111"/>
          <w:sz w:val="28"/>
          <w:szCs w:val="28"/>
          <w:rtl/>
        </w:rPr>
        <w:t xml:space="preserve">وأمّا مع تعدّد المتعلّق فيصير من اجتماع الواجب العيني مع الحرام الكفائي فيما لو تركوا جميعاً للمأمور به وتعيّن عليه</w:t>
      </w:r>
      <w:r>
        <w:rPr>
          <w:rStyle w:val="FootnoteReference"/>
        </w:rPr>
        <w:footnoteReference w:id="319"/>
      </w:r>
      <w:r>
        <w:rPr>
          <w:rFonts w:ascii="IRNazanin" w:hAnsi="IRNazanin" w:eastAsia="IRNazanin" w:cs="IRNazanin"/>
          <w:lang w:bidi="fa-IR"/>
          <w:color w:val="111111"/>
          <w:sz w:val="28"/>
          <w:szCs w:val="28"/>
          <w:rtl/>
        </w:rPr>
        <w:t xml:space="preserve">فأتى به في المكان المغصوب أو من اجتماع الحرام العيني مع الواجب الكفائي فيما لو أتوا به فتعيّن عليه التّرك أي ترك الغصب فصلّى في المكان المغصوب مثلاً.وأمّا المختلفان فيكونان أیضاً من محلّ النّزاع في الجملة كما إذا كان أحدهما تخييريّاً بحيث يكون للمکلّف مندوحة كما إذا قال: «صلّ على للميّت كفاية ولا تغصب عيناً»</w:t>
      </w:r>
      <w:r>
        <w:rPr>
          <w:rStyle w:val="FootnoteReference"/>
        </w:rPr>
        <w:footnoteReference w:id="320"/>
      </w:r>
      <w:r>
        <w:rPr>
          <w:rFonts w:ascii="Amiri" w:hAnsi="Amiri" w:eastAsia="Amiri" w:cs="Amiri"/>
          <w:lang w:bidi="ar-SA"/>
          <w:color w:val="111111"/>
          <w:sz w:val="28"/>
          <w:szCs w:val="28"/>
          <w:rtl/>
        </w:rPr>
        <w:t xml:space="preserve">فأتى بالصّلاة في المكان المغصوب، دون ما لم يكن كذلك كما إذا قال: «صلّ على الميت ولا تصلّ على الميت الفلاني»</w:t>
      </w:r>
      <w:r>
        <w:rPr>
          <w:rStyle w:val="FootnoteReference"/>
        </w:rPr>
        <w:footnoteReference w:id="321"/>
      </w:r>
      <w:r>
        <w:rPr>
          <w:rFonts w:ascii="Amiri" w:hAnsi="Amiri" w:eastAsia="Amiri" w:cs="Amiri"/>
          <w:lang w:bidi="ar-SA"/>
          <w:color w:val="111111"/>
          <w:sz w:val="28"/>
          <w:szCs w:val="28"/>
          <w:rtl/>
        </w:rPr>
        <w:t xml:space="preserve">، فلا يجوز كونه واجباً وحراماً.</w:t>
      </w:r>
    </w:p>
    <w:p>
      <w:pPr>
        <w:pStyle w:val="BookText"/>
      </w:pPr>
      <w:r>
        <w:rPr>
          <w:rFonts w:ascii="IRNazanin" w:hAnsi="IRNazanin" w:eastAsia="IRNazanin" w:cs="IRNazanin"/>
          <w:lang w:bidi="fa-IR"/>
          <w:color w:val="111111"/>
          <w:sz w:val="28"/>
          <w:szCs w:val="28"/>
          <w:rtl/>
        </w:rPr>
        <w:t xml:space="preserve">ومن ذلك يظهر الإشکال فيما ورد من كراهة الصّلاة على المخالفين عيناً مع كون الصلاة عليهم واجبة کفایةً</w:t>
      </w:r>
      <w:r>
        <w:rPr>
          <w:rStyle w:val="FootnoteReference"/>
        </w:rPr>
        <w:footnoteReference w:id="322"/>
      </w:r>
      <w:r>
        <w:rPr>
          <w:rFonts w:ascii="Amiri" w:hAnsi="Amiri" w:eastAsia="Amiri" w:cs="Amiri"/>
          <w:lang w:bidi="ar-SA"/>
          <w:color w:val="111111"/>
          <w:sz w:val="28"/>
          <w:szCs w:val="28"/>
          <w:rtl/>
        </w:rPr>
        <w:t xml:space="preserve">وكذا ما ورد من كراهة القضاء بين النّاس عيناً</w:t>
      </w:r>
      <w:r>
        <w:rPr>
          <w:rStyle w:val="FootnoteReference"/>
        </w:rPr>
        <w:footnoteReference w:id="323"/>
      </w:r>
      <w:r>
        <w:rPr>
          <w:rFonts w:ascii="IRNazanin" w:hAnsi="IRNazanin" w:eastAsia="IRNazanin" w:cs="IRNazanin"/>
          <w:lang w:bidi="fa-IR"/>
          <w:color w:val="111111"/>
          <w:sz w:val="28"/>
          <w:szCs w:val="28"/>
          <w:rtl/>
        </w:rPr>
        <w:t xml:space="preserve">مع كونه من الواجبات الكفائيّة؛ إذ لا فرق في ورود الإشکال بين كون الحكم كراهة أو حرمة.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والإشکال فيهما</w:t>
      </w:r>
      <w:r>
        <w:rPr>
          <w:rStyle w:val="FootnoteReference"/>
        </w:rPr>
        <w:footnoteReference w:id="324"/>
      </w:r>
      <w:r>
        <w:rPr>
          <w:rFonts w:ascii="IRNazanin" w:hAnsi="IRNazanin" w:eastAsia="IRNazanin" w:cs="IRNazanin"/>
          <w:lang w:bidi="fa-IR"/>
          <w:color w:val="111111"/>
          <w:sz w:val="28"/>
          <w:szCs w:val="28"/>
          <w:rtl/>
        </w:rPr>
        <w:t xml:space="preserve">أقوى من إشکال العبادات المكروهة كما هو واضح؛ إذ فيها المندوحة متحقّقة وليس كذلك المقام، فلا بدّ من التوجيه بحمل الكراهة على المبادرة إلى الفعل مع وجود من يقوم بالكفاية لا كراهة أصل الفعل مطلقاً.</w:t>
      </w:r>
    </w:p>
    <w:p>
      <w:pPr>
        <w:pStyle w:val="BookText"/>
      </w:pPr>
      <w:r>
        <w:rPr>
          <w:rFonts w:ascii="Amiri" w:hAnsi="Amiri" w:eastAsia="Amiri" w:cs="Amiri"/>
          <w:lang w:bidi="ar-SA"/>
          <w:color w:val="111111"/>
          <w:sz w:val="28"/>
          <w:szCs w:val="28"/>
          <w:rtl/>
        </w:rPr>
        <w:t xml:space="preserve">هذا، ولو كان المختلفان</w:t>
      </w:r>
      <w:r>
        <w:rPr>
          <w:rStyle w:val="FootnoteReference"/>
        </w:rPr>
        <w:footnoteReference w:id="325"/>
      </w:r>
      <w:r>
        <w:rPr>
          <w:rFonts w:ascii="IRNazanin" w:hAnsi="IRNazanin" w:eastAsia="IRNazanin" w:cs="IRNazanin"/>
          <w:lang w:bidi="fa-IR"/>
          <w:color w:val="111111"/>
          <w:sz w:val="28"/>
          <w:szCs w:val="28"/>
          <w:rtl/>
        </w:rPr>
        <w:t xml:space="preserve">من قبيل قوله: «يجب على العالم الصّلاة على الميّت کفایةً</w:t>
      </w:r>
      <w:r>
        <w:rPr>
          <w:rStyle w:val="FootnoteReference"/>
        </w:rPr>
        <w:footnoteReference w:id="326"/>
      </w:r>
      <w:r>
        <w:rPr>
          <w:rFonts w:ascii="Amiri" w:hAnsi="Amiri" w:eastAsia="Amiri" w:cs="Amiri"/>
          <w:lang w:bidi="ar-SA"/>
          <w:color w:val="111111"/>
          <w:sz w:val="28"/>
          <w:szCs w:val="28"/>
          <w:rtl/>
        </w:rPr>
        <w:t xml:space="preserve">ويحرم على الفاسق عيناً» ممّا يكون بين مورد</w:t>
      </w:r>
      <w:r>
        <w:rPr>
          <w:rStyle w:val="FootnoteReference"/>
        </w:rPr>
        <w:footnoteReference w:id="327"/>
      </w:r>
      <w:r>
        <w:rPr>
          <w:rFonts w:ascii="IRNazanin" w:hAnsi="IRNazanin" w:eastAsia="IRNazanin" w:cs="IRNazanin"/>
          <w:lang w:bidi="fa-IR"/>
          <w:color w:val="111111"/>
          <w:sz w:val="28"/>
          <w:szCs w:val="28"/>
          <w:rtl/>
        </w:rPr>
        <w:t xml:space="preserve">التکلیفين هو العموم من وجه بالنسبة إلى المکلّفين لا بالنسبة إلى الفعل فهل يكون من محلّ النزاع أو لا يجوز الاجتماع فيه ولو قلنا بالجواز في أصل المسألة؟</w:t>
      </w:r>
    </w:p>
    <w:p>
      <w:pPr>
        <w:pStyle w:val="BookText"/>
      </w:pPr>
      <w:r>
        <w:rPr>
          <w:rFonts w:ascii="IRNazanin" w:hAnsi="IRNazanin" w:eastAsia="IRNazanin" w:cs="IRNazanin"/>
          <w:lang w:bidi="fa-IR"/>
          <w:color w:val="111111"/>
          <w:sz w:val="28"/>
          <w:szCs w:val="28"/>
          <w:rtl/>
        </w:rPr>
        <w:t xml:space="preserve">وجهان:</w:t>
      </w:r>
    </w:p>
    <w:p>
      <w:pPr>
        <w:pStyle w:val="BookText"/>
      </w:pPr>
      <w:r>
        <w:rPr>
          <w:rFonts w:ascii="IRNazanin" w:hAnsi="IRNazanin" w:eastAsia="IRNazanin" w:cs="IRNazanin"/>
          <w:lang w:bidi="fa-IR"/>
          <w:color w:val="111111"/>
          <w:sz w:val="28"/>
          <w:szCs w:val="28"/>
          <w:rtl/>
        </w:rPr>
        <w:t xml:space="preserve">من تحقّق المندوحة للعالم الفاسق من حيث إمکان تركه للصّلاة المفروضحرمتها</w:t>
      </w:r>
      <w:r>
        <w:rPr>
          <w:rStyle w:val="FootnoteReference"/>
        </w:rPr>
        <w:footnoteReference w:id="328"/>
      </w:r>
      <w:r>
        <w:rPr>
          <w:rFonts w:ascii="Amiri" w:hAnsi="Amiri" w:eastAsia="Amiri" w:cs="Amiri"/>
          <w:lang w:bidi="ar-SA"/>
          <w:color w:val="111111"/>
          <w:sz w:val="28"/>
          <w:szCs w:val="28"/>
          <w:rtl/>
        </w:rPr>
        <w:t xml:space="preserve">عليه؛</w:t>
      </w:r>
    </w:p>
    <w:p>
      <w:pPr>
        <w:pStyle w:val="BookText"/>
      </w:pPr>
      <w:r>
        <w:rPr>
          <w:rFonts w:ascii="IRNazanin" w:hAnsi="IRNazanin" w:eastAsia="IRNazanin" w:cs="IRNazanin"/>
          <w:lang w:bidi="fa-IR"/>
          <w:color w:val="111111"/>
          <w:sz w:val="28"/>
          <w:szCs w:val="28"/>
          <w:rtl/>
        </w:rPr>
        <w:t xml:space="preserve">ومن أنّ الاجتماع فيه راجع إلى الآمر حيث إنّه کلّفه بترك الصّلاة عيناً مع أنّه أمره بها في ضمن عموم قوله</w:t>
      </w:r>
      <w:r>
        <w:rPr>
          <w:rStyle w:val="FootnoteReference"/>
        </w:rPr>
        <w:footnoteReference w:id="329"/>
      </w:r>
      <w:r>
        <w:rPr>
          <w:rFonts w:ascii="Amiri" w:hAnsi="Amiri" w:eastAsia="Amiri" w:cs="Amiri"/>
          <w:lang w:bidi="ar-SA"/>
          <w:color w:val="111111"/>
          <w:sz w:val="28"/>
          <w:szCs w:val="28"/>
          <w:rtl/>
        </w:rPr>
        <w:t xml:space="preserve">: «يجب على العالم».</w:t>
      </w:r>
    </w:p>
    <w:p>
      <w:pPr>
        <w:pStyle w:val="BookText"/>
      </w:pPr>
      <w:r>
        <w:rPr>
          <w:rFonts w:ascii="IRNazanin" w:hAnsi="IRNazanin" w:eastAsia="IRNazanin" w:cs="IRNazanin"/>
          <w:lang w:bidi="fa-IR"/>
          <w:color w:val="111111"/>
          <w:sz w:val="28"/>
          <w:szCs w:val="28"/>
          <w:rtl/>
        </w:rPr>
        <w:t xml:space="preserve">والأقوى هو الثّاني وعدم كفاية إمکان الترك في كونه مندوحة بل لا فرق في الحقيقة بين هذه الصّورة والصّورة السابقة فعلى هذا لو صلّى العالم الفاسق لم تجز بالنّسبة إلى العدول.</w:t>
      </w:r>
    </w:p>
    <w:p>
      <w:pPr>
        <w:pStyle w:val="BookText"/>
      </w:pPr>
      <w:r>
        <w:rPr>
          <w:rFonts w:ascii="Amiri" w:hAnsi="Amiri" w:eastAsia="Amiri" w:cs="Amiri"/>
          <w:lang w:bidi="ar-SA"/>
          <w:color w:val="111111"/>
          <w:sz w:val="28"/>
          <w:szCs w:val="28"/>
          <w:rtl/>
        </w:rPr>
        <w:t xml:space="preserve">والحاصل: أنّه فرق بين كون التخيير وعدم التعيين بالنّسبة إلى الفعل كقوله: «صلّ على الميّت ولا تغصب» حيث إنّه مخيّرٌ في أفراد الصّلاة وبين كون عدم التّعيين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6" w:name="pg6784_51148"/>
    <w:bookmarkEnd w:id="46"/>
    <w:p>
      <w:pPr>
        <w:pStyle w:val="BookText"/>
      </w:pPr>
      <w:r>
        <w:rPr>
          <w:rFonts w:ascii="IRNazanin" w:hAnsi="IRNazanin" w:eastAsia="IRNazanin" w:cs="IRNazanin"/>
          <w:lang w:bidi="fa-IR"/>
          <w:color w:val="111111"/>
          <w:sz w:val="28"/>
          <w:szCs w:val="28"/>
          <w:rtl/>
        </w:rPr>
        <w:t xml:space="preserve">بالنّسبة إلى المکلّفين فإنّ کلّ واحد مکلّف على نحو الكفاية فلا يجوز تکليفه عيناً بترك بعض الأفراد أو الجميع؛ لأنّه اجتماع آمري ولا يثمر</w:t>
      </w:r>
      <w:r>
        <w:rPr>
          <w:rStyle w:val="FootnoteReference"/>
        </w:rPr>
        <w:footnoteReference w:id="330"/>
      </w:r>
      <w:r>
        <w:rPr>
          <w:rFonts w:ascii="IRNazanin" w:hAnsi="IRNazanin" w:eastAsia="IRNazanin" w:cs="IRNazanin"/>
          <w:lang w:bidi="fa-IR"/>
          <w:color w:val="111111"/>
          <w:sz w:val="28"/>
          <w:szCs w:val="28"/>
          <w:rtl/>
        </w:rPr>
        <w:t xml:space="preserve">فيه عدم التّعيين بالنّسبة إلى کلّ واحد واحد. فتدبّر.</w:t>
      </w:r>
    </w:p>
    <w:p>
      <w:pPr>
        <w:pStyle w:val="Heading6"/>
      </w:pPr>
      <w:bookmarkStart w:id="387" w:name="_Toc68"/>
      <w:r>
        <w:t>[الموسّع والمضیّق]</w:t>
      </w:r>
      <w:bookmarkEnd w:id="387"/>
    </w:p>
    <w:p>
      <w:pPr>
        <w:pStyle w:val="BookText"/>
      </w:pPr>
      <w:r>
        <w:rPr>
          <w:rFonts w:ascii="IRNazanin" w:hAnsi="IRNazanin" w:eastAsia="IRNazanin" w:cs="IRNazanin"/>
          <w:lang w:bidi="fa-IR"/>
          <w:color w:val="111111"/>
          <w:sz w:val="28"/>
          <w:szCs w:val="28"/>
          <w:rtl/>
        </w:rPr>
        <w:t xml:space="preserve">وأمّا من حيث التّوسعة والتّضييق فالموسّعان مثل المخيّرين أیضاً سواء كان متعلّقهما واحداً كأن يقول: «أوجد طبيعة النّوم فيما بين الصّبح والغروب ولا توجد</w:t>
      </w:r>
      <w:r>
        <w:rPr>
          <w:rStyle w:val="FootnoteReference"/>
        </w:rPr>
        <w:footnoteReference w:id="331"/>
      </w:r>
      <w:r>
        <w:rPr>
          <w:rFonts w:ascii="Amiri" w:hAnsi="Amiri" w:eastAsia="Amiri" w:cs="Amiri"/>
          <w:lang w:bidi="ar-SA"/>
          <w:color w:val="111111"/>
          <w:sz w:val="28"/>
          <w:szCs w:val="28"/>
          <w:rtl/>
        </w:rPr>
        <w:t xml:space="preserve">طبيعة النّوم</w:t>
      </w:r>
      <w:r>
        <w:rPr>
          <w:rStyle w:val="FootnoteReference"/>
        </w:rPr>
        <w:footnoteReference w:id="332"/>
      </w:r>
      <w:r>
        <w:rPr>
          <w:rFonts w:ascii="Amiri" w:hAnsi="Amiri" w:eastAsia="Amiri" w:cs="Amiri"/>
          <w:lang w:bidi="ar-SA"/>
          <w:color w:val="111111"/>
          <w:sz w:val="28"/>
          <w:szCs w:val="28"/>
          <w:rtl/>
        </w:rPr>
        <w:t xml:space="preserve">كذلك في الجملة»، فيجب عليه النّوم في الجملة وتركه في الجملة</w:t>
      </w:r>
      <w:r>
        <w:rPr>
          <w:rStyle w:val="FootnoteReference"/>
        </w:rPr>
        <w:footnoteReference w:id="333"/>
      </w:r>
      <w:r>
        <w:rPr>
          <w:rFonts w:ascii="Amiri" w:hAnsi="Amiri" w:eastAsia="Amiri" w:cs="Amiri"/>
          <w:lang w:bidi="ar-SA"/>
          <w:color w:val="111111"/>
          <w:sz w:val="28"/>
          <w:szCs w:val="28"/>
          <w:rtl/>
        </w:rPr>
        <w:t xml:space="preserve">موسّعاً ويحصل اجتماع الطّاعة والعصيان لو نام مستمرّاً إلى الغروب أو ترك كذلك، أو متعدّداً كما إذا قال: «صلّ الظّهر من الزّوال إلى الغروب ولا تغصب في الجملة كذلك».</w:t>
      </w:r>
    </w:p>
    <w:p>
      <w:pPr>
        <w:pStyle w:val="BookText"/>
      </w:pPr>
      <w:r>
        <w:rPr>
          <w:rFonts w:ascii="Amiri" w:hAnsi="Amiri" w:eastAsia="Amiri" w:cs="Amiri"/>
          <w:lang w:bidi="ar-SA"/>
          <w:color w:val="111111"/>
          <w:sz w:val="28"/>
          <w:szCs w:val="28"/>
          <w:rtl/>
        </w:rPr>
        <w:t xml:space="preserve">ويحصل الاجتماع‌</w:t>
      </w:r>
      <w:r>
        <w:rPr>
          <w:rStyle w:val="FootnoteReference"/>
        </w:rPr>
        <w:footnoteReference w:id="334"/>
      </w:r>
      <w:r>
        <w:rPr>
          <w:rFonts w:ascii="Amiri" w:hAnsi="Amiri" w:eastAsia="Amiri" w:cs="Amiri"/>
          <w:lang w:bidi="ar-SA"/>
          <w:color w:val="111111"/>
          <w:sz w:val="28"/>
          <w:szCs w:val="28"/>
          <w:rtl/>
        </w:rPr>
        <w:t xml:space="preserve">إذا أتى بالصّلاة في ضمن الغصب مع استمرار الغصب إلىالغروب أو تركهما إلى الغروب.</w:t>
      </w:r>
    </w:p>
    <w:p>
      <w:pPr>
        <w:pStyle w:val="BookText"/>
      </w:pPr>
      <w:r>
        <w:rPr>
          <w:rFonts w:ascii="Amiri" w:hAnsi="Amiri" w:eastAsia="Amiri" w:cs="Amiri"/>
          <w:lang w:bidi="ar-SA"/>
          <w:color w:val="111111"/>
          <w:sz w:val="28"/>
          <w:szCs w:val="28"/>
          <w:rtl/>
        </w:rPr>
        <w:t xml:space="preserve">لكنّ هذا إذا قلنا إنّه إذا أتى بالحرام مستمرّاً يكون آتياً بالمحرّم من أوّل الوقت إلى آخره - لا أنّ المحرّم خصوص آخر الوقت؛ لأنّه قبله كان مأذوناً في الارتكاب - وإلّا ففي صورة اتّحاد المتعلّق لا يتصوّر الاجتماع أصلاً</w:t>
      </w:r>
      <w:r>
        <w:rPr>
          <w:rStyle w:val="FootnoteReference"/>
        </w:rPr>
        <w:footnoteReference w:id="335"/>
      </w:r>
      <w:r>
        <w:rPr>
          <w:rFonts w:ascii="Amiri" w:hAnsi="Amiri" w:eastAsia="Amiri" w:cs="Amiri"/>
          <w:lang w:bidi="ar-SA"/>
          <w:color w:val="111111"/>
          <w:sz w:val="28"/>
          <w:szCs w:val="28"/>
          <w:rtl/>
        </w:rPr>
        <w:t xml:space="preserve">لأنّه إذا نام من أوّل الوقت إلى الغروب يكون آتياً بالواجب في أوّل الوقت ويكون الحرام النّوم في خصوص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 لأنّه قد تضيّق حینئذٍ فلا يكون من الاجتماع، بل الأوّل واجب والآخر حرام.</w:t>
      </w:r>
    </w:p>
    <w:p>
      <w:pPr>
        <w:pStyle w:val="BookText"/>
      </w:pPr>
      <w:r>
        <w:rPr>
          <w:rFonts w:ascii="Amiri" w:hAnsi="Amiri" w:eastAsia="Amiri" w:cs="Amiri"/>
          <w:lang w:bidi="ar-SA"/>
          <w:color w:val="111111"/>
          <w:sz w:val="28"/>
          <w:szCs w:val="28"/>
          <w:rtl/>
        </w:rPr>
        <w:t xml:space="preserve">وكذا في صورة التّرك يكون الأوّل امتثالاً للحرام والتّرك في الآخر يكون حراماً.</w:t>
      </w:r>
    </w:p>
    <w:p>
      <w:pPr>
        <w:pStyle w:val="BookText"/>
      </w:pPr>
      <w:r>
        <w:rPr>
          <w:rFonts w:ascii="Amiri" w:hAnsi="Amiri" w:eastAsia="Amiri" w:cs="Amiri"/>
          <w:lang w:bidi="ar-SA"/>
          <w:color w:val="111111"/>
          <w:sz w:val="28"/>
          <w:szCs w:val="28"/>
          <w:rtl/>
        </w:rPr>
        <w:t xml:space="preserve">وفي صورة التعدّد لو أتى بالصّلاة في آخر الوقت في ضمن الغصب مع فرض ارتكابه الغصب من أوّل الوقت إلى الآخر</w:t>
      </w:r>
      <w:r>
        <w:rPr>
          <w:rStyle w:val="FootnoteReference"/>
        </w:rPr>
        <w:footnoteReference w:id="336"/>
      </w:r>
      <w:r>
        <w:rPr>
          <w:rFonts w:ascii="Amiri" w:hAnsi="Amiri" w:eastAsia="Amiri" w:cs="Amiri"/>
          <w:lang w:bidi="ar-SA"/>
          <w:color w:val="111111"/>
          <w:sz w:val="28"/>
          <w:szCs w:val="28"/>
          <w:rtl/>
        </w:rPr>
        <w:t xml:space="preserve">يكون</w:t>
      </w:r>
      <w:r>
        <w:rPr>
          <w:rStyle w:val="FootnoteReference"/>
        </w:rPr>
        <w:footnoteReference w:id="337"/>
      </w:r>
      <w:r>
        <w:rPr>
          <w:rFonts w:ascii="IRNazanin" w:hAnsi="IRNazanin" w:eastAsia="IRNazanin" w:cs="IRNazanin"/>
          <w:lang w:bidi="fa-IR"/>
          <w:color w:val="111111"/>
          <w:sz w:val="28"/>
          <w:szCs w:val="28"/>
          <w:rtl/>
        </w:rPr>
        <w:t xml:space="preserve">من قبيل اجتماع المضیّقين.</w:t>
      </w:r>
    </w:p>
    <w:p>
      <w:pPr>
        <w:pStyle w:val="BookText"/>
      </w:pPr>
      <w:r>
        <w:rPr>
          <w:rFonts w:ascii="Amiri" w:hAnsi="Amiri" w:eastAsia="Amiri" w:cs="Amiri"/>
          <w:lang w:bidi="ar-SA"/>
          <w:color w:val="111111"/>
          <w:sz w:val="28"/>
          <w:szCs w:val="28"/>
          <w:rtl/>
        </w:rPr>
        <w:t xml:space="preserve">ولو أتى بالصّلاة في المكان المغصوب قبل آخر الوقت لا يكون من اجتماع</w:t>
      </w:r>
      <w:r>
        <w:rPr>
          <w:rStyle w:val="FootnoteReference"/>
        </w:rPr>
        <w:footnoteReference w:id="338"/>
      </w:r>
      <w:r>
        <w:rPr>
          <w:rFonts w:ascii="Amiri" w:hAnsi="Amiri" w:eastAsia="Amiri" w:cs="Amiri"/>
          <w:lang w:bidi="ar-SA"/>
          <w:color w:val="111111"/>
          <w:sz w:val="28"/>
          <w:szCs w:val="28"/>
          <w:rtl/>
        </w:rPr>
        <w:t xml:space="preserve">المحرّم؛ لأنّه مأذون في ارتكاب الغصب قبل أن يتضيّق.</w:t>
      </w:r>
    </w:p>
    <w:p>
      <w:pPr>
        <w:pStyle w:val="BookText"/>
      </w:pPr>
      <w:r>
        <w:rPr>
          <w:rFonts w:ascii="IRNazanin" w:hAnsi="IRNazanin" w:eastAsia="IRNazanin" w:cs="IRNazanin"/>
          <w:lang w:bidi="fa-IR"/>
          <w:color w:val="111111"/>
          <w:sz w:val="28"/>
          <w:szCs w:val="28"/>
          <w:rtl/>
        </w:rPr>
        <w:t xml:space="preserve">وممّا ذكرنا ظهر أنّ لازم القول بعدم دخول التّخييريين عدم دخول الموسّعين بالأولى فلا وجه لما ذكره ذلك القائل من أنّه لا فرق بين الموسّعين والمضیّقين في دخولهما في النزاع مع أنّه حكم بخروج [التخییریین]</w:t>
      </w:r>
      <w:r>
        <w:rPr>
          <w:rStyle w:val="FootnoteReference"/>
        </w:rPr>
        <w:footnoteReference w:id="339"/>
      </w:r>
      <w:r>
        <w:rPr>
          <w:rFonts w:ascii="Amiri" w:hAnsi="Amiri" w:eastAsia="Amiri" w:cs="Amiri"/>
          <w:lang w:bidi="ar-SA"/>
          <w:color w:val="111111"/>
          <w:sz w:val="28"/>
          <w:szCs w:val="28"/>
          <w:rtl/>
        </w:rPr>
        <w:t xml:space="preserve">فتدبّر.</w:t>
      </w:r>
    </w:p>
    <w:p>
      <w:pPr>
        <w:pStyle w:val="BookText"/>
      </w:pPr>
      <w:r>
        <w:rPr>
          <w:rFonts w:ascii="IRNazanin" w:hAnsi="IRNazanin" w:eastAsia="IRNazanin" w:cs="IRNazanin"/>
          <w:lang w:bidi="fa-IR"/>
          <w:color w:val="111111"/>
          <w:sz w:val="28"/>
          <w:szCs w:val="28"/>
          <w:rtl/>
        </w:rPr>
        <w:t xml:space="preserve">وأمّا المضیّقان فلا إشکال في دخولهما في النزاع كأن يقول: «صلّ في أوّل الظهر ولا تغصب» إذا أتى بالصّلاة في المكان المغصوب، فما ذكره في الإشارات</w:t>
      </w:r>
      <w:r>
        <w:rPr>
          <w:rStyle w:val="FootnoteReference"/>
        </w:rPr>
        <w:footnoteReference w:id="340"/>
      </w:r>
      <w:r>
        <w:rPr>
          <w:rFonts w:ascii="IRNazanin" w:hAnsi="IRNazanin" w:eastAsia="IRNazanin" w:cs="IRNazanin"/>
          <w:lang w:bidi="fa-IR"/>
          <w:color w:val="111111"/>
          <w:sz w:val="28"/>
          <w:szCs w:val="28"/>
          <w:rtl/>
        </w:rPr>
        <w:t xml:space="preserve">من خروج المضیّقين</w:t>
      </w:r>
      <w:r>
        <w:rPr>
          <w:rStyle w:val="FootnoteReference"/>
        </w:rPr>
        <w:footnoteReference w:id="341"/>
      </w:r>
      <w:r>
        <w:rPr>
          <w:rFonts w:ascii="IRNazanin" w:hAnsi="IRNazanin" w:eastAsia="IRNazanin" w:cs="IRNazanin"/>
          <w:lang w:bidi="fa-IR"/>
          <w:color w:val="111111"/>
          <w:sz w:val="28"/>
          <w:szCs w:val="28"/>
          <w:rtl/>
        </w:rPr>
        <w:t xml:space="preserve">عن النزاع وأنّه لا يجوز فيهما الاجتماع لا وجه له ولعلّه ناظر إلى الشّخصیين، ولا يخفى ما فيه فإنّ الدّخول في الجملة كافٍ.وأمّا المختلفان فكذلك داخلان إلّا أنّه إذا كان النّهي موسّعاً والأمر مضیّقاً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7" w:name="pg6784_51150"/>
    <w:bookmarkEnd w:id="47"/>
    <w:p>
      <w:pPr>
        <w:pStyle w:val="BookText"/>
      </w:pPr>
      <w:r>
        <w:rPr>
          <w:rFonts w:ascii="Amiri" w:hAnsi="Amiri" w:eastAsia="Amiri" w:cs="Amiri"/>
          <w:lang w:bidi="ar-SA"/>
          <w:color w:val="111111"/>
          <w:sz w:val="28"/>
          <w:szCs w:val="28"/>
          <w:rtl/>
        </w:rPr>
        <w:t xml:space="preserve">يجري فيه ما ذكر من كونه من قبيل المقام إذا قلنا بكون الحرام تمام الفعل لا خصوص آخر الوقت.</w:t>
      </w:r>
    </w:p>
    <w:p>
      <w:pPr>
        <w:pStyle w:val="Heading6"/>
      </w:pPr>
      <w:bookmarkStart w:id="388" w:name="_Toc69"/>
      <w:r>
        <w:t>[المطلق والمشروط والموقّت وغیره والابتلائي والحقیقي]</w:t>
      </w:r>
      <w:bookmarkEnd w:id="388"/>
    </w:p>
    <w:p>
      <w:pPr>
        <w:pStyle w:val="BookText"/>
      </w:pPr>
      <w:r>
        <w:rPr>
          <w:rFonts w:ascii="Amiri" w:hAnsi="Amiri" w:eastAsia="Amiri" w:cs="Amiri"/>
          <w:lang w:bidi="ar-SA"/>
          <w:color w:val="111111"/>
          <w:sz w:val="28"/>
          <w:szCs w:val="28"/>
          <w:rtl/>
        </w:rPr>
        <w:t xml:space="preserve">وأمّا من حيث الإطلاق والمشروطية فلا فرق كما لايخفى وكذا من حيث التّوقيت وعدمه وكذا من حيث كونهما</w:t>
      </w:r>
      <w:r>
        <w:rPr>
          <w:rStyle w:val="FootnoteReference"/>
        </w:rPr>
        <w:footnoteReference w:id="342"/>
      </w:r>
      <w:r>
        <w:rPr>
          <w:rFonts w:ascii="IRNazanin" w:hAnsi="IRNazanin" w:eastAsia="IRNazanin" w:cs="IRNazanin"/>
          <w:lang w:bidi="fa-IR"/>
          <w:color w:val="111111"/>
          <w:sz w:val="28"/>
          <w:szCs w:val="28"/>
          <w:rtl/>
        </w:rPr>
        <w:t xml:space="preserve">حقیقيّين أو ابتلائيّين أو مختلفين فالکلّ داخل في النزاع؛ لأنّ الإشکال ليس من حيث اجتماع المصلحة والمفسدة في الفعل فقط حتّى لا يجري في الابتلائيّين والمختلفين بل اجتماع الطّلبين محال وإن لم يكن مصلحة ومفسدة.</w:t>
      </w:r>
    </w:p>
    <w:p>
      <w:pPr>
        <w:pStyle w:val="Heading6"/>
      </w:pPr>
      <w:bookmarkStart w:id="389" w:name="_Toc70"/>
      <w:r>
        <w:t>[الموضع الرابع: في اعتبار وحدة متعلّق الأمر والنهي]</w:t>
      </w:r>
      <w:bookmarkEnd w:id="389"/>
    </w:p>
    <w:p>
      <w:pPr>
        <w:pStyle w:val="Heading6"/>
      </w:pPr>
      <w:bookmarkStart w:id="390" w:name="_Toc71"/>
      <w:r>
        <w:t>اشارة</w:t>
      </w:r>
      <w:bookmarkEnd w:id="390"/>
    </w:p>
    <w:p>
      <w:pPr>
        <w:pStyle w:val="BookText"/>
      </w:pPr>
      <w:r>
        <w:rPr>
          <w:rFonts w:ascii="Amiri" w:hAnsi="Amiri" w:eastAsia="Amiri" w:cs="Amiri"/>
          <w:lang w:bidi="ar-SA"/>
          <w:color w:val="111111"/>
          <w:sz w:val="28"/>
          <w:szCs w:val="28"/>
          <w:rtl/>
        </w:rPr>
        <w:t xml:space="preserve">رابعها: يعتبر في الاجتماع الّذي هو محلّ النزاع وحدة متعلّقهما كما سيأتي تفصيل الحال فيه.</w:t>
      </w:r>
    </w:p>
    <w:p>
      <w:pPr>
        <w:pStyle w:val="Heading6"/>
      </w:pPr>
      <w:bookmarkStart w:id="391" w:name="_Toc72"/>
      <w:r>
        <w:t>[اعتبار وحدة الزمان]</w:t>
      </w:r>
      <w:bookmarkEnd w:id="391"/>
    </w:p>
    <w:p>
      <w:pPr>
        <w:pStyle w:val="BookText"/>
      </w:pPr>
      <w:r>
        <w:rPr>
          <w:rFonts w:ascii="IRNazanin" w:hAnsi="IRNazanin" w:eastAsia="IRNazanin" w:cs="IRNazanin"/>
          <w:lang w:bidi="fa-IR"/>
          <w:color w:val="111111"/>
          <w:sz w:val="28"/>
          <w:szCs w:val="28"/>
          <w:rtl/>
        </w:rPr>
        <w:t xml:space="preserve">وأیضاً يعتبر وحدة زمانهما فلو كانا في زمانين جاز الاجتماع بلا إشکال.</w:t>
      </w:r>
    </w:p>
    <w:p>
      <w:pPr>
        <w:pStyle w:val="BookText"/>
      </w:pPr>
      <w:r>
        <w:rPr>
          <w:rFonts w:ascii="IRNazanin" w:hAnsi="IRNazanin" w:eastAsia="IRNazanin" w:cs="IRNazanin"/>
          <w:lang w:bidi="fa-IR"/>
          <w:color w:val="111111"/>
          <w:sz w:val="28"/>
          <w:szCs w:val="28"/>
          <w:rtl/>
        </w:rPr>
        <w:t xml:space="preserve">ولو كان المتعلّق واحداً شخصيّاً مع اتّحاد الجهة كما لو جوّزنا النسخ قبل حضور وقت العمل وقال: «صم غداً»، ثمّ بعد ساعة قال: «لا تصم غداً»، بحيث كانا من التّکلیف المعلّق بأن کان زمان التکلیف قبل زمان الفعل،</w:t>
      </w:r>
      <w:r>
        <w:rPr>
          <w:rStyle w:val="FootnoteReference"/>
        </w:rPr>
        <w:footnoteReference w:id="343"/>
      </w:r>
      <w:r>
        <w:rPr>
          <w:rFonts w:ascii="IRNazanin" w:hAnsi="IRNazanin" w:eastAsia="IRNazanin" w:cs="IRNazanin"/>
          <w:lang w:bidi="fa-IR"/>
          <w:color w:val="111111"/>
          <w:sz w:val="28"/>
          <w:szCs w:val="28"/>
          <w:rtl/>
        </w:rPr>
        <w:t xml:space="preserve">وإن كانا من المشروط فليس من الاجتماع أصلاً؛ لأنّ التکلیف إنّما يتنجّز بعد دخول الوقت على هذا التّقدير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8" w:name="pg6784_51151"/>
    <w:bookmarkEnd w:id="48"/>
    <w:p>
      <w:pPr>
        <w:pStyle w:val="BookText"/>
      </w:pPr>
      <w:r>
        <w:rPr>
          <w:rFonts w:ascii="IRNazanin" w:hAnsi="IRNazanin" w:eastAsia="IRNazanin" w:cs="IRNazanin"/>
          <w:lang w:bidi="fa-IR"/>
          <w:color w:val="111111"/>
          <w:sz w:val="28"/>
          <w:szCs w:val="28"/>
          <w:rtl/>
        </w:rPr>
        <w:t xml:space="preserve">والمفروض أنّه بعد دخول الوقت</w:t>
      </w:r>
      <w:r>
        <w:rPr>
          <w:rStyle w:val="FootnoteReference"/>
        </w:rPr>
        <w:footnoteReference w:id="344"/>
      </w:r>
      <w:r>
        <w:rPr>
          <w:rFonts w:ascii="Amiri" w:hAnsi="Amiri" w:eastAsia="Amiri" w:cs="Amiri"/>
          <w:lang w:bidi="ar-SA"/>
          <w:color w:val="111111"/>
          <w:sz w:val="28"/>
          <w:szCs w:val="28"/>
          <w:rtl/>
        </w:rPr>
        <w:t xml:space="preserve">لا يكون إلّا الحكم الثاني.</w:t>
      </w:r>
    </w:p>
    <w:p>
      <w:pPr>
        <w:pStyle w:val="BookText"/>
      </w:pPr>
      <w:r>
        <w:rPr>
          <w:rFonts w:ascii="Amiri" w:hAnsi="Amiri" w:eastAsia="Amiri" w:cs="Amiri"/>
          <w:lang w:bidi="ar-SA"/>
          <w:color w:val="111111"/>
          <w:sz w:val="28"/>
          <w:szCs w:val="28"/>
          <w:rtl/>
        </w:rPr>
        <w:t xml:space="preserve">ومن هذا القبيل ما اختاره صاحب</w:t>
      </w:r>
      <w:r>
        <w:rPr>
          <w:rStyle w:val="FootnoteReference"/>
        </w:rPr>
        <w:footnoteReference w:id="345"/>
      </w:r>
      <w:r>
        <w:rPr>
          <w:rFonts w:ascii="IRNazanin" w:hAnsi="IRNazanin" w:eastAsia="IRNazanin" w:cs="IRNazanin"/>
          <w:lang w:bidi="fa-IR"/>
          <w:color w:val="111111"/>
          <w:sz w:val="28"/>
          <w:szCs w:val="28"/>
          <w:rtl/>
        </w:rPr>
        <w:t xml:space="preserve">الفصول</w:t>
      </w:r>
      <w:r>
        <w:rPr>
          <w:rStyle w:val="FootnoteReference"/>
        </w:rPr>
        <w:footnoteReference w:id="346"/>
      </w:r>
      <w:r>
        <w:rPr>
          <w:rFonts w:ascii="IRNazanin" w:hAnsi="IRNazanin" w:eastAsia="IRNazanin" w:cs="IRNazanin"/>
          <w:lang w:bidi="fa-IR"/>
          <w:color w:val="111111"/>
          <w:sz w:val="28"/>
          <w:szCs w:val="28"/>
          <w:rtl/>
        </w:rPr>
        <w:t xml:space="preserve">في مسألة من توسّط أرضاً مغصوبةمن أنّه مکلّف بالخروج وليس منهيّاً عن الغصب.</w:t>
      </w:r>
    </w:p>
    <w:p>
      <w:pPr>
        <w:pStyle w:val="BookText"/>
      </w:pPr>
      <w:r>
        <w:rPr>
          <w:rFonts w:ascii="Amiri" w:hAnsi="Amiri" w:eastAsia="Amiri" w:cs="Amiri"/>
          <w:lang w:bidi="ar-SA"/>
          <w:color w:val="111111"/>
          <w:sz w:val="28"/>
          <w:szCs w:val="28"/>
          <w:rtl/>
        </w:rPr>
        <w:t xml:space="preserve">نعم هو منهي عنه قبل الدّخول</w:t>
      </w:r>
      <w:r>
        <w:rPr>
          <w:rStyle w:val="FootnoteReference"/>
        </w:rPr>
        <w:footnoteReference w:id="347"/>
      </w:r>
      <w:r>
        <w:rPr>
          <w:rFonts w:ascii="Amiri" w:hAnsi="Amiri" w:eastAsia="Amiri" w:cs="Amiri"/>
          <w:lang w:bidi="ar-SA"/>
          <w:color w:val="111111"/>
          <w:sz w:val="28"/>
          <w:szCs w:val="28"/>
          <w:rtl/>
        </w:rPr>
        <w:t xml:space="preserve">إذ قبله يكون منهيّاً عن الدّخول والوقوف والخروج لكن بعد الدخول لا يبقى النّهي بل يكون مأموراً بالخروج فهذا الخروج منهيٌّ [عنه] </w:t>
      </w:r>
      <w:r>
        <w:rPr>
          <w:rStyle w:val="FootnoteReference"/>
        </w:rPr>
        <w:footnoteReference w:id="348"/>
      </w:r>
      <w:r>
        <w:rPr>
          <w:rFonts w:ascii="Amiri" w:hAnsi="Amiri" w:eastAsia="Amiri" w:cs="Amiri"/>
          <w:lang w:bidi="ar-SA"/>
          <w:color w:val="111111"/>
          <w:sz w:val="28"/>
          <w:szCs w:val="28"/>
          <w:rtl/>
        </w:rPr>
        <w:t xml:space="preserve">بالنّهي السّابق</w:t>
      </w:r>
      <w:r>
        <w:rPr>
          <w:rStyle w:val="FootnoteReference"/>
        </w:rPr>
        <w:footnoteReference w:id="349"/>
      </w:r>
      <w:r>
        <w:rPr>
          <w:rFonts w:ascii="Amiri" w:hAnsi="Amiri" w:eastAsia="Amiri" w:cs="Amiri"/>
          <w:lang w:bidi="ar-SA"/>
          <w:color w:val="111111"/>
          <w:sz w:val="28"/>
          <w:szCs w:val="28"/>
          <w:rtl/>
        </w:rPr>
        <w:t xml:space="preserve">ومأمور به الآن ولا يضرّ الاجتماع من جهة تعدّد الزّمان.</w:t>
      </w:r>
    </w:p>
    <w:p>
      <w:pPr>
        <w:pStyle w:val="Heading6"/>
      </w:pPr>
      <w:bookmarkStart w:id="392" w:name="_Toc73"/>
      <w:r>
        <w:t>[اعتبار اتّحاد الشرط في اجتماع الأمر والنهي]</w:t>
      </w:r>
      <w:bookmarkEnd w:id="392"/>
    </w:p>
    <w:p>
      <w:pPr>
        <w:pStyle w:val="BookText"/>
      </w:pPr>
      <w:r>
        <w:rPr>
          <w:rFonts w:ascii="IRNazanin" w:hAnsi="IRNazanin" w:eastAsia="IRNazanin" w:cs="IRNazanin"/>
          <w:lang w:bidi="fa-IR"/>
          <w:color w:val="111111"/>
          <w:sz w:val="28"/>
          <w:szCs w:val="28"/>
          <w:rtl/>
        </w:rPr>
        <w:t xml:space="preserve">وأیضاً يعتبر وحدة</w:t>
      </w:r>
      <w:r>
        <w:rPr>
          <w:rStyle w:val="FootnoteReference"/>
        </w:rPr>
        <w:footnoteReference w:id="350"/>
      </w:r>
      <w:r>
        <w:rPr>
          <w:rFonts w:ascii="IRNazanin" w:hAnsi="IRNazanin" w:eastAsia="IRNazanin" w:cs="IRNazanin"/>
          <w:lang w:bidi="fa-IR"/>
          <w:color w:val="111111"/>
          <w:sz w:val="28"/>
          <w:szCs w:val="28"/>
          <w:rtl/>
        </w:rPr>
        <w:t xml:space="preserve">الشّرط ولو بنحو العموم من وجه بين الشّرطين لو كانا مشروطين، فمثل قوله «أکرم زيداً إن جاءك ولا تكرمه</w:t>
      </w:r>
      <w:r>
        <w:rPr>
          <w:rStyle w:val="FootnoteReference"/>
        </w:rPr>
        <w:footnoteReference w:id="351"/>
      </w:r>
      <w:r>
        <w:rPr>
          <w:rFonts w:ascii="IRNazanin" w:hAnsi="IRNazanin" w:eastAsia="IRNazanin" w:cs="IRNazanin"/>
          <w:lang w:bidi="fa-IR"/>
          <w:color w:val="111111"/>
          <w:sz w:val="28"/>
          <w:szCs w:val="28"/>
          <w:rtl/>
        </w:rPr>
        <w:t xml:space="preserve">إن لم يجئ» ليس من محلّ النزاع بل هو خارج عن صدق الاجتماع حقیقة.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9" w:name="pg6784_51152"/>
    <w:bookmarkEnd w:id="49"/>
    <w:p>
      <w:pPr>
        <w:pStyle w:val="Heading6"/>
      </w:pPr>
      <w:bookmarkStart w:id="393" w:name="_Toc74"/>
      <w:r>
        <w:t>[اعتبار اتّحاد المرتبة]</w:t>
      </w:r>
      <w:bookmarkEnd w:id="393"/>
    </w:p>
    <w:p>
      <w:pPr>
        <w:pStyle w:val="BookText"/>
      </w:pPr>
      <w:r>
        <w:rPr>
          <w:rFonts w:ascii="Amiri" w:hAnsi="Amiri" w:eastAsia="Amiri" w:cs="Amiri"/>
          <w:lang w:bidi="ar-SA"/>
          <w:color w:val="111111"/>
          <w:sz w:val="28"/>
          <w:szCs w:val="28"/>
          <w:rtl/>
        </w:rPr>
        <w:t xml:space="preserve">ويظهر من بعضهم اعتبار اتّحاد الرّتبة فلو كانا في مرتبتين جاز اجتماعهما كأن يكون الأمر مرتّباً</w:t>
      </w:r>
      <w:r>
        <w:rPr>
          <w:rStyle w:val="FootnoteReference"/>
        </w:rPr>
        <w:footnoteReference w:id="352"/>
      </w:r>
      <w:r>
        <w:rPr>
          <w:rFonts w:ascii="Amiri" w:hAnsi="Amiri" w:eastAsia="Amiri" w:cs="Amiri"/>
          <w:lang w:bidi="ar-SA"/>
          <w:color w:val="111111"/>
          <w:sz w:val="28"/>
          <w:szCs w:val="28"/>
          <w:rtl/>
        </w:rPr>
        <w:t xml:space="preserve">على مخالفة النهي كما إذا قال: «أزل النجاسة» فإنّه مستلزم للنّهي عن الصّلاة لكنّها</w:t>
      </w:r>
      <w:r>
        <w:rPr>
          <w:rStyle w:val="FootnoteReference"/>
        </w:rPr>
        <w:footnoteReference w:id="353"/>
      </w:r>
      <w:r>
        <w:rPr>
          <w:rFonts w:ascii="Amiri" w:hAnsi="Amiri" w:eastAsia="Amiri" w:cs="Amiri"/>
          <w:lang w:bidi="ar-SA"/>
          <w:color w:val="111111"/>
          <w:sz w:val="28"/>
          <w:szCs w:val="28"/>
          <w:rtl/>
        </w:rPr>
        <w:t xml:space="preserve">مأمورٌ بها على فرض عصيان النّهي بعصيان</w:t>
      </w:r>
      <w:r>
        <w:rPr>
          <w:rStyle w:val="FootnoteReference"/>
        </w:rPr>
        <w:footnoteReference w:id="354"/>
      </w:r>
      <w:r>
        <w:rPr>
          <w:rFonts w:ascii="Amiri" w:hAnsi="Amiri" w:eastAsia="Amiri" w:cs="Amiri"/>
          <w:lang w:bidi="ar-SA"/>
          <w:color w:val="111111"/>
          <w:sz w:val="28"/>
          <w:szCs w:val="28"/>
          <w:rtl/>
        </w:rPr>
        <w:t xml:space="preserve">الأمر بالإزالة وإخلاء الزّمان للصّلاة. وهذا ما يقولون: «إنّ اجتماع الأمر والنّهي على سبيل الترتّب جائز».</w:t>
      </w:r>
      <w:r>
        <w:rPr>
          <w:rStyle w:val="FootnoteReference"/>
        </w:rPr>
        <w:footnoteReference w:id="355"/>
      </w:r>
      <w:r>
        <w:rPr>
          <w:rFonts w:ascii="IRNazanin" w:hAnsi="IRNazanin" w:eastAsia="IRNazanin" w:cs="IRNazanin"/>
          <w:lang w:bidi="fa-IR"/>
          <w:color w:val="111111"/>
          <w:sz w:val="28"/>
          <w:szCs w:val="28"/>
          <w:rtl/>
        </w:rPr>
        <w:t xml:space="preserve">وسيأتي تحقیق الحال فيه في آخر المسألة.</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وقريب من ذلك ما يظهر منهم من جواز اجتماع الحرمة الواقعية مع الوجوب الظّاهري أو بالعكس فيما إذا كان الأصل العملي مخالفاً للواقع فإنّ هذا الاجتماع أیضاً من باب تعدّد المرتبة فإنّ موضوع الحكم الظاهري مرتّب</w:t>
      </w:r>
      <w:r>
        <w:rPr>
          <w:rStyle w:val="FootnoteReference"/>
        </w:rPr>
        <w:footnoteReference w:id="357"/>
      </w:r>
      <w:r>
        <w:rPr>
          <w:rFonts w:ascii="Amiri" w:hAnsi="Amiri" w:eastAsia="Amiri" w:cs="Amiri"/>
          <w:lang w:bidi="ar-SA"/>
          <w:color w:val="111111"/>
          <w:sz w:val="28"/>
          <w:szCs w:val="28"/>
          <w:rtl/>
        </w:rPr>
        <w:t xml:space="preserve">على الحكم الواقعي ومتأخّر عنه.</w:t>
      </w:r>
    </w:p>
    <w:p>
      <w:pPr>
        <w:pStyle w:val="BookText"/>
      </w:pPr>
      <w:r>
        <w:rPr>
          <w:rFonts w:ascii="Amiri" w:hAnsi="Amiri" w:eastAsia="Amiri" w:cs="Amiri"/>
          <w:lang w:bidi="ar-SA"/>
          <w:color w:val="111111"/>
          <w:sz w:val="28"/>
          <w:szCs w:val="28"/>
          <w:rtl/>
        </w:rPr>
        <w:t xml:space="preserve">لكن هذا بناء على كون مؤدّى الأصول حكماً ظاهريّاً عمليّاً لا مجرّد العذر وإلّا فلا إشکال.</w:t>
      </w:r>
    </w:p>
    <w:p>
      <w:pPr>
        <w:pStyle w:val="BookText"/>
      </w:pPr>
      <w:r>
        <w:rPr>
          <w:rFonts w:ascii="IRNazanin" w:hAnsi="IRNazanin" w:eastAsia="IRNazanin" w:cs="IRNazanin"/>
          <w:lang w:bidi="fa-IR"/>
          <w:color w:val="111111"/>
          <w:sz w:val="28"/>
          <w:szCs w:val="28"/>
          <w:rtl/>
        </w:rPr>
        <w:t xml:space="preserve">وتحقیق الحال فيه في محلّ آخر ولعلّنا نتکلّم فیه في آخر المسألة.</w:t>
      </w:r>
      <w:r>
        <w:rPr>
          <w:rStyle w:val="FootnoteReference"/>
        </w:rPr>
        <w:footnoteReference w:id="358"/>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0" w:name="pg6784_51153"/>
    <w:bookmarkEnd w:id="50"/>
    <w:p>
      <w:pPr>
        <w:pStyle w:val="Heading6"/>
      </w:pPr>
      <w:bookmarkStart w:id="394" w:name="_Toc75"/>
      <w:r>
        <w:t>[اشتراط كون النهي بمعنى طلب التّرك المطلق عند صاحب الفصول]</w:t>
      </w:r>
      <w:bookmarkEnd w:id="394"/>
    </w:p>
    <w:p>
      <w:pPr>
        <w:pStyle w:val="BookText"/>
      </w:pPr>
      <w:r>
        <w:rPr>
          <w:rFonts w:ascii="Amiri" w:hAnsi="Amiri" w:eastAsia="Amiri" w:cs="Amiri"/>
          <w:lang w:bidi="ar-SA"/>
          <w:color w:val="111111"/>
          <w:sz w:val="28"/>
          <w:szCs w:val="28"/>
          <w:rtl/>
        </w:rPr>
        <w:t xml:space="preserve">ويظهر من صاحب الفصول</w:t>
      </w:r>
      <w:r>
        <w:rPr>
          <w:rStyle w:val="FootnoteReference"/>
        </w:rPr>
        <w:footnoteReference w:id="359"/>
      </w:r>
      <w:r>
        <w:rPr>
          <w:rFonts w:ascii="Amiri" w:hAnsi="Amiri" w:eastAsia="Amiri" w:cs="Amiri"/>
          <w:lang w:bidi="ar-SA"/>
          <w:color w:val="111111"/>
          <w:sz w:val="28"/>
          <w:szCs w:val="28"/>
          <w:rtl/>
        </w:rPr>
        <w:t xml:space="preserve">اشتراط كون النهي بمعنى طلب التّرك المطلق لا طلب الترك على وجه خاصّ وإلّا جاز الاجتماع كما في مسألة الضدّ حيث إنّ النّهي عن الضدّ إنّما يجي‌ء من قبل وجوب ترك الضدّ من حيث إنّه مقدّمة والواجب من الترك هو التّرك الموصل فيكون النّهي عن الفعل بمعنى طلب التّرك الموصل لا مطلق التّرك.</w:t>
      </w:r>
    </w:p>
    <w:p>
      <w:pPr>
        <w:pStyle w:val="BookText"/>
      </w:pPr>
      <w:r>
        <w:rPr>
          <w:rFonts w:ascii="Amiri" w:hAnsi="Amiri" w:eastAsia="Amiri" w:cs="Amiri"/>
          <w:lang w:bidi="ar-SA"/>
          <w:color w:val="111111"/>
          <w:sz w:val="28"/>
          <w:szCs w:val="28"/>
          <w:rtl/>
        </w:rPr>
        <w:t xml:space="preserve">وقد بيّنه بما لا مزيد عليه في مسألة الضدّ</w:t>
      </w:r>
      <w:r>
        <w:rPr>
          <w:rStyle w:val="FootnoteReference"/>
        </w:rPr>
        <w:footnoteReference w:id="360"/>
      </w:r>
      <w:r>
        <w:rPr>
          <w:rFonts w:ascii="Amiri" w:hAnsi="Amiri" w:eastAsia="Amiri" w:cs="Amiri"/>
          <w:lang w:bidi="ar-SA"/>
          <w:color w:val="111111"/>
          <w:sz w:val="28"/>
          <w:szCs w:val="28"/>
          <w:rtl/>
        </w:rPr>
        <w:t xml:space="preserve">وأشار إلیه ه-ٰهنا أیضاً.</w:t>
      </w:r>
    </w:p>
    <w:p>
      <w:pPr>
        <w:pStyle w:val="BookText"/>
      </w:pPr>
      <w:r>
        <w:rPr>
          <w:rFonts w:ascii="Amiri" w:hAnsi="Amiri" w:eastAsia="Amiri" w:cs="Amiri"/>
          <w:lang w:bidi="ar-SA"/>
          <w:color w:val="111111"/>
          <w:sz w:val="28"/>
          <w:szCs w:val="28"/>
          <w:rtl/>
        </w:rPr>
        <w:t xml:space="preserve">إلّا أنّه لا يخفى أنّه في الحقيقة يخرج عن عنوان الاجتماع من حيث إنّ الفعل لايصير منهيّاً عنه، بل إنّما يحرم عليه ترك الترك</w:t>
      </w:r>
      <w:r>
        <w:rPr>
          <w:rStyle w:val="FootnoteReference"/>
        </w:rPr>
        <w:footnoteReference w:id="361"/>
      </w:r>
      <w:r>
        <w:rPr>
          <w:rFonts w:ascii="IRNazanin" w:hAnsi="IRNazanin" w:eastAsia="IRNazanin" w:cs="IRNazanin"/>
          <w:lang w:bidi="fa-IR"/>
          <w:color w:val="111111"/>
          <w:sz w:val="28"/>
          <w:szCs w:val="28"/>
          <w:rtl/>
        </w:rPr>
        <w:t xml:space="preserve">فليس من باب اجتماع الأمر والنهي كما اعترف به أیضاً وسيأتي الکلام فيه في آخر المسألة.</w:t>
      </w:r>
      <w:r>
        <w:rPr>
          <w:rStyle w:val="FootnoteReference"/>
        </w:rPr>
        <w:footnoteReference w:id="362"/>
      </w:r>
    </w:p>
    <w:p>
      <w:pPr>
        <w:pStyle w:val="Heading6"/>
      </w:pPr>
      <w:bookmarkStart w:id="395" w:name="_Toc76"/>
      <w:r>
        <w:t>[عدم اشتراط وحدة الآمر والناهي]</w:t>
      </w:r>
      <w:bookmarkEnd w:id="395"/>
    </w:p>
    <w:p>
      <w:pPr>
        <w:pStyle w:val="BookText"/>
      </w:pPr>
      <w:r>
        <w:rPr>
          <w:rFonts w:ascii="IRNazanin" w:hAnsi="IRNazanin" w:eastAsia="IRNazanin" w:cs="IRNazanin"/>
          <w:lang w:bidi="fa-IR"/>
          <w:color w:val="111111"/>
          <w:sz w:val="28"/>
          <w:szCs w:val="28"/>
          <w:rtl/>
        </w:rPr>
        <w:t xml:space="preserve">هذا، ولا يعتبر في الاجتماع الّذي هو محلّ النزاع كون الأمر والنّهي من آمر واحد فلو كان أحدهما من واحد والآخر من آخر أیضاً يكون محلّاً للنزاع بحسب المناط؛ وذلك لأنّ إشکال اجتماع الإرادتين والمصلحة والمفسدة وإن لم يكن جارياً لكن يجري فيه إشکال التکلیف بالمحال. فتدبّر.</w:t>
      </w:r>
      <w:r>
        <w:rPr>
          <w:rStyle w:val="FootnoteReference"/>
        </w:rPr>
        <w:footnoteReference w:id="363"/>
      </w:r>
    </w:p>
    <w:p>
      <w:pPr>
        <w:pStyle w:val="Heading6"/>
      </w:pPr>
      <w:bookmarkStart w:id="396" w:name="_Toc77"/>
      <w:r>
        <w:t>[الموضع الخامس: في عدم جواز اجتماع الحكمين المتقابلين من الأحکام الوضعيّة]</w:t>
      </w:r>
      <w:bookmarkEnd w:id="396"/>
    </w:p>
    <w:p>
      <w:pPr>
        <w:pStyle w:val="BookText"/>
      </w:pPr>
      <w:r>
        <w:rPr>
          <w:rFonts w:ascii="IRNazanin" w:hAnsi="IRNazanin" w:eastAsia="IRNazanin" w:cs="IRNazanin"/>
          <w:lang w:bidi="fa-IR"/>
          <w:color w:val="111111"/>
          <w:sz w:val="28"/>
          <w:szCs w:val="28"/>
          <w:rtl/>
        </w:rPr>
        <w:t xml:space="preserve">خامسها: لا إشکال في عدم جواز اجتماع حكمين متقابلين من الأحکام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الوضعيّة كالطّهارة والنجاسة والشرطية والمانعيّة ونحوهما ومناط</w:t>
      </w:r>
      <w:r>
        <w:rPr>
          <w:rStyle w:val="FootnoteReference"/>
        </w:rPr>
        <w:footnoteReference w:id="364"/>
      </w:r>
      <w:r>
        <w:rPr>
          <w:rFonts w:ascii="IRNazanin" w:hAnsi="IRNazanin" w:eastAsia="IRNazanin" w:cs="IRNazanin"/>
          <w:lang w:bidi="fa-IR"/>
          <w:color w:val="111111"/>
          <w:sz w:val="28"/>
          <w:szCs w:val="28"/>
          <w:rtl/>
        </w:rPr>
        <w:t xml:space="preserve">النزاع أیضاً لا يجري فيها.</w:t>
      </w:r>
    </w:p>
    <w:p>
      <w:pPr>
        <w:pStyle w:val="BookText"/>
      </w:pPr>
      <w:r>
        <w:rPr>
          <w:rFonts w:ascii="IRNazanin" w:hAnsi="IRNazanin" w:eastAsia="IRNazanin" w:cs="IRNazanin"/>
          <w:lang w:bidi="fa-IR"/>
          <w:color w:val="111111"/>
          <w:sz w:val="28"/>
          <w:szCs w:val="28"/>
          <w:rtl/>
        </w:rPr>
        <w:t xml:space="preserve">فلو قال: «کلّ ماء طاهر» وقال: أیضاً «کلّ ملاقٍ للنجس نجس» لا يمكن الأخذ بعمومهما والحكم بأنّ الماء الملاقي طاهر ونجس فيترتّب عليه أحكامهما.</w:t>
      </w:r>
    </w:p>
    <w:p>
      <w:pPr>
        <w:pStyle w:val="BookText"/>
      </w:pPr>
      <w:r>
        <w:rPr>
          <w:rFonts w:ascii="Amiri" w:hAnsi="Amiri" w:eastAsia="Amiri" w:cs="Amiri"/>
          <w:lang w:bidi="ar-SA"/>
          <w:color w:val="111111"/>
          <w:sz w:val="28"/>
          <w:szCs w:val="28"/>
          <w:rtl/>
        </w:rPr>
        <w:t xml:space="preserve">وكذا إذا قال: «التكتّف</w:t>
      </w:r>
      <w:r>
        <w:rPr>
          <w:rStyle w:val="FootnoteReference"/>
        </w:rPr>
        <w:footnoteReference w:id="365"/>
      </w:r>
      <w:r>
        <w:rPr>
          <w:rFonts w:ascii="IRNazanin" w:hAnsi="IRNazanin" w:eastAsia="IRNazanin" w:cs="IRNazanin"/>
          <w:lang w:bidi="fa-IR"/>
          <w:color w:val="111111"/>
          <w:sz w:val="28"/>
          <w:szCs w:val="28"/>
          <w:rtl/>
        </w:rPr>
        <w:t xml:space="preserve">مانع عن الصّلاة» وقال: أیضاً «وضع اليد على شي‌ء من البدن في حال الصّلاة شرط فيها» فلا يمكن الحكم بأنّ وضع إحدى اليدين على الأخرى محقّق للشرط والمانع وهذا في غاية الوضوح.</w:t>
      </w:r>
    </w:p>
    <w:p>
      <w:pPr>
        <w:pStyle w:val="BookText"/>
      </w:pPr>
      <w:r>
        <w:rPr>
          <w:rFonts w:ascii="Amiri" w:hAnsi="Amiri" w:eastAsia="Amiri" w:cs="Amiri"/>
          <w:lang w:bidi="ar-SA"/>
          <w:color w:val="111111"/>
          <w:sz w:val="28"/>
          <w:szCs w:val="28"/>
          <w:rtl/>
        </w:rPr>
        <w:t xml:space="preserve">وكذلك</w:t>
      </w:r>
      <w:r>
        <w:rPr>
          <w:rStyle w:val="FootnoteReference"/>
        </w:rPr>
        <w:footnoteReference w:id="366"/>
      </w:r>
      <w:r>
        <w:rPr>
          <w:rFonts w:ascii="IRNazanin" w:hAnsi="IRNazanin" w:eastAsia="IRNazanin" w:cs="IRNazanin"/>
          <w:lang w:bidi="fa-IR"/>
          <w:color w:val="111111"/>
          <w:sz w:val="28"/>
          <w:szCs w:val="28"/>
          <w:rtl/>
        </w:rPr>
        <w:t xml:space="preserve">لا إشکال في عدم جواز اجتماع الوجوب والحرمة المتفرّعين على الأحکام الوضعيّة؛ إذ اجتماعهما فرع جواز اجتماعهما الّذي عرفت عدم الإشکال في عدمه فلا يمكن أن يقال في المثال المفروض: «إنّ وضع إحدى اليدين على بشرة الأخرى واجب من حيث إنّه مصداق لکلّي الشرط وحرام من حيث إنّه مصداق لکلّي المانع الّذي هو التكتّف».والسّر في ذلك أنّ هذا القسم من الاجتماع، اجتماع</w:t>
      </w:r>
      <w:r>
        <w:rPr>
          <w:rStyle w:val="FootnoteReference"/>
        </w:rPr>
        <w:footnoteReference w:id="367"/>
      </w:r>
      <w:r>
        <w:rPr>
          <w:rFonts w:ascii="Amiri" w:hAnsi="Amiri" w:eastAsia="Amiri" w:cs="Amiri"/>
          <w:lang w:bidi="ar-SA"/>
          <w:color w:val="111111"/>
          <w:sz w:val="28"/>
          <w:szCs w:val="28"/>
          <w:rtl/>
        </w:rPr>
        <w:t xml:space="preserve">آمري ولا يمكن أن يكون مأموريّاً؛ إذ الآمر جعل المجمع</w:t>
      </w:r>
      <w:r>
        <w:rPr>
          <w:rStyle w:val="FootnoteReference"/>
        </w:rPr>
        <w:footnoteReference w:id="368"/>
      </w:r>
      <w:r>
        <w:rPr>
          <w:rFonts w:ascii="Amiri" w:hAnsi="Amiri" w:eastAsia="Amiri" w:cs="Amiri"/>
          <w:lang w:bidi="ar-SA"/>
          <w:color w:val="111111"/>
          <w:sz w:val="28"/>
          <w:szCs w:val="28"/>
          <w:rtl/>
        </w:rPr>
        <w:t xml:space="preserve">شرطاً ومانعاً ولو في ضمن کلّيّين</w:t>
      </w:r>
      <w:r>
        <w:rPr>
          <w:rStyle w:val="FootnoteReference"/>
        </w:rPr>
        <w:footnoteReference w:id="369"/>
      </w:r>
      <w:r>
        <w:rPr>
          <w:rFonts w:ascii="Amiri" w:hAnsi="Amiri" w:eastAsia="Amiri" w:cs="Amiri"/>
          <w:lang w:bidi="ar-SA"/>
          <w:color w:val="111111"/>
          <w:sz w:val="28"/>
          <w:szCs w:val="28"/>
          <w:rtl/>
        </w:rPr>
        <w:t xml:space="preserve">، وهذا لا يجوز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1" w:name="pg6784_51155"/>
    <w:bookmarkEnd w:id="51"/>
    <w:p>
      <w:pPr>
        <w:pStyle w:val="BookText"/>
      </w:pPr>
      <w:r>
        <w:rPr>
          <w:rFonts w:ascii="IRNazanin" w:hAnsi="IRNazanin" w:eastAsia="IRNazanin" w:cs="IRNazanin"/>
          <w:lang w:bidi="fa-IR"/>
          <w:color w:val="111111"/>
          <w:sz w:val="28"/>
          <w:szCs w:val="28"/>
          <w:rtl/>
        </w:rPr>
        <w:t xml:space="preserve">والحكم التکلیفي متفرّع على هذا الوضع فلا يجوز الاجتماع فيه أیضاً.</w:t>
      </w:r>
    </w:p>
    <w:p>
      <w:pPr>
        <w:pStyle w:val="Heading6"/>
      </w:pPr>
      <w:bookmarkStart w:id="397" w:name="_Toc78"/>
      <w:r>
        <w:t>[الموضع السادس: في التحریرات المختلفة لمحلّ النزاع ومجمع الأمر والنهي]</w:t>
      </w:r>
      <w:bookmarkEnd w:id="397"/>
    </w:p>
    <w:p>
      <w:pPr>
        <w:pStyle w:val="Heading6"/>
      </w:pPr>
      <w:bookmarkStart w:id="398" w:name="_Toc79"/>
      <w:r>
        <w:t>اشارة</w:t>
      </w:r>
      <w:bookmarkEnd w:id="398"/>
    </w:p>
    <w:p>
      <w:pPr>
        <w:pStyle w:val="BookText"/>
      </w:pPr>
      <w:r>
        <w:rPr>
          <w:rFonts w:ascii="Amiri" w:hAnsi="Amiri" w:eastAsia="Amiri" w:cs="Amiri"/>
          <w:lang w:bidi="ar-SA"/>
          <w:color w:val="111111"/>
          <w:sz w:val="28"/>
          <w:szCs w:val="28"/>
          <w:rtl/>
        </w:rPr>
        <w:t xml:space="preserve">سادسها: قد عرفت أنّ محلّ النّزاع اجتماع الأمر والنهي في الشيء الواحد.</w:t>
      </w:r>
    </w:p>
    <w:p>
      <w:pPr>
        <w:pStyle w:val="Heading6"/>
      </w:pPr>
      <w:bookmarkStart w:id="399" w:name="_Toc80"/>
      <w:r>
        <w:t>[الاجتماع المصداقي والاجتماع الموردي]</w:t>
      </w:r>
      <w:bookmarkEnd w:id="399"/>
    </w:p>
    <w:p>
      <w:pPr>
        <w:pStyle w:val="BookText"/>
      </w:pPr>
      <w:r>
        <w:rPr>
          <w:rFonts w:ascii="Amiri" w:hAnsi="Amiri" w:eastAsia="Amiri" w:cs="Amiri"/>
          <w:lang w:bidi="ar-SA"/>
          <w:color w:val="111111"/>
          <w:sz w:val="28"/>
          <w:szCs w:val="28"/>
          <w:rtl/>
        </w:rPr>
        <w:t xml:space="preserve">والمراد به الاجتماع المصداقي بأن يكون الشي‌ء الواحد مصداقاً للمأمور به</w:t>
      </w:r>
      <w:r>
        <w:rPr>
          <w:rStyle w:val="FootnoteReference"/>
        </w:rPr>
        <w:footnoteReference w:id="370"/>
      </w:r>
      <w:r>
        <w:rPr>
          <w:rFonts w:ascii="Amiri" w:hAnsi="Amiri" w:eastAsia="Amiri" w:cs="Amiri"/>
          <w:lang w:bidi="ar-SA"/>
          <w:color w:val="111111"/>
          <w:sz w:val="28"/>
          <w:szCs w:val="28"/>
          <w:rtl/>
        </w:rPr>
        <w:t xml:space="preserve">والمنهي عنه.</w:t>
      </w:r>
    </w:p>
    <w:p>
      <w:pPr>
        <w:pStyle w:val="BookText"/>
      </w:pPr>
      <w:r>
        <w:rPr>
          <w:rFonts w:ascii="Amiri" w:hAnsi="Amiri" w:eastAsia="Amiri" w:cs="Amiri"/>
          <w:lang w:bidi="ar-SA"/>
          <w:color w:val="111111"/>
          <w:sz w:val="28"/>
          <w:szCs w:val="28"/>
          <w:rtl/>
        </w:rPr>
        <w:t xml:space="preserve">فالاجتماع الموردي لا بأس به كالصّلاة مع النظر إلى الأجنبيّة حيث إنّ النظر خارج عن الصّلاة مقارن معها.</w:t>
      </w:r>
    </w:p>
    <w:p>
      <w:pPr>
        <w:pStyle w:val="Heading6"/>
      </w:pPr>
      <w:bookmarkStart w:id="400" w:name="_Toc81"/>
      <w:r>
        <w:t>[محلّ النزاع والمجمع من حیث الکلّیة والجزئیّة]</w:t>
      </w:r>
      <w:bookmarkEnd w:id="400"/>
    </w:p>
    <w:p>
      <w:pPr>
        <w:pStyle w:val="BookText"/>
      </w:pPr>
      <w:r>
        <w:rPr>
          <w:rFonts w:ascii="IRNazanin" w:hAnsi="IRNazanin" w:eastAsia="IRNazanin" w:cs="IRNazanin"/>
          <w:lang w:bidi="fa-IR"/>
          <w:color w:val="111111"/>
          <w:sz w:val="28"/>
          <w:szCs w:val="28"/>
          <w:rtl/>
        </w:rPr>
        <w:t xml:space="preserve">والمراد من الشي‌ء الواحد أعمّ من أن يكون جزئيّاً حقیقيّاً تحت کلّي متعلّق الأمر وکلّي متعلّق النهي كإکرام زيد الّذي هو عالم فاسق أو کلّياً تحت الکلّيين كإکرام کلّي العالم الفاسق</w:t>
      </w:r>
      <w:r>
        <w:rPr>
          <w:rStyle w:val="FootnoteReference"/>
        </w:rPr>
        <w:footnoteReference w:id="371"/>
      </w:r>
      <w:r>
        <w:rPr>
          <w:rFonts w:ascii="IRNazanin" w:hAnsi="IRNazanin" w:eastAsia="IRNazanin" w:cs="IRNazanin"/>
          <w:lang w:bidi="fa-IR"/>
          <w:color w:val="111111"/>
          <w:sz w:val="28"/>
          <w:szCs w:val="28"/>
          <w:rtl/>
        </w:rPr>
        <w:t xml:space="preserve">فيما إذا قال: «أکرم العالم ولا تكرم الفاسق».</w:t>
      </w:r>
    </w:p>
    <w:p>
      <w:pPr>
        <w:pStyle w:val="BookText"/>
      </w:pPr>
      <w:r>
        <w:rPr>
          <w:rFonts w:ascii="IRNazanin" w:hAnsi="IRNazanin" w:eastAsia="IRNazanin" w:cs="IRNazanin"/>
          <w:lang w:bidi="fa-IR"/>
          <w:color w:val="111111"/>
          <w:sz w:val="28"/>
          <w:szCs w:val="28"/>
          <w:rtl/>
        </w:rPr>
        <w:t xml:space="preserve">ويعتبر أن يكون للمکلّف مندوحة في الامتثال وإلّا كان من الاجتماع الآمري الخارج عن محلّ النزاع.</w:t>
      </w:r>
    </w:p>
    <w:p>
      <w:pPr>
        <w:pStyle w:val="Heading6"/>
      </w:pPr>
      <w:bookmarkStart w:id="401" w:name="_Toc82"/>
      <w:r>
        <w:t>[التحریر الأوّل لمحلّ النزاع]</w:t>
      </w:r>
      <w:bookmarkEnd w:id="401"/>
    </w:p>
    <w:p>
      <w:pPr>
        <w:pStyle w:val="BookText"/>
      </w:pPr>
      <w:r>
        <w:rPr>
          <w:rFonts w:ascii="Amiri" w:hAnsi="Amiri" w:eastAsia="Amiri" w:cs="Amiri"/>
          <w:lang w:bidi="ar-SA"/>
          <w:color w:val="111111"/>
          <w:sz w:val="28"/>
          <w:szCs w:val="28"/>
          <w:rtl/>
        </w:rPr>
        <w:t xml:space="preserve">واعلم أنّه قد يقال في تحرير النزاع: إنّ محلّه</w:t>
      </w:r>
      <w:r>
        <w:rPr>
          <w:rStyle w:val="FootnoteReference"/>
        </w:rPr>
        <w:footnoteReference w:id="372"/>
      </w:r>
      <w:r>
        <w:rPr>
          <w:rFonts w:ascii="IRNazanin" w:hAnsi="IRNazanin" w:eastAsia="IRNazanin" w:cs="IRNazanin"/>
          <w:lang w:bidi="fa-IR"/>
          <w:color w:val="111111"/>
          <w:sz w:val="28"/>
          <w:szCs w:val="28"/>
          <w:rtl/>
        </w:rPr>
        <w:t xml:space="preserve">ما إذا كان کلّ من الأمر والنّهي متعلّقاً بکلّي ويكون بين الکلّيين عموم من وجه لا التساوي ولا التّباين وأن لا يكون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2" w:name="pg6784_51156"/>
    <w:bookmarkEnd w:id="52"/>
    <w:p>
      <w:pPr>
        <w:pStyle w:val="BookText"/>
      </w:pPr>
      <w:r>
        <w:rPr>
          <w:rFonts w:ascii="IRNazanin" w:hAnsi="IRNazanin" w:eastAsia="IRNazanin" w:cs="IRNazanin"/>
          <w:lang w:bidi="fa-IR"/>
          <w:color w:val="111111"/>
          <w:sz w:val="28"/>
          <w:szCs w:val="28"/>
          <w:rtl/>
        </w:rPr>
        <w:t xml:space="preserve">مصداق کلّ منهما منحصراً في مورد الاجتماع.</w:t>
      </w:r>
      <w:r>
        <w:rPr>
          <w:rStyle w:val="FootnoteReference"/>
        </w:rPr>
        <w:footnoteReference w:id="373"/>
      </w:r>
    </w:p>
    <w:p>
      <w:pPr>
        <w:pStyle w:val="Heading6"/>
      </w:pPr>
      <w:bookmarkStart w:id="402" w:name="_Toc83"/>
      <w:r>
        <w:t>[التحریر الثاني لمحلّ النزاع]</w:t>
      </w:r>
      <w:bookmarkEnd w:id="402"/>
    </w:p>
    <w:p>
      <w:pPr>
        <w:pStyle w:val="Heading6"/>
      </w:pPr>
      <w:bookmarkStart w:id="403" w:name="_Toc84"/>
      <w:r>
        <w:t>اشارة</w:t>
      </w:r>
      <w:bookmarkEnd w:id="403"/>
    </w:p>
    <w:p>
      <w:pPr>
        <w:pStyle w:val="BookText"/>
      </w:pPr>
      <w:r>
        <w:rPr>
          <w:rFonts w:ascii="Amiri" w:hAnsi="Amiri" w:eastAsia="Amiri" w:cs="Amiri"/>
          <w:lang w:bidi="ar-SA"/>
          <w:color w:val="111111"/>
          <w:sz w:val="28"/>
          <w:szCs w:val="28"/>
          <w:rtl/>
        </w:rPr>
        <w:t xml:space="preserve">وقد يقال: إنّ محلّه ما إذا كان متعلّقهما شيئاً واحداً مع تعدّد الجهة،</w:t>
      </w:r>
      <w:r>
        <w:rPr>
          <w:rStyle w:val="FootnoteReference"/>
        </w:rPr>
        <w:footnoteReference w:id="374"/>
      </w:r>
      <w:r>
        <w:rPr>
          <w:rFonts w:ascii="IRNazanin" w:hAnsi="IRNazanin" w:eastAsia="IRNazanin" w:cs="IRNazanin"/>
          <w:lang w:bidi="fa-IR"/>
          <w:color w:val="111111"/>
          <w:sz w:val="28"/>
          <w:szCs w:val="28"/>
          <w:rtl/>
        </w:rPr>
        <w:t xml:space="preserve">فالنزاع في أنّه هل يجوز اجتماعهما في شي‌ء واحد کلّي أو جزئي مع تعدّد الجهة على وجه يكون للمکلّف مندوحة أو لا؟</w:t>
      </w:r>
    </w:p>
    <w:p>
      <w:pPr>
        <w:pStyle w:val="Heading6"/>
      </w:pPr>
      <w:bookmarkStart w:id="404" w:name="_Toc85"/>
      <w:r>
        <w:t>[المقایسة بین التحریرین]</w:t>
      </w:r>
      <w:bookmarkEnd w:id="404"/>
    </w:p>
    <w:p>
      <w:pPr>
        <w:pStyle w:val="BookText"/>
      </w:pPr>
      <w:r>
        <w:rPr>
          <w:rFonts w:ascii="IRNazanin" w:hAnsi="IRNazanin" w:eastAsia="IRNazanin" w:cs="IRNazanin"/>
          <w:lang w:bidi="fa-IR"/>
          <w:color w:val="111111"/>
          <w:sz w:val="28"/>
          <w:szCs w:val="28"/>
          <w:rtl/>
        </w:rPr>
        <w:t xml:space="preserve">و</w:t>
      </w:r>
      <w:r>
        <w:rPr>
          <w:rStyle w:val="FootnoteReference"/>
        </w:rPr>
        <w:footnoteReference w:id="375"/>
      </w:r>
      <w:r>
        <w:rPr>
          <w:rFonts w:ascii="IRNazanin" w:hAnsi="IRNazanin" w:eastAsia="IRNazanin" w:cs="IRNazanin"/>
          <w:lang w:bidi="fa-IR"/>
          <w:color w:val="111111"/>
          <w:sz w:val="28"/>
          <w:szCs w:val="28"/>
          <w:rtl/>
        </w:rPr>
        <w:t xml:space="preserve">ظاهر التّحرير الأوّل اختصاص النزاع بما إذا كان الشي‌ء الواحد مورداً لهما في ضمن کلّي متعلّق الأمر وکلّي متعلّق النّهي.</w:t>
      </w:r>
    </w:p>
    <w:p>
      <w:pPr>
        <w:pStyle w:val="BookText"/>
      </w:pPr>
      <w:r>
        <w:rPr>
          <w:rFonts w:ascii="IRNazanin" w:hAnsi="IRNazanin" w:eastAsia="IRNazanin" w:cs="IRNazanin"/>
          <w:lang w:bidi="fa-IR"/>
          <w:color w:val="111111"/>
          <w:sz w:val="28"/>
          <w:szCs w:val="28"/>
          <w:rtl/>
        </w:rPr>
        <w:t xml:space="preserve">وظاهر الثاني كون الشي‌ء الواحد بنفسه مورداً لهما كأن يقول: «أکرم زيداً ولاتكرم زيداً».</w:t>
      </w:r>
    </w:p>
    <w:p>
      <w:pPr>
        <w:pStyle w:val="BookText"/>
      </w:pPr>
      <w:r>
        <w:rPr>
          <w:rFonts w:ascii="IRNazanin" w:hAnsi="IRNazanin" w:eastAsia="IRNazanin" w:cs="IRNazanin"/>
          <w:lang w:bidi="fa-IR"/>
          <w:color w:val="111111"/>
          <w:sz w:val="28"/>
          <w:szCs w:val="28"/>
          <w:rtl/>
        </w:rPr>
        <w:t xml:space="preserve">ولكنّ الظاهر عدم الاختلاف بينهما إلّا بمجرّد التعبير؛ لأنّ المعقول من مورد النزاع ما إذا كان الاجتماع بسوء اختيار المکلّف فلا يكون إلّا إذا كان متعلّقهما في لسان الدليل غير مورد الاجتماع وهذا لا يكون إلّا إذا كان المورد فرداً مجمعاً</w:t>
      </w:r>
      <w:r>
        <w:rPr>
          <w:rStyle w:val="FootnoteReference"/>
        </w:rPr>
        <w:footnoteReference w:id="376"/>
      </w:r>
      <w:r>
        <w:rPr>
          <w:rFonts w:ascii="Amiri" w:hAnsi="Amiri" w:eastAsia="Amiri" w:cs="Amiri"/>
          <w:lang w:bidi="ar-SA"/>
          <w:color w:val="111111"/>
          <w:sz w:val="28"/>
          <w:szCs w:val="28"/>
          <w:rtl/>
        </w:rPr>
        <w:t xml:space="preserve">للکلّيين</w:t>
      </w:r>
      <w:r>
        <w:rPr>
          <w:rStyle w:val="FootnoteReference"/>
        </w:rPr>
        <w:footnoteReference w:id="377"/>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فلا ينبغي التأمّل في عدم جواز اجتماعهما على واحد في لسان الدّليل كأن يقول: «أکرم زيداً ولا تكرم زيداً» وإن کانا من جهتين تعلیليّتين أو تقييديّتين بالمعنى الّذي يجعل محلّاً للنّزاع كما سيأتي بيانه؛ وذلك لعدم كون الاجتماع حینئذٍ من سوء اختيار المکلّف، فلمّا كان اللّازم كون المتعلّق في لسان الدّليل متعدّداً والمورد والمجمع واحداً، فالمحرّرعلى الوجه الأوّل لاحظ المتعلّق وقال: النزاع إنّما هو فيما يكون بين متعلّق الأمر والنهي عموم من وجه.</w:t>
      </w:r>
    </w:p>
    <w:p>
      <w:pPr>
        <w:pStyle w:val="BookText"/>
      </w:pPr>
      <w:r>
        <w:rPr>
          <w:rFonts w:ascii="Amiri" w:hAnsi="Amiri" w:eastAsia="Amiri" w:cs="Amiri"/>
          <w:lang w:bidi="ar-SA"/>
          <w:color w:val="111111"/>
          <w:sz w:val="28"/>
          <w:szCs w:val="28"/>
          <w:rtl/>
        </w:rPr>
        <w:t xml:space="preserve">والمحرّرعلى الوجه الثاني لاحظ نفس مورد الاجتماع وقال: إنّ</w:t>
      </w:r>
      <w:r>
        <w:rPr>
          <w:rStyle w:val="FootnoteReference"/>
        </w:rPr>
        <w:footnoteReference w:id="378"/>
      </w:r>
      <w:r>
        <w:rPr>
          <w:rFonts w:ascii="IRNazanin" w:hAnsi="IRNazanin" w:eastAsia="IRNazanin" w:cs="IRNazanin"/>
          <w:lang w:bidi="fa-IR"/>
          <w:color w:val="111111"/>
          <w:sz w:val="28"/>
          <w:szCs w:val="28"/>
          <w:rtl/>
        </w:rPr>
        <w:t xml:space="preserve">النزاع فيما لو اجتمعا في شي‌ء واحد مع تعدّد الجهة یعني أن يكون الأمر من حيث إنّه فرد للکلّي الفلاني والنهي من حيث إنّه فرد للکلّي الفلاني</w:t>
      </w:r>
      <w:r>
        <w:rPr>
          <w:rStyle w:val="FootnoteReference"/>
        </w:rPr>
        <w:footnoteReference w:id="379"/>
      </w:r>
      <w:r>
        <w:rPr>
          <w:rFonts w:ascii="IRNazanin" w:hAnsi="IRNazanin" w:eastAsia="IRNazanin" w:cs="IRNazanin"/>
          <w:lang w:bidi="fa-IR"/>
          <w:color w:val="111111"/>
          <w:sz w:val="28"/>
          <w:szCs w:val="28"/>
          <w:rtl/>
        </w:rPr>
        <w:t xml:space="preserve">فمراده الأمر والنهي التطبیقي بالمعنى الأعمّ لا الحقيقي الّذي في لسان الدليل.</w:t>
      </w:r>
    </w:p>
    <w:p>
      <w:pPr>
        <w:pStyle w:val="BookText"/>
      </w:pPr>
      <w:r>
        <w:rPr>
          <w:rFonts w:ascii="IRNazanin" w:hAnsi="IRNazanin" w:eastAsia="IRNazanin" w:cs="IRNazanin"/>
          <w:lang w:bidi="fa-IR"/>
          <w:color w:val="111111"/>
          <w:sz w:val="28"/>
          <w:szCs w:val="28"/>
          <w:rtl/>
        </w:rPr>
        <w:t xml:space="preserve">هذا، والظاهر أنّ کلّاً من التحريرين يتأتّى على کلّ من القولين في متعلّق الأحکام أنّه الطبيعة أو الأفراد.</w:t>
      </w:r>
    </w:p>
    <w:p>
      <w:pPr>
        <w:pStyle w:val="BookText"/>
      </w:pPr>
      <w:r>
        <w:rPr>
          <w:rFonts w:ascii="Amiri" w:hAnsi="Amiri" w:eastAsia="Amiri" w:cs="Amiri"/>
          <w:lang w:bidi="ar-SA"/>
          <w:color w:val="111111"/>
          <w:sz w:val="28"/>
          <w:szCs w:val="28"/>
          <w:rtl/>
        </w:rPr>
        <w:t xml:space="preserve">أمّا التحرير الأوّل فواضح.</w:t>
      </w:r>
    </w:p>
    <w:p>
      <w:pPr>
        <w:pStyle w:val="BookText"/>
      </w:pPr>
      <w:r>
        <w:rPr>
          <w:rFonts w:ascii="Amiri" w:hAnsi="Amiri" w:eastAsia="Amiri" w:cs="Amiri"/>
          <w:lang w:bidi="ar-SA"/>
          <w:color w:val="111111"/>
          <w:sz w:val="28"/>
          <w:szCs w:val="28"/>
          <w:rtl/>
        </w:rPr>
        <w:t xml:space="preserve">وأمّا الثاني فلأنّ الأمر والنّهي فيه أعمّ من الحقيقي بأن يكون المتعلّق في الواقع هو هذا الشخص أو التطبيقي بأن يكون تعلّق الأمر به من باب أنّه ينطبق</w:t>
      </w:r>
      <w:r>
        <w:rPr>
          <w:rStyle w:val="FootnoteReference"/>
        </w:rPr>
        <w:footnoteReference w:id="380"/>
      </w:r>
      <w:r>
        <w:rPr>
          <w:rFonts w:ascii="Amiri" w:hAnsi="Amiri" w:eastAsia="Amiri" w:cs="Amiri"/>
          <w:lang w:bidi="ar-SA"/>
          <w:color w:val="111111"/>
          <w:sz w:val="28"/>
          <w:szCs w:val="28"/>
          <w:rtl/>
        </w:rPr>
        <w:t xml:space="preserve">على الطبيعة المأمور بها وكذا في النّهي.</w:t>
      </w:r>
    </w:p>
    <w:p>
      <w:pPr>
        <w:pStyle w:val="BookText"/>
      </w:pPr>
      <w:r>
        <w:rPr>
          <w:rFonts w:ascii="IRNazanin" w:hAnsi="IRNazanin" w:eastAsia="IRNazanin" w:cs="IRNazanin"/>
          <w:lang w:bidi="fa-IR"/>
          <w:color w:val="111111"/>
          <w:sz w:val="28"/>
          <w:szCs w:val="28"/>
          <w:rtl/>
        </w:rPr>
        <w:t xml:space="preserve">ويمكن على بُعد أن يكون نظر المحرّر الأوّل إلى كون متعلّق الأحکام هو الطبيعة ونظر الثاني إلى كون متعلّقها</w:t>
      </w:r>
      <w:r>
        <w:rPr>
          <w:rStyle w:val="FootnoteReference"/>
        </w:rPr>
        <w:footnoteReference w:id="381"/>
      </w:r>
      <w:r>
        <w:rPr>
          <w:rFonts w:ascii="IRNazanin" w:hAnsi="IRNazanin" w:eastAsia="IRNazanin" w:cs="IRNazanin"/>
          <w:lang w:bidi="fa-IR"/>
          <w:color w:val="111111"/>
          <w:sz w:val="28"/>
          <w:szCs w:val="28"/>
          <w:rtl/>
        </w:rPr>
        <w:t xml:space="preserve">الأفراد.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3" w:name="pg6784_51158"/>
    <w:bookmarkEnd w:id="53"/>
    <w:p>
      <w:pPr>
        <w:pStyle w:val="BookText"/>
      </w:pPr>
      <w:r>
        <w:rPr>
          <w:rFonts w:ascii="IRNazanin" w:hAnsi="IRNazanin" w:eastAsia="IRNazanin" w:cs="IRNazanin"/>
          <w:lang w:bidi="fa-IR"/>
          <w:color w:val="111111"/>
          <w:sz w:val="28"/>
          <w:szCs w:val="28"/>
          <w:rtl/>
        </w:rPr>
        <w:t xml:space="preserve">ولكنّ التحقیق عدم الفرق بين التحريرين وعدم الاختصاص وإلّا لزم قصر</w:t>
      </w:r>
      <w:r>
        <w:rPr>
          <w:rStyle w:val="FootnoteReference"/>
        </w:rPr>
        <w:footnoteReference w:id="382"/>
      </w:r>
      <w:r>
        <w:rPr>
          <w:rFonts w:ascii="Amiri" w:hAnsi="Amiri" w:eastAsia="Amiri" w:cs="Amiri"/>
          <w:lang w:bidi="ar-SA"/>
          <w:color w:val="111111"/>
          <w:sz w:val="28"/>
          <w:szCs w:val="28"/>
          <w:rtl/>
        </w:rPr>
        <w:t xml:space="preserve">النزاع على أحد القولين مع أنّه أعمّ منهما قطعاً.</w:t>
      </w:r>
    </w:p>
    <w:p>
      <w:pPr>
        <w:pStyle w:val="BookText"/>
      </w:pPr>
      <w:r>
        <w:rPr>
          <w:rFonts w:ascii="Amiri" w:hAnsi="Amiri" w:eastAsia="Amiri" w:cs="Amiri"/>
          <w:lang w:bidi="ar-SA"/>
          <w:color w:val="111111"/>
          <w:sz w:val="28"/>
          <w:szCs w:val="28"/>
          <w:rtl/>
        </w:rPr>
        <w:t xml:space="preserve">وقد عرفت سابقاً أنّه فرق واضح بين كون الأمر والنهي واردين في لسان الدليل على شي‌ء واحد وبين ورودهما في الظاهر</w:t>
      </w:r>
      <w:r>
        <w:rPr>
          <w:rStyle w:val="FootnoteReference"/>
        </w:rPr>
        <w:footnoteReference w:id="383"/>
      </w:r>
      <w:r>
        <w:rPr>
          <w:rFonts w:ascii="Amiri" w:hAnsi="Amiri" w:eastAsia="Amiri" w:cs="Amiri"/>
          <w:lang w:bidi="ar-SA"/>
          <w:color w:val="111111"/>
          <w:sz w:val="28"/>
          <w:szCs w:val="28"/>
          <w:rtl/>
        </w:rPr>
        <w:t xml:space="preserve">على الطبيعة وفي الواقع على الفرد؛ حيث إنّ الفرد غير معيّن مع أنّه غير ملحوظ بخصوصيّاته الفرديّة.</w:t>
      </w:r>
    </w:p>
    <w:p>
      <w:pPr>
        <w:pStyle w:val="BookText"/>
      </w:pPr>
      <w:r>
        <w:rPr>
          <w:rFonts w:ascii="IRNazanin" w:hAnsi="IRNazanin" w:eastAsia="IRNazanin" w:cs="IRNazanin"/>
          <w:lang w:bidi="fa-IR"/>
          <w:color w:val="111111"/>
          <w:sz w:val="28"/>
          <w:szCs w:val="28"/>
          <w:rtl/>
        </w:rPr>
        <w:t xml:space="preserve">فلا فرق بينه وبين الکلّي في الحقيقة إلّا بمقدار يندفع به محذور عدم مقدوريّة الطبيعة من حيث هي وعدم صلاحيّتها لتعلّق الأمر والنّهي لعدم القدرة على إيجادها.</w:t>
      </w:r>
    </w:p>
    <w:p>
      <w:pPr>
        <w:pStyle w:val="Heading6"/>
      </w:pPr>
      <w:bookmarkStart w:id="405" w:name="_Toc86"/>
      <w:r>
        <w:t>[إیراد المصنّف على صاحب هدایة المسترشدین]</w:t>
      </w:r>
      <w:bookmarkEnd w:id="405"/>
    </w:p>
    <w:p>
      <w:pPr>
        <w:pStyle w:val="BookText"/>
      </w:pPr>
      <w:r>
        <w:rPr>
          <w:rFonts w:ascii="IRNazanin" w:hAnsi="IRNazanin" w:eastAsia="IRNazanin" w:cs="IRNazanin"/>
          <w:lang w:bidi="fa-IR"/>
          <w:color w:val="111111"/>
          <w:sz w:val="28"/>
          <w:szCs w:val="28"/>
          <w:rtl/>
        </w:rPr>
        <w:t xml:space="preserve">وممّا ذكرنا من رجوع التحريرين إلى واحد وأنّ الاختلاف إنّما هو في مجرّد التّعبير ظهر أنّه لا وجه لما يظهر من الشّيخ (قدس‌سره) في الهداية من الجمع بين التحريرين وأنّ النزاع في الأعمّ من اجتماعهما على واحد شخصيّ أو نوعيّ مع تعدّد الجهة التّقييديّة ومن كون المتعلّقين کلّيين بينهما عموم من وجه أو مطلق.</w:t>
      </w:r>
    </w:p>
    <w:p>
      <w:pPr>
        <w:pStyle w:val="BookText"/>
      </w:pPr>
      <w:r>
        <w:rPr>
          <w:rFonts w:ascii="Amiri" w:hAnsi="Amiri" w:eastAsia="Amiri" w:cs="Amiri"/>
          <w:lang w:bidi="ar-SA"/>
          <w:color w:val="111111"/>
          <w:sz w:val="28"/>
          <w:szCs w:val="28"/>
          <w:rtl/>
        </w:rPr>
        <w:t xml:space="preserve">حيث قال:</w:t>
      </w:r>
    </w:p>
    <w:p>
      <w:pPr>
        <w:pStyle w:val="BookText"/>
      </w:pPr>
      <w:r>
        <w:rPr>
          <w:rFonts w:ascii="Amiri" w:hAnsi="Amiri" w:eastAsia="Amiri" w:cs="Amiri"/>
          <w:lang w:bidi="ar-SA"/>
          <w:color w:val="111111"/>
          <w:sz w:val="28"/>
          <w:szCs w:val="28"/>
          <w:rtl/>
        </w:rPr>
        <w:t xml:space="preserve">«ثمّ نقول: إنّ الأمر والنّهي إمّا أن يتعلّقا بشيئين أو بشي‌ء واحد.</w:t>
      </w:r>
    </w:p>
    <w:p>
      <w:pPr>
        <w:pStyle w:val="BookText"/>
      </w:pPr>
      <w:r>
        <w:rPr>
          <w:rFonts w:ascii="IRNazanin" w:hAnsi="IRNazanin" w:eastAsia="IRNazanin" w:cs="IRNazanin"/>
          <w:lang w:bidi="fa-IR"/>
          <w:color w:val="111111"/>
          <w:sz w:val="28"/>
          <w:szCs w:val="28"/>
          <w:rtl/>
        </w:rPr>
        <w:t xml:space="preserve">وعلى الأوّل إمّا أن يكونا متباينين أو متساویین أو يكون بينهما عموم وخصوص مطلق مع تعلّق النّهي</w:t>
      </w:r>
      <w:r>
        <w:rPr>
          <w:rStyle w:val="FootnoteReference"/>
        </w:rPr>
        <w:footnoteReference w:id="384"/>
      </w:r>
      <w:r>
        <w:rPr>
          <w:rFonts w:ascii="IRNazanin" w:hAnsi="IRNazanin" w:eastAsia="IRNazanin" w:cs="IRNazanin"/>
          <w:lang w:bidi="fa-IR"/>
          <w:color w:val="111111"/>
          <w:sz w:val="28"/>
          <w:szCs w:val="28"/>
          <w:rtl/>
        </w:rPr>
        <w:t xml:space="preserve">بالأخصّ أو الأعمّ أو عموم من وجه.</w:t>
      </w:r>
    </w:p>
    <w:p>
      <w:pPr>
        <w:pStyle w:val="BookText"/>
      </w:pPr>
      <w:r>
        <w:rPr>
          <w:rFonts w:ascii="Amiri" w:hAnsi="Amiri" w:eastAsia="Amiri" w:cs="Amiri"/>
          <w:lang w:bidi="ar-SA"/>
          <w:color w:val="111111"/>
          <w:sz w:val="28"/>
          <w:szCs w:val="28"/>
          <w:rtl/>
        </w:rPr>
        <w:t xml:space="preserve">وعلى الأوّل فإمّا</w:t>
      </w:r>
      <w:r>
        <w:rPr>
          <w:rStyle w:val="FootnoteReference"/>
        </w:rPr>
        <w:footnoteReference w:id="385"/>
      </w:r>
      <w:r>
        <w:rPr>
          <w:rFonts w:ascii="Amiri" w:hAnsi="Amiri" w:eastAsia="Amiri" w:cs="Amiri"/>
          <w:lang w:bidi="ar-SA"/>
          <w:color w:val="111111"/>
          <w:sz w:val="28"/>
          <w:szCs w:val="28"/>
          <w:rtl/>
        </w:rPr>
        <w:t xml:space="preserve">أن يكونا متلازمين بحسب الوجود أو متفارقين أو يكون المأمور به ملازماً للمنهيّ عنه أو بالعكس.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الثاني فإمّا أن يكون تعلّق الأمر والنّهي من جهة واحدة أو من جهتين.</w:t>
      </w:r>
    </w:p>
    <w:p>
      <w:pPr>
        <w:pStyle w:val="BookText"/>
      </w:pPr>
      <w:r>
        <w:rPr>
          <w:rFonts w:ascii="IRNazanin" w:hAnsi="IRNazanin" w:eastAsia="IRNazanin" w:cs="IRNazanin"/>
          <w:lang w:bidi="fa-IR"/>
          <w:color w:val="111111"/>
          <w:sz w:val="28"/>
          <w:szCs w:val="28"/>
          <w:rtl/>
        </w:rPr>
        <w:t xml:space="preserve">والجهتان إمّا أن تكونا تعلیليّتين أو تقييديّتين أو یكون الجهة المأخوذة في المأمور به تقييديّة والأخرى تعلیليّة أو بالعكس.</w:t>
      </w:r>
    </w:p>
    <w:p>
      <w:pPr>
        <w:pStyle w:val="BookText"/>
      </w:pPr>
      <w:r>
        <w:rPr>
          <w:rFonts w:ascii="Amiri" w:hAnsi="Amiri" w:eastAsia="Amiri" w:cs="Amiri"/>
          <w:lang w:bidi="ar-SA"/>
          <w:color w:val="111111"/>
          <w:sz w:val="28"/>
          <w:szCs w:val="28"/>
          <w:rtl/>
        </w:rPr>
        <w:t xml:space="preserve">ثمّ إنّ الجهتين إمّا أن تكونا متباينتين أو متساويتين أو يكون بينهما عموم</w:t>
      </w:r>
      <w:r>
        <w:rPr>
          <w:rStyle w:val="FootnoteReference"/>
        </w:rPr>
        <w:footnoteReference w:id="386"/>
      </w:r>
      <w:r>
        <w:rPr>
          <w:rFonts w:ascii="IRNazanin" w:hAnsi="IRNazanin" w:eastAsia="IRNazanin" w:cs="IRNazanin"/>
          <w:lang w:bidi="fa-IR"/>
          <w:color w:val="111111"/>
          <w:sz w:val="28"/>
          <w:szCs w:val="28"/>
          <w:rtl/>
        </w:rPr>
        <w:t xml:space="preserve">مطلق</w:t>
      </w:r>
      <w:r>
        <w:rPr>
          <w:rStyle w:val="FootnoteReference"/>
        </w:rPr>
        <w:footnoteReference w:id="387"/>
      </w:r>
      <w:r>
        <w:rPr>
          <w:rFonts w:ascii="Amiri" w:hAnsi="Amiri" w:eastAsia="Amiri" w:cs="Amiri"/>
          <w:lang w:bidi="ar-SA"/>
          <w:color w:val="111111"/>
          <w:sz w:val="28"/>
          <w:szCs w:val="28"/>
          <w:rtl/>
        </w:rPr>
        <w:t xml:space="preserve">أو من وجه وعلى فرض التّباين يجري فيهما التّلازم من الجانبين أو من جانب واحد والتّفارق حسب ما مرّ».</w:t>
      </w:r>
      <w:r>
        <w:rPr>
          <w:rStyle w:val="FootnoteReference"/>
        </w:rPr>
        <w:footnoteReference w:id="388"/>
      </w:r>
    </w:p>
    <w:p>
      <w:pPr>
        <w:pStyle w:val="BookText"/>
      </w:pPr>
      <w:r>
        <w:rPr>
          <w:rFonts w:ascii="Amiri" w:hAnsi="Amiri" w:eastAsia="Amiri" w:cs="Amiri"/>
          <w:lang w:bidi="ar-SA"/>
          <w:color w:val="111111"/>
          <w:sz w:val="28"/>
          <w:szCs w:val="28"/>
          <w:rtl/>
        </w:rPr>
        <w:t xml:space="preserve">ثمّ ذكر أنّ جملة من هذه الصّور خارجة عن النزاع:</w:t>
      </w:r>
    </w:p>
    <w:p>
      <w:pPr>
        <w:pStyle w:val="BookText"/>
      </w:pPr>
      <w:r>
        <w:rPr>
          <w:rFonts w:ascii="Amiri" w:hAnsi="Amiri" w:eastAsia="Amiri" w:cs="Amiri"/>
          <w:lang w:bidi="ar-SA"/>
          <w:color w:val="111111"/>
          <w:sz w:val="28"/>
          <w:szCs w:val="28"/>
          <w:rtl/>
        </w:rPr>
        <w:t xml:space="preserve">ومن جملتها أن يكون بين متعلّق</w:t>
      </w:r>
      <w:r>
        <w:rPr>
          <w:rStyle w:val="FootnoteReference"/>
        </w:rPr>
        <w:footnoteReference w:id="389"/>
      </w:r>
      <w:r>
        <w:rPr>
          <w:rFonts w:ascii="Amiri" w:hAnsi="Amiri" w:eastAsia="Amiri" w:cs="Amiri"/>
          <w:lang w:bidi="ar-SA"/>
          <w:color w:val="111111"/>
          <w:sz w:val="28"/>
          <w:szCs w:val="28"/>
          <w:rtl/>
        </w:rPr>
        <w:t xml:space="preserve">الأمر والنّهي العموم المطلق مع تعلّق الأمر بالأخصّ ويظهر منه أنّ العموم من وجه بل العموم المطلق مع كون الأمر بالأعمّ داخل في النزاع.</w:t>
      </w:r>
    </w:p>
    <w:p>
      <w:pPr>
        <w:pStyle w:val="BookText"/>
      </w:pPr>
      <w:r>
        <w:rPr>
          <w:rFonts w:ascii="IRNazanin" w:hAnsi="IRNazanin" w:eastAsia="IRNazanin" w:cs="IRNazanin"/>
          <w:lang w:bidi="fa-IR"/>
          <w:color w:val="111111"/>
          <w:sz w:val="28"/>
          <w:szCs w:val="28"/>
          <w:rtl/>
        </w:rPr>
        <w:t xml:space="preserve">ومن جملتها تعلّقهما بشي‌ء واحد من جهتين تعلیليّتين ويظهر منه دخول صورة تعلّقهما بشي‌ء واحد من جهتين تقييديّتين في النزاع.</w:t>
      </w:r>
    </w:p>
    <w:p>
      <w:pPr>
        <w:pStyle w:val="BookText"/>
      </w:pPr>
      <w:r>
        <w:rPr>
          <w:rFonts w:ascii="Amiri" w:hAnsi="Amiri" w:eastAsia="Amiri" w:cs="Amiri"/>
          <w:lang w:bidi="ar-SA"/>
          <w:color w:val="111111"/>
          <w:sz w:val="28"/>
          <w:szCs w:val="28"/>
          <w:rtl/>
        </w:rPr>
        <w:t xml:space="preserve">مع أنّك عرفت</w:t>
      </w:r>
      <w:r>
        <w:rPr>
          <w:rStyle w:val="FootnoteReference"/>
        </w:rPr>
        <w:footnoteReference w:id="390"/>
      </w:r>
      <w:r>
        <w:rPr>
          <w:rFonts w:ascii="IRNazanin" w:hAnsi="IRNazanin" w:eastAsia="IRNazanin" w:cs="IRNazanin"/>
          <w:lang w:bidi="fa-IR"/>
          <w:color w:val="111111"/>
          <w:sz w:val="28"/>
          <w:szCs w:val="28"/>
          <w:rtl/>
        </w:rPr>
        <w:t xml:space="preserve">وجوب إرجاع الشي‌ء الواحد مع تعدّد الجهة إلى الکلّيين؛ وذلك لأنّه لا يعقل النزاع في صورة</w:t>
      </w:r>
      <w:r>
        <w:rPr>
          <w:rStyle w:val="FootnoteReference"/>
        </w:rPr>
        <w:footnoteReference w:id="391"/>
      </w:r>
      <w:r>
        <w:rPr>
          <w:rFonts w:ascii="IRNazanin" w:hAnsi="IRNazanin" w:eastAsia="IRNazanin" w:cs="IRNazanin"/>
          <w:lang w:bidi="fa-IR"/>
          <w:color w:val="111111"/>
          <w:sz w:val="28"/>
          <w:szCs w:val="28"/>
          <w:rtl/>
        </w:rPr>
        <w:t xml:space="preserve">جواز اجتماع الأمر والنّهي على شي‌ء واحد في لسان الدّليل كأن يقول: «أکرم زيداً ولا تكرم زيداً» وإن کان مع تعدّد الجهة؛ لأنّ ذلك لا يخرجه عن الاجتماع الآمري الّذي لا يجوز قطعاً.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4" w:name="pg6784_51160"/>
    <w:bookmarkEnd w:id="54"/>
    <w:p>
      <w:pPr>
        <w:pStyle w:val="BookText"/>
      </w:pPr>
      <w:r>
        <w:rPr>
          <w:rFonts w:ascii="Amiri" w:hAnsi="Amiri" w:eastAsia="Amiri" w:cs="Amiri"/>
          <w:lang w:bidi="ar-SA"/>
          <w:color w:val="111111"/>
          <w:sz w:val="28"/>
          <w:szCs w:val="28"/>
          <w:rtl/>
        </w:rPr>
        <w:t xml:space="preserve">فلا بدّ أن يكون المراد عن</w:t>
      </w:r>
      <w:r>
        <w:rPr>
          <w:rStyle w:val="FootnoteReference"/>
        </w:rPr>
        <w:footnoteReference w:id="392"/>
      </w:r>
      <w:r>
        <w:rPr>
          <w:rFonts w:ascii="IRNazanin" w:hAnsi="IRNazanin" w:eastAsia="IRNazanin" w:cs="IRNazanin"/>
          <w:lang w:bidi="fa-IR"/>
          <w:color w:val="111111"/>
          <w:sz w:val="28"/>
          <w:szCs w:val="28"/>
          <w:rtl/>
        </w:rPr>
        <w:t xml:space="preserve">الشي‌ء الواحد هو المجمع للکلّيين.</w:t>
      </w:r>
    </w:p>
    <w:p>
      <w:pPr>
        <w:pStyle w:val="BookText"/>
      </w:pPr>
      <w:r>
        <w:rPr>
          <w:rFonts w:ascii="IRNazanin" w:hAnsi="IRNazanin" w:eastAsia="IRNazanin" w:cs="IRNazanin"/>
          <w:lang w:bidi="fa-IR"/>
          <w:color w:val="111111"/>
          <w:sz w:val="28"/>
          <w:szCs w:val="28"/>
          <w:rtl/>
        </w:rPr>
        <w:t xml:space="preserve">وحینئذٍ فلا يبقى فرق بينه وبين صورة تعدّد المتعلّق بالعموم المطلق أو من وجه.</w:t>
      </w:r>
    </w:p>
    <w:p>
      <w:pPr>
        <w:pStyle w:val="BookText"/>
      </w:pPr>
      <w:r>
        <w:rPr>
          <w:rFonts w:ascii="IRNazanin" w:hAnsi="IRNazanin" w:eastAsia="IRNazanin" w:cs="IRNazanin"/>
          <w:lang w:bidi="fa-IR"/>
          <w:color w:val="111111"/>
          <w:sz w:val="28"/>
          <w:szCs w:val="28"/>
          <w:rtl/>
        </w:rPr>
        <w:t xml:space="preserve">والحاصل: أنّه إن أراد من تعلّقهما بشي‌ء واحد كونهما كذلك في لسان الدّليل فهو خارج عن النزاع قطعاً وإن أراد ذلك في ضمن الکلّي المتعلّق لکلّ واحد منهما فيتّحد مع صورة التعدّد فلا وجه لعدّه في قبالها.</w:t>
      </w:r>
    </w:p>
    <w:p>
      <w:pPr>
        <w:pStyle w:val="BookText"/>
      </w:pPr>
      <w:r>
        <w:rPr>
          <w:rFonts w:ascii="IRNazanin" w:hAnsi="IRNazanin" w:eastAsia="IRNazanin" w:cs="IRNazanin"/>
          <w:lang w:bidi="fa-IR"/>
          <w:color w:val="111111"/>
          <w:sz w:val="28"/>
          <w:szCs w:val="28"/>
          <w:rtl/>
        </w:rPr>
        <w:t xml:space="preserve">هذا، ولا يخفى أنّه لا وجه لما ذكره أیضاً من كون النّسبة بين الجهتين إمّا تبايناً</w:t>
      </w:r>
      <w:r>
        <w:rPr>
          <w:rStyle w:val="FootnoteReference"/>
        </w:rPr>
        <w:footnoteReference w:id="393"/>
      </w:r>
      <w:r>
        <w:rPr>
          <w:rFonts w:ascii="Amiri" w:hAnsi="Amiri" w:eastAsia="Amiri" w:cs="Amiri"/>
          <w:lang w:bidi="ar-SA"/>
          <w:color w:val="111111"/>
          <w:sz w:val="28"/>
          <w:szCs w:val="28"/>
          <w:rtl/>
        </w:rPr>
        <w:t xml:space="preserve">أوكذا وكذا وذلك لأنّ التّباين لا يعقل في صورة كون المتعلّق شيئاً واحداً لأنّهذا الشّي‌ء الواحد يكون مجمعاً للجهتين فلا تكونان متباينتين</w:t>
      </w:r>
      <w:r>
        <w:rPr>
          <w:rStyle w:val="FootnoteReference"/>
        </w:rPr>
        <w:footnoteReference w:id="394"/>
      </w:r>
      <w:r>
        <w:rPr>
          <w:rFonts w:ascii="Amiri" w:hAnsi="Amiri" w:eastAsia="Amiri" w:cs="Amiri"/>
          <w:lang w:bidi="ar-SA"/>
          <w:color w:val="111111"/>
          <w:sz w:val="28"/>
          <w:szCs w:val="28"/>
          <w:rtl/>
        </w:rPr>
        <w:t xml:space="preserve">وإن أراد التّباين المفهومي فهو حاصل في جميع الصّور.</w:t>
      </w:r>
    </w:p>
    <w:p>
      <w:pPr>
        <w:pStyle w:val="BookText"/>
      </w:pPr>
      <w:r>
        <w:rPr>
          <w:rFonts w:ascii="IRNazanin" w:hAnsi="IRNazanin" w:eastAsia="IRNazanin" w:cs="IRNazanin"/>
          <w:lang w:bidi="fa-IR"/>
          <w:color w:val="111111"/>
          <w:sz w:val="28"/>
          <w:szCs w:val="28"/>
          <w:rtl/>
        </w:rPr>
        <w:t xml:space="preserve">وكيف كان فلکلّ من التّحريرين المذكورين وجه ومآلهما واحد. والجمع بينهما لا وجه له.</w:t>
      </w:r>
    </w:p>
    <w:p>
      <w:pPr>
        <w:pStyle w:val="Heading6"/>
      </w:pPr>
      <w:bookmarkStart w:id="406" w:name="_Toc87"/>
      <w:r>
        <w:t>[الجهة التعلیلیة والجهة التقییدیة]</w:t>
      </w:r>
      <w:bookmarkEnd w:id="406"/>
    </w:p>
    <w:p>
      <w:pPr>
        <w:pStyle w:val="BookText"/>
      </w:pPr>
      <w:r>
        <w:rPr>
          <w:rFonts w:ascii="IRNazanin" w:hAnsi="IRNazanin" w:eastAsia="IRNazanin" w:cs="IRNazanin"/>
          <w:lang w:bidi="fa-IR"/>
          <w:color w:val="111111"/>
          <w:sz w:val="28"/>
          <w:szCs w:val="28"/>
          <w:rtl/>
        </w:rPr>
        <w:t xml:space="preserve">ثم التّحرير الأوّل لا يحتاج إلى ذكر تعدّد الجهة وأنّ المراد بها التعلیليّة أو التّقييديّة</w:t>
      </w:r>
      <w:r>
        <w:rPr>
          <w:rStyle w:val="FootnoteReference"/>
        </w:rPr>
        <w:footnoteReference w:id="395"/>
      </w:r>
      <w:r>
        <w:rPr>
          <w:rFonts w:ascii="Amiri" w:hAnsi="Amiri" w:eastAsia="Amiri" w:cs="Amiri"/>
          <w:lang w:bidi="ar-SA"/>
          <w:color w:val="111111"/>
          <w:sz w:val="28"/>
          <w:szCs w:val="28"/>
          <w:rtl/>
        </w:rPr>
        <w:t xml:space="preserve">وأمّا الثاني فلا بدّ فيه من ذكر تعدّد الجهة.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ويجي‌ء معه البحث في أنّ محلّ</w:t>
      </w:r>
      <w:r>
        <w:rPr>
          <w:rStyle w:val="FootnoteReference"/>
        </w:rPr>
        <w:footnoteReference w:id="396"/>
      </w:r>
      <w:r>
        <w:rPr>
          <w:rFonts w:ascii="Amiri" w:hAnsi="Amiri" w:eastAsia="Amiri" w:cs="Amiri"/>
          <w:lang w:bidi="ar-SA"/>
          <w:color w:val="111111"/>
          <w:sz w:val="28"/>
          <w:szCs w:val="28"/>
          <w:rtl/>
        </w:rPr>
        <w:t xml:space="preserve">النزاع في</w:t>
      </w:r>
      <w:r>
        <w:rPr>
          <w:rStyle w:val="FootnoteReference"/>
        </w:rPr>
        <w:footnoteReference w:id="397"/>
      </w:r>
      <w:r>
        <w:rPr>
          <w:rFonts w:ascii="Amiri" w:hAnsi="Amiri" w:eastAsia="Amiri" w:cs="Amiri"/>
          <w:lang w:bidi="ar-SA"/>
          <w:color w:val="111111"/>
          <w:sz w:val="28"/>
          <w:szCs w:val="28"/>
          <w:rtl/>
        </w:rPr>
        <w:t xml:space="preserve">الجهة التعلیليّة أو التّقييديّة</w:t>
      </w:r>
      <w:r>
        <w:rPr>
          <w:rStyle w:val="FootnoteReference"/>
        </w:rPr>
        <w:footnoteReference w:id="398"/>
      </w:r>
      <w:r>
        <w:rPr>
          <w:rFonts w:ascii="IRNazanin" w:hAnsi="IRNazanin" w:eastAsia="IRNazanin" w:cs="IRNazanin"/>
          <w:lang w:bidi="fa-IR"/>
          <w:color w:val="111111"/>
          <w:sz w:val="28"/>
          <w:szCs w:val="28"/>
          <w:rtl/>
        </w:rPr>
        <w:t xml:space="preserve">؟</w:t>
      </w:r>
      <w:r>
        <w:rPr>
          <w:rStyle w:val="FootnoteReference"/>
        </w:rPr>
        <w:footnoteReference w:id="399"/>
      </w:r>
    </w:p>
    <w:p>
      <w:pPr>
        <w:pStyle w:val="BookText"/>
      </w:pPr>
      <w:r>
        <w:rPr>
          <w:rFonts w:ascii="Amiri" w:hAnsi="Amiri" w:eastAsia="Amiri" w:cs="Amiri"/>
          <w:lang w:bidi="ar-SA"/>
          <w:color w:val="111111"/>
          <w:sz w:val="28"/>
          <w:szCs w:val="28"/>
          <w:rtl/>
        </w:rPr>
        <w:t xml:space="preserve">فنقول: إنّ ظاهر ما حكيناه عن الهداية</w:t>
      </w:r>
      <w:r>
        <w:rPr>
          <w:rStyle w:val="FootnoteReference"/>
        </w:rPr>
        <w:footnoteReference w:id="400"/>
      </w:r>
      <w:r>
        <w:rPr>
          <w:rFonts w:ascii="Amiri" w:hAnsi="Amiri" w:eastAsia="Amiri" w:cs="Amiri"/>
          <w:lang w:bidi="ar-SA"/>
          <w:color w:val="111111"/>
          <w:sz w:val="28"/>
          <w:szCs w:val="28"/>
          <w:rtl/>
        </w:rPr>
        <w:t xml:space="preserve">- كصريح بعضهم - أنّ محلّ النّزاع إنّما هو مع تعدّد الجهة التّقييديّة وأنّ التعلیليّة لا تجدي</w:t>
      </w:r>
      <w:r>
        <w:rPr>
          <w:rStyle w:val="FootnoteReference"/>
        </w:rPr>
        <w:footnoteReference w:id="401"/>
      </w:r>
    </w:p>
    <w:p>
      <w:pPr>
        <w:pStyle w:val="BookText"/>
      </w:pPr>
      <w:r>
        <w:rPr>
          <w:rFonts w:ascii="Amiri" w:hAnsi="Amiri" w:eastAsia="Amiri" w:cs="Amiri"/>
          <w:lang w:bidi="ar-SA"/>
          <w:color w:val="111111"/>
          <w:sz w:val="28"/>
          <w:szCs w:val="28"/>
          <w:rtl/>
        </w:rPr>
        <w:t xml:space="preserve">وصرّح بعضهم كصاحب المناهج</w:t>
      </w:r>
      <w:r>
        <w:rPr>
          <w:rStyle w:val="FootnoteReference"/>
        </w:rPr>
        <w:footnoteReference w:id="402"/>
      </w:r>
      <w:r>
        <w:rPr>
          <w:rFonts w:ascii="Amiri" w:hAnsi="Amiri" w:eastAsia="Amiri" w:cs="Amiri"/>
          <w:lang w:bidi="ar-SA"/>
          <w:color w:val="111111"/>
          <w:sz w:val="28"/>
          <w:szCs w:val="28"/>
          <w:rtl/>
        </w:rPr>
        <w:t xml:space="preserve">وغيره أنّ الجهة التّقييديّة خارجة عن النّزاع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النزاع مع تعدّد الجهة</w:t>
      </w:r>
      <w:r>
        <w:rPr>
          <w:rStyle w:val="FootnoteReference"/>
        </w:rPr>
        <w:footnoteReference w:id="403"/>
      </w:r>
      <w:r>
        <w:rPr>
          <w:rFonts w:ascii="Amiri" w:hAnsi="Amiri" w:eastAsia="Amiri" w:cs="Amiri"/>
          <w:lang w:bidi="ar-SA"/>
          <w:color w:val="111111"/>
          <w:sz w:val="28"/>
          <w:szCs w:val="28"/>
          <w:rtl/>
        </w:rPr>
        <w:t xml:space="preserve">التعلیليّة.</w:t>
      </w:r>
    </w:p>
    <w:p>
      <w:pPr>
        <w:pStyle w:val="BookText"/>
      </w:pPr>
      <w:r>
        <w:rPr>
          <w:rFonts w:ascii="IRNazanin" w:hAnsi="IRNazanin" w:eastAsia="IRNazanin" w:cs="IRNazanin"/>
          <w:lang w:bidi="fa-IR"/>
          <w:color w:val="111111"/>
          <w:sz w:val="28"/>
          <w:szCs w:val="28"/>
          <w:rtl/>
        </w:rPr>
        <w:t xml:space="preserve">ومراد الأوّلين من التّقييديّة كون الحكم في الحقيقة وارداً على الجهة بأن يكون التّسرية إلى الفرد من باب دخوله في تلك الجهة كقوله: «أکرم زيداً من حيث إنّه عالم» فإنّه في قوة «أکرم العالم»؛ ومن التعلیليّة أن يكون الحكم وارداً على الفرد</w:t>
      </w:r>
      <w:r>
        <w:rPr>
          <w:rStyle w:val="FootnoteReference"/>
        </w:rPr>
        <w:footnoteReference w:id="404"/>
      </w:r>
      <w:r>
        <w:rPr>
          <w:rFonts w:ascii="Amiri" w:hAnsi="Amiri" w:eastAsia="Amiri" w:cs="Amiri"/>
          <w:lang w:bidi="ar-SA"/>
          <w:color w:val="111111"/>
          <w:sz w:val="28"/>
          <w:szCs w:val="28"/>
          <w:rtl/>
        </w:rPr>
        <w:t xml:space="preserve">بأن يكون هو المتعلّق للحكم وكانت الجهة علّة لثبوته له.</w:t>
      </w:r>
    </w:p>
    <w:p>
      <w:pPr>
        <w:pStyle w:val="BookText"/>
      </w:pPr>
      <w:r>
        <w:rPr>
          <w:rFonts w:ascii="IRNazanin" w:hAnsi="IRNazanin" w:eastAsia="IRNazanin" w:cs="IRNazanin"/>
          <w:lang w:bidi="fa-IR"/>
          <w:color w:val="111111"/>
          <w:sz w:val="28"/>
          <w:szCs w:val="28"/>
          <w:rtl/>
        </w:rPr>
        <w:t xml:space="preserve">فغرضهم أنّ محلّ النّزاع ما إذا رجع الحكمان في الحقيقة إلى الکلّيين بحيث يتعدّد متعلّقهما</w:t>
      </w:r>
      <w:r>
        <w:rPr>
          <w:rStyle w:val="FootnoteReference"/>
        </w:rPr>
        <w:footnoteReference w:id="405"/>
      </w:r>
      <w:r>
        <w:rPr>
          <w:rFonts w:ascii="Amiri" w:hAnsi="Amiri" w:eastAsia="Amiri" w:cs="Amiri"/>
          <w:lang w:bidi="ar-SA"/>
          <w:color w:val="111111"/>
          <w:sz w:val="28"/>
          <w:szCs w:val="28"/>
          <w:rtl/>
        </w:rPr>
        <w:t xml:space="preserve">في الحقيقة لا أن يكونا واردين على الشّخص الخاصّ بحيث يكون محلّهما واحداً.</w:t>
      </w:r>
    </w:p>
    <w:p>
      <w:pPr>
        <w:pStyle w:val="BookText"/>
      </w:pPr>
      <w:r>
        <w:rPr>
          <w:rFonts w:ascii="IRNazanin" w:hAnsi="IRNazanin" w:eastAsia="IRNazanin" w:cs="IRNazanin"/>
          <w:lang w:bidi="fa-IR"/>
          <w:color w:val="111111"/>
          <w:sz w:val="28"/>
          <w:szCs w:val="28"/>
          <w:rtl/>
        </w:rPr>
        <w:t xml:space="preserve">ومراد الآخرين من التّقييديّة أن يكون بحيث يتكثّر الموضوع بسببها ويكون لکلّ واحد من الحكمين موضوع غير الآخر بحيث لم يجتمعا في محلّ واحد كأن يقول: «أکرم زيداً من حيث علمه وبملاحظة علمه بأن يكون إکرامك له بقصد أنّه عالم، ولاتكرم زيداً لفسقه، أي: لا تكرمه بملاحظة كونه فاسقاً</w:t>
      </w:r>
      <w:r>
        <w:rPr>
          <w:rStyle w:val="FootnoteReference"/>
        </w:rPr>
        <w:footnoteReference w:id="406"/>
      </w:r>
      <w:r>
        <w:rPr>
          <w:rFonts w:ascii="IRNazanin" w:hAnsi="IRNazanin" w:eastAsia="IRNazanin" w:cs="IRNazanin"/>
          <w:lang w:bidi="fa-IR"/>
          <w:color w:val="111111"/>
          <w:sz w:val="28"/>
          <w:szCs w:val="28"/>
          <w:rtl/>
        </w:rPr>
        <w:t xml:space="preserve">وبقصد إکرام الفاسق».</w:t>
      </w:r>
    </w:p>
    <w:p>
      <w:pPr>
        <w:pStyle w:val="BookText"/>
      </w:pPr>
      <w:r>
        <w:rPr>
          <w:rFonts w:ascii="IRNazanin" w:hAnsi="IRNazanin" w:eastAsia="IRNazanin" w:cs="IRNazanin"/>
          <w:lang w:bidi="fa-IR"/>
          <w:color w:val="111111"/>
          <w:sz w:val="28"/>
          <w:szCs w:val="28"/>
          <w:rtl/>
        </w:rPr>
        <w:t xml:space="preserve">فيختلف الحكم حینئذٍ باختلاف القصد.</w:t>
      </w:r>
    </w:p>
    <w:p>
      <w:pPr>
        <w:pStyle w:val="BookText"/>
      </w:pPr>
      <w:r>
        <w:rPr>
          <w:rFonts w:ascii="IRNazanin" w:hAnsi="IRNazanin" w:eastAsia="IRNazanin" w:cs="IRNazanin"/>
          <w:lang w:bidi="fa-IR"/>
          <w:color w:val="111111"/>
          <w:sz w:val="28"/>
          <w:szCs w:val="28"/>
          <w:rtl/>
        </w:rPr>
        <w:t xml:space="preserve">ومن المعلوم خروج هذا الفرض عن مورد النزاع.</w:t>
      </w:r>
    </w:p>
    <w:p>
      <w:pPr>
        <w:pStyle w:val="BookText"/>
      </w:pPr>
      <w:r>
        <w:rPr>
          <w:rFonts w:ascii="IRNazanin" w:hAnsi="IRNazanin" w:eastAsia="IRNazanin" w:cs="IRNazanin"/>
          <w:lang w:bidi="fa-IR"/>
          <w:color w:val="111111"/>
          <w:sz w:val="28"/>
          <w:szCs w:val="28"/>
          <w:rtl/>
        </w:rPr>
        <w:t xml:space="preserve">ومرادهم من التعلیليّة أن يكون الحكمان واردين على موضوع واحد بلحاظ اندراجه</w:t>
      </w:r>
      <w:r>
        <w:rPr>
          <w:rStyle w:val="FootnoteReference"/>
        </w:rPr>
        <w:footnoteReference w:id="407"/>
      </w:r>
      <w:r>
        <w:rPr>
          <w:rFonts w:ascii="Amiri" w:hAnsi="Amiri" w:eastAsia="Amiri" w:cs="Amiri"/>
          <w:lang w:bidi="ar-SA"/>
          <w:color w:val="111111"/>
          <w:sz w:val="28"/>
          <w:szCs w:val="28"/>
          <w:rtl/>
        </w:rPr>
        <w:t xml:space="preserve">في المتعلّقين كالصّلاة في المكان المغصوب المحرّمة</w:t>
      </w:r>
      <w:r>
        <w:rPr>
          <w:rStyle w:val="FootnoteReference"/>
        </w:rPr>
        <w:footnoteReference w:id="408"/>
      </w:r>
      <w:r>
        <w:rPr>
          <w:rFonts w:ascii="Amiri" w:hAnsi="Amiri" w:eastAsia="Amiri" w:cs="Amiri"/>
          <w:lang w:bidi="ar-SA"/>
          <w:color w:val="111111"/>
          <w:sz w:val="28"/>
          <w:szCs w:val="28"/>
          <w:rtl/>
        </w:rPr>
        <w:t xml:space="preserve">من حيث إنّها غصب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5" w:name="pg6784_51163"/>
    <w:bookmarkEnd w:id="55"/>
    <w:p>
      <w:pPr>
        <w:pStyle w:val="BookText"/>
      </w:pPr>
      <w:r>
        <w:rPr>
          <w:rFonts w:ascii="Amiri" w:hAnsi="Amiri" w:eastAsia="Amiri" w:cs="Amiri"/>
          <w:lang w:bidi="ar-SA"/>
          <w:color w:val="111111"/>
          <w:sz w:val="28"/>
          <w:szCs w:val="28"/>
          <w:rtl/>
        </w:rPr>
        <w:t xml:space="preserve">والواجبة من حيث إنّها صلاة.</w:t>
      </w:r>
    </w:p>
    <w:p>
      <w:pPr>
        <w:pStyle w:val="BookText"/>
      </w:pPr>
      <w:r>
        <w:rPr>
          <w:rFonts w:ascii="IRNazanin" w:hAnsi="IRNazanin" w:eastAsia="IRNazanin" w:cs="IRNazanin"/>
          <w:lang w:bidi="fa-IR"/>
          <w:color w:val="111111"/>
          <w:sz w:val="28"/>
          <w:szCs w:val="28"/>
          <w:rtl/>
        </w:rPr>
        <w:t xml:space="preserve">هذا، ولكن يبقى الإشکال في الفرق بين التّعليلي والتّقييدي بالمعنى الأوّل؛ إذ في التعلیليّ أیضاً الحكم في الحقيقة</w:t>
      </w:r>
      <w:r>
        <w:rPr>
          <w:rStyle w:val="FootnoteReference"/>
        </w:rPr>
        <w:footnoteReference w:id="409"/>
      </w:r>
      <w:r>
        <w:rPr>
          <w:rFonts w:ascii="Amiri" w:hAnsi="Amiri" w:eastAsia="Amiri" w:cs="Amiri"/>
          <w:lang w:bidi="ar-SA"/>
          <w:color w:val="111111"/>
          <w:sz w:val="28"/>
          <w:szCs w:val="28"/>
          <w:rtl/>
        </w:rPr>
        <w:t xml:space="preserve">وارد على الجهة الّتي هي العلّة في الحكم؛ إذ مقتضى العلّيّة ذلك. فلو قال: «لا تشرب الخمر؛ لأنّه مُسكر»، يكون في قوّة «لا تشرب المسكر».</w:t>
      </w:r>
    </w:p>
    <w:p>
      <w:pPr>
        <w:pStyle w:val="Heading6"/>
      </w:pPr>
      <w:bookmarkStart w:id="407" w:name="_Toc88"/>
      <w:r>
        <w:t>[القول المختار في الجهة التعلیلیة والتقییدیّة في محلّ النزاع]</w:t>
      </w:r>
      <w:bookmarkEnd w:id="407"/>
    </w:p>
    <w:p>
      <w:pPr>
        <w:pStyle w:val="BookText"/>
      </w:pPr>
      <w:r>
        <w:rPr>
          <w:rFonts w:ascii="IRNazanin" w:hAnsi="IRNazanin" w:eastAsia="IRNazanin" w:cs="IRNazanin"/>
          <w:lang w:bidi="fa-IR"/>
          <w:color w:val="111111"/>
          <w:sz w:val="28"/>
          <w:szCs w:val="28"/>
          <w:rtl/>
        </w:rPr>
        <w:t xml:space="preserve">فالحقّ أنّ النزاع في الجهتين التعلیليّتين</w:t>
      </w:r>
      <w:r>
        <w:rPr>
          <w:rStyle w:val="FootnoteReference"/>
        </w:rPr>
        <w:footnoteReference w:id="410"/>
      </w:r>
      <w:r>
        <w:rPr>
          <w:rFonts w:ascii="Amiri" w:hAnsi="Amiri" w:eastAsia="Amiri" w:cs="Amiri"/>
          <w:lang w:bidi="ar-SA"/>
          <w:color w:val="111111"/>
          <w:sz w:val="28"/>
          <w:szCs w:val="28"/>
          <w:rtl/>
        </w:rPr>
        <w:t xml:space="preserve">وأنّ التّقييديتين بالمعنى</w:t>
      </w:r>
      <w:r>
        <w:rPr>
          <w:rStyle w:val="FootnoteReference"/>
        </w:rPr>
        <w:footnoteReference w:id="411"/>
      </w:r>
      <w:r>
        <w:rPr>
          <w:rFonts w:ascii="Amiri" w:hAnsi="Amiri" w:eastAsia="Amiri" w:cs="Amiri"/>
          <w:lang w:bidi="ar-SA"/>
          <w:color w:val="111111"/>
          <w:sz w:val="28"/>
          <w:szCs w:val="28"/>
          <w:rtl/>
        </w:rPr>
        <w:t xml:space="preserve">الثاني خارجتان عن</w:t>
      </w:r>
      <w:r>
        <w:rPr>
          <w:rStyle w:val="FootnoteReference"/>
        </w:rPr>
        <w:footnoteReference w:id="412"/>
      </w:r>
      <w:r>
        <w:rPr>
          <w:rFonts w:ascii="Amiri" w:hAnsi="Amiri" w:eastAsia="Amiri" w:cs="Amiri"/>
          <w:lang w:bidi="ar-SA"/>
          <w:color w:val="111111"/>
          <w:sz w:val="28"/>
          <w:szCs w:val="28"/>
          <w:rtl/>
        </w:rPr>
        <w:t xml:space="preserve">النّزاع</w:t>
      </w:r>
      <w:r>
        <w:rPr>
          <w:rStyle w:val="FootnoteReference"/>
        </w:rPr>
        <w:footnoteReference w:id="413"/>
      </w:r>
      <w:r>
        <w:rPr>
          <w:rFonts w:ascii="IRNazanin" w:hAnsi="IRNazanin" w:eastAsia="IRNazanin" w:cs="IRNazanin"/>
          <w:lang w:bidi="fa-IR"/>
          <w:color w:val="111111"/>
          <w:sz w:val="28"/>
          <w:szCs w:val="28"/>
          <w:rtl/>
        </w:rPr>
        <w:t xml:space="preserve">وعلى المعنى الأوّل للتّقييدي لا تفاوت بينه وبين التعلیليّ؛ إذ في الصّلاة في الدّار المغصوبة الّتي هي محلّ النزاع يصدق التقييدي بالمعنى الأوّل والتعلیليّ أیضاً كما لايخفى.</w:t>
      </w:r>
    </w:p>
    <w:p>
      <w:pPr>
        <w:pStyle w:val="BookText"/>
      </w:pPr>
      <w:r>
        <w:rPr>
          <w:rFonts w:ascii="Amiri" w:hAnsi="Amiri" w:eastAsia="Amiri" w:cs="Amiri"/>
          <w:lang w:bidi="ar-SA"/>
          <w:color w:val="111111"/>
          <w:sz w:val="28"/>
          <w:szCs w:val="28"/>
          <w:rtl/>
        </w:rPr>
        <w:t xml:space="preserve">ثمّ لا يخفى أنّه بناء</w:t>
      </w:r>
      <w:r>
        <w:rPr>
          <w:rStyle w:val="FootnoteReference"/>
        </w:rPr>
        <w:footnoteReference w:id="414"/>
      </w:r>
      <w:r>
        <w:rPr>
          <w:rFonts w:ascii="Amiri" w:hAnsi="Amiri" w:eastAsia="Amiri" w:cs="Amiri"/>
          <w:lang w:bidi="ar-SA"/>
          <w:color w:val="111111"/>
          <w:sz w:val="28"/>
          <w:szCs w:val="28"/>
          <w:rtl/>
        </w:rPr>
        <w:t xml:space="preserve">على ما بيّنا من كون التّحرير على الوجه الثاني راجعاً إلى الأوّل وأنّه لا يتفاوت</w:t>
      </w:r>
      <w:r>
        <w:rPr>
          <w:rStyle w:val="FootnoteReference"/>
        </w:rPr>
        <w:footnoteReference w:id="415"/>
      </w:r>
      <w:r>
        <w:rPr>
          <w:rFonts w:ascii="Amiri" w:hAnsi="Amiri" w:eastAsia="Amiri" w:cs="Amiri"/>
          <w:lang w:bidi="ar-SA"/>
          <w:color w:val="111111"/>
          <w:sz w:val="28"/>
          <w:szCs w:val="28"/>
          <w:rtl/>
        </w:rPr>
        <w:t xml:space="preserve">بينهما؛ إذ من المعلوم كون المراد من الشّي‌ء الواحد فيه هو</w:t>
      </w:r>
      <w:r>
        <w:rPr>
          <w:rStyle w:val="FootnoteReference"/>
        </w:rPr>
        <w:footnoteReference w:id="416"/>
      </w:r>
      <w:r>
        <w:rPr>
          <w:rFonts w:ascii="IRNazanin" w:hAnsi="IRNazanin" w:eastAsia="IRNazanin" w:cs="IRNazanin"/>
          <w:lang w:bidi="fa-IR"/>
          <w:color w:val="111111"/>
          <w:sz w:val="28"/>
          <w:szCs w:val="28"/>
          <w:rtl/>
        </w:rPr>
        <w:t xml:space="preserve">ما يكون مجمعاً للکلّي المتعلّق للأمر والنّهي، لا موقع لبيان أنّ الجهة تقييديّة أو تعلیليّة لوضوح وجوب كونها تعلیليّة لا تقييديّة بالمعنى الثاني.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6" w:name="pg6784_51164"/>
    <w:bookmarkEnd w:id="56"/>
    <w:p>
      <w:pPr>
        <w:pStyle w:val="BookText"/>
      </w:pPr>
      <w:r>
        <w:rPr>
          <w:rFonts w:ascii="Amiri" w:hAnsi="Amiri" w:eastAsia="Amiri" w:cs="Amiri"/>
          <w:lang w:bidi="ar-SA"/>
          <w:color w:val="111111"/>
          <w:sz w:val="28"/>
          <w:szCs w:val="28"/>
          <w:rtl/>
        </w:rPr>
        <w:t xml:space="preserve">ولذا لم يتعرّض صاحب المعالم</w:t>
      </w:r>
      <w:r>
        <w:rPr>
          <w:rStyle w:val="FootnoteReference"/>
        </w:rPr>
        <w:footnoteReference w:id="417"/>
      </w:r>
      <w:r>
        <w:rPr>
          <w:rFonts w:ascii="IRNazanin" w:hAnsi="IRNazanin" w:eastAsia="IRNazanin" w:cs="IRNazanin"/>
          <w:lang w:bidi="fa-IR"/>
          <w:color w:val="111111"/>
          <w:sz w:val="28"/>
          <w:szCs w:val="28"/>
          <w:rtl/>
        </w:rPr>
        <w:t xml:space="preserve">الّذي هو ممّن حرّر النزاع على الوجه الثاني لكون الجهة تقييديّة أو تعلیليّة.</w:t>
      </w:r>
    </w:p>
    <w:p>
      <w:pPr>
        <w:pStyle w:val="BookText"/>
      </w:pPr>
      <w:r>
        <w:rPr>
          <w:rFonts w:ascii="IRNazanin" w:hAnsi="IRNazanin" w:eastAsia="IRNazanin" w:cs="IRNazanin"/>
          <w:lang w:bidi="fa-IR"/>
          <w:color w:val="111111"/>
          <w:sz w:val="28"/>
          <w:szCs w:val="28"/>
          <w:rtl/>
        </w:rPr>
        <w:t xml:space="preserve">فيكون الحاجة إلى هذا التّشخيص على فرض كون المتعلّق في لسان الدّليلشيئاً واحداً وعليه ينبغي الحكم بخروج کلتا الصّورتين عن النزاع؛</w:t>
      </w:r>
      <w:r>
        <w:rPr>
          <w:rStyle w:val="FootnoteReference"/>
        </w:rPr>
        <w:footnoteReference w:id="418"/>
      </w:r>
      <w:r>
        <w:rPr>
          <w:rFonts w:ascii="IRNazanin" w:hAnsi="IRNazanin" w:eastAsia="IRNazanin" w:cs="IRNazanin"/>
          <w:lang w:bidi="fa-IR"/>
          <w:color w:val="111111"/>
          <w:sz w:val="28"/>
          <w:szCs w:val="28"/>
          <w:rtl/>
        </w:rPr>
        <w:t xml:space="preserve">إذ مع كون الجهتين تعلیليّتين</w:t>
      </w:r>
      <w:r>
        <w:rPr>
          <w:rStyle w:val="FootnoteReference"/>
        </w:rPr>
        <w:footnoteReference w:id="419"/>
      </w:r>
      <w:r>
        <w:rPr>
          <w:rFonts w:ascii="IRNazanin" w:hAnsi="IRNazanin" w:eastAsia="IRNazanin" w:cs="IRNazanin"/>
          <w:lang w:bidi="fa-IR"/>
          <w:color w:val="111111"/>
          <w:sz w:val="28"/>
          <w:szCs w:val="28"/>
          <w:rtl/>
        </w:rPr>
        <w:t xml:space="preserve">يكون المتعلّق واحداً والاجتماع آمريّاً ومع كونهما تقييديتين لا إشکال في الجواز؛ لأنّ المتعلّق مختلف بحيث لا يمكن الاجتماع.</w:t>
      </w:r>
    </w:p>
    <w:p>
      <w:pPr>
        <w:pStyle w:val="BookText"/>
      </w:pPr>
      <w:r>
        <w:rPr>
          <w:rFonts w:ascii="IRNazanin" w:hAnsi="IRNazanin" w:eastAsia="IRNazanin" w:cs="IRNazanin"/>
          <w:lang w:bidi="fa-IR"/>
          <w:color w:val="111111"/>
          <w:sz w:val="28"/>
          <w:szCs w:val="28"/>
          <w:rtl/>
        </w:rPr>
        <w:t xml:space="preserve">وبالجملة بعد وضوح رجوع التقییدي بالمعنى الأوّل إلى التعلیليّ وعدم التفاوت بينهما ووضوح كون المراد من الشي‌ء الواحد في عنوان النزاع وفي التّحرير الثاني مجمع الکلّيين ولا</w:t>
      </w:r>
      <w:r>
        <w:rPr>
          <w:rStyle w:val="FootnoteReference"/>
        </w:rPr>
        <w:footnoteReference w:id="420"/>
      </w:r>
      <w:r>
        <w:rPr>
          <w:rFonts w:ascii="Amiri" w:hAnsi="Amiri" w:eastAsia="Amiri" w:cs="Amiri"/>
          <w:lang w:bidi="ar-SA"/>
          <w:color w:val="111111"/>
          <w:sz w:val="28"/>
          <w:szCs w:val="28"/>
          <w:rtl/>
        </w:rPr>
        <w:t xml:space="preserve">الشي‌ء الواحد في لسان الدليل لا يبقى مجال</w:t>
      </w:r>
      <w:r>
        <w:rPr>
          <w:rStyle w:val="FootnoteReference"/>
        </w:rPr>
        <w:footnoteReference w:id="421"/>
      </w:r>
      <w:r>
        <w:rPr>
          <w:rFonts w:ascii="IRNazanin" w:hAnsi="IRNazanin" w:eastAsia="IRNazanin" w:cs="IRNazanin"/>
          <w:lang w:bidi="fa-IR"/>
          <w:color w:val="111111"/>
          <w:sz w:val="28"/>
          <w:szCs w:val="28"/>
          <w:rtl/>
        </w:rPr>
        <w:t xml:space="preserve">للبحث عن الجهة وأنّها تعلیليّة أو تقييديّة؛ إذ على هذا يتعيّن كونها تعلیليّة في مقابل التقييديّة بالمعنى الثاني.</w:t>
      </w:r>
    </w:p>
    <w:p>
      <w:pPr>
        <w:pStyle w:val="BookText"/>
      </w:pPr>
      <w:r>
        <w:rPr>
          <w:rFonts w:ascii="IRNazanin" w:hAnsi="IRNazanin" w:eastAsia="IRNazanin" w:cs="IRNazanin"/>
          <w:lang w:bidi="fa-IR"/>
          <w:color w:val="111111"/>
          <w:sz w:val="28"/>
          <w:szCs w:val="28"/>
          <w:rtl/>
        </w:rPr>
        <w:t xml:space="preserve">نعم لو أريد ذكر حكم صورة كون المتعلّقين في لسان الدليل واحداً لا بأس بذكر حكم الجهتين ومعه ينبغي الحكم بخروجهما عن النزاع حسبما عرفت. وسيأتي بعض الکلام في ذلك</w:t>
      </w:r>
      <w:r>
        <w:rPr>
          <w:rStyle w:val="FootnoteReference"/>
        </w:rPr>
        <w:footnoteReference w:id="422"/>
      </w:r>
      <w:r>
        <w:rPr>
          <w:rFonts w:ascii="IRNazanin" w:hAnsi="IRNazanin" w:eastAsia="IRNazanin" w:cs="IRNazanin"/>
          <w:lang w:bidi="fa-IR"/>
          <w:color w:val="111111"/>
          <w:sz w:val="28"/>
          <w:szCs w:val="28"/>
          <w:rtl/>
        </w:rPr>
        <w:t xml:space="preserve">إن شاء الله.</w:t>
      </w:r>
    </w:p>
    <w:p>
      <w:pPr>
        <w:pStyle w:val="Heading6"/>
      </w:pPr>
      <w:bookmarkStart w:id="408" w:name="_Toc89"/>
      <w:r>
        <w:t>[التحریر الثالث لمحل النزاع]</w:t>
      </w:r>
      <w:bookmarkEnd w:id="408"/>
    </w:p>
    <w:p>
      <w:pPr>
        <w:pStyle w:val="BookText"/>
      </w:pPr>
      <w:r>
        <w:rPr>
          <w:rFonts w:ascii="Amiri" w:hAnsi="Amiri" w:eastAsia="Amiri" w:cs="Amiri"/>
          <w:lang w:bidi="ar-SA"/>
          <w:color w:val="111111"/>
          <w:sz w:val="28"/>
          <w:szCs w:val="28"/>
          <w:rtl/>
        </w:rPr>
        <w:t xml:space="preserve">هذا، وقد يقال في تحرير النزاع: إنّ متعلّق الأمر والنّهي إمّا متّحدان ذهناً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7" w:name="pg6784_51165"/>
    <w:bookmarkEnd w:id="57"/>
    <w:p>
      <w:pPr>
        <w:pStyle w:val="BookText"/>
      </w:pPr>
      <w:r>
        <w:rPr>
          <w:rFonts w:ascii="Amiri" w:hAnsi="Amiri" w:eastAsia="Amiri" w:cs="Amiri"/>
          <w:lang w:bidi="ar-SA"/>
          <w:color w:val="111111"/>
          <w:sz w:val="28"/>
          <w:szCs w:val="28"/>
          <w:rtl/>
        </w:rPr>
        <w:t xml:space="preserve">وخارجاً وإمّا متعدّدان فيهما وإمّا متعدّدان ذهناً ومتّحدان</w:t>
      </w:r>
      <w:r>
        <w:rPr>
          <w:rStyle w:val="FootnoteReference"/>
        </w:rPr>
        <w:footnoteReference w:id="423"/>
      </w:r>
      <w:r>
        <w:rPr>
          <w:rFonts w:ascii="IRNazanin" w:hAnsi="IRNazanin" w:eastAsia="IRNazanin" w:cs="IRNazanin"/>
          <w:lang w:bidi="fa-IR"/>
          <w:color w:val="111111"/>
          <w:sz w:val="28"/>
          <w:szCs w:val="28"/>
          <w:rtl/>
        </w:rPr>
        <w:t xml:space="preserve">خارجاً ولا نزاع في الأوّل؛ لأنّه لايجوز بلا إشکال، ولا في الثاني؛ لأنّه جائز بلا إشکال إذا لم يكن بينهما تلازم في الخارج، وإنّما النزاع في الثّالث.</w:t>
      </w:r>
    </w:p>
    <w:p>
      <w:pPr>
        <w:pStyle w:val="Heading6"/>
      </w:pPr>
      <w:bookmarkStart w:id="409" w:name="_Toc90"/>
      <w:r>
        <w:t>[التحریر الرابع لمحل النزاع قریب من التقریب السابق]</w:t>
      </w:r>
      <w:bookmarkEnd w:id="409"/>
    </w:p>
    <w:p>
      <w:pPr>
        <w:pStyle w:val="BookText"/>
      </w:pPr>
      <w:r>
        <w:rPr>
          <w:rFonts w:ascii="Amiri" w:hAnsi="Amiri" w:eastAsia="Amiri" w:cs="Amiri"/>
          <w:lang w:bidi="ar-SA"/>
          <w:color w:val="111111"/>
          <w:sz w:val="28"/>
          <w:szCs w:val="28"/>
          <w:rtl/>
        </w:rPr>
        <w:t xml:space="preserve">وقريب منه ما يقال: إنّهما إمّا متّحدان ذهناً وخارجاً وإمّا متعدّدان كذلك وامّامتّحدان [خارجاً]</w:t>
      </w:r>
      <w:r>
        <w:rPr>
          <w:rStyle w:val="FootnoteReference"/>
        </w:rPr>
        <w:footnoteReference w:id="424"/>
      </w:r>
      <w:r>
        <w:rPr>
          <w:rFonts w:ascii="Amiri" w:hAnsi="Amiri" w:eastAsia="Amiri" w:cs="Amiri"/>
          <w:lang w:bidi="ar-SA"/>
          <w:color w:val="111111"/>
          <w:sz w:val="28"/>
          <w:szCs w:val="28"/>
          <w:rtl/>
        </w:rPr>
        <w:t xml:space="preserve">ومتعدّدان [ذهناً]</w:t>
      </w:r>
      <w:r>
        <w:rPr>
          <w:rStyle w:val="FootnoteReference"/>
        </w:rPr>
        <w:footnoteReference w:id="425"/>
      </w:r>
      <w:r>
        <w:rPr>
          <w:rFonts w:ascii="Amiri" w:hAnsi="Amiri" w:eastAsia="Amiri" w:cs="Amiri"/>
          <w:lang w:bidi="ar-SA"/>
          <w:color w:val="111111"/>
          <w:sz w:val="28"/>
          <w:szCs w:val="28"/>
          <w:rtl/>
        </w:rPr>
        <w:t xml:space="preserve">والأوّل غير جائز سواء ذكر الجهة أو سكت عنها</w:t>
      </w:r>
      <w:r>
        <w:rPr>
          <w:rStyle w:val="FootnoteReference"/>
        </w:rPr>
        <w:footnoteReference w:id="426"/>
      </w:r>
      <w:r>
        <w:rPr>
          <w:rFonts w:ascii="IRNazanin" w:hAnsi="IRNazanin" w:eastAsia="IRNazanin" w:cs="IRNazanin"/>
          <w:lang w:bidi="fa-IR"/>
          <w:color w:val="111111"/>
          <w:sz w:val="28"/>
          <w:szCs w:val="28"/>
          <w:rtl/>
        </w:rPr>
        <w:t xml:space="preserve">والثاني إمّا يكون التعدّد في جميع المواد وهذا جائز بلا إشکال وإمّا يكون في بعض الأحيان وهذا محلّ النزاع سواء كان التعدّد في مادّتين والاتّحاد في مادّة بأن يكون النّسبة عموماً من وجه أو كان التعدّد في مادّة والاتّحاد في أخرى بأن يكون عموماً مطلقاً. والثالث قسمان؛ إذ قد يكون الجهة تعلیليّة وهذا غير جائز بلا إشکال وقد يكون تقييديّة وهذا جائز بلا إشکال.</w:t>
      </w:r>
      <w:r>
        <w:rPr>
          <w:rStyle w:val="FootnoteReference"/>
        </w:rPr>
        <w:footnoteReference w:id="427"/>
      </w:r>
    </w:p>
    <w:p>
      <w:pPr>
        <w:pStyle w:val="Heading6"/>
      </w:pPr>
      <w:bookmarkStart w:id="410" w:name="_Toc91"/>
      <w:r>
        <w:t>[رجوع التحریر الثالث والرابع إلى التحریر الأوّل]</w:t>
      </w:r>
      <w:bookmarkEnd w:id="410"/>
    </w:p>
    <w:p>
      <w:pPr>
        <w:pStyle w:val="BookText"/>
      </w:pPr>
      <w:r>
        <w:rPr>
          <w:rFonts w:ascii="Amiri" w:hAnsi="Amiri" w:eastAsia="Amiri" w:cs="Amiri"/>
          <w:lang w:bidi="ar-SA"/>
          <w:color w:val="111111"/>
          <w:sz w:val="28"/>
          <w:szCs w:val="28"/>
          <w:rtl/>
        </w:rPr>
        <w:t xml:space="preserve">ولا يخفى أنّ مرجعهما إلى التّحرير الأوّل؛</w:t>
      </w:r>
      <w:r>
        <w:rPr>
          <w:rStyle w:val="FootnoteReference"/>
        </w:rPr>
        <w:footnoteReference w:id="428"/>
      </w:r>
      <w:r>
        <w:rPr>
          <w:rFonts w:ascii="IRNazanin" w:hAnsi="IRNazanin" w:eastAsia="IRNazanin" w:cs="IRNazanin"/>
          <w:lang w:bidi="fa-IR"/>
          <w:color w:val="111111"/>
          <w:sz w:val="28"/>
          <w:szCs w:val="28"/>
          <w:rtl/>
        </w:rPr>
        <w:t xml:space="preserve">إذ الّذي جعلاه محلّا للنزاع هو الاجتماع في ضمن کلّيين بينهما عموم من وجه أو مطلق.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8" w:name="pg6784_51166"/>
    <w:bookmarkEnd w:id="58"/>
    <w:p>
      <w:pPr>
        <w:pStyle w:val="BookText"/>
      </w:pPr>
      <w:r>
        <w:rPr>
          <w:rFonts w:ascii="IRNazanin" w:hAnsi="IRNazanin" w:eastAsia="IRNazanin" w:cs="IRNazanin"/>
          <w:lang w:bidi="fa-IR"/>
          <w:color w:val="111111"/>
          <w:sz w:val="28"/>
          <w:szCs w:val="28"/>
          <w:rtl/>
        </w:rPr>
        <w:t xml:space="preserve">وكيف كان فحيث إنّه يعتبر في محلّ النزاع أن يكون للمکلّف مندوحة بأن لايكون الاجتماع آمرياً صِرفاً فينحصر محلّ</w:t>
      </w:r>
      <w:r>
        <w:rPr>
          <w:rStyle w:val="FootnoteReference"/>
        </w:rPr>
        <w:footnoteReference w:id="429"/>
      </w:r>
      <w:r>
        <w:rPr>
          <w:rFonts w:ascii="IRNazanin" w:hAnsi="IRNazanin" w:eastAsia="IRNazanin" w:cs="IRNazanin"/>
          <w:lang w:bidi="fa-IR"/>
          <w:color w:val="111111"/>
          <w:sz w:val="28"/>
          <w:szCs w:val="28"/>
          <w:rtl/>
        </w:rPr>
        <w:t xml:space="preserve">النزاع فيما يكون بين المتعلّقين عموم من وجه أو مطلق مع كون الأخصّ هو النّهي دون الأمر إلّا إذا كان النهي تخييرياًّ عقليّاً، كأن يقول: «صلّ في الدار الغصبيّة ولا تغصب في الجملة» فأوجد الصّلاة في الدار الغصبيّة مع ارتكابه لجميع أفراد الغصب ويشترط عدم انحصار أفراد الکلّيين في المجمع وعدم التّلازم بينهما في الإيجاد والعدم.</w:t>
      </w:r>
    </w:p>
    <w:p>
      <w:pPr>
        <w:pStyle w:val="BookText"/>
      </w:pPr>
      <w:r>
        <w:rPr>
          <w:rFonts w:ascii="Amiri" w:hAnsi="Amiri" w:eastAsia="Amiri" w:cs="Amiri"/>
          <w:lang w:bidi="ar-SA"/>
          <w:color w:val="111111"/>
          <w:sz w:val="28"/>
          <w:szCs w:val="28"/>
          <w:rtl/>
        </w:rPr>
        <w:t xml:space="preserve">وغير هذه الصّورة الّتي ذكرنا من صور</w:t>
      </w:r>
      <w:r>
        <w:rPr>
          <w:rStyle w:val="FootnoteReference"/>
        </w:rPr>
        <w:footnoteReference w:id="430"/>
      </w:r>
      <w:r>
        <w:rPr>
          <w:rFonts w:ascii="Amiri" w:hAnsi="Amiri" w:eastAsia="Amiri" w:cs="Amiri"/>
          <w:lang w:bidi="ar-SA"/>
          <w:color w:val="111111"/>
          <w:sz w:val="28"/>
          <w:szCs w:val="28"/>
          <w:rtl/>
        </w:rPr>
        <w:t xml:space="preserve">ورود الأمر والنهي الّتي ذكرها في الهداية</w:t>
      </w:r>
      <w:r>
        <w:rPr>
          <w:rStyle w:val="FootnoteReference"/>
        </w:rPr>
        <w:footnoteReference w:id="431"/>
      </w:r>
      <w:r>
        <w:rPr>
          <w:rFonts w:ascii="IRNazanin" w:hAnsi="IRNazanin" w:eastAsia="IRNazanin" w:cs="IRNazanin"/>
          <w:lang w:bidi="fa-IR"/>
          <w:color w:val="111111"/>
          <w:sz w:val="28"/>
          <w:szCs w:val="28"/>
          <w:rtl/>
        </w:rPr>
        <w:t xml:space="preserve">في عبارته المتقدّمة خارج عن النزاع إمّا لكونه جائزاً بلا إشکال أو غير جائزبلا إشکال مع كونه اجتماعاً للأمر والنّهي أو عدمه.</w:t>
      </w:r>
    </w:p>
    <w:p>
      <w:pPr>
        <w:pStyle w:val="Heading6"/>
      </w:pPr>
      <w:bookmarkStart w:id="411" w:name="_Toc92"/>
      <w:r>
        <w:t>[اتّحاد المتعلّق في الأمر والنهي التخییریین والکفائیین]</w:t>
      </w:r>
      <w:bookmarkEnd w:id="411"/>
    </w:p>
    <w:p>
      <w:pPr>
        <w:pStyle w:val="BookText"/>
      </w:pPr>
      <w:r>
        <w:rPr>
          <w:rFonts w:ascii="Amiri" w:hAnsi="Amiri" w:eastAsia="Amiri" w:cs="Amiri"/>
          <w:lang w:bidi="ar-SA"/>
          <w:color w:val="111111"/>
          <w:sz w:val="28"/>
          <w:szCs w:val="28"/>
          <w:rtl/>
        </w:rPr>
        <w:t xml:space="preserve">وأمّا صورة اتّحاد المتعلّق في التخييريّين والكفائيّين كما لو قال: «صلّ في الجملة ولا تصلّ في الجملة» أو «صلّوا على الموتى ولا تصلّوا على الموتى» حيث قلنا بجريان النزاع فيهما فهي</w:t>
      </w:r>
      <w:r>
        <w:rPr>
          <w:rStyle w:val="FootnoteReference"/>
        </w:rPr>
        <w:footnoteReference w:id="432"/>
      </w:r>
      <w:r>
        <w:rPr>
          <w:rFonts w:ascii="Amiri" w:hAnsi="Amiri" w:eastAsia="Amiri" w:cs="Amiri"/>
          <w:lang w:bidi="ar-SA"/>
          <w:color w:val="111111"/>
          <w:sz w:val="28"/>
          <w:szCs w:val="28"/>
          <w:rtl/>
        </w:rPr>
        <w:t xml:space="preserve">داخلة في مناط النزاع وإلّا فالعنوان غير شامل لهما وإن أريد التعميم فلا بدّ من التعميم.</w:t>
      </w:r>
    </w:p>
    <w:p>
      <w:pPr>
        <w:pStyle w:val="Heading6"/>
      </w:pPr>
      <w:bookmarkStart w:id="412" w:name="_Toc93"/>
      <w:r>
        <w:t>[صورة تباین متعلقي الأمر والنهي مع اتّحادهما في الجنس أو النوع]</w:t>
      </w:r>
      <w:bookmarkEnd w:id="412"/>
    </w:p>
    <w:p>
      <w:pPr>
        <w:pStyle w:val="BookText"/>
      </w:pPr>
      <w:r>
        <w:rPr>
          <w:rFonts w:ascii="IRNazanin" w:hAnsi="IRNazanin" w:eastAsia="IRNazanin" w:cs="IRNazanin"/>
          <w:lang w:bidi="fa-IR"/>
          <w:color w:val="111111"/>
          <w:sz w:val="28"/>
          <w:szCs w:val="28"/>
          <w:rtl/>
        </w:rPr>
        <w:t xml:space="preserve">وكيف كان فصورة تباين المتعلّقين وعدم تلازمهما في الوجود جائزة بلا إشکال، سواء كانا شخصيين كقوله: «أکرم زيداً ولا تكرم عمرواً» أو کلّيين كقوله: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«أکرم العالم ولا تكرم الجاهل»، وسواء كان بينهما وحدة جنسيّة أو نوعيّة بأن يكونا مندرجين في جنس واحد أو نوع واحد أو لا.</w:t>
      </w:r>
    </w:p>
    <w:p>
      <w:pPr>
        <w:pStyle w:val="BookText"/>
      </w:pPr>
      <w:r>
        <w:rPr>
          <w:rFonts w:ascii="IRNazanin" w:hAnsi="IRNazanin" w:eastAsia="IRNazanin" w:cs="IRNazanin"/>
          <w:lang w:bidi="fa-IR"/>
          <w:color w:val="111111"/>
          <w:sz w:val="28"/>
          <w:szCs w:val="28"/>
          <w:rtl/>
        </w:rPr>
        <w:t xml:space="preserve">وربما منع بعضهم صورة اتّحادهما في الجنس أو النوع نظراً إلى أنّ الأحکام تابعة للحسن والقبح الذاتيّين</w:t>
      </w:r>
      <w:r>
        <w:rPr>
          <w:rStyle w:val="FootnoteReference"/>
        </w:rPr>
        <w:footnoteReference w:id="433"/>
      </w:r>
      <w:r>
        <w:rPr>
          <w:rFonts w:ascii="Amiri" w:hAnsi="Amiri" w:eastAsia="Amiri" w:cs="Amiri"/>
          <w:lang w:bidi="ar-SA"/>
          <w:color w:val="111111"/>
          <w:sz w:val="28"/>
          <w:szCs w:val="28"/>
          <w:rtl/>
        </w:rPr>
        <w:t xml:space="preserve">فلا يجوز أن يكون بعض أفراد النّوع الواحد مأموراً به وبعضها</w:t>
      </w:r>
      <w:r>
        <w:rPr>
          <w:rStyle w:val="FootnoteReference"/>
        </w:rPr>
        <w:footnoteReference w:id="434"/>
      </w:r>
      <w:r>
        <w:rPr>
          <w:rFonts w:ascii="Amiri" w:hAnsi="Amiri" w:eastAsia="Amiri" w:cs="Amiri"/>
          <w:lang w:bidi="ar-SA"/>
          <w:color w:val="111111"/>
          <w:sz w:val="28"/>
          <w:szCs w:val="28"/>
          <w:rtl/>
        </w:rPr>
        <w:t xml:space="preserve">منهيّاً عنه.</w:t>
      </w:r>
    </w:p>
    <w:p>
      <w:pPr>
        <w:pStyle w:val="BookText"/>
      </w:pPr>
      <w:r>
        <w:rPr>
          <w:rFonts w:ascii="IRNazanin" w:hAnsi="IRNazanin" w:eastAsia="IRNazanin" w:cs="IRNazanin"/>
          <w:lang w:bidi="fa-IR"/>
          <w:color w:val="111111"/>
          <w:sz w:val="28"/>
          <w:szCs w:val="28"/>
          <w:rtl/>
        </w:rPr>
        <w:t xml:space="preserve">وفيه ما لا يخفی؛ إذ يرد عليه أوّلاً: النّقص بما ورد من هذا القبيل كثيراً كالسّجود لله فإنّه واجب وللشمس والقمر فإنّه حرام.</w:t>
      </w:r>
    </w:p>
    <w:p>
      <w:pPr>
        <w:pStyle w:val="BookText"/>
      </w:pPr>
      <w:r>
        <w:rPr>
          <w:rFonts w:ascii="IRNazanin" w:hAnsi="IRNazanin" w:eastAsia="IRNazanin" w:cs="IRNazanin"/>
          <w:lang w:bidi="fa-IR"/>
          <w:color w:val="111111"/>
          <w:sz w:val="28"/>
          <w:szCs w:val="28"/>
          <w:rtl/>
        </w:rPr>
        <w:t xml:space="preserve">وما أجابوا به من أنّ الحرام هو تعظیم الشمس والقمر دون السجود لهما فلایکون النوع واحداً،</w:t>
      </w:r>
      <w:r>
        <w:rPr>
          <w:rStyle w:val="FootnoteReference"/>
        </w:rPr>
        <w:footnoteReference w:id="435"/>
      </w:r>
      <w:r>
        <w:rPr>
          <w:rFonts w:ascii="IRNazanin" w:hAnsi="IRNazanin" w:eastAsia="IRNazanin" w:cs="IRNazanin"/>
          <w:lang w:bidi="fa-IR"/>
          <w:color w:val="111111"/>
          <w:sz w:val="28"/>
          <w:szCs w:val="28"/>
          <w:rtl/>
        </w:rPr>
        <w:t xml:space="preserve">کما ترى.</w:t>
      </w:r>
    </w:p>
    <w:p>
      <w:pPr>
        <w:pStyle w:val="BookText"/>
      </w:pPr>
      <w:r>
        <w:rPr>
          <w:rFonts w:ascii="IRNazanin" w:hAnsi="IRNazanin" w:eastAsia="IRNazanin" w:cs="IRNazanin"/>
          <w:lang w:bidi="fa-IR"/>
          <w:color w:val="111111"/>
          <w:sz w:val="28"/>
          <w:szCs w:val="28"/>
          <w:rtl/>
        </w:rPr>
        <w:t xml:space="preserve">وثانياً: المنع من كون الحسن والقبح ذاتيّين في جميع الموارد فقد يختلفان بالوجوه والاعتبار.وعلى فرض كونهما ذاتيّين في جميع الموارد نمنع أنّ الأحکام تابعة لهما،</w:t>
      </w:r>
      <w:r>
        <w:rPr>
          <w:rStyle w:val="FootnoteReference"/>
        </w:rPr>
        <w:footnoteReference w:id="436"/>
      </w:r>
      <w:r>
        <w:rPr>
          <w:rFonts w:ascii="IRNazanin" w:hAnsi="IRNazanin" w:eastAsia="IRNazanin" w:cs="IRNazanin"/>
          <w:lang w:bidi="fa-IR"/>
          <w:color w:val="111111"/>
          <w:sz w:val="28"/>
          <w:szCs w:val="28"/>
          <w:rtl/>
        </w:rPr>
        <w:t xml:space="preserve">بل الوجوه والاعتبارات أیضاً دخيلة في مناط الحكم وهو تابع لما يبقى فعلاً بعد الكسر والانكسار وملاحظة الموانع.</w:t>
      </w:r>
    </w:p>
    <w:p>
      <w:pPr>
        <w:pStyle w:val="BookText"/>
      </w:pPr>
      <w:r>
        <w:rPr>
          <w:rFonts w:ascii="IRNazanin" w:hAnsi="IRNazanin" w:eastAsia="IRNazanin" w:cs="IRNazanin"/>
          <w:lang w:bidi="fa-IR"/>
          <w:color w:val="111111"/>
          <w:sz w:val="28"/>
          <w:szCs w:val="28"/>
          <w:rtl/>
        </w:rPr>
        <w:t xml:space="preserve">فغاية الأمر أنّ الحسن والقبح الذاتيّين مقتضيان للحكم لا أنّهما علّة تامّة، وتمام الکلام في محلّه.</w:t>
      </w:r>
    </w:p>
    <w:p>
      <w:pPr>
        <w:pStyle w:val="BookText"/>
      </w:pPr>
      <w:r>
        <w:rPr>
          <w:rFonts w:ascii="Amiri" w:hAnsi="Amiri" w:eastAsia="Amiri" w:cs="Amiri"/>
          <w:lang w:bidi="ar-SA"/>
          <w:color w:val="111111"/>
          <w:sz w:val="28"/>
          <w:szCs w:val="28"/>
          <w:rtl/>
        </w:rPr>
        <w:t xml:space="preserve">ثمّ لا يخفى أنّ هذا القائل في الحقيقة يدّعى اتّحاد المتعلّق لا أنّهما لا يجوز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9" w:name="pg6784_51168"/>
    <w:bookmarkEnd w:id="59"/>
    <w:p>
      <w:pPr>
        <w:pStyle w:val="BookText"/>
      </w:pPr>
      <w:r>
        <w:rPr>
          <w:rFonts w:ascii="IRNazanin" w:hAnsi="IRNazanin" w:eastAsia="IRNazanin" w:cs="IRNazanin"/>
          <w:lang w:bidi="fa-IR"/>
          <w:color w:val="111111"/>
          <w:sz w:val="28"/>
          <w:szCs w:val="28"/>
          <w:rtl/>
        </w:rPr>
        <w:t xml:space="preserve">ورودهما مع تعدّده؛ إذ مرجع کلامه إلى أنّ النّهي الوارد عن بعض الأفراد نهي عن النّوع وكذا الأمر فيلزم تواردهما على واحد.</w:t>
      </w:r>
    </w:p>
    <w:p>
      <w:pPr>
        <w:pStyle w:val="Heading6"/>
      </w:pPr>
      <w:bookmarkStart w:id="413" w:name="_Toc94"/>
      <w:r>
        <w:t>[صور غیر جائزة من الاجتماع]</w:t>
      </w:r>
      <w:bookmarkEnd w:id="413"/>
    </w:p>
    <w:p>
      <w:pPr>
        <w:pStyle w:val="BookText"/>
      </w:pPr>
      <w:r>
        <w:rPr>
          <w:rFonts w:ascii="Amiri" w:hAnsi="Amiri" w:eastAsia="Amiri" w:cs="Amiri"/>
          <w:lang w:bidi="ar-SA"/>
          <w:color w:val="111111"/>
          <w:sz w:val="28"/>
          <w:szCs w:val="28"/>
          <w:rtl/>
        </w:rPr>
        <w:t xml:space="preserve">وأمّا بقيّة الصّور فهى غير جائزة كما إذا كان المتعلّق</w:t>
      </w:r>
      <w:r>
        <w:rPr>
          <w:rStyle w:val="FootnoteReference"/>
        </w:rPr>
        <w:footnoteReference w:id="437"/>
      </w:r>
      <w:r>
        <w:rPr>
          <w:rFonts w:ascii="Amiri" w:hAnsi="Amiri" w:eastAsia="Amiri" w:cs="Amiri"/>
          <w:lang w:bidi="ar-SA"/>
          <w:color w:val="111111"/>
          <w:sz w:val="28"/>
          <w:szCs w:val="28"/>
          <w:rtl/>
        </w:rPr>
        <w:t xml:space="preserve">متعدّداً مع التّباين والتّلازم في الوجود أو مع التّساوي أو مع العموم من وجه أو المطلق وانحصار الأفراد في المجمع أو تلازمها</w:t>
      </w:r>
      <w:r>
        <w:rPr>
          <w:rStyle w:val="FootnoteReference"/>
        </w:rPr>
        <w:footnoteReference w:id="438"/>
      </w:r>
      <w:r>
        <w:rPr>
          <w:rFonts w:ascii="IRNazanin" w:hAnsi="IRNazanin" w:eastAsia="IRNazanin" w:cs="IRNazanin"/>
          <w:lang w:bidi="fa-IR"/>
          <w:color w:val="111111"/>
          <w:sz w:val="28"/>
          <w:szCs w:val="28"/>
          <w:rtl/>
        </w:rPr>
        <w:t xml:space="preserve">في الوجود أو مع كون الأخصّ هو الأمر في غير الحرام التّخييري أو مع وحدة المتعلّق من دون ذكر جهة أو مع اتّحادها أو مع تعدّدها وكونها تعلیليّة أو تقييديّة بالمعنى الأوّل الّذي ذكرناه آنفاً من غير فرقٍ بين</w:t>
      </w:r>
      <w:r>
        <w:rPr>
          <w:rStyle w:val="FootnoteReference"/>
        </w:rPr>
        <w:footnoteReference w:id="439"/>
      </w:r>
      <w:r>
        <w:rPr>
          <w:rFonts w:ascii="IRNazanin" w:hAnsi="IRNazanin" w:eastAsia="IRNazanin" w:cs="IRNazanin"/>
          <w:lang w:bidi="fa-IR"/>
          <w:color w:val="111111"/>
          <w:sz w:val="28"/>
          <w:szCs w:val="28"/>
          <w:rtl/>
        </w:rPr>
        <w:t xml:space="preserve">تصادق الجهتين وعدمه وما عدا الأولى من هذه الصّور اجتماع الأمر والنّهي والأولى ليس باجتماع أیضاً.</w:t>
      </w:r>
    </w:p>
    <w:p>
      <w:pPr>
        <w:pStyle w:val="BookText"/>
      </w:pPr>
      <w:r>
        <w:rPr>
          <w:rFonts w:ascii="IRNazanin" w:hAnsi="IRNazanin" w:eastAsia="IRNazanin" w:cs="IRNazanin"/>
          <w:lang w:bidi="fa-IR"/>
          <w:color w:val="111111"/>
          <w:sz w:val="28"/>
          <w:szCs w:val="28"/>
          <w:rtl/>
        </w:rPr>
        <w:t xml:space="preserve">ثمّ إنّ الوجه في عدم جوازها كون الاجتماع آمرياً ومستلزماً للتکلیف بالمحال</w:t>
      </w:r>
      <w:r>
        <w:rPr>
          <w:rStyle w:val="FootnoteReference"/>
        </w:rPr>
        <w:footnoteReference w:id="440"/>
      </w:r>
      <w:r>
        <w:rPr>
          <w:rFonts w:ascii="IRNazanin" w:hAnsi="IRNazanin" w:eastAsia="IRNazanin" w:cs="IRNazanin"/>
          <w:lang w:bidi="fa-IR"/>
          <w:color w:val="111111"/>
          <w:sz w:val="28"/>
          <w:szCs w:val="28"/>
          <w:rtl/>
        </w:rPr>
        <w:t xml:space="preserve">وهو غير جائز بلا إشکال.</w:t>
      </w:r>
    </w:p>
    <w:p>
      <w:pPr>
        <w:pStyle w:val="BookText"/>
      </w:pPr>
      <w:r>
        <w:rPr>
          <w:rFonts w:ascii="IRNazanin" w:hAnsi="IRNazanin" w:eastAsia="IRNazanin" w:cs="IRNazanin"/>
          <w:lang w:bidi="fa-IR"/>
          <w:color w:val="111111"/>
          <w:sz w:val="28"/>
          <w:szCs w:val="28"/>
          <w:rtl/>
        </w:rPr>
        <w:t xml:space="preserve">نعم لازم من</w:t>
      </w:r>
      <w:r>
        <w:rPr>
          <w:rStyle w:val="FootnoteReference"/>
        </w:rPr>
        <w:footnoteReference w:id="441"/>
      </w:r>
      <w:r>
        <w:rPr>
          <w:rFonts w:ascii="Amiri" w:hAnsi="Amiri" w:eastAsia="Amiri" w:cs="Amiri"/>
          <w:lang w:bidi="ar-SA"/>
          <w:color w:val="111111"/>
          <w:sz w:val="28"/>
          <w:szCs w:val="28"/>
          <w:rtl/>
        </w:rPr>
        <w:t xml:space="preserve">جوّزه التّجويز في المقام أیضاً.</w:t>
      </w:r>
    </w:p>
    <w:p>
      <w:pPr>
        <w:pStyle w:val="Heading6"/>
      </w:pPr>
      <w:bookmarkStart w:id="414" w:name="_Toc95"/>
      <w:r>
        <w:t>[منع الملازمة بین تجویز التکلیف بالمحال وتجویز التکلیف في هذا المقام]</w:t>
      </w:r>
      <w:bookmarkEnd w:id="414"/>
    </w:p>
    <w:p>
      <w:pPr>
        <w:pStyle w:val="Heading6"/>
      </w:pPr>
      <w:bookmarkStart w:id="415" w:name="_Toc96"/>
      <w:r>
        <w:t>اشارة</w:t>
      </w:r>
      <w:bookmarkEnd w:id="415"/>
    </w:p>
    <w:p>
      <w:pPr>
        <w:pStyle w:val="BookText"/>
      </w:pPr>
      <w:r>
        <w:rPr>
          <w:rFonts w:ascii="IRNazanin" w:hAnsi="IRNazanin" w:eastAsia="IRNazanin" w:cs="IRNazanin"/>
          <w:lang w:bidi="fa-IR"/>
          <w:color w:val="111111"/>
          <w:sz w:val="28"/>
          <w:szCs w:val="28"/>
          <w:rtl/>
        </w:rPr>
        <w:t xml:space="preserve">لكن قد يمنع كون التّجويز في المقام لازماً لمذهب المجوّزين للتکلیف بالمحال</w:t>
      </w:r>
      <w:r>
        <w:rPr>
          <w:rStyle w:val="FootnoteReference"/>
        </w:rPr>
        <w:footnoteReference w:id="442"/>
      </w:r>
      <w:r>
        <w:rPr>
          <w:rFonts w:ascii="Amiri" w:hAnsi="Amiri" w:eastAsia="Amiri" w:cs="Amiri"/>
          <w:lang w:bidi="ar-SA"/>
          <w:color w:val="111111"/>
          <w:sz w:val="28"/>
          <w:szCs w:val="28"/>
          <w:rtl/>
        </w:rPr>
        <w:t xml:space="preserve">لأحد وجهين: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0" w:name="pg6784_51169"/>
    <w:bookmarkEnd w:id="60"/>
    <w:p>
      <w:pPr>
        <w:pStyle w:val="Heading6"/>
      </w:pPr>
      <w:bookmarkStart w:id="416" w:name="_Toc97"/>
      <w:r>
        <w:t>[الوجه الأوّل لعدم الملازمة واستحالة التکلیف]</w:t>
      </w:r>
      <w:bookmarkEnd w:id="416"/>
    </w:p>
    <w:p>
      <w:pPr>
        <w:pStyle w:val="Heading6"/>
      </w:pPr>
      <w:bookmarkStart w:id="417" w:name="_Toc98"/>
      <w:r>
        <w:t>اشارة</w:t>
      </w:r>
      <w:bookmarkEnd w:id="417"/>
    </w:p>
    <w:p>
      <w:pPr>
        <w:pStyle w:val="BookText"/>
      </w:pPr>
      <w:r>
        <w:rPr>
          <w:rFonts w:ascii="Amiri" w:hAnsi="Amiri" w:eastAsia="Amiri" w:cs="Amiri"/>
          <w:lang w:bidi="ar-SA"/>
          <w:color w:val="111111"/>
          <w:sz w:val="28"/>
          <w:szCs w:val="28"/>
          <w:rtl/>
        </w:rPr>
        <w:t xml:space="preserve">الأوّل: أنّ ما نحن فيه في غير الصّورة الأولى من هذه الصّور وهي صورة تلازم المتباينين وثالثها وهو</w:t>
      </w:r>
      <w:r>
        <w:rPr>
          <w:rStyle w:val="FootnoteReference"/>
        </w:rPr>
        <w:footnoteReference w:id="443"/>
      </w:r>
      <w:r>
        <w:rPr>
          <w:rFonts w:ascii="IRNazanin" w:hAnsi="IRNazanin" w:eastAsia="IRNazanin" w:cs="IRNazanin"/>
          <w:lang w:bidi="fa-IR"/>
          <w:color w:val="111111"/>
          <w:sz w:val="28"/>
          <w:szCs w:val="28"/>
          <w:rtl/>
        </w:rPr>
        <w:t xml:space="preserve">صورة تلازم العامّين بحسب الأفراد في الوجود من التکلیف المحال مضافاً إلى أنّه تکلیف بالمحال فلا يمكن صدوره من الآمر وإن قلنا بجواز التکلیف بالمحال</w:t>
      </w:r>
      <w:r>
        <w:rPr>
          <w:rStyle w:val="FootnoteReference"/>
        </w:rPr>
        <w:footnoteReference w:id="444"/>
      </w:r>
    </w:p>
    <w:p>
      <w:pPr>
        <w:pStyle w:val="BookText"/>
      </w:pPr>
      <w:r>
        <w:rPr>
          <w:rFonts w:ascii="Amiri" w:hAnsi="Amiri" w:eastAsia="Amiri" w:cs="Amiri"/>
          <w:lang w:bidi="ar-SA"/>
          <w:color w:val="111111"/>
          <w:sz w:val="28"/>
          <w:szCs w:val="28"/>
          <w:rtl/>
        </w:rPr>
        <w:t xml:space="preserve">ولذا قال في المعالم</w:t>
      </w:r>
      <w:r>
        <w:rPr>
          <w:rStyle w:val="FootnoteReference"/>
        </w:rPr>
        <w:footnoteReference w:id="445"/>
      </w:r>
      <w:r>
        <w:rPr>
          <w:rFonts w:ascii="IRNazanin" w:hAnsi="IRNazanin" w:eastAsia="IRNazanin" w:cs="IRNazanin"/>
          <w:lang w:bidi="fa-IR"/>
          <w:color w:val="111111"/>
          <w:sz w:val="28"/>
          <w:szCs w:val="28"/>
          <w:rtl/>
        </w:rPr>
        <w:t xml:space="preserve">: «ومنعه</w:t>
      </w:r>
      <w:r>
        <w:rPr>
          <w:rStyle w:val="FootnoteReference"/>
        </w:rPr>
        <w:footnoteReference w:id="446"/>
      </w:r>
      <w:r>
        <w:rPr>
          <w:rFonts w:ascii="IRNazanin" w:hAnsi="IRNazanin" w:eastAsia="IRNazanin" w:cs="IRNazanin"/>
          <w:lang w:bidi="fa-IR"/>
          <w:color w:val="111111"/>
          <w:sz w:val="28"/>
          <w:szCs w:val="28"/>
          <w:rtl/>
        </w:rPr>
        <w:t xml:space="preserve">بعض المجیزين</w:t>
      </w:r>
      <w:r>
        <w:rPr>
          <w:rStyle w:val="FootnoteReference"/>
        </w:rPr>
        <w:footnoteReference w:id="447"/>
      </w:r>
      <w:r>
        <w:rPr>
          <w:rFonts w:ascii="Amiri" w:hAnsi="Amiri" w:eastAsia="Amiri" w:cs="Amiri"/>
          <w:lang w:bidi="ar-SA"/>
          <w:color w:val="111111"/>
          <w:sz w:val="28"/>
          <w:szCs w:val="28"/>
          <w:rtl/>
        </w:rPr>
        <w:t xml:space="preserve">لذلك</w:t>
      </w:r>
      <w:r>
        <w:rPr>
          <w:rStyle w:val="FootnoteReference"/>
        </w:rPr>
        <w:footnoteReference w:id="448"/>
      </w:r>
      <w:r>
        <w:rPr>
          <w:rFonts w:ascii="IRNazanin" w:hAnsi="IRNazanin" w:eastAsia="IRNazanin" w:cs="IRNazanin"/>
          <w:lang w:bidi="fa-IR"/>
          <w:color w:val="111111"/>
          <w:sz w:val="28"/>
          <w:szCs w:val="28"/>
          <w:rtl/>
        </w:rPr>
        <w:t xml:space="preserve">نظراً إلى أنّه تکليف محال</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r>
        <w:rPr>
          <w:rStyle w:val="FootnoteReference"/>
        </w:rPr>
        <w:footnoteReference w:id="450"/>
      </w:r>
    </w:p>
    <w:p>
      <w:pPr>
        <w:pStyle w:val="Heading6"/>
      </w:pPr>
      <w:bookmarkStart w:id="418" w:name="_Toc99"/>
      <w:r>
        <w:t>[الوجوه المقرّرة لکون هذا المقام تکلیفاً محالاً]</w:t>
      </w:r>
      <w:bookmarkEnd w:id="418"/>
    </w:p>
    <w:p>
      <w:pPr>
        <w:pStyle w:val="Heading6"/>
      </w:pPr>
      <w:bookmarkStart w:id="419" w:name="_Toc100"/>
      <w:r>
        <w:t>اشارة</w:t>
      </w:r>
      <w:bookmarkEnd w:id="419"/>
    </w:p>
    <w:p>
      <w:pPr>
        <w:pStyle w:val="BookText"/>
      </w:pPr>
      <w:r>
        <w:rPr>
          <w:rFonts w:ascii="Amiri" w:hAnsi="Amiri" w:eastAsia="Amiri" w:cs="Amiri"/>
          <w:lang w:bidi="ar-SA"/>
          <w:color w:val="111111"/>
          <w:sz w:val="28"/>
          <w:szCs w:val="28"/>
          <w:rtl/>
        </w:rPr>
        <w:t xml:space="preserve">ويقرّر كونه تکلیفاً محالاً بوجوه</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Heading6"/>
      </w:pPr>
      <w:bookmarkStart w:id="420" w:name="_Toc101"/>
      <w:r>
        <w:t>[الوجه الأوّل لکون المقام تکلیفاً محالاً]</w:t>
      </w:r>
      <w:bookmarkEnd w:id="420"/>
    </w:p>
    <w:p>
      <w:pPr>
        <w:pStyle w:val="BookText"/>
      </w:pPr>
      <w:r>
        <w:rPr>
          <w:rFonts w:ascii="IRNazanin" w:hAnsi="IRNazanin" w:eastAsia="IRNazanin" w:cs="IRNazanin"/>
          <w:lang w:bidi="fa-IR"/>
          <w:color w:val="111111"/>
          <w:sz w:val="28"/>
          <w:szCs w:val="28"/>
          <w:rtl/>
        </w:rPr>
        <w:t xml:space="preserve">الأوّل: أنّ الوجوب مشتمل على جواز الفعل وعدم جواز الترك والحرمة مشتملة على جواز الترك وعدم جواز الفعل فجنس کلّ من الحكمين مناقض لفصل الآخر فيكون في اجتماعهما في محلّ واحد اجتماع النقيضين من وجهين.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1" w:name="pg6784_51170"/>
    <w:bookmarkEnd w:id="61"/>
    <w:p>
      <w:pPr>
        <w:pStyle w:val="BookText"/>
      </w:pPr>
      <w:r>
        <w:rPr>
          <w:rFonts w:ascii="Amiri" w:hAnsi="Amiri" w:eastAsia="Amiri" w:cs="Amiri"/>
          <w:lang w:bidi="ar-SA"/>
          <w:color w:val="111111"/>
          <w:sz w:val="28"/>
          <w:szCs w:val="28"/>
          <w:rtl/>
        </w:rPr>
        <w:t xml:space="preserve">ولو لوحظ اجتماع المجموع مع المجموع أي نفس الحكمين كان من اجتماعالضدّين وإذا كان بين الوجوب والحرمة مناقضة في مقام التفصيل ومضادّة في مقام الإجمال فكذا بين الإيجاب والتحريم؛</w:t>
      </w:r>
    </w:p>
    <w:p>
      <w:pPr>
        <w:pStyle w:val="BookText"/>
      </w:pPr>
      <w:r>
        <w:rPr>
          <w:rFonts w:ascii="IRNazanin" w:hAnsi="IRNazanin" w:eastAsia="IRNazanin" w:cs="IRNazanin"/>
          <w:lang w:bidi="fa-IR"/>
          <w:color w:val="111111"/>
          <w:sz w:val="28"/>
          <w:szCs w:val="28"/>
          <w:rtl/>
        </w:rPr>
        <w:t xml:space="preserve">لأنّهما تابعان لهما أو لاتّحادهما معهما حقیقة وأنّ التغاير بينهما بالاعتبار كما يقال</w:t>
      </w:r>
      <w:r>
        <w:rPr>
          <w:rStyle w:val="FootnoteReference"/>
        </w:rPr>
        <w:footnoteReference w:id="452"/>
      </w:r>
      <w:r>
        <w:rPr>
          <w:rFonts w:ascii="IRNazanin" w:hAnsi="IRNazanin" w:eastAsia="IRNazanin" w:cs="IRNazanin"/>
          <w:lang w:bidi="fa-IR"/>
          <w:color w:val="111111"/>
          <w:sz w:val="28"/>
          <w:szCs w:val="28"/>
          <w:rtl/>
        </w:rPr>
        <w:t xml:space="preserve">بذلك في الإيجاد والوجود أیضاً، فيكون حال الإيجاب والتحريم في المقام حال إيجاد النّقيضين أو الضدّين في التكوينیات</w:t>
      </w:r>
      <w:r>
        <w:rPr>
          <w:rStyle w:val="FootnoteReference"/>
        </w:rPr>
        <w:footnoteReference w:id="453"/>
      </w:r>
      <w:r>
        <w:rPr>
          <w:rFonts w:ascii="Amiri" w:hAnsi="Amiri" w:eastAsia="Amiri" w:cs="Amiri"/>
          <w:lang w:bidi="ar-SA"/>
          <w:color w:val="111111"/>
          <w:sz w:val="28"/>
          <w:szCs w:val="28"/>
          <w:rtl/>
        </w:rPr>
        <w:t xml:space="preserve">في كونه من المحال الذاتي لا حال الأمر بإيجاد الضدّين أو الجمع بين النّقيضين.</w:t>
      </w:r>
    </w:p>
    <w:p>
      <w:pPr>
        <w:pStyle w:val="BookText"/>
      </w:pPr>
      <w:r>
        <w:rPr>
          <w:rFonts w:ascii="IRNazanin" w:hAnsi="IRNazanin" w:eastAsia="IRNazanin" w:cs="IRNazanin"/>
          <w:lang w:bidi="fa-IR"/>
          <w:color w:val="111111"/>
          <w:sz w:val="28"/>
          <w:szCs w:val="28"/>
          <w:rtl/>
        </w:rPr>
        <w:t xml:space="preserve">بل الإيجاب والتّحريم أیضاً نوعان من التكوين فهما تكوين تشريعي یعني في عالم التشريع تكوين للحكم الشرعي.</w:t>
      </w:r>
    </w:p>
    <w:p>
      <w:pPr>
        <w:pStyle w:val="BookText"/>
      </w:pPr>
      <w:r>
        <w:rPr>
          <w:rFonts w:ascii="Amiri" w:hAnsi="Amiri" w:eastAsia="Amiri" w:cs="Amiri"/>
          <w:lang w:bidi="ar-SA"/>
          <w:color w:val="111111"/>
          <w:sz w:val="28"/>
          <w:szCs w:val="28"/>
          <w:rtl/>
        </w:rPr>
        <w:t xml:space="preserve">فالاختلاف بين التكوين والتشريع والمقابلة بينهما إنّما يجي‌ء من قبل المكوَّن بالفتح لا من الاختلاف في كيفية الجعل والتكوين. فتدبّر.</w:t>
      </w:r>
    </w:p>
    <w:p>
      <w:pPr>
        <w:pStyle w:val="Heading6"/>
      </w:pPr>
      <w:bookmarkStart w:id="421" w:name="_Toc102"/>
      <w:r>
        <w:t>[إیراد على هذا الوجه الأوّل]</w:t>
      </w:r>
      <w:bookmarkEnd w:id="421"/>
    </w:p>
    <w:p>
      <w:pPr>
        <w:pStyle w:val="BookText"/>
      </w:pPr>
      <w:r>
        <w:rPr>
          <w:rFonts w:ascii="Amiri" w:hAnsi="Amiri" w:eastAsia="Amiri" w:cs="Amiri"/>
          <w:lang w:bidi="ar-SA"/>
          <w:color w:val="111111"/>
          <w:sz w:val="28"/>
          <w:szCs w:val="28"/>
          <w:rtl/>
        </w:rPr>
        <w:t xml:space="preserve">ويرد عليه أوّلاً: أنّا لا نسلّم</w:t>
      </w:r>
      <w:r>
        <w:rPr>
          <w:rStyle w:val="FootnoteReference"/>
        </w:rPr>
        <w:footnoteReference w:id="454"/>
      </w:r>
      <w:r>
        <w:rPr>
          <w:rFonts w:ascii="IRNazanin" w:hAnsi="IRNazanin" w:eastAsia="IRNazanin" w:cs="IRNazanin"/>
          <w:lang w:bidi="fa-IR"/>
          <w:color w:val="111111"/>
          <w:sz w:val="28"/>
          <w:szCs w:val="28"/>
          <w:rtl/>
        </w:rPr>
        <w:t xml:space="preserve">أنّ الوجوب مشتمل على جواز الفعل والحرمة على جواز الترك بل الوجوب مطلوبیّة الفعل على سبيل الحتم والحرمة مطلوبیّة الترك كذلك.</w:t>
      </w:r>
    </w:p>
    <w:p>
      <w:pPr>
        <w:pStyle w:val="BookText"/>
      </w:pPr>
      <w:r>
        <w:rPr>
          <w:rFonts w:ascii="IRNazanin" w:hAnsi="IRNazanin" w:eastAsia="IRNazanin" w:cs="IRNazanin"/>
          <w:lang w:bidi="fa-IR"/>
          <w:color w:val="111111"/>
          <w:sz w:val="28"/>
          <w:szCs w:val="28"/>
          <w:rtl/>
        </w:rPr>
        <w:t xml:space="preserve">فکلّ منهما معنى بسيط على ما بيّن في محلّه.</w:t>
      </w:r>
    </w:p>
    <w:p>
      <w:pPr>
        <w:pStyle w:val="BookText"/>
      </w:pPr>
      <w:r>
        <w:rPr>
          <w:rFonts w:ascii="Amiri" w:hAnsi="Amiri" w:eastAsia="Amiri" w:cs="Amiri"/>
          <w:lang w:bidi="ar-SA"/>
          <w:color w:val="111111"/>
          <w:sz w:val="28"/>
          <w:szCs w:val="28"/>
          <w:rtl/>
        </w:rPr>
        <w:t xml:space="preserve">وعلى فرض التسليم لا نسلّم المناقضة</w:t>
      </w:r>
      <w:r>
        <w:rPr>
          <w:rStyle w:val="FootnoteReference"/>
        </w:rPr>
        <w:footnoteReference w:id="455"/>
      </w:r>
      <w:r>
        <w:rPr>
          <w:rFonts w:ascii="Amiri" w:hAnsi="Amiri" w:eastAsia="Amiri" w:cs="Amiri"/>
          <w:lang w:bidi="ar-SA"/>
          <w:color w:val="111111"/>
          <w:sz w:val="28"/>
          <w:szCs w:val="28"/>
          <w:rtl/>
        </w:rPr>
        <w:t xml:space="preserve">المذكورة؛ إذ المناقض لجواز الفعل عدم الجواز بمعنى عدم جعل الجواز لا عدم الجواز بمعنى جعل اللّاجواز وفصل الحرمة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الجواز بالمعنى الثاني وكذا جواز الترك يناقضه لاجوازه بمعنى لا جعل الجواز لا بمعنى جعل اللّاجواز وفصل الوجوب هو الثاني.</w:t>
      </w:r>
    </w:p>
    <w:p>
      <w:pPr>
        <w:pStyle w:val="BookText"/>
      </w:pPr>
      <w:r>
        <w:rPr>
          <w:rFonts w:ascii="Amiri" w:hAnsi="Amiri" w:eastAsia="Amiri" w:cs="Amiri"/>
          <w:lang w:bidi="ar-SA"/>
          <w:color w:val="111111"/>
          <w:sz w:val="28"/>
          <w:szCs w:val="28"/>
          <w:rtl/>
        </w:rPr>
        <w:t xml:space="preserve">مع أنّه كيف يعقل أن يكون بين نفس الحكمين مضادّة ويكون بين جزأيهما</w:t>
      </w:r>
      <w:r>
        <w:rPr>
          <w:rStyle w:val="FootnoteReference"/>
        </w:rPr>
        <w:footnoteReference w:id="456"/>
      </w:r>
      <w:r>
        <w:rPr>
          <w:rFonts w:ascii="Amiri" w:hAnsi="Amiri" w:eastAsia="Amiri" w:cs="Amiri"/>
          <w:lang w:bidi="ar-SA"/>
          <w:color w:val="111111"/>
          <w:sz w:val="28"/>
          <w:szCs w:val="28"/>
          <w:rtl/>
        </w:rPr>
        <w:t xml:space="preserve">مناقضة؛ إذ لو فرض كون حكم مركّباً من جواز الفعل ولا جواز التّرك بمعنى لا جعلالجواز وآخر مركّباً من جواز الترك ولا جواز الفعل بمعنى لا جعل</w:t>
      </w:r>
      <w:r>
        <w:rPr>
          <w:rStyle w:val="FootnoteReference"/>
        </w:rPr>
        <w:footnoteReference w:id="457"/>
      </w:r>
      <w:r>
        <w:rPr>
          <w:rFonts w:ascii="IRNazanin" w:hAnsi="IRNazanin" w:eastAsia="IRNazanin" w:cs="IRNazanin"/>
          <w:lang w:bidi="fa-IR"/>
          <w:color w:val="111111"/>
          <w:sz w:val="28"/>
          <w:szCs w:val="28"/>
          <w:rtl/>
        </w:rPr>
        <w:t xml:space="preserve">الجواز فكما أنّ بين کلّ من جنس أحدهما وفصل الآخر مناقضة فكذا بين المجموع مع المجموع من حيث اشتماله على هذا الجزء لكن ليس لنا مركّب كذلك على ما في بادي النظر.</w:t>
      </w:r>
    </w:p>
    <w:p>
      <w:pPr>
        <w:pStyle w:val="BookText"/>
      </w:pPr>
      <w:r>
        <w:rPr>
          <w:rFonts w:ascii="IRNazanin" w:hAnsi="IRNazanin" w:eastAsia="IRNazanin" w:cs="IRNazanin"/>
          <w:lang w:bidi="fa-IR"/>
          <w:color w:val="111111"/>
          <w:sz w:val="28"/>
          <w:szCs w:val="28"/>
          <w:rtl/>
        </w:rPr>
        <w:t xml:space="preserve">وثانياً: نقول: إنّ المضادّة إنّما هي بين الوجوب والحرمة الواقعيين فإنّهما من الأوصاف الخارجيّة المتضادّة كالسّواد والبياض فلا يعقل أن یتّصف المحلّ الواحد بالوجوب الواقعي بمعنى ما يكون منشأ</w:t>
      </w:r>
      <w:r>
        <w:rPr>
          <w:rStyle w:val="FootnoteReference"/>
        </w:rPr>
        <w:footnoteReference w:id="458"/>
      </w:r>
      <w:r>
        <w:rPr>
          <w:rFonts w:ascii="Amiri" w:hAnsi="Amiri" w:eastAsia="Amiri" w:cs="Amiri"/>
          <w:lang w:bidi="ar-SA"/>
          <w:color w:val="111111"/>
          <w:sz w:val="28"/>
          <w:szCs w:val="28"/>
          <w:rtl/>
        </w:rPr>
        <w:t xml:space="preserve">للذّمّ والعقاب بمخالفته عند العقل أو العرف أو الشرع والحرمة كذلك.</w:t>
      </w:r>
    </w:p>
    <w:p>
      <w:pPr>
        <w:pStyle w:val="BookText"/>
      </w:pPr>
      <w:r>
        <w:rPr>
          <w:rFonts w:ascii="IRNazanin" w:hAnsi="IRNazanin" w:eastAsia="IRNazanin" w:cs="IRNazanin"/>
          <w:lang w:bidi="fa-IR"/>
          <w:color w:val="111111"/>
          <w:sz w:val="28"/>
          <w:szCs w:val="28"/>
          <w:rtl/>
        </w:rPr>
        <w:t xml:space="preserve">فهما بوجودهما الواقعیين متضادّان والأمر والنّهي لا يستلزمانهما فإنّ الأمر إيجاب إنشائي والنهي تحريم كذلك</w:t>
      </w:r>
      <w:r>
        <w:rPr>
          <w:rStyle w:val="FootnoteReference"/>
        </w:rPr>
        <w:footnoteReference w:id="459"/>
      </w:r>
      <w:r>
        <w:rPr>
          <w:rFonts w:ascii="Amiri" w:hAnsi="Amiri" w:eastAsia="Amiri" w:cs="Amiri"/>
          <w:lang w:bidi="ar-SA"/>
          <w:color w:val="111111"/>
          <w:sz w:val="28"/>
          <w:szCs w:val="28"/>
          <w:rtl/>
        </w:rPr>
        <w:t xml:space="preserve">ولازمهما الوجوب والحرمة الإنشائيان لا الواقعيان.</w:t>
      </w:r>
    </w:p>
    <w:p>
      <w:pPr>
        <w:pStyle w:val="BookText"/>
      </w:pPr>
      <w:r>
        <w:rPr>
          <w:rFonts w:ascii="IRNazanin" w:hAnsi="IRNazanin" w:eastAsia="IRNazanin" w:cs="IRNazanin"/>
          <w:lang w:bidi="fa-IR"/>
          <w:color w:val="111111"/>
          <w:sz w:val="28"/>
          <w:szCs w:val="28"/>
          <w:rtl/>
        </w:rPr>
        <w:t xml:space="preserve">ألا ترى أنّ العبد إذا أمر سيّدَه بشي‌ء فقد أوجب عليه بمعنى أنّه أوجد الوجوب الإنشائي ولم يتحقّق وجوب حقیقي واقعي أي لم يوجد وجوب في نظر العقل والعقلاء.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فالإيجاب والوجوب ليسا من قبيل الكسر والانكسار بل من قبيل إنشاء التّمليك والملكية الإنشائية</w:t>
      </w:r>
      <w:r>
        <w:rPr>
          <w:rStyle w:val="FootnoteReference"/>
        </w:rPr>
        <w:footnoteReference w:id="460"/>
      </w:r>
      <w:r>
        <w:rPr>
          <w:rFonts w:ascii="Amiri" w:hAnsi="Amiri" w:eastAsia="Amiri" w:cs="Amiri"/>
          <w:lang w:bidi="ar-SA"/>
          <w:color w:val="111111"/>
          <w:sz w:val="28"/>
          <w:szCs w:val="28"/>
          <w:rtl/>
        </w:rPr>
        <w:t xml:space="preserve">ونمنع المضادّة بينهما على هذا الوجه.</w:t>
      </w:r>
    </w:p>
    <w:p>
      <w:pPr>
        <w:pStyle w:val="BookText"/>
      </w:pPr>
      <w:r>
        <w:rPr>
          <w:rFonts w:ascii="IRNazanin" w:hAnsi="IRNazanin" w:eastAsia="IRNazanin" w:cs="IRNazanin"/>
          <w:lang w:bidi="fa-IR"/>
          <w:color w:val="111111"/>
          <w:sz w:val="28"/>
          <w:szCs w:val="28"/>
          <w:rtl/>
        </w:rPr>
        <w:t xml:space="preserve">فحقیقة الإيجاب والتّحريم عند من جوّز التکلیف بالمحال ليس أزيد من إنشاء الوجوب والحرمة ولا تضادّ بينهما.</w:t>
      </w:r>
    </w:p>
    <w:p>
      <w:pPr>
        <w:pStyle w:val="BookText"/>
      </w:pPr>
      <w:r>
        <w:rPr>
          <w:rFonts w:ascii="Amiri" w:hAnsi="Amiri" w:eastAsia="Amiri" w:cs="Amiri"/>
          <w:lang w:bidi="ar-SA"/>
          <w:color w:val="111111"/>
          <w:sz w:val="28"/>
          <w:szCs w:val="28"/>
          <w:rtl/>
        </w:rPr>
        <w:t xml:space="preserve">نعم على مذهب العدليّة لا بدّ من حصول وجوب واقعي عقيب إيجاب الشّارع وحرمة واقعيّة عقيب تحريمه.</w:t>
      </w:r>
    </w:p>
    <w:p>
      <w:pPr>
        <w:pStyle w:val="BookText"/>
      </w:pPr>
      <w:r>
        <w:rPr>
          <w:rFonts w:ascii="IRNazanin" w:hAnsi="IRNazanin" w:eastAsia="IRNazanin" w:cs="IRNazanin"/>
          <w:lang w:bidi="fa-IR"/>
          <w:color w:val="111111"/>
          <w:sz w:val="28"/>
          <w:szCs w:val="28"/>
          <w:rtl/>
        </w:rPr>
        <w:t xml:space="preserve">فإيجابه الإنشائي مستلزم للإيجاب الحقيقي بمعنى جعل الوجوب واقعاً فيتمّ هذاالوجه بناء على تقرير التضادّ على مذهبهم إذا جوّزوا التکلیف بالمحال أیضاً.</w:t>
      </w:r>
    </w:p>
    <w:p>
      <w:pPr>
        <w:pStyle w:val="BookText"/>
      </w:pPr>
      <w:r>
        <w:rPr>
          <w:rFonts w:ascii="IRNazanin" w:hAnsi="IRNazanin" w:eastAsia="IRNazanin" w:cs="IRNazanin"/>
          <w:lang w:bidi="fa-IR"/>
          <w:color w:val="111111"/>
          <w:sz w:val="28"/>
          <w:szCs w:val="28"/>
          <w:rtl/>
        </w:rPr>
        <w:t xml:space="preserve">یعني أنّهم لو جوّزوا التکلیف بالمحال لا يلزمهم تجويز اجتماع الأمر والنّهي في الواحد الشخصي؛ لأنّه تکلیف محال على مذهبهم من أنّ حقیقة التکلیف إيجاد الوجوب والحرمة الواقعيين.</w:t>
      </w:r>
    </w:p>
    <w:p>
      <w:pPr>
        <w:pStyle w:val="BookText"/>
      </w:pPr>
      <w:r>
        <w:rPr>
          <w:rFonts w:ascii="Amiri" w:hAnsi="Amiri" w:eastAsia="Amiri" w:cs="Amiri"/>
          <w:lang w:bidi="ar-SA"/>
          <w:color w:val="111111"/>
          <w:sz w:val="28"/>
          <w:szCs w:val="28"/>
          <w:rtl/>
        </w:rPr>
        <w:t xml:space="preserve">هكذا يظهر من الشيخ في الهداية.</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لكن يمكن أن يقال بعدم الفرق بين مذهب العدليّة والأشاعرة في ذلك؛ إذ على مذهبهم أیضاً ليس الأمر إلّا الإيجاب والتحريم الإنشائيان ويحصل الواقعيان أیضاً مع عدم المانع. وأمّا معه فلا يحصلان.</w:t>
      </w:r>
    </w:p>
    <w:p>
      <w:pPr>
        <w:pStyle w:val="BookText"/>
      </w:pPr>
      <w:r>
        <w:rPr>
          <w:rFonts w:ascii="IRNazanin" w:hAnsi="IRNazanin" w:eastAsia="IRNazanin" w:cs="IRNazanin"/>
          <w:lang w:bidi="fa-IR"/>
          <w:color w:val="111111"/>
          <w:sz w:val="28"/>
          <w:szCs w:val="28"/>
          <w:rtl/>
        </w:rPr>
        <w:t xml:space="preserve">فحقیقة الإيجاب ليس إلّا الإيجاد الإنشائي للوجوب والمفروض عدم المضادّة بينه وبين الحرمة الإنشائية وعدم حصول الوجوب الواقعي إنّما هو من جهة المانع منه وهو كونه تکلیفاً بالمحال.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فليس الحال في المقام إلّا كحال التکلیف بالمحال؛ حيث إنّه أیضاً ليس إلّا إنشاء للوجوب.</w:t>
      </w:r>
    </w:p>
    <w:p>
      <w:pPr>
        <w:pStyle w:val="BookText"/>
      </w:pPr>
      <w:r>
        <w:rPr>
          <w:rFonts w:ascii="IRNazanin" w:hAnsi="IRNazanin" w:eastAsia="IRNazanin" w:cs="IRNazanin"/>
          <w:lang w:bidi="fa-IR"/>
          <w:color w:val="111111"/>
          <w:sz w:val="28"/>
          <w:szCs w:val="28"/>
          <w:rtl/>
        </w:rPr>
        <w:t xml:space="preserve">وأمّا الوجوب الحقيقي فلا يحصل معه؛ إذ لا يكون معه المکلّف ملزماً به عند العقل والعرف بحيث يصحّ عقابه.</w:t>
      </w:r>
    </w:p>
    <w:p>
      <w:pPr>
        <w:pStyle w:val="BookText"/>
      </w:pPr>
      <w:r>
        <w:rPr>
          <w:rFonts w:ascii="IRNazanin" w:hAnsi="IRNazanin" w:eastAsia="IRNazanin" w:cs="IRNazanin"/>
          <w:lang w:bidi="fa-IR"/>
          <w:color w:val="111111"/>
          <w:sz w:val="28"/>
          <w:szCs w:val="28"/>
          <w:rtl/>
        </w:rPr>
        <w:t xml:space="preserve">وإن التزمت به فنلتزم في المقام أیضاً بتحقّق کلا الحكمين حقیقة بمجرّد إنشاء الشّارع بعد عدم المضادّة بين الإنشائين والمنشأين</w:t>
      </w:r>
      <w:r>
        <w:rPr>
          <w:rStyle w:val="FootnoteReference"/>
        </w:rPr>
        <w:footnoteReference w:id="462"/>
      </w:r>
    </w:p>
    <w:p>
      <w:pPr>
        <w:pStyle w:val="BookText"/>
      </w:pPr>
      <w:r>
        <w:rPr>
          <w:rFonts w:ascii="Amiri" w:hAnsi="Amiri" w:eastAsia="Amiri" w:cs="Amiri"/>
          <w:lang w:bidi="ar-SA"/>
          <w:color w:val="111111"/>
          <w:sz w:val="28"/>
          <w:szCs w:val="28"/>
          <w:rtl/>
        </w:rPr>
        <w:t xml:space="preserve">وبالجملة بعد البناء على عدم المضادّة بين الإنشائيّين</w:t>
      </w:r>
      <w:r>
        <w:rPr>
          <w:rStyle w:val="FootnoteReference"/>
        </w:rPr>
        <w:footnoteReference w:id="463"/>
      </w:r>
      <w:r>
        <w:rPr>
          <w:rFonts w:ascii="Amiri" w:hAnsi="Amiri" w:eastAsia="Amiri" w:cs="Amiri"/>
          <w:lang w:bidi="ar-SA"/>
          <w:color w:val="111111"/>
          <w:sz w:val="28"/>
          <w:szCs w:val="28"/>
          <w:rtl/>
        </w:rPr>
        <w:t xml:space="preserve">منهما لا يتفاوت الحال</w:t>
      </w:r>
      <w:r>
        <w:rPr>
          <w:rStyle w:val="FootnoteReference"/>
        </w:rPr>
        <w:footnoteReference w:id="464"/>
      </w:r>
      <w:r>
        <w:rPr>
          <w:rFonts w:ascii="IRNazanin" w:hAnsi="IRNazanin" w:eastAsia="IRNazanin" w:cs="IRNazanin"/>
          <w:lang w:bidi="fa-IR"/>
          <w:color w:val="111111"/>
          <w:sz w:val="28"/>
          <w:szCs w:val="28"/>
          <w:rtl/>
        </w:rPr>
        <w:t xml:space="preserve">بين العدليّة والأشاعرة؛ إذ حقیقة الإيجاب ليس سوى الإيجاد الإنشائي والحصول الواقعي لا يكون معتبراً في حقیقته.</w:t>
      </w:r>
    </w:p>
    <w:p>
      <w:pPr>
        <w:pStyle w:val="BookText"/>
      </w:pPr>
      <w:r>
        <w:rPr>
          <w:rFonts w:ascii="IRNazanin" w:hAnsi="IRNazanin" w:eastAsia="IRNazanin" w:cs="IRNazanin"/>
          <w:lang w:bidi="fa-IR"/>
          <w:color w:val="111111"/>
          <w:sz w:val="28"/>
          <w:szCs w:val="28"/>
          <w:rtl/>
        </w:rPr>
        <w:t xml:space="preserve">ودعوى</w:t>
      </w:r>
      <w:r>
        <w:rPr>
          <w:rStyle w:val="FootnoteReference"/>
        </w:rPr>
        <w:footnoteReference w:id="465"/>
      </w:r>
      <w:r>
        <w:rPr>
          <w:rFonts w:ascii="Amiri" w:hAnsi="Amiri" w:eastAsia="Amiri" w:cs="Amiri"/>
          <w:lang w:bidi="ar-SA"/>
          <w:color w:val="111111"/>
          <w:sz w:val="28"/>
          <w:szCs w:val="28"/>
          <w:rtl/>
        </w:rPr>
        <w:t xml:space="preserve">أنّ إيجاب الشارع مستلزم لإخباره بالوجوب الواقعي وكذا تحريمهمستلزم للحرمة الواقعيّة فمع حصولهما يجي‌ء المضادّة ومع عدم حصولهما يلزم الكذب عليه وهو محال على مذهب العدليّة، فيصحّ أن يقال: إنّ الإيجاب والتّحريم عندهم بالنّسبة إلى الشارع ليس إلّا ما يكون مؤثّراً في الوجود الواقعي فتتمّ</w:t>
      </w:r>
      <w:r>
        <w:rPr>
          <w:rStyle w:val="FootnoteReference"/>
        </w:rPr>
        <w:footnoteReference w:id="466"/>
      </w:r>
      <w:r>
        <w:rPr>
          <w:rFonts w:ascii="Amiri" w:hAnsi="Amiri" w:eastAsia="Amiri" w:cs="Amiri"/>
          <w:lang w:bidi="ar-SA"/>
          <w:color w:val="111111"/>
          <w:sz w:val="28"/>
          <w:szCs w:val="28"/>
          <w:rtl/>
        </w:rPr>
        <w:t xml:space="preserve">المضادّة المذكورة؛</w:t>
      </w:r>
    </w:p>
    <w:p>
      <w:pPr>
        <w:pStyle w:val="BookText"/>
      </w:pPr>
      <w:r>
        <w:rPr>
          <w:rFonts w:ascii="Amiri" w:hAnsi="Amiri" w:eastAsia="Amiri" w:cs="Amiri"/>
          <w:lang w:bidi="ar-SA"/>
          <w:color w:val="111111"/>
          <w:sz w:val="28"/>
          <w:szCs w:val="28"/>
          <w:rtl/>
        </w:rPr>
        <w:t xml:space="preserve">مدفوعة بأنّ المقصود إثبات الاستحالة الذّاتية لا من حيث القبح وعدمه والوجه المذكور لا يفي به.</w:t>
      </w:r>
    </w:p>
    <w:p>
      <w:pPr>
        <w:pStyle w:val="BookText"/>
      </w:pPr>
      <w:r>
        <w:rPr>
          <w:rFonts w:ascii="IRNazanin" w:hAnsi="IRNazanin" w:eastAsia="IRNazanin" w:cs="IRNazanin"/>
          <w:lang w:bidi="fa-IR"/>
          <w:color w:val="111111"/>
          <w:sz w:val="28"/>
          <w:szCs w:val="28"/>
          <w:rtl/>
        </w:rPr>
        <w:t xml:space="preserve">مع أنّ هذا المعنى بعينه موجود في التکلیف بالمحال</w:t>
      </w:r>
      <w:r>
        <w:rPr>
          <w:rStyle w:val="FootnoteReference"/>
        </w:rPr>
        <w:footnoteReference w:id="467"/>
      </w:r>
      <w:r>
        <w:rPr>
          <w:rFonts w:ascii="IRNazanin" w:hAnsi="IRNazanin" w:eastAsia="IRNazanin" w:cs="IRNazanin"/>
          <w:lang w:bidi="fa-IR"/>
          <w:color w:val="111111"/>
          <w:sz w:val="28"/>
          <w:szCs w:val="28"/>
          <w:rtl/>
        </w:rPr>
        <w:t xml:space="preserve">حيث إنّ إيجاب الشارع فيه أیضاً مستلزم لإخباره بالوجوب الواقعي مع أنّه كذب. فتدبّر.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2" w:name="pg6784_51174"/>
    <w:bookmarkEnd w:id="62"/>
    <w:p>
      <w:pPr>
        <w:pStyle w:val="Heading6"/>
      </w:pPr>
      <w:bookmarkStart w:id="422" w:name="_Toc103"/>
      <w:r>
        <w:t>[الوجه الثاني لکون المقام تکلیفاً محالاً]</w:t>
      </w:r>
      <w:bookmarkEnd w:id="422"/>
    </w:p>
    <w:p>
      <w:pPr>
        <w:pStyle w:val="BookText"/>
      </w:pPr>
      <w:r>
        <w:rPr>
          <w:rFonts w:ascii="Amiri" w:hAnsi="Amiri" w:eastAsia="Amiri" w:cs="Amiri"/>
          <w:lang w:bidi="ar-SA"/>
          <w:color w:val="111111"/>
          <w:sz w:val="28"/>
          <w:szCs w:val="28"/>
          <w:rtl/>
        </w:rPr>
        <w:t xml:space="preserve">الثاني: أنّ إيجاب الشارع للفعل يفيد حسنه ونهيه عنه يفيد قبحه فيلزم من اجتماع الأمر والنّهي اجتماع الضدّين وهما</w:t>
      </w:r>
      <w:r>
        <w:rPr>
          <w:rStyle w:val="FootnoteReference"/>
        </w:rPr>
        <w:footnoteReference w:id="468"/>
      </w:r>
      <w:r>
        <w:rPr>
          <w:rFonts w:ascii="IRNazanin" w:hAnsi="IRNazanin" w:eastAsia="IRNazanin" w:cs="IRNazanin"/>
          <w:lang w:bidi="fa-IR"/>
          <w:color w:val="111111"/>
          <w:sz w:val="28"/>
          <w:szCs w:val="28"/>
          <w:rtl/>
        </w:rPr>
        <w:t xml:space="preserve">الحسن والقبح وهو محال</w:t>
      </w:r>
      <w:r>
        <w:rPr>
          <w:rStyle w:val="FootnoteReference"/>
        </w:rPr>
        <w:footnoteReference w:id="469"/>
      </w:r>
    </w:p>
    <w:p>
      <w:pPr>
        <w:pStyle w:val="Heading6"/>
      </w:pPr>
      <w:bookmarkStart w:id="423" w:name="_Toc104"/>
      <w:r>
        <w:t>[إیراد على هذا الوجه الثاني]</w:t>
      </w:r>
      <w:bookmarkEnd w:id="423"/>
    </w:p>
    <w:p>
      <w:pPr>
        <w:pStyle w:val="BookText"/>
      </w:pPr>
      <w:r>
        <w:rPr>
          <w:rFonts w:ascii="IRNazanin" w:hAnsi="IRNazanin" w:eastAsia="IRNazanin" w:cs="IRNazanin"/>
          <w:lang w:bidi="fa-IR"/>
          <w:color w:val="111111"/>
          <w:sz w:val="28"/>
          <w:szCs w:val="28"/>
          <w:rtl/>
        </w:rPr>
        <w:t xml:space="preserve">وأورد عليه بأنّه يتمّ على مذهب العدليّة القائلين بالتّحسين والتّقبيح العقليين والقائلون بجواز التکلیف بالمحال وهم الأشاعرة لا يقولون بهما.</w:t>
      </w:r>
    </w:p>
    <w:p>
      <w:pPr>
        <w:pStyle w:val="BookText"/>
      </w:pPr>
      <w:r>
        <w:rPr>
          <w:rFonts w:ascii="Amiri" w:hAnsi="Amiri" w:eastAsia="Amiri" w:cs="Amiri"/>
          <w:lang w:bidi="ar-SA"/>
          <w:color w:val="111111"/>
          <w:sz w:val="28"/>
          <w:szCs w:val="28"/>
          <w:rtl/>
        </w:rPr>
        <w:t xml:space="preserve">فكما أنّهم ينفون الحسن والقبح السّابقين على الأمر والنّهي كذلك ينفون</w:t>
      </w:r>
      <w:r>
        <w:rPr>
          <w:rStyle w:val="FootnoteReference"/>
        </w:rPr>
        <w:footnoteReference w:id="470"/>
      </w:r>
      <w:r>
        <w:rPr>
          <w:rFonts w:ascii="Amiri" w:hAnsi="Amiri" w:eastAsia="Amiri" w:cs="Amiri"/>
          <w:lang w:bidi="ar-SA"/>
          <w:color w:val="111111"/>
          <w:sz w:val="28"/>
          <w:szCs w:val="28"/>
          <w:rtl/>
        </w:rPr>
        <w:t xml:space="preserve">اللاحقين وليس مفاد الحسن والقبح عندهم إلّا مجرّد تعلّق أمر الشّارع ونهيه بل على فرض تسليم الحسن والقبح العقلييّن السّابقين لا يثبتون اللاحقين حيث إنّهما مبنيّان على وجوب شكر المنعم الحقيقي وهم يمنعون منه</w:t>
      </w:r>
      <w:r>
        <w:rPr>
          <w:rStyle w:val="FootnoteReference"/>
        </w:rPr>
        <w:footnoteReference w:id="471"/>
      </w:r>
    </w:p>
    <w:p>
      <w:pPr>
        <w:pStyle w:val="BookText"/>
      </w:pPr>
      <w:r>
        <w:rPr>
          <w:rFonts w:ascii="Amiri" w:hAnsi="Amiri" w:eastAsia="Amiri" w:cs="Amiri"/>
          <w:lang w:bidi="ar-SA"/>
          <w:color w:val="111111"/>
          <w:sz w:val="28"/>
          <w:szCs w:val="28"/>
          <w:rtl/>
        </w:rPr>
        <w:t xml:space="preserve">والحاصل: أنّ الحسن والقبح الحادثين بالأمر والنّهي إنّما يجيئان من قبل وجوب شكر المنعم الممنوع عندهم ولو على فرض تسليم الحسن والقبح العقليّين قبلالأمر والنّهي فليس الفعل عندهم إلا مأموراً به ومنهيّاً عنه وهما معنى الحسن والقبح الشرعيّين عندهم.</w:t>
      </w:r>
    </w:p>
    <w:p>
      <w:pPr>
        <w:pStyle w:val="BookText"/>
      </w:pPr>
      <w:r>
        <w:rPr>
          <w:rFonts w:ascii="IRNazanin" w:hAnsi="IRNazanin" w:eastAsia="IRNazanin" w:cs="IRNazanin"/>
          <w:lang w:bidi="fa-IR"/>
          <w:color w:val="111111"/>
          <w:sz w:val="28"/>
          <w:szCs w:val="28"/>
          <w:rtl/>
        </w:rPr>
        <w:t xml:space="preserve">ومن البيّن عدم المضادّة بينهما فلا يلزمهم المنع من الاجتماع لو جوّزوا التکلیف بالمحال.</w:t>
      </w:r>
    </w:p>
    <w:p>
      <w:pPr>
        <w:pStyle w:val="BookText"/>
      </w:pPr>
      <w:r>
        <w:rPr>
          <w:rFonts w:ascii="IRNazanin" w:hAnsi="IRNazanin" w:eastAsia="IRNazanin" w:cs="IRNazanin"/>
          <w:lang w:bidi="fa-IR"/>
          <w:color w:val="111111"/>
          <w:sz w:val="28"/>
          <w:szCs w:val="28"/>
          <w:rtl/>
        </w:rPr>
        <w:t xml:space="preserve">فهذا الوجه أیضاً إنّما يتمّ على مذهب العدليّة في الحسن والقبح فلو جوّزوا التکلیف بالمحال لا يلزمهم تجويز الاجتماع في المقام؛ لأنّه محال.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3" w:name="pg6784_51175"/>
    <w:bookmarkEnd w:id="63"/>
    <w:p>
      <w:pPr>
        <w:pStyle w:val="Heading6"/>
      </w:pPr>
      <w:bookmarkStart w:id="424" w:name="_Toc105"/>
      <w:r>
        <w:t>[تعمیم الإیراد]</w:t>
      </w:r>
      <w:bookmarkEnd w:id="424"/>
    </w:p>
    <w:p>
      <w:pPr>
        <w:pStyle w:val="BookText"/>
      </w:pPr>
      <w:r>
        <w:rPr>
          <w:rFonts w:ascii="IRNazanin" w:hAnsi="IRNazanin" w:eastAsia="IRNazanin" w:cs="IRNazanin"/>
          <w:lang w:bidi="fa-IR"/>
          <w:color w:val="111111"/>
          <w:sz w:val="28"/>
          <w:szCs w:val="28"/>
          <w:rtl/>
        </w:rPr>
        <w:t xml:space="preserve">أقول: يمكن أن يقال: بناء على مذهب العدليّة أیضاً لا يتمّ الوجه المذكور إذا بنينا على عدم المضادّة بين نفس الطلبين من حيث إنّ حقیقتهما الإيجاب والتّحريم الإنشائيان كما هو الفرض.</w:t>
      </w:r>
    </w:p>
    <w:p>
      <w:pPr>
        <w:pStyle w:val="BookText"/>
      </w:pPr>
      <w:r>
        <w:rPr>
          <w:rFonts w:ascii="IRNazanin" w:hAnsi="IRNazanin" w:eastAsia="IRNazanin" w:cs="IRNazanin"/>
          <w:lang w:bidi="fa-IR"/>
          <w:color w:val="111111"/>
          <w:sz w:val="28"/>
          <w:szCs w:val="28"/>
          <w:rtl/>
        </w:rPr>
        <w:t xml:space="preserve">وذلك لأنّ الحسن العقلي الحادث بالأمر من جهة كون الإتیان بالمأمور به شكراً للمنعم ليس صفة وجوديّة حادثة في ذات الفعل حتّى ينافي القبح الحاصل من جهة النّهي بل هما نظير الحسن والقبح الشرعيّين على مذهب الأشاعرة.</w:t>
      </w:r>
    </w:p>
    <w:p>
      <w:pPr>
        <w:pStyle w:val="BookText"/>
      </w:pPr>
      <w:r>
        <w:rPr>
          <w:rFonts w:ascii="IRNazanin" w:hAnsi="IRNazanin" w:eastAsia="IRNazanin" w:cs="IRNazanin"/>
          <w:lang w:bidi="fa-IR"/>
          <w:color w:val="111111"/>
          <w:sz w:val="28"/>
          <w:szCs w:val="28"/>
          <w:rtl/>
        </w:rPr>
        <w:t xml:space="preserve">فإنّ معنى كون الفعل حسناً عقلياً على هذا أنّ العقل يحكم بوجوب إتیانه من حيث إنّه منطبق على عنوان الشكر</w:t>
      </w:r>
      <w:r>
        <w:rPr>
          <w:rStyle w:val="FootnoteReference"/>
        </w:rPr>
        <w:footnoteReference w:id="472"/>
      </w:r>
      <w:r>
        <w:rPr>
          <w:rFonts w:ascii="IRNazanin" w:hAnsi="IRNazanin" w:eastAsia="IRNazanin" w:cs="IRNazanin"/>
          <w:lang w:bidi="fa-IR"/>
          <w:color w:val="111111"/>
          <w:sz w:val="28"/>
          <w:szCs w:val="28"/>
          <w:rtl/>
        </w:rPr>
        <w:t xml:space="preserve">ومعنى كونه قبيحاً أنّ العقل يحكم بوجوب تركه لإنّ إتیانه كفر.</w:t>
      </w:r>
    </w:p>
    <w:p>
      <w:pPr>
        <w:pStyle w:val="BookText"/>
      </w:pPr>
      <w:r>
        <w:rPr>
          <w:rFonts w:ascii="Amiri" w:hAnsi="Amiri" w:eastAsia="Amiri" w:cs="Amiri"/>
          <w:lang w:bidi="ar-SA"/>
          <w:color w:val="111111"/>
          <w:sz w:val="28"/>
          <w:szCs w:val="28"/>
          <w:rtl/>
        </w:rPr>
        <w:t xml:space="preserve">ففي الحقيقة الحسن والقبح الشكر والكفر لا ذات الفعل منهما</w:t>
      </w:r>
      <w:r>
        <w:rPr>
          <w:rStyle w:val="FootnoteReference"/>
        </w:rPr>
        <w:footnoteReference w:id="473"/>
      </w:r>
      <w:r>
        <w:rPr>
          <w:rFonts w:ascii="Amiri" w:hAnsi="Amiri" w:eastAsia="Amiri" w:cs="Amiri"/>
          <w:lang w:bidi="ar-SA"/>
          <w:color w:val="111111"/>
          <w:sz w:val="28"/>
          <w:szCs w:val="28"/>
          <w:rtl/>
        </w:rPr>
        <w:t xml:space="preserve">وهما تابعان لأمر الشارع ونهيه المفروض عدم المضادّة بينهما فهما بما هما تابعان لهما لا مضادّة بينهما كما لا مضادّة بين متبوعيهما.</w:t>
      </w:r>
    </w:p>
    <w:p>
      <w:pPr>
        <w:pStyle w:val="BookText"/>
      </w:pPr>
      <w:r>
        <w:rPr>
          <w:rFonts w:ascii="Amiri" w:hAnsi="Amiri" w:eastAsia="Amiri" w:cs="Amiri"/>
          <w:lang w:bidi="ar-SA"/>
          <w:color w:val="111111"/>
          <w:sz w:val="28"/>
          <w:szCs w:val="28"/>
          <w:rtl/>
        </w:rPr>
        <w:t xml:space="preserve">والحاصل: أنّه إذا قلنا إنّه يمكن أن يجعل الفعل واجباً شرعيّاً وحراماً فمن حيث إنّه واجب إتیانه حَسَنٌ یعني أنّه شكر ومن حيث إنّه حرام فإتیانه قبيح یعني أنّه</w:t>
      </w:r>
      <w:r>
        <w:rPr>
          <w:rStyle w:val="FootnoteReference"/>
        </w:rPr>
        <w:footnoteReference w:id="474"/>
      </w:r>
      <w:r>
        <w:rPr>
          <w:rFonts w:ascii="Amiri" w:hAnsi="Amiri" w:eastAsia="Amiri" w:cs="Amiri"/>
          <w:lang w:bidi="ar-SA"/>
          <w:color w:val="111111"/>
          <w:sz w:val="28"/>
          <w:szCs w:val="28"/>
          <w:rtl/>
        </w:rPr>
        <w:t xml:space="preserve">كفران.ولا يحدث فيه أزيد من ذلك ولا يصير ذاته حسناً وقبيحاً عقلاً وفي الحقيقة الشكر والكفران عين الإطاعة</w:t>
      </w:r>
      <w:r>
        <w:rPr>
          <w:rStyle w:val="FootnoteReference"/>
        </w:rPr>
        <w:footnoteReference w:id="475"/>
      </w:r>
      <w:r>
        <w:rPr>
          <w:rFonts w:ascii="Amiri" w:hAnsi="Amiri" w:eastAsia="Amiri" w:cs="Amiri"/>
          <w:lang w:bidi="ar-SA"/>
          <w:color w:val="111111"/>
          <w:sz w:val="28"/>
          <w:szCs w:val="28"/>
          <w:rtl/>
        </w:rPr>
        <w:t xml:space="preserve">والعصيان الواجبة أو المحرّمة بحكم العقل ولا يزيد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4" w:name="pg6784_51176"/>
    <w:bookmarkEnd w:id="64"/>
    <w:p>
      <w:pPr>
        <w:pStyle w:val="BookText"/>
      </w:pPr>
      <w:r>
        <w:rPr>
          <w:rFonts w:ascii="Amiri" w:hAnsi="Amiri" w:eastAsia="Amiri" w:cs="Amiri"/>
          <w:lang w:bidi="ar-SA"/>
          <w:color w:val="111111"/>
          <w:sz w:val="28"/>
          <w:szCs w:val="28"/>
          <w:rtl/>
        </w:rPr>
        <w:t xml:space="preserve">هذا الوجوب على الوجوب الشرعي المفروض عدم المضادّة بينه وبين الحرام. فمجرّد كون الحاكم هو العقل لا يوجب حصول المضادّة.</w:t>
      </w:r>
    </w:p>
    <w:p>
      <w:pPr>
        <w:pStyle w:val="BookText"/>
      </w:pPr>
      <w:r>
        <w:rPr>
          <w:rFonts w:ascii="IRNazanin" w:hAnsi="IRNazanin" w:eastAsia="IRNazanin" w:cs="IRNazanin"/>
          <w:lang w:bidi="fa-IR"/>
          <w:color w:val="111111"/>
          <w:sz w:val="28"/>
          <w:szCs w:val="28"/>
          <w:rtl/>
        </w:rPr>
        <w:t xml:space="preserve">فإن قلت: الوجوب الشرعي مجرّد الإنشاء الغير المنافي لإنشاء الحرمة بخلاف الوجوب العقلي الحادث بعد أمر الشارع فإنّه وجوب حقیقي واقعي وقد اعترفت</w:t>
      </w:r>
      <w:r>
        <w:rPr>
          <w:rStyle w:val="FootnoteReference"/>
        </w:rPr>
        <w:footnoteReference w:id="476"/>
      </w:r>
      <w:r>
        <w:rPr>
          <w:rFonts w:ascii="IRNazanin" w:hAnsi="IRNazanin" w:eastAsia="IRNazanin" w:cs="IRNazanin"/>
          <w:lang w:bidi="fa-IR"/>
          <w:color w:val="111111"/>
          <w:sz w:val="28"/>
          <w:szCs w:val="28"/>
          <w:rtl/>
        </w:rPr>
        <w:t xml:space="preserve">سابقاً أنّه مضادّ للحرمة الواقعيّة فمقصود المستدلّ أنّ لازم الإيجاب والتحريم الشرعيّين حدوث الوجوب والحرمة العقليّين الحقيقيّين من حيث إنّ الإتیان شكر وكفران وهما متضادّان فلا يمكن جعلهما من حيث استتباعهما لهما فهما وإن لم يتضادّا من حيث ذاتهما إلّا أنّهما متضادّان من حيث ما يتبعهما ويلزمهما</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قلت: لازم الإيجاب الشرعي وجوب الطاعة عقلاً مع الإمکان والقدرة ومع فرض عدم الإمکان فلا يحدث الوجوب العقلي وإلّا لزم عدم جواز التکلیف بالمحال أیضاً ذاتاً.</w:t>
      </w:r>
    </w:p>
    <w:p>
      <w:pPr>
        <w:pStyle w:val="BookText"/>
      </w:pPr>
      <w:r>
        <w:rPr>
          <w:rFonts w:ascii="IRNazanin" w:hAnsi="IRNazanin" w:eastAsia="IRNazanin" w:cs="IRNazanin"/>
          <w:lang w:bidi="fa-IR"/>
          <w:color w:val="111111"/>
          <w:sz w:val="28"/>
          <w:szCs w:val="28"/>
          <w:rtl/>
        </w:rPr>
        <w:t xml:space="preserve">وبعبارة أخری: يلزم كون کلّ تکلیف بالمحال تکلیفاً محالاً؛ لأنّه لا يمكن أن يصير واجب الإطاعة عقلاً والمفروض أنّ لازم الإيجاب الشّرعي ذلك مع أنّك لا تقول باستحالته إلّا عرضاً.</w:t>
      </w:r>
    </w:p>
    <w:p>
      <w:pPr>
        <w:pStyle w:val="Heading6"/>
      </w:pPr>
      <w:bookmarkStart w:id="425" w:name="_Toc106"/>
      <w:r>
        <w:t>[تقریر آخر للحسن والقبح للأفعال قبل الإیجاب والتحریم]</w:t>
      </w:r>
      <w:bookmarkEnd w:id="425"/>
    </w:p>
    <w:p>
      <w:pPr>
        <w:pStyle w:val="BookText"/>
      </w:pPr>
      <w:r>
        <w:rPr>
          <w:rFonts w:ascii="Amiri" w:hAnsi="Amiri" w:eastAsia="Amiri" w:cs="Amiri"/>
          <w:lang w:bidi="ar-SA"/>
          <w:color w:val="111111"/>
          <w:sz w:val="28"/>
          <w:szCs w:val="28"/>
          <w:rtl/>
        </w:rPr>
        <w:t xml:space="preserve">هذا، ولو قرّر الاستدلال بالنسبة إلى الحسن والقبح السّابقين على الإيجاب والتّحريم بأن يقال: إنّ الوجوب يقتضي أن يكون الفعل حسناً بمعنى أنّه ناشٍ عنه والحرمة تقتضي</w:t>
      </w:r>
      <w:r>
        <w:rPr>
          <w:rStyle w:val="FootnoteReference"/>
        </w:rPr>
        <w:footnoteReference w:id="478"/>
      </w:r>
      <w:r>
        <w:rPr>
          <w:rFonts w:ascii="Amiri" w:hAnsi="Amiri" w:eastAsia="Amiri" w:cs="Amiri"/>
          <w:lang w:bidi="ar-SA"/>
          <w:color w:val="111111"/>
          <w:sz w:val="28"/>
          <w:szCs w:val="28"/>
          <w:rtl/>
        </w:rPr>
        <w:t xml:space="preserve">كونه قبيحاً فلا يمكن تواردهما على موضوع واحد؛ لأنّه لا يمكن أن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5" w:name="pg6784_51177"/>
    <w:bookmarkEnd w:id="65"/>
    <w:p>
      <w:pPr>
        <w:pStyle w:val="BookText"/>
      </w:pPr>
      <w:r>
        <w:rPr>
          <w:rFonts w:ascii="Amiri" w:hAnsi="Amiri" w:eastAsia="Amiri" w:cs="Amiri"/>
          <w:lang w:bidi="ar-SA"/>
          <w:color w:val="111111"/>
          <w:sz w:val="28"/>
          <w:szCs w:val="28"/>
          <w:rtl/>
        </w:rPr>
        <w:t xml:space="preserve">يكون حسناً وقبيحاً.</w:t>
      </w:r>
    </w:p>
    <w:p>
      <w:pPr>
        <w:pStyle w:val="BookText"/>
      </w:pPr>
      <w:r>
        <w:rPr>
          <w:rFonts w:ascii="IRNazanin" w:hAnsi="IRNazanin" w:eastAsia="IRNazanin" w:cs="IRNazanin"/>
          <w:lang w:bidi="fa-IR"/>
          <w:color w:val="111111"/>
          <w:sz w:val="28"/>
          <w:szCs w:val="28"/>
          <w:rtl/>
        </w:rPr>
        <w:t xml:space="preserve">وبعبارة أخری: الوجوب لا يكون إلّا عن حسن في الفعل ومصلحة فيه فعلاً بعد الكسر والانكسار، والحرمة لا تكون إلّا عن قبح ومفسدة وإذا لم يمكن كون فعل واحد حسناً وقبيحاً بعد الكسر والانكسار بل لا بدّ من كون الغالب أحدهما فلا يمكن توارد الأمر والنّهي</w:t>
      </w:r>
      <w:r>
        <w:rPr>
          <w:rStyle w:val="FootnoteReference"/>
        </w:rPr>
        <w:footnoteReference w:id="479"/>
      </w:r>
      <w:r>
        <w:rPr>
          <w:rFonts w:ascii="Amiri" w:hAnsi="Amiri" w:eastAsia="Amiri" w:cs="Amiri"/>
          <w:lang w:bidi="ar-SA"/>
          <w:color w:val="111111"/>
          <w:sz w:val="28"/>
          <w:szCs w:val="28"/>
          <w:rtl/>
        </w:rPr>
        <w:t xml:space="preserve">على ذلك الفعل؛</w:t>
      </w:r>
    </w:p>
    <w:p>
      <w:pPr>
        <w:pStyle w:val="Heading6"/>
      </w:pPr>
      <w:bookmarkStart w:id="426" w:name="_Toc107"/>
      <w:r>
        <w:t>[الجواب عن التقریر المذکور]</w:t>
      </w:r>
      <w:bookmarkEnd w:id="426"/>
    </w:p>
    <w:p>
      <w:pPr>
        <w:pStyle w:val="BookText"/>
      </w:pPr>
      <w:r>
        <w:rPr>
          <w:rFonts w:ascii="Amiri" w:hAnsi="Amiri" w:eastAsia="Amiri" w:cs="Amiri"/>
          <w:lang w:bidi="ar-SA"/>
          <w:color w:val="111111"/>
          <w:sz w:val="28"/>
          <w:szCs w:val="28"/>
          <w:rtl/>
        </w:rPr>
        <w:t xml:space="preserve">فالجواب أوّلاً: أنّ هذا ليس من الاستحالة الذّاتيّة في اجتماع الأمر والنّهي بل هو بملاحظة</w:t>
      </w:r>
      <w:r>
        <w:rPr>
          <w:rStyle w:val="FootnoteReference"/>
        </w:rPr>
        <w:footnoteReference w:id="480"/>
      </w:r>
      <w:r>
        <w:rPr>
          <w:rFonts w:ascii="Amiri" w:hAnsi="Amiri" w:eastAsia="Amiri" w:cs="Amiri"/>
          <w:lang w:bidi="ar-SA"/>
          <w:color w:val="111111"/>
          <w:sz w:val="28"/>
          <w:szCs w:val="28"/>
          <w:rtl/>
        </w:rPr>
        <w:t xml:space="preserve">أنّ الحكيم لا يأمر بغير الحسن الفعلي ولا ينهى عن غير القبيح الفعلي وإلّا فيمكن إيرادهما عليه من حيث هو.</w:t>
      </w:r>
    </w:p>
    <w:p>
      <w:pPr>
        <w:pStyle w:val="BookText"/>
      </w:pPr>
      <w:r>
        <w:rPr>
          <w:rFonts w:ascii="Amiri" w:hAnsi="Amiri" w:eastAsia="Amiri" w:cs="Amiri"/>
          <w:lang w:bidi="ar-SA"/>
          <w:color w:val="111111"/>
          <w:sz w:val="28"/>
          <w:szCs w:val="28"/>
          <w:rtl/>
        </w:rPr>
        <w:t xml:space="preserve">وثانياً: لا نسلّم وجوب كون الحسن والقبح في الفعل ويمكن</w:t>
      </w:r>
      <w:r>
        <w:rPr>
          <w:rStyle w:val="FootnoteReference"/>
        </w:rPr>
        <w:footnoteReference w:id="481"/>
      </w:r>
      <w:r>
        <w:rPr>
          <w:rFonts w:ascii="IRNazanin" w:hAnsi="IRNazanin" w:eastAsia="IRNazanin" w:cs="IRNazanin"/>
          <w:lang w:bidi="fa-IR"/>
          <w:color w:val="111111"/>
          <w:sz w:val="28"/>
          <w:szCs w:val="28"/>
          <w:rtl/>
        </w:rPr>
        <w:t xml:space="preserve">أن يكون المصلحة في التکلیف ولا منافاة</w:t>
      </w:r>
      <w:r>
        <w:rPr>
          <w:rStyle w:val="FootnoteReference"/>
        </w:rPr>
        <w:footnoteReference w:id="482"/>
      </w:r>
      <w:r>
        <w:rPr>
          <w:rFonts w:ascii="IRNazanin" w:hAnsi="IRNazanin" w:eastAsia="IRNazanin" w:cs="IRNazanin"/>
          <w:lang w:bidi="fa-IR"/>
          <w:color w:val="111111"/>
          <w:sz w:val="28"/>
          <w:szCs w:val="28"/>
          <w:rtl/>
        </w:rPr>
        <w:t xml:space="preserve">بين كون الأمر والنّهي کلیهما عن مصلحة في جعلهما وإن لم يكن الفعل حسناً ولا قبيحاً أو كان أحدهما.</w:t>
      </w:r>
    </w:p>
    <w:p>
      <w:pPr>
        <w:pStyle w:val="BookText"/>
      </w:pPr>
      <w:r>
        <w:rPr>
          <w:rFonts w:ascii="IRNazanin" w:hAnsi="IRNazanin" w:eastAsia="IRNazanin" w:cs="IRNazanin"/>
          <w:lang w:bidi="fa-IR"/>
          <w:color w:val="111111"/>
          <w:sz w:val="28"/>
          <w:szCs w:val="28"/>
          <w:rtl/>
        </w:rPr>
        <w:t xml:space="preserve">هذا، مع أنّ الکلام إنّما هو على مذهب الأشاعرة الغير القائلين بالحسن والقبح مطلقاً لا السّابقين ولا اللّاحقين ولا في التکلیف ولا في المکلّف به.</w:t>
      </w:r>
    </w:p>
    <w:p>
      <w:pPr>
        <w:pStyle w:val="Heading6"/>
      </w:pPr>
      <w:bookmarkStart w:id="427" w:name="_Toc108"/>
      <w:r>
        <w:t>[الوجه الثالث لکون المقام تکلیفاً محالاً]</w:t>
      </w:r>
      <w:bookmarkEnd w:id="427"/>
    </w:p>
    <w:p>
      <w:pPr>
        <w:pStyle w:val="BookText"/>
      </w:pPr>
      <w:r>
        <w:rPr>
          <w:rFonts w:ascii="Amiri" w:hAnsi="Amiri" w:eastAsia="Amiri" w:cs="Amiri"/>
          <w:lang w:bidi="ar-SA"/>
          <w:color w:val="111111"/>
          <w:sz w:val="28"/>
          <w:szCs w:val="28"/>
          <w:rtl/>
        </w:rPr>
        <w:t xml:space="preserve">الثالث: أنّ اجتماع الأمر والنّهي اجتماع للضدّين بالنّظر إلى الإرادة والكراهة بالنّسبة إلى فعل واحد</w:t>
      </w:r>
      <w:r>
        <w:rPr>
          <w:rStyle w:val="FootnoteReference"/>
        </w:rPr>
        <w:footnoteReference w:id="483"/>
      </w:r>
      <w:r>
        <w:rPr>
          <w:rFonts w:ascii="Amiri" w:hAnsi="Amiri" w:eastAsia="Amiri" w:cs="Amiri"/>
          <w:lang w:bidi="ar-SA"/>
          <w:color w:val="111111"/>
          <w:sz w:val="28"/>
          <w:szCs w:val="28"/>
          <w:rtl/>
        </w:rPr>
        <w:t xml:space="preserve">فإنّ الآمر مريد للفعل والناهي كاره له ولا يمكن كون فعل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6" w:name="pg6784_51178"/>
    <w:bookmarkEnd w:id="66"/>
    <w:p>
      <w:pPr>
        <w:pStyle w:val="BookText"/>
      </w:pPr>
      <w:r>
        <w:rPr>
          <w:rFonts w:ascii="Amiri" w:hAnsi="Amiri" w:eastAsia="Amiri" w:cs="Amiri"/>
          <w:lang w:bidi="ar-SA"/>
          <w:color w:val="111111"/>
          <w:sz w:val="28"/>
          <w:szCs w:val="28"/>
          <w:rtl/>
        </w:rPr>
        <w:t xml:space="preserve">واحد مراداً ومكروهاً.</w:t>
      </w:r>
    </w:p>
    <w:p>
      <w:pPr>
        <w:pStyle w:val="Heading6"/>
      </w:pPr>
      <w:bookmarkStart w:id="428" w:name="_Toc109"/>
      <w:r>
        <w:t>[إیراد على هذا الوجه الثالث]</w:t>
      </w:r>
      <w:bookmarkEnd w:id="428"/>
    </w:p>
    <w:p>
      <w:pPr>
        <w:pStyle w:val="BookText"/>
      </w:pPr>
      <w:r>
        <w:rPr>
          <w:rFonts w:ascii="IRNazanin" w:hAnsi="IRNazanin" w:eastAsia="IRNazanin" w:cs="IRNazanin"/>
          <w:lang w:bidi="fa-IR"/>
          <w:color w:val="111111"/>
          <w:sz w:val="28"/>
          <w:szCs w:val="28"/>
          <w:rtl/>
        </w:rPr>
        <w:t xml:space="preserve">وأورد عليه أیضاً: بأنّه إنّما يتمّ على مذهب القائلين بأنّ الطّلب عين الإرادة أو ناشٍ عنها بمعنى أنّه وإن کان عبارة عن إنشاء الاقتضاء إلّا أنّه لا بدّ أن يكون ناشياً عنالإرادة النفسيّة موافقاً لها كما هو ظاهر مذهب العدليّة فإنّ الظّاهر من جماعة منهم الاتّحاد وظاهر أخری</w:t>
      </w:r>
      <w:r>
        <w:rPr>
          <w:rStyle w:val="FootnoteReference"/>
        </w:rPr>
        <w:footnoteReference w:id="484"/>
      </w:r>
      <w:r>
        <w:rPr>
          <w:rFonts w:ascii="Amiri" w:hAnsi="Amiri" w:eastAsia="Amiri" w:cs="Amiri"/>
          <w:lang w:bidi="ar-SA"/>
          <w:color w:val="111111"/>
          <w:sz w:val="28"/>
          <w:szCs w:val="28"/>
          <w:rtl/>
        </w:rPr>
        <w:t xml:space="preserve">الملازمة.</w:t>
      </w:r>
    </w:p>
    <w:p>
      <w:pPr>
        <w:pStyle w:val="BookText"/>
      </w:pPr>
      <w:r>
        <w:rPr>
          <w:rFonts w:ascii="Amiri" w:hAnsi="Amiri" w:eastAsia="Amiri" w:cs="Amiri"/>
          <w:lang w:bidi="ar-SA"/>
          <w:color w:val="111111"/>
          <w:sz w:val="28"/>
          <w:szCs w:val="28"/>
          <w:rtl/>
        </w:rPr>
        <w:t xml:space="preserve">وأمّا على مذهب الأشاعرة القائلين بأنّ الطّلب</w:t>
      </w:r>
      <w:r>
        <w:rPr>
          <w:rStyle w:val="FootnoteReference"/>
        </w:rPr>
        <w:footnoteReference w:id="485"/>
      </w:r>
      <w:r>
        <w:rPr>
          <w:rFonts w:ascii="Amiri" w:hAnsi="Amiri" w:eastAsia="Amiri" w:cs="Amiri"/>
          <w:lang w:bidi="ar-SA"/>
          <w:color w:val="111111"/>
          <w:sz w:val="28"/>
          <w:szCs w:val="28"/>
          <w:rtl/>
        </w:rPr>
        <w:t xml:space="preserve">غير الإرادة وأنّه مجرّد إنشاء الاقتضاء وإن لم يكن موافقاً للإرادة النفسيّة كما في الأوامر الامتحانيّة وغيرها فلا؛ إذ لا مضادّة بين الاقتضائين.</w:t>
      </w:r>
    </w:p>
    <w:p>
      <w:pPr>
        <w:pStyle w:val="BookText"/>
      </w:pPr>
      <w:r>
        <w:rPr>
          <w:rFonts w:ascii="IRNazanin" w:hAnsi="IRNazanin" w:eastAsia="IRNazanin" w:cs="IRNazanin"/>
          <w:lang w:bidi="fa-IR"/>
          <w:color w:val="111111"/>
          <w:sz w:val="28"/>
          <w:szCs w:val="28"/>
          <w:rtl/>
        </w:rPr>
        <w:t xml:space="preserve">بل يمكن أن يقال: إنّ مراد العدليّة أیضاً</w:t>
      </w:r>
      <w:r>
        <w:rPr>
          <w:rStyle w:val="FootnoteReference"/>
        </w:rPr>
        <w:footnoteReference w:id="486"/>
      </w:r>
      <w:r>
        <w:rPr>
          <w:rFonts w:ascii="IRNazanin" w:hAnsi="IRNazanin" w:eastAsia="IRNazanin" w:cs="IRNazanin"/>
          <w:lang w:bidi="fa-IR"/>
          <w:color w:val="111111"/>
          <w:sz w:val="28"/>
          <w:szCs w:val="28"/>
          <w:rtl/>
        </w:rPr>
        <w:t xml:space="preserve">من الاتّحاد الاتّحاد بالنّسبة إلى الإرادة الإنشائيّة الاقتضائيّة لا الإرادة النفسيّة فلا يتمّ الاستدلال على مذهبهم أیضاً.</w:t>
      </w:r>
    </w:p>
    <w:p>
      <w:pPr>
        <w:pStyle w:val="BookText"/>
      </w:pPr>
      <w:r>
        <w:rPr>
          <w:rFonts w:ascii="IRNazanin" w:hAnsi="IRNazanin" w:eastAsia="IRNazanin" w:cs="IRNazanin"/>
          <w:lang w:bidi="fa-IR"/>
          <w:color w:val="111111"/>
          <w:sz w:val="28"/>
          <w:szCs w:val="28"/>
          <w:rtl/>
        </w:rPr>
        <w:t xml:space="preserve">وحيث إنّ التّحقیق هو كون الطّلب عبارة عن إنشاء الاقتضاء وإن لم يكن عن إرادة نفسيّة - وإن کان الغالب كونه موافقاً لها وظاهر الحال ذلك أیضاً - فهذا الدّليل لايتمّ مطلقاً.</w:t>
      </w:r>
    </w:p>
    <w:p>
      <w:pPr>
        <w:pStyle w:val="BookText"/>
      </w:pPr>
      <w:r>
        <w:rPr>
          <w:rFonts w:ascii="IRNazanin" w:hAnsi="IRNazanin" w:eastAsia="IRNazanin" w:cs="IRNazanin"/>
          <w:lang w:bidi="fa-IR"/>
          <w:color w:val="111111"/>
          <w:sz w:val="28"/>
          <w:szCs w:val="28"/>
          <w:rtl/>
        </w:rPr>
        <w:t xml:space="preserve">فلو قلنا بجواز التکلیف بالمحال يلزمنا جواز الاجتماع في المقام كما يلزم الأشعري أیضاً.</w:t>
      </w:r>
    </w:p>
    <w:p>
      <w:pPr>
        <w:pStyle w:val="BookText"/>
      </w:pPr>
      <w:r>
        <w:rPr>
          <w:rFonts w:ascii="IRNazanin" w:hAnsi="IRNazanin" w:eastAsia="IRNazanin" w:cs="IRNazanin"/>
          <w:lang w:bidi="fa-IR"/>
          <w:color w:val="111111"/>
          <w:sz w:val="28"/>
          <w:szCs w:val="28"/>
          <w:rtl/>
        </w:rPr>
        <w:t xml:space="preserve">فتبيّن عدم تماميّة شي‌ء من الوجوه الثّلاثة حتّى على قواعد العدليّة أیضاً وإن قيل: إنّ الوجهين الأوّلين يتمّان على قواعدهم كما عرفت.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7" w:name="pg6784_51179"/>
    <w:bookmarkEnd w:id="67"/>
    <w:p>
      <w:pPr>
        <w:pStyle w:val="Heading6"/>
      </w:pPr>
      <w:bookmarkStart w:id="429" w:name="_Toc110"/>
      <w:r>
        <w:t>[الرأي المختار في کون المقام تکلیفاً محالاً]</w:t>
      </w:r>
      <w:bookmarkEnd w:id="429"/>
    </w:p>
    <w:p>
      <w:pPr>
        <w:pStyle w:val="BookText"/>
      </w:pPr>
      <w:r>
        <w:rPr>
          <w:rFonts w:ascii="IRNazanin" w:hAnsi="IRNazanin" w:eastAsia="IRNazanin" w:cs="IRNazanin"/>
          <w:lang w:bidi="fa-IR"/>
          <w:color w:val="111111"/>
          <w:sz w:val="28"/>
          <w:szCs w:val="28"/>
          <w:rtl/>
        </w:rPr>
        <w:t xml:space="preserve">هذا، ولكنّ الإنصاف أنّ اجتماع الطّلبين من حيث هما أیضاً محال وإن لم نقل بأنّ الطّلب عين الإرادة النفسيّة أو ملازم معها</w:t>
      </w:r>
      <w:r>
        <w:rPr>
          <w:rStyle w:val="FootnoteReference"/>
        </w:rPr>
        <w:footnoteReference w:id="487"/>
      </w:r>
      <w:r>
        <w:rPr>
          <w:rFonts w:ascii="IRNazanin" w:hAnsi="IRNazanin" w:eastAsia="IRNazanin" w:cs="IRNazanin"/>
          <w:lang w:bidi="fa-IR"/>
          <w:color w:val="111111"/>
          <w:sz w:val="28"/>
          <w:szCs w:val="28"/>
          <w:rtl/>
        </w:rPr>
        <w:t xml:space="preserve">بمعنى أنّ وجودهما الإنشائيين أیضاً متضادّان.</w:t>
      </w:r>
    </w:p>
    <w:p>
      <w:pPr>
        <w:pStyle w:val="BookText"/>
      </w:pPr>
      <w:r>
        <w:rPr>
          <w:rFonts w:ascii="IRNazanin" w:hAnsi="IRNazanin" w:eastAsia="IRNazanin" w:cs="IRNazanin"/>
          <w:lang w:bidi="fa-IR"/>
          <w:color w:val="111111"/>
          <w:sz w:val="28"/>
          <w:szCs w:val="28"/>
          <w:rtl/>
        </w:rPr>
        <w:t xml:space="preserve">وذلك لأنّ الإرادة الإنشائيّة تنافي الكراهة الإنشائيّة إذا كانتا حقیقيّتين في مقابل الصّوريّتين</w:t>
      </w:r>
      <w:r>
        <w:rPr>
          <w:rStyle w:val="FootnoteReference"/>
        </w:rPr>
        <w:footnoteReference w:id="488"/>
      </w:r>
    </w:p>
    <w:p>
      <w:pPr>
        <w:pStyle w:val="BookText"/>
      </w:pPr>
      <w:r>
        <w:rPr>
          <w:rFonts w:ascii="Amiri" w:hAnsi="Amiri" w:eastAsia="Amiri" w:cs="Amiri"/>
          <w:lang w:bidi="ar-SA"/>
          <w:color w:val="111111"/>
          <w:sz w:val="28"/>
          <w:szCs w:val="28"/>
          <w:rtl/>
        </w:rPr>
        <w:t xml:space="preserve">فإنّ الإرادة الإنشائية ليست محض إظهار إرادة الفعل وإن علم عدم إرادته بلالإظهار الحقيقي وإن لم يكن في الواقع مريداً فلا بدّ في تحقّقها من كونها تامّة في مقام الإظهار ومن المعلوم أنّه إذا أنشأ</w:t>
      </w:r>
      <w:r>
        <w:rPr>
          <w:rStyle w:val="FootnoteReference"/>
        </w:rPr>
        <w:footnoteReference w:id="489"/>
      </w:r>
      <w:r>
        <w:rPr>
          <w:rFonts w:ascii="Amiri" w:hAnsi="Amiri" w:eastAsia="Amiri" w:cs="Amiri"/>
          <w:lang w:bidi="ar-SA"/>
          <w:color w:val="111111"/>
          <w:sz w:val="28"/>
          <w:szCs w:val="28"/>
          <w:rtl/>
        </w:rPr>
        <w:t xml:space="preserve">الإرادة والكراهة معاً فلم ينشأ</w:t>
      </w:r>
      <w:r>
        <w:rPr>
          <w:rStyle w:val="FootnoteReference"/>
        </w:rPr>
        <w:footnoteReference w:id="490"/>
      </w:r>
      <w:r>
        <w:rPr>
          <w:rFonts w:ascii="Amiri" w:hAnsi="Amiri" w:eastAsia="Amiri" w:cs="Amiri"/>
          <w:lang w:bidi="ar-SA"/>
          <w:color w:val="111111"/>
          <w:sz w:val="28"/>
          <w:szCs w:val="28"/>
          <w:rtl/>
        </w:rPr>
        <w:t xml:space="preserve">شيئاً منهما.</w:t>
      </w:r>
    </w:p>
    <w:p>
      <w:pPr>
        <w:pStyle w:val="BookText"/>
      </w:pPr>
      <w:r>
        <w:rPr>
          <w:rFonts w:ascii="IRNazanin" w:hAnsi="IRNazanin" w:eastAsia="IRNazanin" w:cs="IRNazanin"/>
          <w:lang w:bidi="fa-IR"/>
          <w:color w:val="111111"/>
          <w:sz w:val="28"/>
          <w:szCs w:val="28"/>
          <w:rtl/>
        </w:rPr>
        <w:t xml:space="preserve">وبعبارة أخری: الطّلب هو البعث على الفعل وهو إنّما يتحقّق إذا لم يكن هناك ما ينافيه والبعث على الترك منافٍ له.</w:t>
      </w:r>
    </w:p>
    <w:p>
      <w:pPr>
        <w:pStyle w:val="BookText"/>
      </w:pPr>
      <w:r>
        <w:rPr>
          <w:rFonts w:ascii="IRNazanin" w:hAnsi="IRNazanin" w:eastAsia="IRNazanin" w:cs="IRNazanin"/>
          <w:lang w:bidi="fa-IR"/>
          <w:color w:val="111111"/>
          <w:sz w:val="28"/>
          <w:szCs w:val="28"/>
          <w:rtl/>
        </w:rPr>
        <w:t xml:space="preserve">فإذا قال: «افعل [و]</w:t>
      </w:r>
      <w:r>
        <w:rPr>
          <w:rStyle w:val="FootnoteReference"/>
        </w:rPr>
        <w:footnoteReference w:id="491"/>
      </w:r>
      <w:r>
        <w:rPr>
          <w:rFonts w:ascii="Amiri" w:hAnsi="Amiri" w:eastAsia="Amiri" w:cs="Amiri"/>
          <w:lang w:bidi="ar-SA"/>
          <w:color w:val="111111"/>
          <w:sz w:val="28"/>
          <w:szCs w:val="28"/>
          <w:rtl/>
        </w:rPr>
        <w:t xml:space="preserve">لا تفعل» في آنٍ واحد، فلم يصدر منه إلّا صورة الطّلبين ولا يصدق أنّه بعثه على الفعل وبعثه</w:t>
      </w:r>
      <w:r>
        <w:rPr>
          <w:rStyle w:val="FootnoteReference"/>
        </w:rPr>
        <w:footnoteReference w:id="492"/>
      </w:r>
      <w:r>
        <w:rPr>
          <w:rFonts w:ascii="IRNazanin" w:hAnsi="IRNazanin" w:eastAsia="IRNazanin" w:cs="IRNazanin"/>
          <w:lang w:bidi="fa-IR"/>
          <w:color w:val="111111"/>
          <w:sz w:val="28"/>
          <w:szCs w:val="28"/>
          <w:rtl/>
        </w:rPr>
        <w:t xml:space="preserve">أیضاً على الترك فلا فرق بين الإيجاب والتّحريم الإنشائيين والحقيقيّين في المضادّة.</w:t>
      </w:r>
    </w:p>
    <w:p>
      <w:pPr>
        <w:pStyle w:val="BookText"/>
      </w:pPr>
      <w:r>
        <w:rPr>
          <w:rFonts w:ascii="Amiri" w:hAnsi="Amiri" w:eastAsia="Amiri" w:cs="Amiri"/>
          <w:lang w:bidi="ar-SA"/>
          <w:color w:val="111111"/>
          <w:sz w:val="28"/>
          <w:szCs w:val="28"/>
          <w:rtl/>
        </w:rPr>
        <w:t xml:space="preserve">فحالهما حال إنشاء الفسخ والإمضاء في العقد الخياري في زمان واحد فكما لايكون فسخاً ولا إمضاء فكذا في المقام.</w:t>
      </w:r>
    </w:p>
    <w:p>
      <w:pPr>
        <w:pStyle w:val="BookText"/>
      </w:pPr>
      <w:r>
        <w:rPr>
          <w:rFonts w:ascii="Amiri" w:hAnsi="Amiri" w:eastAsia="Amiri" w:cs="Amiri"/>
          <w:lang w:bidi="ar-SA"/>
          <w:color w:val="111111"/>
          <w:sz w:val="28"/>
          <w:szCs w:val="28"/>
          <w:rtl/>
        </w:rPr>
        <w:t xml:space="preserve">وحال الإرادتين الإنشائيّتين حال إنشاء الكفر والإسلام بمعنى إظهارهما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8" w:name="pg6784_51180"/>
    <w:bookmarkEnd w:id="68"/>
    <w:p>
      <w:pPr>
        <w:pStyle w:val="BookText"/>
      </w:pPr>
      <w:r>
        <w:rPr>
          <w:rFonts w:ascii="IRNazanin" w:hAnsi="IRNazanin" w:eastAsia="IRNazanin" w:cs="IRNazanin"/>
          <w:lang w:bidi="fa-IR"/>
          <w:color w:val="111111"/>
          <w:sz w:val="28"/>
          <w:szCs w:val="28"/>
          <w:rtl/>
        </w:rPr>
        <w:t xml:space="preserve">وتعقّدهما فكما لا يمكن اجتماع الاعتقادين فکذا لا يمكن اجتماع التّعقّدين.</w:t>
      </w:r>
    </w:p>
    <w:p>
      <w:pPr>
        <w:pStyle w:val="BookText"/>
      </w:pPr>
      <w:r>
        <w:rPr>
          <w:rFonts w:ascii="Amiri" w:hAnsi="Amiri" w:eastAsia="Amiri" w:cs="Amiri"/>
          <w:lang w:bidi="ar-SA"/>
          <w:color w:val="111111"/>
          <w:sz w:val="28"/>
          <w:szCs w:val="28"/>
          <w:rtl/>
        </w:rPr>
        <w:t xml:space="preserve">فالإرادة الإنشائية إظهار إرادة قلبيّة وهو لا يتحقّق مع إظهار الخلاف.</w:t>
      </w:r>
    </w:p>
    <w:p>
      <w:pPr>
        <w:pStyle w:val="BookText"/>
      </w:pPr>
      <w:r>
        <w:rPr>
          <w:rFonts w:ascii="IRNazanin" w:hAnsi="IRNazanin" w:eastAsia="IRNazanin" w:cs="IRNazanin"/>
          <w:lang w:bidi="fa-IR"/>
          <w:color w:val="111111"/>
          <w:sz w:val="28"/>
          <w:szCs w:val="28"/>
          <w:rtl/>
        </w:rPr>
        <w:t xml:space="preserve">ومنشأ</w:t>
      </w:r>
      <w:r>
        <w:rPr>
          <w:rStyle w:val="FootnoteReference"/>
        </w:rPr>
        <w:footnoteReference w:id="493"/>
      </w:r>
      <w:r>
        <w:rPr>
          <w:rFonts w:ascii="Amiri" w:hAnsi="Amiri" w:eastAsia="Amiri" w:cs="Amiri"/>
          <w:lang w:bidi="ar-SA"/>
          <w:color w:val="111111"/>
          <w:sz w:val="28"/>
          <w:szCs w:val="28"/>
          <w:rtl/>
        </w:rPr>
        <w:t xml:space="preserve">الاشتباه الخلط بين البعث الإنشائي الحقيقي والإرادة الإنشائية الحقيقية والبعث الصّوري والإرادة الصّوريّة.</w:t>
      </w:r>
    </w:p>
    <w:p>
      <w:pPr>
        <w:pStyle w:val="BookText"/>
      </w:pPr>
      <w:r>
        <w:rPr>
          <w:rFonts w:ascii="Amiri" w:hAnsi="Amiri" w:eastAsia="Amiri" w:cs="Amiri"/>
          <w:lang w:bidi="ar-SA"/>
          <w:color w:val="111111"/>
          <w:sz w:val="28"/>
          <w:szCs w:val="28"/>
          <w:rtl/>
        </w:rPr>
        <w:t xml:space="preserve">فعدم المضادّة إنّما يسلّم بين الصّوريين منهما لا بين الحقيقيين</w:t>
      </w:r>
      <w:r>
        <w:rPr>
          <w:rStyle w:val="FootnoteReference"/>
        </w:rPr>
        <w:footnoteReference w:id="494"/>
      </w:r>
      <w:r>
        <w:rPr>
          <w:rFonts w:ascii="IRNazanin" w:hAnsi="IRNazanin" w:eastAsia="IRNazanin" w:cs="IRNazanin"/>
          <w:lang w:bidi="fa-IR"/>
          <w:color w:val="111111"/>
          <w:sz w:val="28"/>
          <w:szCs w:val="28"/>
          <w:rtl/>
        </w:rPr>
        <w:t xml:space="preserve">ومن المعلوم أنّ الأمر الصّوري ليس أمراً، والأوامر الامتحانية أوامر حقیقيّة لا صوريّة على ما بيّن في محلّه وإن تخيّل بعضهم كونها صوريّة.</w:t>
      </w:r>
    </w:p>
    <w:p>
      <w:pPr>
        <w:pStyle w:val="BookText"/>
      </w:pPr>
      <w:r>
        <w:rPr>
          <w:rFonts w:ascii="Amiri" w:hAnsi="Amiri" w:eastAsia="Amiri" w:cs="Amiri"/>
          <w:lang w:bidi="ar-SA"/>
          <w:color w:val="111111"/>
          <w:sz w:val="28"/>
          <w:szCs w:val="28"/>
          <w:rtl/>
        </w:rPr>
        <w:t xml:space="preserve">نعم هي صوريّة في مقابل الأوامر الواقعيّة وإلّا ففي مقام البعث والطّلب هي تامّة.</w:t>
      </w:r>
    </w:p>
    <w:p>
      <w:pPr>
        <w:pStyle w:val="BookText"/>
      </w:pPr>
      <w:r>
        <w:rPr>
          <w:rFonts w:ascii="Amiri" w:hAnsi="Amiri" w:eastAsia="Amiri" w:cs="Amiri"/>
          <w:lang w:bidi="ar-SA"/>
          <w:color w:val="111111"/>
          <w:sz w:val="28"/>
          <w:szCs w:val="28"/>
          <w:rtl/>
        </w:rPr>
        <w:t xml:space="preserve">وبالجملة لو قال: «صم غداً و</w:t>
      </w:r>
      <w:r>
        <w:rPr>
          <w:rStyle w:val="FootnoteReference"/>
        </w:rPr>
        <w:footnoteReference w:id="495"/>
      </w:r>
      <w:r>
        <w:rPr>
          <w:rFonts w:ascii="IRNazanin" w:hAnsi="IRNazanin" w:eastAsia="IRNazanin" w:cs="IRNazanin"/>
          <w:lang w:bidi="fa-IR"/>
          <w:color w:val="111111"/>
          <w:sz w:val="28"/>
          <w:szCs w:val="28"/>
          <w:rtl/>
        </w:rPr>
        <w:t xml:space="preserve">لا تصم غداً» فلم يحدث منه إلّا صورة الطّلبين لاحقیقتهما.</w:t>
      </w:r>
    </w:p>
    <w:p>
      <w:pPr>
        <w:pStyle w:val="BookText"/>
      </w:pPr>
      <w:r>
        <w:rPr>
          <w:rFonts w:ascii="Amiri" w:hAnsi="Amiri" w:eastAsia="Amiri" w:cs="Amiri"/>
          <w:lang w:bidi="ar-SA"/>
          <w:color w:val="111111"/>
          <w:sz w:val="28"/>
          <w:szCs w:val="28"/>
          <w:rtl/>
        </w:rPr>
        <w:t xml:space="preserve">وكذا لو أشار بيده اليمنى «افعل» وبيده اليسرى «لا تفعل» لم يظهر إرادة الفعل ولا التّرك إلّا صورة.</w:t>
      </w:r>
    </w:p>
    <w:p>
      <w:pPr>
        <w:pStyle w:val="BookText"/>
      </w:pPr>
      <w:r>
        <w:rPr>
          <w:rFonts w:ascii="IRNazanin" w:hAnsi="IRNazanin" w:eastAsia="IRNazanin" w:cs="IRNazanin"/>
          <w:lang w:bidi="fa-IR"/>
          <w:color w:val="111111"/>
          <w:sz w:val="28"/>
          <w:szCs w:val="28"/>
          <w:rtl/>
        </w:rPr>
        <w:t xml:space="preserve">فحقیقة الطّلبين ولو بوجودهما الإنشائيين متضادّتان</w:t>
      </w:r>
      <w:r>
        <w:rPr>
          <w:rStyle w:val="FootnoteReference"/>
        </w:rPr>
        <w:footnoteReference w:id="496"/>
      </w:r>
      <w:r>
        <w:rPr>
          <w:rFonts w:ascii="Amiri" w:hAnsi="Amiri" w:eastAsia="Amiri" w:cs="Amiri"/>
          <w:lang w:bidi="ar-SA"/>
          <w:color w:val="111111"/>
          <w:sz w:val="28"/>
          <w:szCs w:val="28"/>
          <w:rtl/>
        </w:rPr>
        <w:t xml:space="preserve">لا يمكن إيجادهما</w:t>
      </w:r>
      <w:r>
        <w:rPr>
          <w:rStyle w:val="FootnoteReference"/>
        </w:rPr>
        <w:footnoteReference w:id="497"/>
      </w:r>
      <w:r>
        <w:rPr>
          <w:rFonts w:ascii="Amiri" w:hAnsi="Amiri" w:eastAsia="Amiri" w:cs="Amiri"/>
          <w:lang w:bidi="ar-SA"/>
          <w:color w:val="111111"/>
          <w:sz w:val="28"/>
          <w:szCs w:val="28"/>
          <w:rtl/>
        </w:rPr>
        <w:t xml:space="preserve">فتدبّر.</w:t>
      </w:r>
    </w:p>
    <w:p>
      <w:pPr>
        <w:pStyle w:val="Heading6"/>
      </w:pPr>
      <w:bookmarkStart w:id="430" w:name="_Toc111"/>
      <w:r>
        <w:t>[الوجه الثاني لعدم الملازمة و استحالة التکلیف]</w:t>
      </w:r>
      <w:bookmarkEnd w:id="430"/>
    </w:p>
    <w:p>
      <w:pPr>
        <w:pStyle w:val="Heading6"/>
      </w:pPr>
      <w:bookmarkStart w:id="431" w:name="_Toc112"/>
      <w:r>
        <w:t>اشارة</w:t>
      </w:r>
      <w:bookmarkEnd w:id="431"/>
    </w:p>
    <w:p>
      <w:pPr>
        <w:pStyle w:val="BookText"/>
      </w:pPr>
      <w:r>
        <w:rPr>
          <w:rFonts w:ascii="IRNazanin" w:hAnsi="IRNazanin" w:eastAsia="IRNazanin" w:cs="IRNazanin"/>
          <w:lang w:bidi="fa-IR"/>
          <w:color w:val="111111"/>
          <w:sz w:val="28"/>
          <w:szCs w:val="28"/>
          <w:rtl/>
        </w:rPr>
        <w:t xml:space="preserve">الثاني من وجهي منع الملازمة بين تجويز التکلیف بالمحال وتجويز الاجتماع في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المجال ما عن شيخ مشايخنا المحقّق</w:t>
      </w:r>
      <w:r>
        <w:rPr>
          <w:rStyle w:val="FootnoteReference"/>
        </w:rPr>
        <w:footnoteReference w:id="498"/>
      </w:r>
      <w:r>
        <w:rPr>
          <w:rFonts w:ascii="Amiri" w:hAnsi="Amiri" w:eastAsia="Amiri" w:cs="Amiri"/>
          <w:lang w:bidi="ar-SA"/>
          <w:color w:val="111111"/>
          <w:sz w:val="28"/>
          <w:szCs w:val="28"/>
          <w:rtl/>
        </w:rPr>
        <w:t xml:space="preserve">الشّريف</w:t>
      </w:r>
      <w:r>
        <w:rPr>
          <w:rStyle w:val="FootnoteReference"/>
        </w:rPr>
        <w:footnoteReference w:id="499"/>
      </w:r>
      <w:r>
        <w:rPr>
          <w:rFonts w:ascii="Amiri" w:hAnsi="Amiri" w:eastAsia="Amiri" w:cs="Amiri"/>
          <w:lang w:bidi="ar-SA"/>
          <w:color w:val="111111"/>
          <w:sz w:val="28"/>
          <w:szCs w:val="28"/>
          <w:rtl/>
        </w:rPr>
        <w:t xml:space="preserve">قدّس سرّه اللّطيف وتبعه بعض آخر</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أنّ القائلين بجواز التکلیف بالمحال لا يجوّزون کلّ تکلیف بالمحال بل إنّهم قائلون به فيما لا يكون تکلیفاً بالمحال عند غيرهم؛ لأنّهم قائلون بالجبر فيجعلونجميع التكاليف تکلیفاً بالمحال فالنّزاع بينهم وبين المانعين صغرويّ.</w:t>
      </w:r>
    </w:p>
    <w:p>
      <w:pPr>
        <w:pStyle w:val="BookText"/>
      </w:pPr>
      <w:r>
        <w:rPr>
          <w:rFonts w:ascii="IRNazanin" w:hAnsi="IRNazanin" w:eastAsia="IRNazanin" w:cs="IRNazanin"/>
          <w:lang w:bidi="fa-IR"/>
          <w:color w:val="111111"/>
          <w:sz w:val="28"/>
          <w:szCs w:val="28"/>
          <w:rtl/>
        </w:rPr>
        <w:t xml:space="preserve">فما يكون محالاً عند العدليّة كالطّيران إلى السّماء والجمع بين الضدّين لا يجوّزون التکلیف به، فلا يلزم من قولهم بجوازه القول بالجواز فيما نحن فيه.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9" w:name="pg6784_51182"/>
    <w:bookmarkEnd w:id="69"/>
    <w:p>
      <w:pPr>
        <w:pStyle w:val="Heading6"/>
      </w:pPr>
      <w:bookmarkStart w:id="432" w:name="_Toc113"/>
      <w:r>
        <w:t>[إیراد في الوجه الثاني لعدم الملازمة]</w:t>
      </w:r>
      <w:bookmarkEnd w:id="432"/>
    </w:p>
    <w:p>
      <w:pPr>
        <w:pStyle w:val="BookText"/>
      </w:pPr>
      <w:r>
        <w:rPr>
          <w:rFonts w:ascii="Amiri" w:hAnsi="Amiri" w:eastAsia="Amiri" w:cs="Amiri"/>
          <w:lang w:bidi="ar-SA"/>
          <w:color w:val="111111"/>
          <w:sz w:val="28"/>
          <w:szCs w:val="28"/>
          <w:rtl/>
        </w:rPr>
        <w:t xml:space="preserve">وفيه: أنّ هذا منافٍ لما نقله صاحب المعالم</w:t>
      </w:r>
      <w:r>
        <w:rPr>
          <w:rStyle w:val="FootnoteReference"/>
        </w:rPr>
        <w:footnoteReference w:id="501"/>
      </w:r>
      <w:r>
        <w:rPr>
          <w:rFonts w:ascii="IRNazanin" w:hAnsi="IRNazanin" w:eastAsia="IRNazanin" w:cs="IRNazanin"/>
          <w:lang w:bidi="fa-IR"/>
          <w:color w:val="111111"/>
          <w:sz w:val="28"/>
          <w:szCs w:val="28"/>
          <w:rtl/>
        </w:rPr>
        <w:t xml:space="preserve">عن بعضهم من التّعليل لعدم الجواز فيما نحن فيه بأنّه تکلیف محال لا تکلیف بالمحال.</w:t>
      </w:r>
    </w:p>
    <w:p>
      <w:pPr>
        <w:pStyle w:val="BookText"/>
      </w:pPr>
      <w:r>
        <w:rPr>
          <w:rFonts w:ascii="Amiri" w:hAnsi="Amiri" w:eastAsia="Amiri" w:cs="Amiri"/>
          <w:lang w:bidi="ar-SA"/>
          <w:color w:val="111111"/>
          <w:sz w:val="28"/>
          <w:szCs w:val="28"/>
          <w:rtl/>
        </w:rPr>
        <w:t xml:space="preserve">ولما يظهر من الأقوال في تلك المسألة حيث إنّ المنقول فيها أربعة أقوال:</w:t>
      </w:r>
    </w:p>
    <w:p>
      <w:pPr>
        <w:pStyle w:val="BookText"/>
      </w:pPr>
      <w:r>
        <w:rPr>
          <w:rFonts w:ascii="IRNazanin" w:hAnsi="IRNazanin" w:eastAsia="IRNazanin" w:cs="IRNazanin"/>
          <w:lang w:bidi="fa-IR"/>
          <w:color w:val="111111"/>
          <w:sz w:val="28"/>
          <w:szCs w:val="28"/>
          <w:rtl/>
        </w:rPr>
        <w:t xml:space="preserve">[1]. قول بالجواز مطلقاً.</w:t>
      </w:r>
    </w:p>
    <w:p>
      <w:pPr>
        <w:pStyle w:val="BookText"/>
      </w:pPr>
      <w:r>
        <w:rPr>
          <w:rFonts w:ascii="IRNazanin" w:hAnsi="IRNazanin" w:eastAsia="IRNazanin" w:cs="IRNazanin"/>
          <w:lang w:bidi="fa-IR"/>
          <w:color w:val="111111"/>
          <w:sz w:val="28"/>
          <w:szCs w:val="28"/>
          <w:rtl/>
        </w:rPr>
        <w:t xml:space="preserve">[2]. وقول بالمنع مطلقاً.</w:t>
      </w:r>
    </w:p>
    <w:p>
      <w:pPr>
        <w:pStyle w:val="BookText"/>
      </w:pPr>
      <w:r>
        <w:rPr>
          <w:rFonts w:ascii="Amiri" w:hAnsi="Amiri" w:eastAsia="Amiri" w:cs="Amiri"/>
          <w:lang w:bidi="ar-SA"/>
          <w:color w:val="111111"/>
          <w:sz w:val="28"/>
          <w:szCs w:val="28"/>
          <w:rtl/>
        </w:rPr>
        <w:t xml:space="preserve">[3]. وقول بالجواز في المحال العرضي وعدمه في المحال الذّاتي كالجمع بين الضدّين.</w:t>
      </w:r>
    </w:p>
    <w:p>
      <w:pPr>
        <w:pStyle w:val="BookText"/>
      </w:pPr>
      <w:r>
        <w:rPr>
          <w:rFonts w:ascii="IRNazanin" w:hAnsi="IRNazanin" w:eastAsia="IRNazanin" w:cs="IRNazanin"/>
          <w:lang w:bidi="fa-IR"/>
          <w:color w:val="111111"/>
          <w:sz w:val="28"/>
          <w:szCs w:val="28"/>
          <w:rtl/>
        </w:rPr>
        <w:t xml:space="preserve">[4]. وقول بالجواز إذا كانت الاستحالة من سوء اختيار المکلّف فإنّ الظاهر من التّفصيل بين الذّاتي والعرضي أنّ القائل بالجواز مطلقاً يقول به حتّى في مثل الجمع بالضدّين.</w:t>
      </w:r>
    </w:p>
    <w:p>
      <w:pPr>
        <w:pStyle w:val="BookText"/>
      </w:pPr>
      <w:r>
        <w:rPr>
          <w:rFonts w:ascii="IRNazanin" w:hAnsi="IRNazanin" w:eastAsia="IRNazanin" w:cs="IRNazanin"/>
          <w:lang w:bidi="fa-IR"/>
          <w:color w:val="111111"/>
          <w:sz w:val="28"/>
          <w:szCs w:val="28"/>
          <w:rtl/>
        </w:rPr>
        <w:t xml:space="preserve">هذا مع أنّ مقتضى استدلالاتهم ذلك مع أنّه إذا كان التکلیف بالمحال جائزاً فلا فرق بين أقسام المحال فلازم کلامهم التّجويز في المقام وإن لم يقولوا به وليس المقصود أنّهم قائلون بالجواز بل كونه لازماً لمذهبهم. فتدبّر.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0" w:name="pg6784_51183"/>
    <w:bookmarkEnd w:id="70"/>
    <w:p>
      <w:pPr>
        <w:pStyle w:val="Heading6"/>
      </w:pPr>
      <w:bookmarkStart w:id="433" w:name="_Toc114"/>
      <w:r>
        <w:t>[بقى هنا أمور:]</w:t>
      </w:r>
      <w:bookmarkEnd w:id="433"/>
    </w:p>
    <w:p>
      <w:pPr>
        <w:pStyle w:val="Heading6"/>
      </w:pPr>
      <w:bookmarkStart w:id="434" w:name="_Toc115"/>
      <w:r>
        <w:t>اشارة</w:t>
      </w:r>
      <w:bookmarkEnd w:id="434"/>
    </w:p>
    <w:p>
      <w:pPr>
        <w:pStyle w:val="BookText"/>
      </w:pPr>
      <w:r>
        <w:rPr>
          <w:rFonts w:ascii="IRNazanin" w:hAnsi="IRNazanin" w:eastAsia="IRNazanin" w:cs="IRNazanin"/>
          <w:lang w:bidi="fa-IR"/>
          <w:color w:val="111111"/>
          <w:sz w:val="28"/>
          <w:szCs w:val="28"/>
          <w:rtl/>
        </w:rPr>
        <w:t xml:space="preserve">بقى هنا</w:t>
      </w:r>
      <w:r>
        <w:rPr>
          <w:rStyle w:val="FootnoteReference"/>
        </w:rPr>
        <w:footnoteReference w:id="502"/>
      </w:r>
      <w:r>
        <w:rPr>
          <w:rFonts w:ascii="IRNazanin" w:hAnsi="IRNazanin" w:eastAsia="IRNazanin" w:cs="IRNazanin"/>
          <w:lang w:bidi="fa-IR"/>
          <w:color w:val="111111"/>
          <w:sz w:val="28"/>
          <w:szCs w:val="28"/>
          <w:rtl/>
        </w:rPr>
        <w:t xml:space="preserve">أمور</w:t>
      </w:r>
    </w:p>
    <w:p>
      <w:pPr>
        <w:pStyle w:val="Heading6"/>
      </w:pPr>
      <w:bookmarkStart w:id="435" w:name="_Toc116"/>
      <w:r>
        <w:t>[الأمر الأوّل: في توارد الأمر والنهي على المتباينين إذا لم یکونا متلازمین]</w:t>
      </w:r>
      <w:bookmarkEnd w:id="435"/>
    </w:p>
    <w:p>
      <w:pPr>
        <w:pStyle w:val="BookText"/>
      </w:pPr>
      <w:r>
        <w:rPr>
          <w:rFonts w:ascii="Amiri" w:hAnsi="Amiri" w:eastAsia="Amiri" w:cs="Amiri"/>
          <w:lang w:bidi="ar-SA"/>
          <w:color w:val="111111"/>
          <w:sz w:val="28"/>
          <w:szCs w:val="28"/>
          <w:rtl/>
        </w:rPr>
        <w:t xml:space="preserve">الأوّل: قد عرفت أنّ توارد الأمر والنّهي على المتباينين جائز إذا لم يكونا متلازمين وغير جائز إذا كانا كذلك وأنّه خارج عن النّزاع، مع أنّه ليس باجتماع؛ لأنّ المتعلّق والمحلّ متعدّد.</w:t>
      </w:r>
    </w:p>
    <w:p>
      <w:pPr>
        <w:pStyle w:val="BookText"/>
      </w:pPr>
      <w:r>
        <w:rPr>
          <w:rFonts w:ascii="IRNazanin" w:hAnsi="IRNazanin" w:eastAsia="IRNazanin" w:cs="IRNazanin"/>
          <w:lang w:bidi="fa-IR"/>
          <w:color w:val="111111"/>
          <w:sz w:val="28"/>
          <w:szCs w:val="28"/>
          <w:rtl/>
        </w:rPr>
        <w:t xml:space="preserve">لكن لا يخفى أنّه إذا كان التّلازم جزئياً بمعنى كونه في بعض الموادّ أو بالنّسبة إلى بعض الأفراد كما إذا قال: «أکرم زيداً ولا تكرم عمرواً» وكان بعض أفراد إکرام زيد ملازماً لإکرام عمرو، أو قال: «أکرم العادل ولا تكرم الفاسق» وكان إکرام زيد العادل ملازماً لإکرام عمرو الفاسق وإن لم يكن تلازم بين سائر أفرادهما فهذه الصّورة خارجة عن مسألة الاجتماع؛ لأنّ المفروض أنّ إکرام زيد غير إکرام عمرو لا أنّ الإکرام الواحد إکرام لهما إلّا أنّها</w:t>
      </w:r>
      <w:r>
        <w:rPr>
          <w:rStyle w:val="FootnoteReference"/>
        </w:rPr>
        <w:footnoteReference w:id="503"/>
      </w:r>
      <w:r>
        <w:rPr>
          <w:rFonts w:ascii="Amiri" w:hAnsi="Amiri" w:eastAsia="Amiri" w:cs="Amiri"/>
          <w:lang w:bidi="ar-SA"/>
          <w:color w:val="111111"/>
          <w:sz w:val="28"/>
          <w:szCs w:val="28"/>
          <w:rtl/>
        </w:rPr>
        <w:t xml:space="preserve">داخلة</w:t>
      </w:r>
      <w:r>
        <w:rPr>
          <w:rStyle w:val="FootnoteReference"/>
        </w:rPr>
        <w:footnoteReference w:id="504"/>
      </w:r>
      <w:r>
        <w:rPr>
          <w:rFonts w:ascii="Amiri" w:hAnsi="Amiri" w:eastAsia="Amiri" w:cs="Amiri"/>
          <w:lang w:bidi="ar-SA"/>
          <w:color w:val="111111"/>
          <w:sz w:val="28"/>
          <w:szCs w:val="28"/>
          <w:rtl/>
        </w:rPr>
        <w:t xml:space="preserve">في مناط النّزاع بمعنى أنّ بعض مناطاته جارٍ فيها.</w:t>
      </w:r>
    </w:p>
    <w:p>
      <w:pPr>
        <w:pStyle w:val="BookText"/>
      </w:pPr>
      <w:r>
        <w:rPr>
          <w:rFonts w:ascii="IRNazanin" w:hAnsi="IRNazanin" w:eastAsia="IRNazanin" w:cs="IRNazanin"/>
          <w:lang w:bidi="fa-IR"/>
          <w:color w:val="111111"/>
          <w:sz w:val="28"/>
          <w:szCs w:val="28"/>
          <w:rtl/>
        </w:rPr>
        <w:t xml:space="preserve">فإنّه لو قلنا: إنّ مناط عدم الجواز في محلّ النزاع هو كون التکلیف محالاً فليس بجارٍ فيها لتعدّد المتعلّق لكن لو كان المناط كونه تکلیفاً بالمحال فهو جارٍ فيها؛ إذ الأمر بهذا الإکرام مع النّهي عن ذاك غير جائز مع كونهما متلازمين.</w:t>
      </w:r>
    </w:p>
    <w:p>
      <w:pPr>
        <w:pStyle w:val="BookText"/>
      </w:pPr>
      <w:r>
        <w:rPr>
          <w:rFonts w:ascii="Amiri" w:hAnsi="Amiri" w:eastAsia="Amiri" w:cs="Amiri"/>
          <w:lang w:bidi="ar-SA"/>
          <w:color w:val="111111"/>
          <w:sz w:val="28"/>
          <w:szCs w:val="28"/>
          <w:rtl/>
        </w:rPr>
        <w:t xml:space="preserve">وكذا ما يقولون من</w:t>
      </w:r>
      <w:r>
        <w:rPr>
          <w:rStyle w:val="FootnoteReference"/>
        </w:rPr>
        <w:footnoteReference w:id="505"/>
      </w:r>
      <w:r>
        <w:rPr>
          <w:rFonts w:ascii="Amiri" w:hAnsi="Amiri" w:eastAsia="Amiri" w:cs="Amiri"/>
          <w:lang w:bidi="ar-SA"/>
          <w:color w:val="111111"/>
          <w:sz w:val="28"/>
          <w:szCs w:val="28"/>
          <w:rtl/>
        </w:rPr>
        <w:t xml:space="preserve">أنّ الفرد المجمع إمّا داخل في متعلّق الأمر أو في متعلّق النّهي ولا يمكن أن يكون داخلاً فيهما؛ لأنّه إمّا مشتمل على المصلحة أو على المفسدة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1" w:name="pg6784_51184"/>
    <w:bookmarkEnd w:id="71"/>
    <w:p>
      <w:pPr>
        <w:pStyle w:val="BookText"/>
      </w:pPr>
      <w:r>
        <w:rPr>
          <w:rFonts w:ascii="IRNazanin" w:hAnsi="IRNazanin" w:eastAsia="IRNazanin" w:cs="IRNazanin"/>
          <w:lang w:bidi="fa-IR"/>
          <w:color w:val="111111"/>
          <w:sz w:val="28"/>
          <w:szCs w:val="28"/>
          <w:rtl/>
        </w:rPr>
        <w:t xml:space="preserve">فإنّ نظيره جارٍ في المقام أیضاً، فإنّ هذا الإکرام الملازم لإکرام عمرو مع كونه ملازماً للحرام إمّا مشتمل على المصلحة أو على المفسدة فلا بدّ إمّا من عدم شمول النّهي لإکرام عمرو أو عدم شمول الأمر لإکرام زيد.</w:t>
      </w:r>
    </w:p>
    <w:p>
      <w:pPr>
        <w:pStyle w:val="BookText"/>
      </w:pPr>
      <w:r>
        <w:rPr>
          <w:rFonts w:ascii="Amiri" w:hAnsi="Amiri" w:eastAsia="Amiri" w:cs="Amiri"/>
          <w:lang w:bidi="ar-SA"/>
          <w:color w:val="111111"/>
          <w:sz w:val="28"/>
          <w:szCs w:val="28"/>
          <w:rtl/>
        </w:rPr>
        <w:t xml:space="preserve">ومن قبيل ما ذكرنا ما لو كان الصّلاة في موضع ملازمة للنّظر إلى الأجنبيّة بحيث لو صلّى فيه كان مضطرّاً إلى النّظر إليها فهذا الفرد من الصّلاة لا يمكن أن يكون مأموراً به على القول بعدم جواز الاجتماع وإن لم يكن من الاجتماع المصداقي.</w:t>
      </w:r>
    </w:p>
    <w:p>
      <w:pPr>
        <w:pStyle w:val="BookText"/>
      </w:pPr>
      <w:r>
        <w:rPr>
          <w:rFonts w:ascii="Amiri" w:hAnsi="Amiri" w:eastAsia="Amiri" w:cs="Amiri"/>
          <w:lang w:bidi="ar-SA"/>
          <w:color w:val="111111"/>
          <w:sz w:val="28"/>
          <w:szCs w:val="28"/>
          <w:rtl/>
        </w:rPr>
        <w:t xml:space="preserve">هذا إذا لم تكن</w:t>
      </w:r>
      <w:r>
        <w:rPr>
          <w:rStyle w:val="FootnoteReference"/>
        </w:rPr>
        <w:footnoteReference w:id="506"/>
      </w:r>
      <w:r>
        <w:rPr>
          <w:rFonts w:ascii="Amiri" w:hAnsi="Amiri" w:eastAsia="Amiri" w:cs="Amiri"/>
          <w:lang w:bidi="ar-SA"/>
          <w:color w:val="111111"/>
          <w:sz w:val="28"/>
          <w:szCs w:val="28"/>
          <w:rtl/>
        </w:rPr>
        <w:t xml:space="preserve">الصّلاة علّة للنّظر بل كانا متلازمين في الوجود وإلّا فيدخل في محلّ النّزاع من حيث إنّ علّة الحرام حرام إذا قلنا به</w:t>
      </w:r>
      <w:r>
        <w:rPr>
          <w:rStyle w:val="FootnoteReference"/>
        </w:rPr>
        <w:footnoteReference w:id="507"/>
      </w:r>
      <w:r>
        <w:rPr>
          <w:rFonts w:ascii="Amiri" w:hAnsi="Amiri" w:eastAsia="Amiri" w:cs="Amiri"/>
          <w:lang w:bidi="ar-SA"/>
          <w:color w:val="111111"/>
          <w:sz w:val="28"/>
          <w:szCs w:val="28"/>
          <w:rtl/>
        </w:rPr>
        <w:t xml:space="preserve">وإلّا فلا فرق بين الصّورتين.</w:t>
      </w:r>
    </w:p>
    <w:p>
      <w:pPr>
        <w:pStyle w:val="Heading6"/>
      </w:pPr>
      <w:bookmarkStart w:id="436" w:name="_Toc117"/>
      <w:r>
        <w:t>[الأمر الثاني: فيما يتعلّق بكون متعلّق الأمر والنهي عامّين من وجه أو المطلق]</w:t>
      </w:r>
      <w:bookmarkEnd w:id="436"/>
    </w:p>
    <w:p>
      <w:pPr>
        <w:pStyle w:val="BookText"/>
      </w:pPr>
      <w:r>
        <w:rPr>
          <w:rFonts w:ascii="IRNazanin" w:hAnsi="IRNazanin" w:eastAsia="IRNazanin" w:cs="IRNazanin"/>
          <w:lang w:bidi="fa-IR"/>
          <w:color w:val="111111"/>
          <w:sz w:val="28"/>
          <w:szCs w:val="28"/>
          <w:rtl/>
        </w:rPr>
        <w:t xml:space="preserve">الثاني: أنّ ما ذكرنا من عدم دخول العامّين من وجه أو المطلق في النزاع إذا كان أفرادهما منحصرة في المجمع لأنّه اجتماع آمريّ إنّما هو إذا لم يكن الانحصار من سوء اختيار المکلّف وإلّا كمسألة من توسّط أرضاً مغصوبة حيث إنّه مأمور بالتخلّص عن الغصب الّذي لا يمكن إلّا بارتكابه.</w:t>
      </w:r>
    </w:p>
    <w:p>
      <w:pPr>
        <w:pStyle w:val="BookText"/>
      </w:pPr>
      <w:r>
        <w:rPr>
          <w:rFonts w:ascii="IRNazanin" w:hAnsi="IRNazanin" w:eastAsia="IRNazanin" w:cs="IRNazanin"/>
          <w:lang w:bidi="fa-IR"/>
          <w:color w:val="111111"/>
          <w:sz w:val="28"/>
          <w:szCs w:val="28"/>
          <w:rtl/>
        </w:rPr>
        <w:t xml:space="preserve">فإن قلنا: إنّ الامتناع بالاختيار ينافي الاختيار خطاباً، فهو خارج أیضاً وإلّا فداخل في النّزاع، بمعنى أنّا إذا جوّزنا الخطاب مع كون الامتناع من سوء اختيار المکلّف فلا يلزمنا جواز الاجتماع في المقام إلّا إذا قلنا بجواز اجتماع الأمر والنّهي؛ إذ على القول بعدم الجواز لأنّه تکلیف محال لا يجوز هذا التکلیف وإن قلنا إنّ الامتناع بالاختيار لاينافيه خطاباً.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2" w:name="pg6784_51185"/>
    <w:bookmarkEnd w:id="72"/>
    <w:p>
      <w:pPr>
        <w:pStyle w:val="BookText"/>
      </w:pPr>
      <w:r>
        <w:rPr>
          <w:rFonts w:ascii="Amiri" w:hAnsi="Amiri" w:eastAsia="Amiri" w:cs="Amiri"/>
          <w:lang w:bidi="ar-SA"/>
          <w:color w:val="111111"/>
          <w:sz w:val="28"/>
          <w:szCs w:val="28"/>
          <w:rtl/>
        </w:rPr>
        <w:t xml:space="preserve">وحيث إنّ المحقّق القمي</w:t>
      </w:r>
      <w:r>
        <w:rPr>
          <w:rStyle w:val="FootnoteReference"/>
        </w:rPr>
        <w:footnoteReference w:id="508"/>
      </w:r>
      <w:r>
        <w:rPr>
          <w:rFonts w:ascii="IRNazanin" w:hAnsi="IRNazanin" w:eastAsia="IRNazanin" w:cs="IRNazanin"/>
          <w:lang w:bidi="fa-IR"/>
          <w:color w:val="111111"/>
          <w:sz w:val="28"/>
          <w:szCs w:val="28"/>
          <w:rtl/>
        </w:rPr>
        <w:t xml:space="preserve">(قدس‌سره) قائل بجواز الاجتماع وبعدم المنافاة في تلك المسألة التزم بأنّه مکلّف بالخروج ومنهي عنه من حيث إنّه غصب وقد أشرنا إلى ذلك سابقاً.</w:t>
      </w:r>
    </w:p>
    <w:p>
      <w:pPr>
        <w:pStyle w:val="Heading6"/>
      </w:pPr>
      <w:bookmarkStart w:id="437" w:name="_Toc118"/>
      <w:r>
        <w:t>[الأمر الثالث: فيما ذكره من دخول العامّ المطلق في محلّ النزاع]</w:t>
      </w:r>
      <w:bookmarkEnd w:id="437"/>
    </w:p>
    <w:p>
      <w:pPr>
        <w:pStyle w:val="Heading6"/>
      </w:pPr>
      <w:bookmarkStart w:id="438" w:name="_Toc119"/>
      <w:r>
        <w:t>اشارة</w:t>
      </w:r>
      <w:bookmarkEnd w:id="438"/>
    </w:p>
    <w:p>
      <w:pPr>
        <w:pStyle w:val="BookText"/>
      </w:pPr>
      <w:r>
        <w:rPr>
          <w:rFonts w:ascii="IRNazanin" w:hAnsi="IRNazanin" w:eastAsia="IRNazanin" w:cs="IRNazanin"/>
          <w:lang w:bidi="fa-IR"/>
          <w:color w:val="111111"/>
          <w:sz w:val="28"/>
          <w:szCs w:val="28"/>
          <w:rtl/>
        </w:rPr>
        <w:t xml:space="preserve">الثّالث: ما ذكرنا من دخول العامّ المطلق في محلّ النزاع، هو المصرّح به في کلام بعضهم كالفاضل الشّيرازي</w:t>
      </w:r>
      <w:r>
        <w:rPr>
          <w:rStyle w:val="FootnoteReference"/>
        </w:rPr>
        <w:footnoteReference w:id="509"/>
      </w:r>
      <w:r>
        <w:rPr>
          <w:rFonts w:ascii="Amiri" w:hAnsi="Amiri" w:eastAsia="Amiri" w:cs="Amiri"/>
          <w:lang w:bidi="ar-SA"/>
          <w:color w:val="111111"/>
          <w:sz w:val="28"/>
          <w:szCs w:val="28"/>
          <w:rtl/>
        </w:rPr>
        <w:t xml:space="preserve">حيث اعترض على العضدي في قوله بتخصيص الدّعوى بالعامّين من وجه</w:t>
      </w:r>
      <w:r>
        <w:rPr>
          <w:rStyle w:val="FootnoteReference"/>
        </w:rPr>
        <w:footnoteReference w:id="510"/>
      </w:r>
      <w:r>
        <w:rPr>
          <w:rFonts w:ascii="Amiri" w:hAnsi="Amiri" w:eastAsia="Amiri" w:cs="Amiri"/>
          <w:lang w:bidi="ar-SA"/>
          <w:color w:val="111111"/>
          <w:sz w:val="28"/>
          <w:szCs w:val="28"/>
          <w:rtl/>
        </w:rPr>
        <w:t xml:space="preserve">وهو الظاهر من جمال المحقّقين</w:t>
      </w:r>
      <w:r>
        <w:rPr>
          <w:rStyle w:val="FootnoteReference"/>
        </w:rPr>
        <w:footnoteReference w:id="511"/>
      </w:r>
      <w:r>
        <w:rPr>
          <w:rFonts w:ascii="IRNazanin" w:hAnsi="IRNazanin" w:eastAsia="IRNazanin" w:cs="IRNazanin"/>
          <w:lang w:bidi="fa-IR"/>
          <w:color w:val="111111"/>
          <w:sz w:val="28"/>
          <w:szCs w:val="28"/>
          <w:rtl/>
        </w:rPr>
        <w:t xml:space="preserve">وغيره وإن کان مقتضى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3" w:name="pg6784_51186"/>
    <w:bookmarkEnd w:id="73"/>
    <w:p>
      <w:pPr>
        <w:pStyle w:val="BookText"/>
      </w:pPr>
      <w:r>
        <w:rPr>
          <w:rFonts w:ascii="Amiri" w:hAnsi="Amiri" w:eastAsia="Amiri" w:cs="Amiri"/>
          <w:lang w:bidi="ar-SA"/>
          <w:color w:val="111111"/>
          <w:sz w:val="28"/>
          <w:szCs w:val="28"/>
          <w:rtl/>
        </w:rPr>
        <w:t xml:space="preserve">ظاهر الحاجبي</w:t>
      </w:r>
      <w:r>
        <w:rPr>
          <w:rStyle w:val="FootnoteReference"/>
        </w:rPr>
        <w:footnoteReference w:id="512"/>
      </w:r>
      <w:r>
        <w:rPr>
          <w:rFonts w:ascii="Amiri" w:hAnsi="Amiri" w:eastAsia="Amiri" w:cs="Amiri"/>
          <w:lang w:bidi="ar-SA"/>
          <w:color w:val="111111"/>
          <w:sz w:val="28"/>
          <w:szCs w:val="28"/>
          <w:rtl/>
        </w:rPr>
        <w:t xml:space="preserve">على ما قيل والعضدي</w:t>
      </w:r>
      <w:r>
        <w:rPr>
          <w:rStyle w:val="FootnoteReference"/>
        </w:rPr>
        <w:footnoteReference w:id="513"/>
      </w:r>
      <w:r>
        <w:rPr>
          <w:rFonts w:ascii="Amiri" w:hAnsi="Amiri" w:eastAsia="Amiri" w:cs="Amiri"/>
          <w:lang w:bidi="ar-SA"/>
          <w:color w:val="111111"/>
          <w:sz w:val="28"/>
          <w:szCs w:val="28"/>
          <w:rtl/>
        </w:rPr>
        <w:t xml:space="preserve">والأبهري</w:t>
      </w:r>
      <w:r>
        <w:rPr>
          <w:rStyle w:val="FootnoteReference"/>
        </w:rPr>
        <w:footnoteReference w:id="514"/>
      </w:r>
      <w:r>
        <w:rPr>
          <w:rFonts w:ascii="Amiri" w:hAnsi="Amiri" w:eastAsia="Amiri" w:cs="Amiri"/>
          <w:lang w:bidi="ar-SA"/>
          <w:color w:val="111111"/>
          <w:sz w:val="28"/>
          <w:szCs w:val="28"/>
          <w:rtl/>
        </w:rPr>
        <w:t xml:space="preserve">والزّركشي</w:t>
      </w:r>
      <w:r>
        <w:rPr>
          <w:rStyle w:val="FootnoteReference"/>
        </w:rPr>
        <w:footnoteReference w:id="515"/>
      </w:r>
      <w:r>
        <w:rPr>
          <w:rFonts w:ascii="Amiri" w:hAnsi="Amiri" w:eastAsia="Amiri" w:cs="Amiri"/>
          <w:lang w:bidi="ar-SA"/>
          <w:color w:val="111111"/>
          <w:sz w:val="28"/>
          <w:szCs w:val="28"/>
          <w:rtl/>
        </w:rPr>
        <w:t xml:space="preserve">والإصفهاني</w:t>
      </w:r>
      <w:r>
        <w:rPr>
          <w:rStyle w:val="FootnoteReference"/>
        </w:rPr>
        <w:footnoteReference w:id="516"/>
      </w:r>
      <w:r>
        <w:rPr>
          <w:rFonts w:ascii="IRNazanin" w:hAnsi="IRNazanin" w:eastAsia="IRNazanin" w:cs="IRNazanin"/>
          <w:lang w:bidi="fa-IR"/>
          <w:color w:val="111111"/>
          <w:sz w:val="28"/>
          <w:szCs w:val="28"/>
          <w:rtl/>
        </w:rPr>
        <w:t xml:space="preserve">خروجه بل نسب إلى الجمهور.</w:t>
      </w:r>
    </w:p>
    <w:p>
      <w:pPr>
        <w:pStyle w:val="BookText"/>
      </w:pPr>
      <w:r>
        <w:rPr>
          <w:rFonts w:ascii="IRNazanin" w:hAnsi="IRNazanin" w:eastAsia="IRNazanin" w:cs="IRNazanin"/>
          <w:lang w:bidi="fa-IR"/>
          <w:color w:val="111111"/>
          <w:sz w:val="28"/>
          <w:szCs w:val="28"/>
          <w:rtl/>
        </w:rPr>
        <w:t xml:space="preserve">وكيف كان فالأظهر دخوله في البحث لما يظهر من استدلالاتهم وتمثيلاتهم ولايضرّ كون العرف حاكماً بالتقييد والتّخصيص وحمل المطلق على المقیّد بعد كون حيثيّة البحث شيئاً آخر.</w:t>
      </w:r>
    </w:p>
    <w:p>
      <w:pPr>
        <w:pStyle w:val="Heading6"/>
      </w:pPr>
      <w:bookmarkStart w:id="439" w:name="_Toc120"/>
      <w:r>
        <w:t>[کلام المحقّق القمي]</w:t>
      </w:r>
      <w:bookmarkEnd w:id="439"/>
    </w:p>
    <w:p>
      <w:pPr>
        <w:pStyle w:val="BookText"/>
      </w:pPr>
      <w:r>
        <w:rPr>
          <w:rFonts w:ascii="IRNazanin" w:hAnsi="IRNazanin" w:eastAsia="IRNazanin" w:cs="IRNazanin"/>
          <w:lang w:bidi="fa-IR"/>
          <w:color w:val="111111"/>
          <w:sz w:val="28"/>
          <w:szCs w:val="28"/>
          <w:rtl/>
        </w:rPr>
        <w:t xml:space="preserve">لكن لمّا أشکل على المحقّق القمي (رحمة‌الله) </w:t>
      </w:r>
      <w:r>
        <w:rPr>
          <w:rStyle w:val="FootnoteReference"/>
        </w:rPr>
        <w:footnoteReference w:id="517"/>
      </w:r>
      <w:r>
        <w:rPr>
          <w:rFonts w:ascii="Amiri" w:hAnsi="Amiri" w:eastAsia="Amiri" w:cs="Amiri"/>
          <w:lang w:bidi="ar-SA"/>
          <w:color w:val="111111"/>
          <w:sz w:val="28"/>
          <w:szCs w:val="28"/>
          <w:rtl/>
        </w:rPr>
        <w:t xml:space="preserve">الفرق بين هذا البحثوالبحث الآتي من دلالة النّهي على الفساد وعدمه التزم بتخصيص محلّ النزاع في المقام</w:t>
      </w:r>
      <w:r>
        <w:rPr>
          <w:rStyle w:val="FootnoteReference"/>
        </w:rPr>
        <w:footnoteReference w:id="518"/>
      </w:r>
      <w:r>
        <w:rPr>
          <w:rFonts w:ascii="Amiri" w:hAnsi="Amiri" w:eastAsia="Amiri" w:cs="Amiri"/>
          <w:lang w:bidi="ar-SA"/>
          <w:color w:val="111111"/>
          <w:sz w:val="28"/>
          <w:szCs w:val="28"/>
          <w:rtl/>
        </w:rPr>
        <w:t xml:space="preserve">بالعامّين من وجه وجعل العامّ المطلق مورداً للبحث في تلك المسألة</w:t>
      </w:r>
      <w:r>
        <w:rPr>
          <w:rStyle w:val="FootnoteReference"/>
        </w:rPr>
        <w:footnoteReference w:id="519"/>
      </w:r>
      <w:r>
        <w:rPr>
          <w:rFonts w:ascii="Amiri" w:hAnsi="Amiri" w:eastAsia="Amiri" w:cs="Amiri"/>
          <w:lang w:bidi="ar-SA"/>
          <w:color w:val="111111"/>
          <w:sz w:val="28"/>
          <w:szCs w:val="28"/>
          <w:rtl/>
        </w:rPr>
        <w:t xml:space="preserve">وفرّق بينهما بذلك.</w:t>
      </w:r>
      <w:r>
        <w:rPr>
          <w:rStyle w:val="FootnoteReference"/>
        </w:rPr>
        <w:footnoteReference w:id="520"/>
      </w:r>
    </w:p>
    <w:p>
      <w:pPr>
        <w:pStyle w:val="Heading6"/>
      </w:pPr>
      <w:bookmarkStart w:id="440" w:name="_Toc121"/>
      <w:r>
        <w:t>[إیراد على المحقّق القمي]</w:t>
      </w:r>
      <w:bookmarkEnd w:id="440"/>
    </w:p>
    <w:p>
      <w:pPr>
        <w:pStyle w:val="BookText"/>
      </w:pPr>
      <w:r>
        <w:rPr>
          <w:rFonts w:ascii="Amiri" w:hAnsi="Amiri" w:eastAsia="Amiri" w:cs="Amiri"/>
          <w:lang w:bidi="ar-SA"/>
          <w:color w:val="111111"/>
          <w:sz w:val="28"/>
          <w:szCs w:val="28"/>
          <w:rtl/>
        </w:rPr>
        <w:t xml:space="preserve">وأنت خبير بما فيه وأنّ ملاحظة تمثيلاتهم واستدلالاتهم في المقامين تنافيه.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4" w:name="pg6784_51187"/>
    <w:bookmarkEnd w:id="74"/>
    <w:p>
      <w:pPr>
        <w:pStyle w:val="Heading6"/>
      </w:pPr>
      <w:bookmarkStart w:id="441" w:name="_Toc122"/>
      <w:r>
        <w:t>[الفرق بین بحث اجتماع الأمر والنهي ودلالة النهي على الفساد]</w:t>
      </w:r>
      <w:bookmarkEnd w:id="441"/>
    </w:p>
    <w:p>
      <w:pPr>
        <w:pStyle w:val="Heading6"/>
      </w:pPr>
      <w:bookmarkStart w:id="442" w:name="_Toc123"/>
      <w:r>
        <w:t>اشارة</w:t>
      </w:r>
      <w:bookmarkEnd w:id="442"/>
    </w:p>
    <w:p>
      <w:pPr>
        <w:pStyle w:val="BookText"/>
      </w:pPr>
      <w:r>
        <w:rPr>
          <w:rFonts w:ascii="Amiri" w:hAnsi="Amiri" w:eastAsia="Amiri" w:cs="Amiri"/>
          <w:lang w:bidi="ar-SA"/>
          <w:color w:val="111111"/>
          <w:sz w:val="28"/>
          <w:szCs w:val="28"/>
          <w:rtl/>
        </w:rPr>
        <w:t xml:space="preserve">وأنّه يمكن الفرق بين المسألتين بغير ذلك من وجوه:</w:t>
      </w:r>
    </w:p>
    <w:p>
      <w:pPr>
        <w:pStyle w:val="Heading6"/>
      </w:pPr>
      <w:bookmarkStart w:id="443" w:name="_Toc124"/>
      <w:r>
        <w:t>[الفرق الأوّل بین المسألتین]</w:t>
      </w:r>
      <w:bookmarkEnd w:id="443"/>
    </w:p>
    <w:p>
      <w:pPr>
        <w:pStyle w:val="BookText"/>
      </w:pPr>
      <w:r>
        <w:rPr>
          <w:rFonts w:ascii="Amiri" w:hAnsi="Amiri" w:eastAsia="Amiri" w:cs="Amiri"/>
          <w:lang w:bidi="ar-SA"/>
          <w:color w:val="111111"/>
          <w:sz w:val="28"/>
          <w:szCs w:val="28"/>
          <w:rtl/>
        </w:rPr>
        <w:t xml:space="preserve">أحدها:ما ذكره بعضهم من أنّ النزاع في المقام في الدّلالة العقليّة والحكم العقلي وفي تلك المسألة في الدّلالة اللّفظيّة والفهم العرفي.</w:t>
      </w:r>
    </w:p>
    <w:p>
      <w:pPr>
        <w:pStyle w:val="BookText"/>
      </w:pPr>
      <w:r>
        <w:rPr>
          <w:rFonts w:ascii="IRNazanin" w:hAnsi="IRNazanin" w:eastAsia="IRNazanin" w:cs="IRNazanin"/>
          <w:lang w:bidi="fa-IR"/>
          <w:color w:val="111111"/>
          <w:sz w:val="28"/>
          <w:szCs w:val="28"/>
          <w:rtl/>
        </w:rPr>
        <w:t xml:space="preserve">ويظهر من الهداية أیضاً ذلك حيث قال: «إنّ العامّ المطلق خارج عن هذا البحث من جهة فهم العرف للتّقييد</w:t>
      </w:r>
      <w:r>
        <w:rPr>
          <w:rStyle w:val="FootnoteReference"/>
        </w:rPr>
        <w:footnoteReference w:id="521"/>
      </w:r>
      <w:r>
        <w:rPr>
          <w:rFonts w:ascii="IRNazanin" w:hAnsi="IRNazanin" w:eastAsia="IRNazanin" w:cs="IRNazanin"/>
          <w:lang w:bidi="fa-IR"/>
          <w:color w:val="111111"/>
          <w:sz w:val="28"/>
          <w:szCs w:val="28"/>
          <w:rtl/>
        </w:rPr>
        <w:t xml:space="preserve">والتّخصيص فلا حاجة إلى البحث عنه في المقام بعد فهمهم التّخصيص وإن کان ما ذكروه من الوجه العقلي جارياً فيه أیضاً».</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یعني أنّ هذا النزاع يشمله من حيث إنّه عقلي وإن کان</w:t>
      </w:r>
      <w:r>
        <w:rPr>
          <w:rStyle w:val="FootnoteReference"/>
        </w:rPr>
        <w:footnoteReference w:id="523"/>
      </w:r>
      <w:r>
        <w:rPr>
          <w:rFonts w:ascii="Amiri" w:hAnsi="Amiri" w:eastAsia="Amiri" w:cs="Amiri"/>
          <w:lang w:bidi="ar-SA"/>
          <w:color w:val="111111"/>
          <w:sz w:val="28"/>
          <w:szCs w:val="28"/>
          <w:rtl/>
        </w:rPr>
        <w:t xml:space="preserve">من جهة وضوح حكمه بملاحظة الفهم العرفي غير محتاج إلى البحث عنه في هذا المبحث.</w:t>
      </w:r>
    </w:p>
    <w:p>
      <w:pPr>
        <w:pStyle w:val="Heading6"/>
      </w:pPr>
      <w:bookmarkStart w:id="444" w:name="_Toc125"/>
      <w:r>
        <w:t>[الفرق الثاني بین المسألتین]</w:t>
      </w:r>
      <w:bookmarkEnd w:id="444"/>
    </w:p>
    <w:p>
      <w:pPr>
        <w:pStyle w:val="BookText"/>
      </w:pPr>
      <w:r>
        <w:rPr>
          <w:rFonts w:ascii="Amiri" w:hAnsi="Amiri" w:eastAsia="Amiri" w:cs="Amiri"/>
          <w:lang w:bidi="ar-SA"/>
          <w:color w:val="111111"/>
          <w:sz w:val="28"/>
          <w:szCs w:val="28"/>
          <w:rtl/>
        </w:rPr>
        <w:t xml:space="preserve">الثاني: ما اختاره صاحب الفصول</w:t>
      </w:r>
      <w:r>
        <w:rPr>
          <w:rStyle w:val="FootnoteReference"/>
        </w:rPr>
        <w:footnoteReference w:id="524"/>
      </w:r>
      <w:r>
        <w:rPr>
          <w:rFonts w:ascii="Amiri" w:hAnsi="Amiri" w:eastAsia="Amiri" w:cs="Amiri"/>
          <w:lang w:bidi="ar-SA"/>
          <w:color w:val="111111"/>
          <w:sz w:val="28"/>
          <w:szCs w:val="28"/>
          <w:rtl/>
        </w:rPr>
        <w:t xml:space="preserve">من أنّ النزاع في المقام فيما إذا كان الأمرمتعلّقاً بطبيعة والنّهي بأخرى سواء كان بينهما عموم من وجه أو مطلق.</w:t>
      </w:r>
    </w:p>
    <w:p>
      <w:pPr>
        <w:pStyle w:val="BookText"/>
      </w:pPr>
      <w:r>
        <w:rPr>
          <w:rFonts w:ascii="IRNazanin" w:hAnsi="IRNazanin" w:eastAsia="IRNazanin" w:cs="IRNazanin"/>
          <w:lang w:bidi="fa-IR"/>
          <w:color w:val="111111"/>
          <w:sz w:val="28"/>
          <w:szCs w:val="28"/>
          <w:rtl/>
        </w:rPr>
        <w:t xml:space="preserve">وفي تلك البحث فيما إذا اتّحد طبيعة متعلّقيهما من غير فرق بين العامّين من وجه والمطلق أیضاً.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فمثال العامّين من وجه مع تعدّد المتعلّق من حيث الطّبيعة: «صلّ ولا تغصب» ومع اتّحاده: «صلّ الفجر ولا تصلّ في الدّار الغصبيّة» ومثال العامّ المطلق مع تعدّد الطّبيعة: «صلّ ولا تغصب في الصّلاة» ومع الاتّحاد: «صلّ ولا تصلّ في الدّار الغصبيّة».</w:t>
      </w:r>
    </w:p>
    <w:p>
      <w:pPr>
        <w:pStyle w:val="BookText"/>
      </w:pPr>
      <w:r>
        <w:rPr>
          <w:rFonts w:ascii="IRNazanin" w:hAnsi="IRNazanin" w:eastAsia="IRNazanin" w:cs="IRNazanin"/>
          <w:lang w:bidi="fa-IR"/>
          <w:color w:val="111111"/>
          <w:sz w:val="28"/>
          <w:szCs w:val="28"/>
          <w:rtl/>
        </w:rPr>
        <w:t xml:space="preserve">ولعلّ نظره في هذا الفرق إلى ما يظهر من کلمات المجوّزين من أنّ متعلّق الأمر غير متعلّق النّهي وأنّ المبغوض هو طبيعة الغصب والمحبوب</w:t>
      </w:r>
      <w:r>
        <w:rPr>
          <w:rStyle w:val="FootnoteReference"/>
        </w:rPr>
        <w:footnoteReference w:id="525"/>
      </w:r>
      <w:r>
        <w:rPr>
          <w:rFonts w:ascii="Amiri" w:hAnsi="Amiri" w:eastAsia="Amiri" w:cs="Amiri"/>
          <w:lang w:bidi="ar-SA"/>
          <w:color w:val="111111"/>
          <w:sz w:val="28"/>
          <w:szCs w:val="28"/>
          <w:rtl/>
        </w:rPr>
        <w:t xml:space="preserve">هو طبيعة الصّلاة مثلاً، ومن</w:t>
      </w:r>
      <w:r>
        <w:rPr>
          <w:rStyle w:val="FootnoteReference"/>
        </w:rPr>
        <w:footnoteReference w:id="526"/>
      </w:r>
      <w:r>
        <w:rPr>
          <w:rFonts w:ascii="IRNazanin" w:hAnsi="IRNazanin" w:eastAsia="IRNazanin" w:cs="IRNazanin"/>
          <w:lang w:bidi="fa-IR"/>
          <w:color w:val="111111"/>
          <w:sz w:val="28"/>
          <w:szCs w:val="28"/>
          <w:rtl/>
        </w:rPr>
        <w:t xml:space="preserve">کلماتهم في تلك المسألة من أنّ النّهي إذا تعلّق بعبادة فلا يمكن أن تكون محبوبة مثلاً فإنّ ظاهرهم كون النّهي متعلّقاً بنفس الطّبيعة المطلوبة.</w:t>
      </w:r>
    </w:p>
    <w:p>
      <w:pPr>
        <w:pStyle w:val="BookText"/>
      </w:pPr>
      <w:r>
        <w:rPr>
          <w:rFonts w:ascii="Amiri" w:hAnsi="Amiri" w:eastAsia="Amiri" w:cs="Amiri"/>
          <w:lang w:bidi="ar-SA"/>
          <w:color w:val="111111"/>
          <w:sz w:val="28"/>
          <w:szCs w:val="28"/>
          <w:rtl/>
        </w:rPr>
        <w:t xml:space="preserve">لكن لا يخفى عدم تماميّة هذا الفرق حيث إنّه لا فرق بين قوله: «لا تغصب في الصّلاة» وقوله</w:t>
      </w:r>
      <w:r>
        <w:rPr>
          <w:rStyle w:val="FootnoteReference"/>
        </w:rPr>
        <w:footnoteReference w:id="527"/>
      </w:r>
      <w:r>
        <w:rPr>
          <w:rFonts w:ascii="Amiri" w:hAnsi="Amiri" w:eastAsia="Amiri" w:cs="Amiri"/>
          <w:lang w:bidi="ar-SA"/>
          <w:color w:val="111111"/>
          <w:sz w:val="28"/>
          <w:szCs w:val="28"/>
          <w:rtl/>
        </w:rPr>
        <w:t xml:space="preserve">: «لا تصلّ في الدّار الغصبيّة» في أنّ النّهي في الحقيقة من جهة صفة الغصبيّة لا من حيث الصّلاتيّة</w:t>
      </w:r>
      <w:r>
        <w:rPr>
          <w:rStyle w:val="FootnoteReference"/>
        </w:rPr>
        <w:footnoteReference w:id="528"/>
      </w:r>
      <w:r>
        <w:rPr>
          <w:rFonts w:ascii="IRNazanin" w:hAnsi="IRNazanin" w:eastAsia="IRNazanin" w:cs="IRNazanin"/>
          <w:lang w:bidi="fa-IR"/>
          <w:color w:val="111111"/>
          <w:sz w:val="28"/>
          <w:szCs w:val="28"/>
          <w:rtl/>
        </w:rPr>
        <w:t xml:space="preserve">فيمكن للقائلين بالجواز أن يقولوا: إنّ النّهي في المثال الثاني أیضاً إنّما هو بلحاظ الغصبيّة، فكأنّه في اللّبّ متعلّق بطبيعة أخرى وبعنوان آخر.</w:t>
      </w:r>
    </w:p>
    <w:p>
      <w:pPr>
        <w:pStyle w:val="BookText"/>
      </w:pPr>
      <w:r>
        <w:rPr>
          <w:rFonts w:ascii="IRNazanin" w:hAnsi="IRNazanin" w:eastAsia="IRNazanin" w:cs="IRNazanin"/>
          <w:lang w:bidi="fa-IR"/>
          <w:color w:val="111111"/>
          <w:sz w:val="28"/>
          <w:szCs w:val="28"/>
          <w:rtl/>
        </w:rPr>
        <w:t xml:space="preserve">وكذا الوجه الأوّل في الفرق أیضاً غير تمام؛ لأنّ بعضهم استدلّ في البحث الآتي بالدّليل العقلي،</w:t>
      </w:r>
      <w:r>
        <w:rPr>
          <w:rStyle w:val="FootnoteReference"/>
        </w:rPr>
        <w:footnoteReference w:id="529"/>
      </w:r>
      <w:r>
        <w:rPr>
          <w:rFonts w:ascii="Amiri" w:hAnsi="Amiri" w:eastAsia="Amiri" w:cs="Amiri"/>
          <w:lang w:bidi="ar-SA"/>
          <w:color w:val="111111"/>
          <w:sz w:val="28"/>
          <w:szCs w:val="28"/>
          <w:rtl/>
        </w:rPr>
        <w:t xml:space="preserve">فراجع. وبعضهم في المقام فصّل بين العقل والعرف.</w:t>
      </w:r>
      <w:r>
        <w:rPr>
          <w:rStyle w:val="FootnoteReference"/>
        </w:rPr>
        <w:footnoteReference w:id="530"/>
      </w:r>
      <w:r>
        <w:rPr>
          <w:rFonts w:ascii="IRNazanin" w:hAnsi="IRNazanin" w:eastAsia="IRNazanin" w:cs="IRNazanin"/>
          <w:lang w:bidi="fa-IR"/>
          <w:color w:val="111111"/>
          <w:sz w:val="28"/>
          <w:szCs w:val="28"/>
          <w:rtl/>
        </w:rPr>
        <w:t xml:space="preserve">وبعضهم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5" w:name="pg6784_51189"/>
    <w:bookmarkEnd w:id="75"/>
    <w:p>
      <w:pPr>
        <w:pStyle w:val="BookText"/>
      </w:pPr>
      <w:r>
        <w:rPr>
          <w:rFonts w:ascii="Amiri" w:hAnsi="Amiri" w:eastAsia="Amiri" w:cs="Amiri"/>
          <w:lang w:bidi="ar-SA"/>
          <w:color w:val="111111"/>
          <w:sz w:val="28"/>
          <w:szCs w:val="28"/>
          <w:rtl/>
        </w:rPr>
        <w:t xml:space="preserve">استدلّ بفهم العرف تخصيص أحد العامّين بالآخر.</w:t>
      </w:r>
      <w:r>
        <w:rPr>
          <w:rStyle w:val="FootnoteReference"/>
        </w:rPr>
        <w:footnoteReference w:id="531"/>
      </w:r>
    </w:p>
    <w:p>
      <w:pPr>
        <w:pStyle w:val="BookText"/>
      </w:pPr>
      <w:r>
        <w:rPr>
          <w:rFonts w:ascii="Amiri" w:hAnsi="Amiri" w:eastAsia="Amiri" w:cs="Amiri"/>
          <w:lang w:bidi="ar-SA"/>
          <w:color w:val="111111"/>
          <w:sz w:val="28"/>
          <w:szCs w:val="28"/>
          <w:rtl/>
        </w:rPr>
        <w:t xml:space="preserve">فإن قلت: إنّ هذا إنما يتم لو لم يكن أمر أصلاً ولكن الأمر موجود وهو الأمر العامّ، فيكفي موافقة العمومات، فالصّلاة في الدار المغصوبة وإن لم يكن مأموراً بها بالخصوص لكنّها مأمور بها بالعموم، فثبت الصحّة وهو موافقة الأمر، بل وإسقاط القضاء أيضاً؛ لأنّ القضاء المصطلح لا يتحقق إلاّ مع فوات المأمور به كما مرّ الإشارة في مبحث دلالة الأمر على الإجزاء، فلا مانع من كونها مأموراً بها ومنهيّاً عنها من جهتين كما أشرنا في مسألة اجتماع الأمر والنهي.</w:t>
      </w:r>
    </w:p>
    <w:p>
      <w:pPr>
        <w:pStyle w:val="BookText"/>
      </w:pPr>
      <w:r>
        <w:rPr>
          <w:rFonts w:ascii="Amiri" w:hAnsi="Amiri" w:eastAsia="Amiri" w:cs="Amiri"/>
          <w:lang w:bidi="ar-SA"/>
          <w:color w:val="111111"/>
          <w:sz w:val="28"/>
          <w:szCs w:val="28"/>
          <w:rtl/>
        </w:rPr>
        <w:t xml:space="preserve">قلت: نعم لا يستحيل العقل ذلك ولا مانع أن يقول الشّارع: «صلّ ولا تصلّ في الدار المغصوبة ولكن لو صلّيت فيها لعاقبتك على إيقاعها فيها ولكنّك أتيت بمطلوبي»، ولا يدلّ اللّغة أيضاً على خلافه ولم يثبت اصطلاح من الشارع فيه أيضاً ولكنّ المتبادر في العرف من مثل ذلك التخصيص، بمعنى أنّ هذا الفرد من العامّ خارج عن المطلوب، والعرف إنّما هو المحكم».</w:t>
      </w:r>
    </w:p>
    <w:p>
      <w:pPr>
        <w:pStyle w:val="BookText"/>
      </w:pPr>
      <w:r>
        <w:rPr>
          <w:rFonts w:ascii="Amiri" w:hAnsi="Amiri" w:eastAsia="Amiri" w:cs="Amiri"/>
          <w:lang w:bidi="ar-SA"/>
          <w:color w:val="111111"/>
          <w:sz w:val="28"/>
          <w:szCs w:val="28"/>
          <w:rtl/>
        </w:rPr>
        <w:t xml:space="preserve">مضافاً إلى أنّ ظاهر هذا الوجه أنّه لو جعل البحث في المقام من حيث العرف أو في تلك المسألة من حيث العقل اتّحدت المسألتان وليس كذلك كما سنبيّن.</w:t>
      </w:r>
    </w:p>
    <w:p>
      <w:pPr>
        <w:pStyle w:val="Heading6"/>
      </w:pPr>
      <w:bookmarkStart w:id="445" w:name="_Toc126"/>
      <w:r>
        <w:t>[الفرق الثالث بین المسألتین]</w:t>
      </w:r>
      <w:bookmarkEnd w:id="445"/>
    </w:p>
    <w:p>
      <w:pPr>
        <w:pStyle w:val="BookText"/>
      </w:pPr>
      <w:r>
        <w:rPr>
          <w:rFonts w:ascii="IRNazanin" w:hAnsi="IRNazanin" w:eastAsia="IRNazanin" w:cs="IRNazanin"/>
          <w:lang w:bidi="fa-IR"/>
          <w:color w:val="111111"/>
          <w:sz w:val="28"/>
          <w:szCs w:val="28"/>
          <w:rtl/>
        </w:rPr>
        <w:t xml:space="preserve">فالتحقیق في الفرق بينهما هو الوجه الثّالث: وهو أن يقال: إنّ القضيّة المسؤول</w:t>
      </w:r>
      <w:r>
        <w:rPr>
          <w:rStyle w:val="FootnoteReference"/>
        </w:rPr>
        <w:footnoteReference w:id="532"/>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في هذا البحث غير القضيّة المسؤول عنها في ذاك</w:t>
      </w:r>
      <w:r>
        <w:rPr>
          <w:rStyle w:val="FootnoteReference"/>
        </w:rPr>
        <w:footnoteReference w:id="533"/>
      </w:r>
      <w:r>
        <w:rPr>
          <w:rFonts w:ascii="Amiri" w:hAnsi="Amiri" w:eastAsia="Amiri" w:cs="Amiri"/>
          <w:lang w:bidi="ar-SA"/>
          <w:color w:val="111111"/>
          <w:sz w:val="28"/>
          <w:szCs w:val="28"/>
          <w:rtl/>
        </w:rPr>
        <w:t xml:space="preserve">وذلك لأنّ النزاع في المقام في أنّه هل يجوز الاجتماع بين الطّلبين أم لا؟ سواء كان هناك صحّة وفساد أو لا.</w:t>
      </w:r>
    </w:p>
    <w:p>
      <w:pPr>
        <w:pStyle w:val="BookText"/>
      </w:pPr>
      <w:r>
        <w:rPr>
          <w:rFonts w:ascii="IRNazanin" w:hAnsi="IRNazanin" w:eastAsia="IRNazanin" w:cs="IRNazanin"/>
          <w:lang w:bidi="fa-IR"/>
          <w:color w:val="111111"/>
          <w:sz w:val="28"/>
          <w:szCs w:val="28"/>
          <w:rtl/>
        </w:rPr>
        <w:t xml:space="preserve">فلو فرضنا أنّ الإتیان بالمأمور به لا يستلزم الصحّة أو لم يكن المحلّ قابلاً للصحّة والفساد جرى هذا البحث من حيث</w:t>
      </w:r>
      <w:r>
        <w:rPr>
          <w:rStyle w:val="FootnoteReference"/>
        </w:rPr>
        <w:footnoteReference w:id="534"/>
      </w:r>
      <w:r>
        <w:rPr>
          <w:rFonts w:ascii="Amiri" w:hAnsi="Amiri" w:eastAsia="Amiri" w:cs="Amiri"/>
          <w:lang w:bidi="ar-SA"/>
          <w:color w:val="111111"/>
          <w:sz w:val="28"/>
          <w:szCs w:val="28"/>
          <w:rtl/>
        </w:rPr>
        <w:t xml:space="preserve">إنّ النّظر ليس إلّا إلى حيث الاجتماع وعدمه.والبحث في تلك المسألة إنّما هو من حيث الصحّة والفساد وأنّ النهي هل يقتضي كون متعلّقه فاسداً إذا كان قابلاً للصحّة والفساد أو لا؟ سواء كان اقتضاؤه</w:t>
      </w:r>
      <w:r>
        <w:rPr>
          <w:rStyle w:val="FootnoteReference"/>
        </w:rPr>
        <w:footnoteReference w:id="535"/>
      </w:r>
      <w:r>
        <w:rPr>
          <w:rFonts w:ascii="Amiri" w:hAnsi="Amiri" w:eastAsia="Amiri" w:cs="Amiri"/>
          <w:lang w:bidi="ar-SA"/>
          <w:color w:val="111111"/>
          <w:sz w:val="28"/>
          <w:szCs w:val="28"/>
          <w:rtl/>
        </w:rPr>
        <w:t xml:space="preserve">من جهة حكم العقل أو فهم العرف.</w:t>
      </w:r>
    </w:p>
    <w:p>
      <w:pPr>
        <w:pStyle w:val="BookText"/>
      </w:pPr>
      <w:r>
        <w:rPr>
          <w:rFonts w:ascii="IRNazanin" w:hAnsi="IRNazanin" w:eastAsia="IRNazanin" w:cs="IRNazanin"/>
          <w:lang w:bidi="fa-IR"/>
          <w:color w:val="111111"/>
          <w:sz w:val="28"/>
          <w:szCs w:val="28"/>
          <w:rtl/>
        </w:rPr>
        <w:t xml:space="preserve">فالنزاع في المقام من حيث الحكم التکلیفي وفي ذلك المقام من حيث الحكم الوضعي.</w:t>
      </w:r>
    </w:p>
    <w:p>
      <w:pPr>
        <w:pStyle w:val="BookText"/>
      </w:pPr>
      <w:r>
        <w:rPr>
          <w:rFonts w:ascii="Amiri" w:hAnsi="Amiri" w:eastAsia="Amiri" w:cs="Amiri"/>
          <w:lang w:bidi="ar-SA"/>
          <w:color w:val="111111"/>
          <w:sz w:val="28"/>
          <w:szCs w:val="28"/>
          <w:rtl/>
        </w:rPr>
        <w:t xml:space="preserve">ويمكن التفكيك بينهما بأن يقال في المقام بجواز الاجتماع وفي ذلك المقام بدلالة النهي على الفساد.</w:t>
      </w:r>
    </w:p>
    <w:p>
      <w:pPr>
        <w:pStyle w:val="BookText"/>
      </w:pPr>
      <w:r>
        <w:rPr>
          <w:rFonts w:ascii="IRNazanin" w:hAnsi="IRNazanin" w:eastAsia="IRNazanin" w:cs="IRNazanin"/>
          <w:lang w:bidi="fa-IR"/>
          <w:color w:val="111111"/>
          <w:sz w:val="28"/>
          <w:szCs w:val="28"/>
          <w:rtl/>
        </w:rPr>
        <w:t xml:space="preserve">أو يقال في المقام بعدم جواز الاجتماع وفي ذلك المقام بعدم دلالة النهي على الفساد وبالصحّة من حيث إنّ المأتي به وإن لم يكن مأموراً به إلّا أنّه منطبق على الطّبيعة المأمور بها فيكون صحيحاً أو من حيث إنّه محبوب ذاتي وإن لم يكن مطلوباً بالفعل من جهة تعلّق النّهي به ویکفي في صحّة العمل مطابقته للمحبوبيّة ولا يلزم في صحّة العبادات وجود أمر فعلي بها ویکفي في نيّة القربة قصد كونه محبوباً ذاتيّاً.</w:t>
      </w:r>
    </w:p>
    <w:p>
      <w:pPr>
        <w:pStyle w:val="BookText"/>
      </w:pPr>
      <w:r>
        <w:rPr>
          <w:rFonts w:ascii="Amiri" w:hAnsi="Amiri" w:eastAsia="Amiri" w:cs="Amiri"/>
          <w:lang w:bidi="ar-SA"/>
          <w:color w:val="111111"/>
          <w:sz w:val="28"/>
          <w:szCs w:val="28"/>
          <w:rtl/>
        </w:rPr>
        <w:t xml:space="preserve">وبالجملة المسألتان مختلفتان لا ربط لإحداهما بالأخرى سواء جعلناهما عقليتين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عرفيتين أو مختلفتين</w:t>
      </w:r>
      <w:r>
        <w:rPr>
          <w:rStyle w:val="FootnoteReference"/>
        </w:rPr>
        <w:footnoteReference w:id="536"/>
      </w:r>
      <w:r>
        <w:rPr>
          <w:rFonts w:ascii="Amiri" w:hAnsi="Amiri" w:eastAsia="Amiri" w:cs="Amiri"/>
          <w:lang w:bidi="ar-SA"/>
          <w:color w:val="111111"/>
          <w:sz w:val="28"/>
          <w:szCs w:val="28"/>
          <w:rtl/>
        </w:rPr>
        <w:t xml:space="preserve">وإن لم يمكن التفكيك بينهما من حيث الأقوال بأن يكون لازم المجوّز في المقام عدم الفساد في ذاك</w:t>
      </w:r>
      <w:r>
        <w:rPr>
          <w:rStyle w:val="FootnoteReference"/>
        </w:rPr>
        <w:footnoteReference w:id="537"/>
      </w:r>
      <w:r>
        <w:rPr>
          <w:rFonts w:ascii="Amiri" w:hAnsi="Amiri" w:eastAsia="Amiri" w:cs="Amiri"/>
          <w:lang w:bidi="ar-SA"/>
          <w:color w:val="111111"/>
          <w:sz w:val="28"/>
          <w:szCs w:val="28"/>
          <w:rtl/>
        </w:rPr>
        <w:t xml:space="preserve">ولازم المانع الحكم</w:t>
      </w:r>
      <w:r>
        <w:rPr>
          <w:rStyle w:val="FootnoteReference"/>
        </w:rPr>
        <w:footnoteReference w:id="538"/>
      </w:r>
      <w:r>
        <w:rPr>
          <w:rFonts w:ascii="IRNazanin" w:hAnsi="IRNazanin" w:eastAsia="IRNazanin" w:cs="IRNazanin"/>
          <w:lang w:bidi="fa-IR"/>
          <w:color w:val="111111"/>
          <w:sz w:val="28"/>
          <w:szCs w:val="28"/>
          <w:rtl/>
        </w:rPr>
        <w:t xml:space="preserve">بالفساد هناك فضلاً عن إمکان التفكيك حسبما عرفت.</w:t>
      </w:r>
    </w:p>
    <w:p>
      <w:pPr>
        <w:pStyle w:val="BookText"/>
      </w:pPr>
      <w:r>
        <w:rPr>
          <w:rFonts w:ascii="IRNazanin" w:hAnsi="IRNazanin" w:eastAsia="IRNazanin" w:cs="IRNazanin"/>
          <w:lang w:bidi="fa-IR"/>
          <w:color w:val="111111"/>
          <w:sz w:val="28"/>
          <w:szCs w:val="28"/>
          <w:rtl/>
        </w:rPr>
        <w:t xml:space="preserve">فلو جعلتا</w:t>
      </w:r>
      <w:r>
        <w:rPr>
          <w:rStyle w:val="FootnoteReference"/>
        </w:rPr>
        <w:footnoteReference w:id="539"/>
      </w:r>
      <w:r>
        <w:rPr>
          <w:rFonts w:ascii="IRNazanin" w:hAnsi="IRNazanin" w:eastAsia="IRNazanin" w:cs="IRNazanin"/>
          <w:lang w:bidi="fa-IR"/>
          <w:color w:val="111111"/>
          <w:sz w:val="28"/>
          <w:szCs w:val="28"/>
          <w:rtl/>
        </w:rPr>
        <w:t xml:space="preserve">عقليتين فالنزاع في المقام في أنّ العقل يحكم بالمنافاة بین الطلبين أو لا؟</w:t>
      </w:r>
    </w:p>
    <w:p>
      <w:pPr>
        <w:pStyle w:val="BookText"/>
      </w:pPr>
      <w:r>
        <w:rPr>
          <w:rFonts w:ascii="IRNazanin" w:hAnsi="IRNazanin" w:eastAsia="IRNazanin" w:cs="IRNazanin"/>
          <w:lang w:bidi="fa-IR"/>
          <w:color w:val="111111"/>
          <w:sz w:val="28"/>
          <w:szCs w:val="28"/>
          <w:rtl/>
        </w:rPr>
        <w:t xml:space="preserve">وفي ذلك المقام في أنّه هل يحكم بأنّ المنهيّ عنه فاسدٌ وأنّه لا يمكن أن یکون صحيحاً ومأموراً به لا من جهة عدم جواز اجتماع الطّلبين بل من جهة إحداث النّهي فيه صفة لا يقبل معها لأن يكون صحيحاً ومأموراً به وإن لم يكن منافاة بينالطلبين بما هما أو لا؟</w:t>
      </w:r>
    </w:p>
    <w:p>
      <w:pPr>
        <w:pStyle w:val="BookText"/>
      </w:pPr>
      <w:r>
        <w:rPr>
          <w:rFonts w:ascii="IRNazanin" w:hAnsi="IRNazanin" w:eastAsia="IRNazanin" w:cs="IRNazanin"/>
          <w:lang w:bidi="fa-IR"/>
          <w:color w:val="111111"/>
          <w:sz w:val="28"/>
          <w:szCs w:val="28"/>
          <w:rtl/>
        </w:rPr>
        <w:t xml:space="preserve">ولو جعلتا</w:t>
      </w:r>
      <w:r>
        <w:rPr>
          <w:rStyle w:val="FootnoteReference"/>
        </w:rPr>
        <w:footnoteReference w:id="540"/>
      </w:r>
      <w:r>
        <w:rPr>
          <w:rFonts w:ascii="Amiri" w:hAnsi="Amiri" w:eastAsia="Amiri" w:cs="Amiri"/>
          <w:lang w:bidi="ar-SA"/>
          <w:color w:val="111111"/>
          <w:sz w:val="28"/>
          <w:szCs w:val="28"/>
          <w:rtl/>
        </w:rPr>
        <w:t xml:space="preserve">عرفيّتين فالبحث في المقام في أنّ العرف هل يفهم من الأمر أنّ متعلّقه لا بدّ وأن لا يكون حراماً ومن النّهي أنّ متعلّقه لا بدّ وأن لا يكون واجباً أو لا</w:t>
      </w:r>
      <w:r>
        <w:rPr>
          <w:rStyle w:val="FootnoteReference"/>
        </w:rPr>
        <w:footnoteReference w:id="541"/>
      </w:r>
      <w:r>
        <w:rPr>
          <w:rFonts w:ascii="Amiri" w:hAnsi="Amiri" w:eastAsia="Amiri" w:cs="Amiri"/>
          <w:lang w:bidi="ar-SA"/>
          <w:color w:val="111111"/>
          <w:sz w:val="28"/>
          <w:szCs w:val="28"/>
          <w:rtl/>
        </w:rPr>
        <w:t xml:space="preserve">؟ وفي المقام الآتي في أنّ العرف هل يفهم من النّهي أنّ متعلّقه فاسد غير قابل للصحّة أو لا؟</w:t>
      </w:r>
    </w:p>
    <w:p>
      <w:pPr>
        <w:pStyle w:val="BookText"/>
      </w:pPr>
      <w:r>
        <w:rPr>
          <w:rFonts w:ascii="Amiri" w:hAnsi="Amiri" w:eastAsia="Amiri" w:cs="Amiri"/>
          <w:lang w:bidi="ar-SA"/>
          <w:color w:val="111111"/>
          <w:sz w:val="28"/>
          <w:szCs w:val="28"/>
          <w:rtl/>
        </w:rPr>
        <w:t xml:space="preserve">فافترقت المسألتان من حيث الموضوع والمحمول.</w:t>
      </w:r>
    </w:p>
    <w:p>
      <w:pPr>
        <w:pStyle w:val="BookText"/>
      </w:pPr>
      <w:r>
        <w:rPr>
          <w:rFonts w:ascii="Amiri" w:hAnsi="Amiri" w:eastAsia="Amiri" w:cs="Amiri"/>
          <w:lang w:bidi="ar-SA"/>
          <w:color w:val="111111"/>
          <w:sz w:val="28"/>
          <w:szCs w:val="28"/>
          <w:rtl/>
        </w:rPr>
        <w:t xml:space="preserve">نعم هذه المسألة أحد مباني المسألة الآتية على بعض الوجوه</w:t>
      </w:r>
      <w:r>
        <w:rPr>
          <w:rStyle w:val="FootnoteReference"/>
        </w:rPr>
        <w:footnoteReference w:id="542"/>
      </w:r>
      <w:r>
        <w:rPr>
          <w:rFonts w:ascii="Amiri" w:hAnsi="Amiri" w:eastAsia="Amiri" w:cs="Amiri"/>
          <w:lang w:bidi="ar-SA"/>
          <w:color w:val="111111"/>
          <w:sz w:val="28"/>
          <w:szCs w:val="28"/>
          <w:rtl/>
        </w:rPr>
        <w:t xml:space="preserve">وهذا لا يوجب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6" w:name="pg6784_51192"/>
    <w:bookmarkEnd w:id="76"/>
    <w:p>
      <w:pPr>
        <w:pStyle w:val="BookText"/>
      </w:pPr>
      <w:r>
        <w:rPr>
          <w:rFonts w:ascii="Amiri" w:hAnsi="Amiri" w:eastAsia="Amiri" w:cs="Amiri"/>
          <w:lang w:bidi="ar-SA"/>
          <w:color w:val="111111"/>
          <w:sz w:val="28"/>
          <w:szCs w:val="28"/>
          <w:rtl/>
        </w:rPr>
        <w:t xml:space="preserve">الاتّحاد كما لا يخفى.</w:t>
      </w:r>
    </w:p>
    <w:p>
      <w:pPr>
        <w:pStyle w:val="Heading6"/>
      </w:pPr>
      <w:bookmarkStart w:id="446" w:name="_Toc127"/>
      <w:r>
        <w:t>[الفرق بین هاتین المسألتین ومسألة العامّ والخاصّ]</w:t>
      </w:r>
      <w:bookmarkEnd w:id="446"/>
    </w:p>
    <w:p>
      <w:pPr>
        <w:pStyle w:val="BookText"/>
      </w:pPr>
      <w:r>
        <w:rPr>
          <w:rFonts w:ascii="Amiri" w:hAnsi="Amiri" w:eastAsia="Amiri" w:cs="Amiri"/>
          <w:lang w:bidi="ar-SA"/>
          <w:color w:val="111111"/>
          <w:sz w:val="28"/>
          <w:szCs w:val="28"/>
          <w:rtl/>
        </w:rPr>
        <w:t xml:space="preserve">وممّا بيّنّا ظهر الفرق بينهما وبين مبحث العامّ والخاصّ وأنّ العامّ يحمل على الخاصّ ولو جعلناهما عرفيّتين</w:t>
      </w:r>
      <w:r>
        <w:rPr>
          <w:rStyle w:val="FootnoteReference"/>
        </w:rPr>
        <w:footnoteReference w:id="543"/>
      </w:r>
      <w:r>
        <w:rPr>
          <w:rStyle w:val="FootnoteReference"/>
        </w:rPr>
        <w:footnoteReference w:id="544"/>
      </w:r>
      <w:r>
        <w:rPr>
          <w:rFonts w:ascii="IRNazanin" w:hAnsi="IRNazanin" w:eastAsia="IRNazanin" w:cs="IRNazanin"/>
          <w:lang w:bidi="fa-IR"/>
          <w:color w:val="111111"/>
          <w:sz w:val="28"/>
          <w:szCs w:val="28"/>
          <w:rtl/>
        </w:rPr>
        <w:t xml:space="preserve">إذ البحث فيهما ليس عن التّخصيص وعدمه وإن کان بعد الحكم بعدم جواز الاجتماع أو دلالة النّهي على الفساد يجب الحكم بالتّخصيص</w:t>
      </w:r>
      <w:r>
        <w:rPr>
          <w:rStyle w:val="FootnoteReference"/>
        </w:rPr>
        <w:footnoteReference w:id="545"/>
      </w:r>
      <w:r>
        <w:rPr>
          <w:rFonts w:ascii="Amiri" w:hAnsi="Amiri" w:eastAsia="Amiri" w:cs="Amiri"/>
          <w:lang w:bidi="ar-SA"/>
          <w:color w:val="111111"/>
          <w:sz w:val="28"/>
          <w:szCs w:val="28"/>
          <w:rtl/>
        </w:rPr>
        <w:t xml:space="preserve">فكأنّهما صغرويّتان بالنّسبة إلى بحث العامّ والخاصّ فإنّ البحث فيه بعد الفراغ عن المنافاة بين العامّ والخاصّ والبحث فيهما إنّما هو عن تحقّق المنافاة وعدمه فلا تغفل.</w:t>
      </w:r>
    </w:p>
    <w:p>
      <w:pPr>
        <w:pStyle w:val="Heading6"/>
      </w:pPr>
      <w:bookmarkStart w:id="447" w:name="_Toc128"/>
      <w:r>
        <w:t>[الأمر الرابع: في اختصاص البحث بالعامّ المنطقي]</w:t>
      </w:r>
      <w:bookmarkEnd w:id="447"/>
    </w:p>
    <w:p>
      <w:pPr>
        <w:pStyle w:val="BookText"/>
      </w:pPr>
      <w:r>
        <w:rPr>
          <w:rFonts w:ascii="IRNazanin" w:hAnsi="IRNazanin" w:eastAsia="IRNazanin" w:cs="IRNazanin"/>
          <w:lang w:bidi="fa-IR"/>
          <w:color w:val="111111"/>
          <w:sz w:val="28"/>
          <w:szCs w:val="28"/>
          <w:rtl/>
        </w:rPr>
        <w:t xml:space="preserve">الرّابع: حيث قد عرفت أنّ الاجتماع الآمري غير جائز وأنّه خارج عن محلّالکلام يظهر لك اختصاص البحث في المقام بالعامّ المنطقي</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وأیضاً راجع: القواعد الشریفة، ج1، ص173، حیث قال: «قاعدة: إذا ورد عام وخاص فإمّا أن يكونا متوافقين في الإيجاب والسّلب أو متخالفين والمراد بالعام هنا هو العام الأصولي لا المنطقي ولا اللغوي ولا الاحتمالي والنسبة بين العام المنطقي والأصولي تباين كلّي فإنّ العام المنطقي هو الماهية لا بشرط شيء وهو كلي والعام الأصولي هو اللفظ المستغرق ولو قلنا بأنّ العام الأصولي هو معنى العلماء لا لفظ العلماء فالتفرقة بينهما واضح أيضاً، فإنّ الأوّل كلي والثاني جزئي، والعام اللغوي أعمّ من الأصولي والمنطقي والاحتمالي؛ لأنّ العام اللغوي عبارة عن مطلق الشمول وكل من الثلاثة له نوع من الشمول والنسبة بين الأصولي والاحتمالي تباين كلي؛ لأنّ المراد بالاحتمالي هو اللفظ المحتمل المعنيين وهذا اللفظ وأمثاله هو مورد العام الاحتمالي فإنّه يقال العام لا يدلّ على الخاصّ والحال أنّه ليس فى البين لا عام أصولي ولا منطقي للعلم بأنّ هذا الشي‌ء في الواقع شي‌ء جزئي حقيقي ليس قابلاً للصدق على الكثيرين. فتأمّل».</w:t>
      </w:r>
    </w:p>
    <w:p>
      <w:pPr>
        <w:pStyle w:val="BookText"/>
      </w:pPr>
      <w:r>
        <w:rPr>
          <w:rFonts w:ascii="IRNazanin" w:hAnsi="IRNazanin" w:eastAsia="IRNazanin" w:cs="IRNazanin"/>
          <w:lang w:bidi="fa-IR"/>
          <w:color w:val="111111"/>
          <w:sz w:val="28"/>
          <w:szCs w:val="28"/>
          <w:rtl/>
        </w:rPr>
        <w:t xml:space="preserve">وفي تقریرات العلّامة السیّد عبدالحسین اللاري، ج1، ص45، فسّر العامّ المنطقي بنفس النوع المتصوّر، والعامّ الأصولي بجزئيّاته المتصوّرة في ضمنه إجمالاً.</w:t>
      </w:r>
    </w:p>
    <w:p>
      <w:pPr>
        <w:pStyle w:val="BookText"/>
      </w:pPr>
      <w:r>
        <w:rPr>
          <w:rFonts w:ascii="IRNazanin" w:hAnsi="IRNazanin" w:eastAsia="IRNazanin" w:cs="IRNazanin"/>
          <w:lang w:bidi="fa-IR"/>
          <w:color w:val="111111"/>
          <w:sz w:val="28"/>
          <w:szCs w:val="28"/>
          <w:rtl/>
        </w:rPr>
        <w:t xml:space="preserve">وفي هذا التقریرات، ج2، ص173: «فالعموم لغة مطلق الشمول، ومنه العموم المنطقي والعموم الاحتمالي، وأمّا العموم البدلي كقولك: «رأيت رجلاً»، فإن أطلق الرجل على الكلّي أي مفهوم فرد ما فهو من الكلي المنطقي، وإن أطلق على الجزئي أي الفرد الخارجي القابل لزيد وعمرو فهو من العامّ الاحتمالي. واصطلاحاً هو استغراق الجزئيّات».</w:t>
      </w:r>
    </w:p>
    <w:p>
      <w:pPr>
        <w:pStyle w:val="BookText"/>
      </w:pPr>
      <w:r>
        <w:rPr>
          <w:rFonts w:ascii="Amiri" w:hAnsi="Amiri" w:eastAsia="Amiri" w:cs="Amiri"/>
          <w:lang w:bidi="ar-SA"/>
          <w:color w:val="111111"/>
          <w:sz w:val="28"/>
          <w:szCs w:val="28"/>
          <w:rtl/>
        </w:rPr>
        <w:t xml:space="preserve">وفي: عمدة الأصول، ج4، ص38، قال: «ثمّ الفرق بين العامّ الأصولي والعامّ المنطقي يكون في فعليّة الإحاطة وعدمها، فإذا اعتبرت الإحاطة بالفعل في التعريف فهو عامّ أصوليّ، وإذا لم يعتبر فيه ذلك - بل عرّف بأنّه الذي لا يمتنع فرض صدقه على الكثيرين - فهو كلّي منطقيّ».</w:t>
      </w:r>
    </w:p>
    <w:p>
      <w:pPr>
        <w:pStyle w:val="BookText"/>
      </w:pPr>
      <w:r>
        <w:rPr>
          <w:rFonts w:ascii="Amiri" w:hAnsi="Amiri" w:eastAsia="Amiri" w:cs="Amiri"/>
          <w:lang w:bidi="ar-SA"/>
          <w:color w:val="111111"/>
          <w:sz w:val="28"/>
          <w:szCs w:val="28"/>
          <w:rtl/>
        </w:rPr>
        <w:t xml:space="preserve">وأنّ العامّ الأصولي سواء</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البدلي والشمولي خارجٌ عنه كما إذا قال: «أکرم العلماء ولا تكرم الفسّاق» أو قال: «أکرم أيّ عالم أردت ولا تكرم الفسّاق أو الفاسق» فلا إشکال في عدم جواز كون العالم الفاسق داخلاً في العامّين بل هو خارج عن أحدهما والمسألة داخلة في عنوان التعارض</w:t>
      </w:r>
      <w:r>
        <w:rPr>
          <w:rStyle w:val="FootnoteReference"/>
        </w:rPr>
        <w:footnoteReference w:id="547"/>
      </w:r>
      <w:r>
        <w:rPr>
          <w:rFonts w:ascii="Amiri" w:hAnsi="Amiri" w:eastAsia="Amiri" w:cs="Amiri"/>
          <w:lang w:bidi="ar-SA"/>
          <w:color w:val="111111"/>
          <w:sz w:val="28"/>
          <w:szCs w:val="28"/>
          <w:rtl/>
        </w:rPr>
        <w:t xml:space="preserve">المبحوث عنه في باب التّعادل والتّرجيح.</w:t>
      </w:r>
      <w:r>
        <w:rPr>
          <w:rStyle w:val="FootnoteReference"/>
        </w:rPr>
        <w:footnoteReference w:id="548"/>
      </w:r>
      <w:r>
        <w:rPr>
          <w:rFonts w:ascii="IRNazanin" w:hAnsi="IRNazanin" w:eastAsia="IRNazanin" w:cs="IRNazanin"/>
          <w:lang w:bidi="fa-IR"/>
          <w:color w:val="111111"/>
          <w:sz w:val="28"/>
          <w:szCs w:val="28"/>
          <w:rtl/>
        </w:rPr>
        <w:t xml:space="preserve">ثمّ ليس کلّ عامّ منطقيّ داخلاً في عنوان البحث في المقام بل يعتبر أن يكون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ورود الحكم على الطّبيعة المطلقة السّارية في جميع الأفراد معلوماً بحيث لم يكن مانع عن شمول کلا</w:t>
      </w:r>
      <w:r>
        <w:rPr>
          <w:rStyle w:val="FootnoteReference"/>
        </w:rPr>
        <w:footnoteReference w:id="549"/>
      </w:r>
      <w:r>
        <w:rPr>
          <w:rFonts w:ascii="Amiri" w:hAnsi="Amiri" w:eastAsia="Amiri" w:cs="Amiri"/>
          <w:lang w:bidi="ar-SA"/>
          <w:color w:val="111111"/>
          <w:sz w:val="28"/>
          <w:szCs w:val="28"/>
          <w:rtl/>
        </w:rPr>
        <w:t xml:space="preserve">العامّين لجميع أفرادهما إلّا عدم جواز الاجتماع على فرضه.</w:t>
      </w:r>
    </w:p>
    <w:p>
      <w:pPr>
        <w:pStyle w:val="BookText"/>
      </w:pPr>
      <w:r>
        <w:rPr>
          <w:rFonts w:ascii="Amiri" w:hAnsi="Amiri" w:eastAsia="Amiri" w:cs="Amiri"/>
          <w:lang w:bidi="ar-SA"/>
          <w:color w:val="111111"/>
          <w:sz w:val="28"/>
          <w:szCs w:val="28"/>
          <w:rtl/>
        </w:rPr>
        <w:t xml:space="preserve">فلو فرضنا عدم العلم بذلك واحتملنا عدم إرادة العموم من أحدهما من غير جهة المنع عن الاجتماع دخل في باب التّعادل والترجيح الواجب فيه الرّجوع إلى المرجّحات الدّلاليّة أو السّنديّة وغيرها.</w:t>
      </w:r>
    </w:p>
    <w:p>
      <w:pPr>
        <w:pStyle w:val="BookText"/>
      </w:pPr>
      <w:r>
        <w:rPr>
          <w:rFonts w:ascii="IRNazanin" w:hAnsi="IRNazanin" w:eastAsia="IRNazanin" w:cs="IRNazanin"/>
          <w:lang w:bidi="fa-IR"/>
          <w:color w:val="111111"/>
          <w:sz w:val="28"/>
          <w:szCs w:val="28"/>
          <w:rtl/>
        </w:rPr>
        <w:t xml:space="preserve">ومن ذلك يظهر الجواب عمّا يورد إشکالاً في المقام من أنّ اختلافهم في المقام في جواز الاجتماع وعدمه ينافي ما ذكروه في ذلك الباب من وجوب العمل بأظهر الدّليلين دلالة أو أرجحهما سنداً أو متناً أو مضموناً والتخيير أو التّساقط مع فقد المرجّحات فإنّ لازم القول بجواز الاجتماع في المقام العمل بکلا الدّليلين في مورد الاجتماع فيما إذا كان أحدهما آمراً والآخر ناهياً؛ وذلك لأنّ مفروض المقام الفراغ عن السّند والدّلالة بحيث لو فرض انحصار أفراد العامّين في المجمع كان من باب التّزاحم لا التّعارض.</w:t>
      </w:r>
    </w:p>
    <w:p>
      <w:pPr>
        <w:pStyle w:val="BookText"/>
      </w:pPr>
      <w:r>
        <w:rPr>
          <w:rFonts w:ascii="Amiri" w:hAnsi="Amiri" w:eastAsia="Amiri" w:cs="Amiri"/>
          <w:lang w:bidi="ar-SA"/>
          <w:color w:val="111111"/>
          <w:sz w:val="28"/>
          <w:szCs w:val="28"/>
          <w:rtl/>
        </w:rPr>
        <w:t xml:space="preserve">ففي مسألة الصّلاة والغصب شمول دليل حرمة الغصب حتّى لصورة</w:t>
      </w:r>
      <w:r>
        <w:rPr>
          <w:rStyle w:val="FootnoteReference"/>
        </w:rPr>
        <w:footnoteReference w:id="550"/>
      </w:r>
      <w:r>
        <w:rPr>
          <w:rFonts w:ascii="IRNazanin" w:hAnsi="IRNazanin" w:eastAsia="IRNazanin" w:cs="IRNazanin"/>
          <w:lang w:bidi="fa-IR"/>
          <w:color w:val="111111"/>
          <w:sz w:val="28"/>
          <w:szCs w:val="28"/>
          <w:rtl/>
        </w:rPr>
        <w:t xml:space="preserve">الصّلاة معلوم وكون المأمور به طبيعة الصّلاة بحيث لا يشذّ عنها شاذّ إلّا لمانع معلوم وإنّما الإشکال في أنّ الحرمة المفروضة مانعة من شمول الأمر لهذا الفرد أم لا؟</w:t>
      </w:r>
    </w:p>
    <w:p>
      <w:pPr>
        <w:pStyle w:val="BookText"/>
      </w:pPr>
      <w:r>
        <w:rPr>
          <w:rFonts w:ascii="Amiri" w:hAnsi="Amiri" w:eastAsia="Amiri" w:cs="Amiri"/>
          <w:lang w:bidi="ar-SA"/>
          <w:color w:val="111111"/>
          <w:sz w:val="28"/>
          <w:szCs w:val="28"/>
          <w:rtl/>
        </w:rPr>
        <w:t xml:space="preserve">والمفروض في ذلك البحث العلم بأنّ أحد العامّين مخصّص وأنّ المجمع خارج عن أحدهما أو الشّك في شمول الدّليل له مع عدم مساعدة دليل على دخوله فيهما مهما أمكن.</w:t>
      </w:r>
    </w:p>
    <w:p>
      <w:pPr>
        <w:pStyle w:val="BookText"/>
      </w:pPr>
      <w:r>
        <w:rPr>
          <w:rFonts w:ascii="Amiri" w:hAnsi="Amiri" w:eastAsia="Amiri" w:cs="Amiri"/>
          <w:lang w:bidi="ar-SA"/>
          <w:color w:val="111111"/>
          <w:sz w:val="28"/>
          <w:szCs w:val="28"/>
          <w:rtl/>
        </w:rPr>
        <w:t xml:space="preserve">فلا منافاة</w:t>
      </w:r>
      <w:r>
        <w:rPr>
          <w:rStyle w:val="FootnoteReference"/>
        </w:rPr>
        <w:footnoteReference w:id="551"/>
      </w:r>
      <w:r>
        <w:rPr>
          <w:rFonts w:ascii="Amiri" w:hAnsi="Amiri" w:eastAsia="Amiri" w:cs="Amiri"/>
          <w:lang w:bidi="ar-SA"/>
          <w:color w:val="111111"/>
          <w:sz w:val="28"/>
          <w:szCs w:val="28"/>
          <w:rtl/>
        </w:rPr>
        <w:t xml:space="preserve">بين المقامين؛ إذ ما نحن فيه داخل في باب التّزاحم لا التّعارض.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ويأتي تمام بيان لهذا في ذي قبل</w:t>
      </w:r>
      <w:r>
        <w:rPr>
          <w:rStyle w:val="FootnoteReference"/>
        </w:rPr>
        <w:footnoteReference w:id="552"/>
      </w:r>
      <w:r>
        <w:rPr>
          <w:rFonts w:ascii="IRNazanin" w:hAnsi="IRNazanin" w:eastAsia="IRNazanin" w:cs="IRNazanin"/>
          <w:lang w:bidi="fa-IR"/>
          <w:color w:val="111111"/>
          <w:sz w:val="28"/>
          <w:szCs w:val="28"/>
          <w:rtl/>
        </w:rPr>
        <w:t xml:space="preserve">إن شاء الله تعالى.</w:t>
      </w:r>
    </w:p>
    <w:p>
      <w:pPr>
        <w:pStyle w:val="BookText"/>
      </w:pPr>
      <w:r>
        <w:rPr>
          <w:rFonts w:ascii="IRNazanin" w:hAnsi="IRNazanin" w:eastAsia="IRNazanin" w:cs="IRNazanin"/>
          <w:lang w:bidi="fa-IR"/>
          <w:color w:val="111111"/>
          <w:sz w:val="28"/>
          <w:szCs w:val="28"/>
          <w:rtl/>
        </w:rPr>
        <w:t xml:space="preserve">ومن ذلك تعرف ضعف ما قيل في دفع الإشکال المذكور والفرق بينالمقامين من أنّ محلّ الکلام في المقام في العامّ المنطقي وفي ذلك البحث العامّ الأصولي؛</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وقال في وسیلة الوسائل في شرح الرسائل، ص436 - في مقام ردّ الفرق بین مسألة الاجتماع ومبحث التعارض بالعموم المنطقي والعموم الأصولي -: «من التّناقضات اختلافهم في مبحث اجتماع الأمر والنّهى في الجواز وعدمه مع اتّفاقهم في مبحث التّعادل والتّراجيح على الرّجوع في العامّين من وجه إلى المرجّحات ومع عدمها فالحكم بالتّخيير كما ذهب إليه بعضهم أو التّساقط والرّجوع إلى الأصول كما اختاره آخرون فيستفاد منه أنّ الحكم بعدم جواز اجتماع الأمر والنّهى مفروغ عنه عندهم وإلّا لوجب الحكم بالعمل بكليهما وعدم الرّجوع الى المرجّحات لعدم التّعارض حينئذٍ، فهذا الوفاق مناف لذلك الخلاف.</w:t>
      </w:r>
    </w:p>
    <w:p>
      <w:pPr>
        <w:pStyle w:val="BookText"/>
      </w:pPr>
      <w:r>
        <w:rPr>
          <w:rFonts w:ascii="Amiri" w:hAnsi="Amiri" w:eastAsia="Amiri" w:cs="Amiri"/>
          <w:lang w:bidi="ar-SA"/>
          <w:color w:val="111111"/>
          <w:sz w:val="28"/>
          <w:szCs w:val="28"/>
          <w:rtl/>
        </w:rPr>
        <w:t xml:space="preserve">وطريق دفعه أن يقال: إنّ العموم والخصوص من وجه قد يكون بين المأمور به والمنهىّ عنه كما في «صلّ ولا تغصب» وقد يكون بين متعلّقيهما كما في «أكرم العالم ولا تكرم الفاسق» والظّاهر أنّ محلّ نزاعهم في مبحث اجتماع الأمر والنّهى هو الأوّل كما يشهد به تمثيلهم بصلّ ولا تغصب مع تصريح بعضهم به أيضا ووجه الفرق بينهما أنّ الأوّل يكون العموم فيه من قبيل العموم المنطقي والثّاني يكون لعموم فيه من قبيل العموم الأصولي والمعقول من النّزاع إنّما هو في الأوّل دون الثّاني؛ لأنّ شمول العامّ الأصولي لأفراده إنّما هو على سبيل الحقيقة ومن جهة الوضع فيلزم فيه الأمر بعين ما نهى عنه من غير ملاحظة تخيير فيرجع إلى الاجتماع الآمري الّذي اتّفقوا على عدم جوازه بخلاف العامّ المنطقي فيرجع الأمر فيه إلى الاجتماع المأموري.</w:t>
      </w:r>
    </w:p>
    <w:p>
      <w:pPr>
        <w:pStyle w:val="BookText"/>
      </w:pPr>
      <w:r>
        <w:rPr>
          <w:rFonts w:ascii="Amiri" w:hAnsi="Amiri" w:eastAsia="Amiri" w:cs="Amiri"/>
          <w:lang w:bidi="ar-SA"/>
          <w:color w:val="111111"/>
          <w:sz w:val="28"/>
          <w:szCs w:val="28"/>
          <w:rtl/>
        </w:rPr>
        <w:t xml:space="preserve">ويمكن الإيراد بمنع هذا الفرق، فإنّ الأحكام إن قلنا بأنّها تتعلّق بالطّبائع فيجب القول به في المقامين وإن قلنا بأنّها تتعلّق بالأفراد فكذلك فالفرق تحكّم مضافاً إلى أنّ مورد الحكم هو أصل الإكرام مثلاً؛ إذ الطّلب وارد عليه والعالم والفاسق متعلّقان له. فافهم».</w:t>
      </w:r>
    </w:p>
    <w:p>
      <w:pPr>
        <w:pStyle w:val="BookText"/>
      </w:pPr>
      <w:r>
        <w:rPr>
          <w:rFonts w:ascii="IRNazanin" w:hAnsi="IRNazanin" w:eastAsia="IRNazanin" w:cs="IRNazanin"/>
          <w:lang w:bidi="fa-IR"/>
          <w:color w:val="111111"/>
          <w:sz w:val="28"/>
          <w:szCs w:val="28"/>
          <w:rtl/>
        </w:rPr>
        <w:t xml:space="preserve">إذ هو</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إطلاقه غير صحيح بل يعتبر أن يكون شمول النّهي معلوماً وكون الفرد محرّماً مفروضاً وشمول الأمر أیضاً من حيث هو مع قطع النّظر عن مانع الاجتماع معلوماً.</w:t>
      </w:r>
    </w:p>
    <w:p>
      <w:pPr>
        <w:pStyle w:val="BookText"/>
      </w:pPr>
      <w:r>
        <w:rPr>
          <w:rFonts w:ascii="Amiri" w:hAnsi="Amiri" w:eastAsia="Amiri" w:cs="Amiri"/>
          <w:lang w:bidi="ar-SA"/>
          <w:color w:val="111111"/>
          <w:sz w:val="28"/>
          <w:szCs w:val="28"/>
          <w:rtl/>
        </w:rPr>
        <w:t xml:space="preserve">وأضعف من هذا ما ذكره</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في بعض النسخ: «ذکروه بعضهم». وفي المخطوطة والطبعة الحجریّة: «ذکره».</w:t>
      </w:r>
    </w:p>
    <w:p>
      <w:pPr>
        <w:pStyle w:val="BookText"/>
      </w:pPr>
      <w:r>
        <w:rPr>
          <w:rFonts w:ascii="IRNazanin" w:hAnsi="IRNazanin" w:eastAsia="IRNazanin" w:cs="IRNazanin"/>
          <w:lang w:bidi="fa-IR"/>
          <w:color w:val="111111"/>
          <w:sz w:val="28"/>
          <w:szCs w:val="28"/>
          <w:rtl/>
        </w:rPr>
        <w:t xml:space="preserve">بعضهم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راجع: مطارح الأنظار، ج1، ص608، حیث قال: «ثمّ إنّ الظاهر اختصاص كلماتهم فيما نحن بصدده بما إذا كان العموم من وجه بين نفس الفعل المأمور به والفعل المنهيّ عنه، كما في قولك: «صلّ ولا تغصب» حيث إنّ النسبة المأخوذة فيهما غير مستندة إلى أمر خارج عن الطبيعتين. بخلاف ما إذا كان العموم بينهما باعتبار متعلّقهما كما في قولك: «أكرم عالماً ولا تكرم فاسقاً» فإنّ الإكرام باعتبار الإضافة والتعلّق بالعالم والفاسق قد اختلفت ماهيّته على وجه العموم والخصوص من وجه، كما هو ظاهر. ولعلّ الوجه في ذلك - على ما سيأتي - هو اختلاف متفاهم المثالين عند العرف».</w:t>
      </w:r>
    </w:p>
    <w:p>
      <w:pPr>
        <w:pStyle w:val="BookText"/>
      </w:pPr>
      <w:r>
        <w:rPr>
          <w:rFonts w:ascii="IRNazanin" w:hAnsi="IRNazanin" w:eastAsia="IRNazanin" w:cs="IRNazanin"/>
          <w:lang w:bidi="fa-IR"/>
          <w:color w:val="111111"/>
          <w:sz w:val="28"/>
          <w:szCs w:val="28"/>
          <w:rtl/>
        </w:rPr>
        <w:t xml:space="preserve">وکذا راجع: غایة المسؤول في علم الأصول، ص298، حیث قال: «ثم إنّك قد عرفت أنّهم خصصوا محل النّزاع بما إذا كان بين المأمور به والمنهي عنه عموم من وجه، فاعلم أنّه قد يكون بين متعلق الأمر والنّهي العموم من وجه نحو «أكرم العالم ولا تكرم الفاسق» والظّاهر منهم خروجه عن محل النّزاع حيث مثلوا في المسألة بمثل «صل ولا تغصب» وذكروا في مسألة التّعادل والتّراجيح أنّه إذا كان بين الدّليلين العموم من وجه مثل «أكرم العالم ولا تكرم الفاسق» ففيه قولان التّساقط والتّخيير وليس هناك قول ثالث فإنّ مقتضى الاتفاق على القولين عدم جواز الاجتماع فيه وإلاّ لكان مقتضى القول بجواز الاجتماع العمل بهما معاً فيكون قولاً ثالثاً».</w:t>
      </w:r>
    </w:p>
    <w:p>
      <w:pPr>
        <w:pStyle w:val="BookText"/>
      </w:pPr>
      <w:r>
        <w:rPr>
          <w:rFonts w:ascii="Amiri" w:hAnsi="Amiri" w:eastAsia="Amiri" w:cs="Amiri"/>
          <w:lang w:bidi="ar-SA"/>
          <w:color w:val="111111"/>
          <w:sz w:val="28"/>
          <w:szCs w:val="28"/>
          <w:rtl/>
        </w:rPr>
        <w:t xml:space="preserve">من اختصاص النزاع في المقام بما إذا كانالعموم من وجه بين نفس المأمور به والمنهي عنه كما في قوله: «صلّ ولا تغصب» لا في المتعلّق كما في قولك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«أکرم عالماً ولا تكرم فاسقاً» فإنّ الإکرام باعتبار إضافته إلى العالم والفاسق قد اختلف ماهيّته بالعموم من وجه لا من حيث هو قال: «ولعلّ الوجه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7" w:name="pg6784_51197"/>
    <w:bookmarkEnd w:id="77"/>
    <w:p>
      <w:pPr>
        <w:pStyle w:val="BookText"/>
      </w:pPr>
      <w:r>
        <w:rPr>
          <w:rFonts w:ascii="Amiri" w:hAnsi="Amiri" w:eastAsia="Amiri" w:cs="Amiri"/>
          <w:lang w:bidi="ar-SA"/>
          <w:color w:val="111111"/>
          <w:sz w:val="28"/>
          <w:szCs w:val="28"/>
          <w:rtl/>
        </w:rPr>
        <w:t xml:space="preserve">في ذلك هو اختلاف متفاهم المثال مع مثال المسألة».</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وذلك لضرورة عدم الفرق بين الصّورتين والمثالين بالنّسبة إلى المقامين وقد اعترف القائل به أیضاً في آخر کلامه حيث قال: «إلّا أنّ المجوّز مطالب بالفرق بين المقامين».</w:t>
      </w:r>
      <w:r>
        <w:rPr>
          <w:rStyle w:val="FootnoteReference"/>
        </w:rPr>
        <w:footnoteReference w:id="556"/>
      </w:r>
    </w:p>
    <w:p>
      <w:pPr>
        <w:pStyle w:val="BookText"/>
      </w:pPr>
      <w:r>
        <w:rPr>
          <w:rFonts w:ascii="Amiri" w:hAnsi="Amiri" w:eastAsia="Amiri" w:cs="Amiri"/>
          <w:lang w:bidi="ar-SA"/>
          <w:color w:val="111111"/>
          <w:sz w:val="28"/>
          <w:szCs w:val="28"/>
          <w:rtl/>
        </w:rPr>
        <w:t xml:space="preserve">أقول: لم يفرق أحد بما ذكره حتّى يكون مطالباً بالفرق وقد عرفت الفرق بين البابين ومورد البحث في المقامين.</w:t>
      </w:r>
    </w:p>
    <w:p>
      <w:pPr>
        <w:pStyle w:val="Heading6"/>
      </w:pPr>
      <w:bookmarkStart w:id="448" w:name="_Toc129"/>
      <w:r>
        <w:t>ذنابتان</w:t>
      </w:r>
      <w:bookmarkEnd w:id="448"/>
    </w:p>
    <w:p>
      <w:pPr>
        <w:pStyle w:val="Heading6"/>
      </w:pPr>
      <w:bookmarkStart w:id="449" w:name="_Toc130"/>
      <w:r>
        <w:t>[الأولی: في خروج الأمر والنهي الإرشادي عن محلّ النزاع]</w:t>
      </w:r>
      <w:bookmarkEnd w:id="449"/>
    </w:p>
    <w:p>
      <w:pPr>
        <w:pStyle w:val="BookText"/>
      </w:pPr>
      <w:r>
        <w:rPr>
          <w:rFonts w:ascii="IRNazanin" w:hAnsi="IRNazanin" w:eastAsia="IRNazanin" w:cs="IRNazanin"/>
          <w:lang w:bidi="fa-IR"/>
          <w:color w:val="111111"/>
          <w:sz w:val="28"/>
          <w:szCs w:val="28"/>
          <w:rtl/>
        </w:rPr>
        <w:t xml:space="preserve">الأولی: محلّ النّزاع في المقام الأمر والنّهي المولويان، فالإرشاديان والمختلفان خارجان عن النزاع من حيث وضوح جواز الاجتماع فيهما ولوقلنا بأنّ الأمر الإرشاديطلب وكذا النّهي - لا</w:t>
      </w:r>
      <w:r>
        <w:rPr>
          <w:rStyle w:val="FootnoteReference"/>
        </w:rPr>
        <w:footnoteReference w:id="557"/>
      </w:r>
      <w:r>
        <w:rPr>
          <w:rFonts w:ascii="IRNazanin" w:hAnsi="IRNazanin" w:eastAsia="IRNazanin" w:cs="IRNazanin"/>
          <w:lang w:bidi="fa-IR"/>
          <w:color w:val="111111"/>
          <w:sz w:val="28"/>
          <w:szCs w:val="28"/>
          <w:rtl/>
        </w:rPr>
        <w:t xml:space="preserve">أنّه إخبار -؛ وذلك لأنّه وإن کان طلباً إلّا أنّه طلب صوري عبوري من قبيل الكناية المقصود منها لازم المعنى</w:t>
      </w:r>
      <w:r>
        <w:rPr>
          <w:rStyle w:val="FootnoteReference"/>
        </w:rPr>
        <w:footnoteReference w:id="558"/>
      </w:r>
      <w:r>
        <w:rPr>
          <w:rFonts w:ascii="IRNazanin" w:hAnsi="IRNazanin" w:eastAsia="IRNazanin" w:cs="IRNazanin"/>
          <w:lang w:bidi="fa-IR"/>
          <w:color w:val="111111"/>
          <w:sz w:val="28"/>
          <w:szCs w:val="28"/>
          <w:rtl/>
        </w:rPr>
        <w:t xml:space="preserve">وإن کان اللّفظ مستعملاً في معناه الحقيقي للعبور إلى المعنى اللّازمي فكأنّه إخبار حقیقة فإذا قال الطبيب: «اشرب الشي‌ء الفلاني» فكأنّه قال: «إنّه نافع لكذا». وهكذا نهيه.</w:t>
      </w:r>
    </w:p>
    <w:p>
      <w:pPr>
        <w:pStyle w:val="BookText"/>
      </w:pPr>
      <w:r>
        <w:rPr>
          <w:rFonts w:ascii="Amiri" w:hAnsi="Amiri" w:eastAsia="Amiri" w:cs="Amiri"/>
          <w:lang w:bidi="ar-SA"/>
          <w:color w:val="111111"/>
          <w:sz w:val="28"/>
          <w:szCs w:val="28"/>
          <w:rtl/>
        </w:rPr>
        <w:t xml:space="preserve">فالطلبان في الحقيقة إخباران عن المصلحة والمفسدة ولا بأس باجتماعهما</w:t>
      </w:r>
      <w:r>
        <w:rPr>
          <w:rStyle w:val="FootnoteReference"/>
        </w:rPr>
        <w:footnoteReference w:id="559"/>
      </w:r>
    </w:p>
    <w:p>
      <w:pPr>
        <w:pStyle w:val="BookText"/>
      </w:pPr>
      <w:r>
        <w:rPr>
          <w:rFonts w:ascii="Amiri" w:hAnsi="Amiri" w:eastAsia="Amiri" w:cs="Amiri"/>
          <w:lang w:bidi="ar-SA"/>
          <w:color w:val="111111"/>
          <w:sz w:val="28"/>
          <w:szCs w:val="28"/>
          <w:rtl/>
        </w:rPr>
        <w:t xml:space="preserve">وأمّا ظهورهما في وجود المصلحة والمفسدة في المجمع فلا مانع عن بقاء الإطلاقين [بحالهما]».</w:t>
      </w:r>
    </w:p>
    <w:p>
      <w:pPr>
        <w:pStyle w:val="BookText"/>
      </w:pPr>
      <w:r>
        <w:rPr>
          <w:rFonts w:ascii="IRNazanin" w:hAnsi="IRNazanin" w:eastAsia="IRNazanin" w:cs="IRNazanin"/>
          <w:lang w:bidi="fa-IR"/>
          <w:color w:val="111111"/>
          <w:sz w:val="28"/>
          <w:szCs w:val="28"/>
          <w:rtl/>
        </w:rPr>
        <w:t xml:space="preserve">من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8" w:name="pg6784_51198"/>
    <w:bookmarkEnd w:id="78"/>
    <w:p>
      <w:pPr>
        <w:pStyle w:val="BookText"/>
      </w:pPr>
      <w:r>
        <w:rPr>
          <w:rFonts w:ascii="Amiri" w:hAnsi="Amiri" w:eastAsia="Amiri" w:cs="Amiri"/>
          <w:lang w:bidi="ar-SA"/>
          <w:color w:val="111111"/>
          <w:sz w:val="28"/>
          <w:szCs w:val="28"/>
          <w:rtl/>
        </w:rPr>
        <w:t xml:space="preserve">جهتين</w:t>
      </w:r>
      <w:r>
        <w:rPr>
          <w:rStyle w:val="FootnoteReference"/>
        </w:rPr>
        <w:footnoteReference w:id="560"/>
      </w:r>
      <w:r>
        <w:rPr>
          <w:rFonts w:ascii="Amiri" w:hAnsi="Amiri" w:eastAsia="Amiri" w:cs="Amiri"/>
          <w:lang w:bidi="ar-SA"/>
          <w:color w:val="111111"/>
          <w:sz w:val="28"/>
          <w:szCs w:val="28"/>
          <w:rtl/>
        </w:rPr>
        <w:t xml:space="preserve">كما هو واضح.</w:t>
      </w:r>
    </w:p>
    <w:p>
      <w:pPr>
        <w:pStyle w:val="Heading6"/>
      </w:pPr>
      <w:bookmarkStart w:id="450" w:name="_Toc131"/>
      <w:r>
        <w:t>[الثانية: فيما يكون من الوصف داخل في محلّ النزاع]</w:t>
      </w:r>
      <w:bookmarkEnd w:id="450"/>
    </w:p>
    <w:p>
      <w:pPr>
        <w:pStyle w:val="BookText"/>
      </w:pPr>
      <w:r>
        <w:rPr>
          <w:rFonts w:ascii="Amiri" w:hAnsi="Amiri" w:eastAsia="Amiri" w:cs="Amiri"/>
          <w:lang w:bidi="ar-SA"/>
          <w:color w:val="111111"/>
          <w:sz w:val="28"/>
          <w:szCs w:val="28"/>
          <w:rtl/>
        </w:rPr>
        <w:t xml:space="preserve">الثّانية: قيل في مقام تحرير</w:t>
      </w:r>
      <w:r>
        <w:rPr>
          <w:rStyle w:val="FootnoteReference"/>
        </w:rPr>
        <w:footnoteReference w:id="561"/>
      </w:r>
      <w:r>
        <w:rPr>
          <w:rFonts w:ascii="IRNazanin" w:hAnsi="IRNazanin" w:eastAsia="IRNazanin" w:cs="IRNazanin"/>
          <w:lang w:bidi="fa-IR"/>
          <w:color w:val="111111"/>
          <w:sz w:val="28"/>
          <w:szCs w:val="28"/>
          <w:rtl/>
        </w:rPr>
        <w:t xml:space="preserve">النزاع</w:t>
      </w:r>
      <w:r>
        <w:rPr>
          <w:rStyle w:val="FootnoteReference"/>
        </w:rPr>
        <w:footnoteReference w:id="562"/>
      </w:r>
      <w:r>
        <w:rPr>
          <w:rFonts w:ascii="Amiri" w:hAnsi="Amiri" w:eastAsia="Amiri" w:cs="Amiri"/>
          <w:lang w:bidi="ar-SA"/>
          <w:color w:val="111111"/>
          <w:sz w:val="28"/>
          <w:szCs w:val="28"/>
          <w:rtl/>
        </w:rPr>
        <w:t xml:space="preserve">: الوصف إمّا لازم أي مقوّم للماهيّة أو للشخص أو مفارق، فالأوّل كقوله: «اغتسل ولا ترتمس» وقوله: «اشتر لي حيواناً ولاتشتر أبيض</w:t>
      </w:r>
      <w:r>
        <w:rPr>
          <w:rStyle w:val="FootnoteReference"/>
        </w:rPr>
        <w:footnoteReference w:id="563"/>
      </w:r>
      <w:r>
        <w:rPr>
          <w:rFonts w:ascii="IRNazanin" w:hAnsi="IRNazanin" w:eastAsia="IRNazanin" w:cs="IRNazanin"/>
          <w:lang w:bidi="fa-IR"/>
          <w:color w:val="111111"/>
          <w:sz w:val="28"/>
          <w:szCs w:val="28"/>
          <w:rtl/>
        </w:rPr>
        <w:t xml:space="preserve">». والثاني كقوله: «خط لي ثوباً ولا تكن في موضع الفلاني». والثالث كقوله: «صلّ ولا تغصب». لا إشکال في دخول الثالث في النزاع وفي شموله للأوّلين وجهان أو وجوه، ثالثها الفرق بين اللّازم للماهيّة فغير داخل واللازم للشخص فداخل.</w:t>
      </w:r>
      <w:r>
        <w:rPr>
          <w:rStyle w:val="FootnoteReference"/>
        </w:rPr>
        <w:footnoteReference w:id="564"/>
      </w:r>
    </w:p>
    <w:p>
      <w:pPr>
        <w:pStyle w:val="BookText"/>
      </w:pPr>
      <w:r>
        <w:rPr>
          <w:rFonts w:ascii="Amiri" w:hAnsi="Amiri" w:eastAsia="Amiri" w:cs="Amiri"/>
          <w:lang w:bidi="ar-SA"/>
          <w:color w:val="111111"/>
          <w:sz w:val="28"/>
          <w:szCs w:val="28"/>
          <w:rtl/>
        </w:rPr>
        <w:t xml:space="preserve">ثمّ قال: «وتجويز الاجتماع وحُصول الإطاعة فيما لو تعلّق النّهي بالوصف اللّازم كما لو قال لعبده: «اشتر لي حيواناً ولا تشتر لي ابيض</w:t>
      </w:r>
      <w:r>
        <w:rPr>
          <w:rStyle w:val="FootnoteReference"/>
        </w:rPr>
        <w:footnoteReference w:id="565"/>
      </w:r>
      <w:r>
        <w:rPr>
          <w:rFonts w:ascii="Amiri" w:hAnsi="Amiri" w:eastAsia="Amiri" w:cs="Amiri"/>
          <w:lang w:bidi="ar-SA"/>
          <w:color w:val="111111"/>
          <w:sz w:val="28"/>
          <w:szCs w:val="28"/>
          <w:rtl/>
        </w:rPr>
        <w:t xml:space="preserve">» فاشترى حيواناً أبيض</w:t>
      </w:r>
      <w:r>
        <w:rPr>
          <w:rStyle w:val="FootnoteReference"/>
        </w:rPr>
        <w:footnoteReference w:id="566"/>
      </w:r>
      <w:r>
        <w:rPr>
          <w:rFonts w:ascii="Amiri" w:hAnsi="Amiri" w:eastAsia="Amiri" w:cs="Amiri"/>
          <w:lang w:bidi="ar-SA"/>
          <w:color w:val="111111"/>
          <w:sz w:val="28"/>
          <w:szCs w:val="28"/>
          <w:rtl/>
        </w:rPr>
        <w:t xml:space="preserve">في غاية البُعد عن</w:t>
      </w:r>
      <w:r>
        <w:rPr>
          <w:rStyle w:val="FootnoteReference"/>
        </w:rPr>
        <w:footnoteReference w:id="567"/>
      </w:r>
      <w:r>
        <w:rPr>
          <w:rFonts w:ascii="IRNazanin" w:hAnsi="IRNazanin" w:eastAsia="IRNazanin" w:cs="IRNazanin"/>
          <w:lang w:bidi="fa-IR"/>
          <w:color w:val="111111"/>
          <w:sz w:val="28"/>
          <w:szCs w:val="28"/>
          <w:rtl/>
        </w:rPr>
        <w:t xml:space="preserve">أنظار</w:t>
      </w:r>
      <w:r>
        <w:rPr>
          <w:rStyle w:val="FootnoteReference"/>
        </w:rPr>
        <w:footnoteReference w:id="568"/>
      </w:r>
      <w:r>
        <w:rPr>
          <w:rFonts w:ascii="Amiri" w:hAnsi="Amiri" w:eastAsia="Amiri" w:cs="Amiri"/>
          <w:lang w:bidi="ar-SA"/>
          <w:color w:val="111111"/>
          <w:sz w:val="28"/>
          <w:szCs w:val="28"/>
          <w:rtl/>
        </w:rPr>
        <w:t xml:space="preserve">العقلاء فلعلّ الاتّفاق واقع في مثله على عدم جواز الاجتماع وأنّه خارج عن النزاع».</w:t>
      </w:r>
      <w:r>
        <w:rPr>
          <w:rStyle w:val="FootnoteReference"/>
        </w:rPr>
        <w:footnoteReference w:id="569"/>
      </w:r>
      <w:r>
        <w:rPr>
          <w:rFonts w:ascii="IRNazanin" w:hAnsi="IRNazanin" w:eastAsia="IRNazanin" w:cs="IRNazanin"/>
          <w:lang w:bidi="fa-IR"/>
          <w:color w:val="111111"/>
          <w:sz w:val="28"/>
          <w:szCs w:val="28"/>
          <w:rtl/>
        </w:rPr>
        <w:t xml:space="preserve">انتهى</w:t>
      </w:r>
      <w:r>
        <w:rPr>
          <w:rStyle w:val="FootnoteReference"/>
        </w:rPr>
        <w:footnoteReference w:id="570"/>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9" w:name="pg6784_51199"/>
    <w:bookmarkEnd w:id="79"/>
    <w:p>
      <w:pPr>
        <w:pStyle w:val="BookText"/>
      </w:pPr>
      <w:r>
        <w:rPr>
          <w:rFonts w:ascii="IRNazanin" w:hAnsi="IRNazanin" w:eastAsia="IRNazanin" w:cs="IRNazanin"/>
          <w:lang w:bidi="fa-IR"/>
          <w:color w:val="111111"/>
          <w:sz w:val="28"/>
          <w:szCs w:val="28"/>
          <w:rtl/>
        </w:rPr>
        <w:t xml:space="preserve">أقول: وجوه النّظر في کلامه لا يخفى.</w:t>
      </w:r>
      <w:r>
        <w:rPr>
          <w:rStyle w:val="FootnoteReference"/>
        </w:rPr>
        <w:footnoteReference w:id="571"/>
      </w:r>
    </w:p>
    <w:p>
      <w:pPr>
        <w:pStyle w:val="Heading5"/>
      </w:pPr>
      <w:bookmarkStart w:id="451" w:name="_Toc132"/>
      <w:r>
        <w:t>[المقدّمة الثانية: في أنّ متعلّق الأوامر والنواهي هي الطبائع أو الأفراد؟]</w:t>
      </w:r>
      <w:bookmarkEnd w:id="451"/>
    </w:p>
    <w:p>
      <w:pPr>
        <w:pStyle w:val="Heading6"/>
      </w:pPr>
      <w:bookmarkStart w:id="452" w:name="_Toc133"/>
      <w:r>
        <w:t>اشارة</w:t>
      </w:r>
      <w:bookmarkEnd w:id="452"/>
    </w:p>
    <w:p>
      <w:pPr>
        <w:pStyle w:val="BookText"/>
      </w:pPr>
      <w:r>
        <w:rPr>
          <w:rFonts w:ascii="IRNazanin" w:hAnsi="IRNazanin" w:eastAsia="IRNazanin" w:cs="IRNazanin"/>
          <w:lang w:bidi="fa-IR"/>
          <w:color w:val="111111"/>
          <w:sz w:val="28"/>
          <w:szCs w:val="28"/>
          <w:rtl/>
        </w:rPr>
        <w:t xml:space="preserve">المقدّمة الثّانية: اختلفوا في أنّ متعلّق الأوامر والنّواهي هي الطّبائع الکلّية أو الأفراد الجزئيّة.</w:t>
      </w:r>
      <w:r>
        <w:rPr>
          <w:rStyle w:val="FootnoteReference"/>
        </w:rPr>
        <w:footnoteReference w:id="572"/>
      </w:r>
    </w:p>
    <w:p>
      <w:pPr>
        <w:pStyle w:val="BookText"/>
      </w:pPr>
      <w:r>
        <w:rPr>
          <w:rFonts w:ascii="Amiri" w:hAnsi="Amiri" w:eastAsia="Amiri" w:cs="Amiri"/>
          <w:lang w:bidi="ar-SA"/>
          <w:color w:val="111111"/>
          <w:sz w:val="28"/>
          <w:szCs w:val="28"/>
          <w:rtl/>
        </w:rPr>
        <w:t xml:space="preserve">وجهان مبنيّان على وجود الكلّي الطبيعي لا بشرط وعدمه. فعلى الأوّل: الحقّ هو الأوّل؛ لأنّ المطلوب مطلق والجزئي مقيّد. وعلى الثاني: هوالثاني، لامتناع الامتثال إن كان هو الأوّل. والحقّ وجوده بوجود أفراده فيصحّ أن يطلب، والإتيان بالقيد لا ينافيه».</w:t>
      </w:r>
    </w:p>
    <w:p>
      <w:pPr>
        <w:pStyle w:val="BookText"/>
      </w:pPr>
      <w:r>
        <w:rPr>
          <w:rFonts w:ascii="Amiri" w:hAnsi="Amiri" w:eastAsia="Amiri" w:cs="Amiri"/>
          <w:lang w:bidi="ar-SA"/>
          <w:color w:val="111111"/>
          <w:sz w:val="28"/>
          <w:szCs w:val="28"/>
          <w:rtl/>
        </w:rPr>
        <w:t xml:space="preserve">والظاهر أنّ الأكثر على الأوّل كما صرّح به في الإشارات</w:t>
      </w:r>
      <w:r>
        <w:rPr>
          <w:rStyle w:val="FootnoteReference"/>
        </w:rPr>
        <w:footnoteReference w:id="573"/>
      </w:r>
      <w:r>
        <w:rPr>
          <w:rFonts w:ascii="Amiri" w:hAnsi="Amiri" w:eastAsia="Amiri" w:cs="Amiri"/>
          <w:lang w:bidi="ar-SA"/>
          <w:color w:val="111111"/>
          <w:sz w:val="28"/>
          <w:szCs w:val="28"/>
          <w:rtl/>
        </w:rPr>
        <w:t xml:space="preserve">ولكن في المناهج</w:t>
      </w:r>
      <w:r>
        <w:rPr>
          <w:rStyle w:val="FootnoteReference"/>
        </w:rPr>
        <w:footnoteReference w:id="574"/>
      </w:r>
      <w:r>
        <w:rPr>
          <w:rFonts w:ascii="Amiri" w:hAnsi="Amiri" w:eastAsia="Amiri" w:cs="Amiri"/>
          <w:lang w:bidi="ar-SA"/>
          <w:color w:val="111111"/>
          <w:sz w:val="28"/>
          <w:szCs w:val="28"/>
          <w:rtl/>
        </w:rPr>
        <w:t xml:space="preserve">في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0" w:name="pg6784_51200"/>
    <w:bookmarkEnd w:id="80"/>
    <w:p>
      <w:pPr>
        <w:pStyle w:val="BookText"/>
      </w:pPr>
      <w:r>
        <w:rPr>
          <w:rFonts w:ascii="Amiri" w:hAnsi="Amiri" w:eastAsia="Amiri" w:cs="Amiri"/>
          <w:lang w:bidi="ar-SA"/>
          <w:color w:val="111111"/>
          <w:sz w:val="28"/>
          <w:szCs w:val="28"/>
          <w:rtl/>
        </w:rPr>
        <w:t xml:space="preserve">باب اجتماع الأمر والنّهي أسند الثاني إلى الأكثر.</w:t>
      </w:r>
    </w:p>
    <w:p>
      <w:pPr>
        <w:pStyle w:val="BookText"/>
      </w:pPr>
      <w:r>
        <w:rPr>
          <w:rFonts w:ascii="IRNazanin" w:hAnsi="IRNazanin" w:eastAsia="IRNazanin" w:cs="IRNazanin"/>
          <w:lang w:bidi="fa-IR"/>
          <w:color w:val="111111"/>
          <w:sz w:val="28"/>
          <w:szCs w:val="28"/>
          <w:rtl/>
        </w:rPr>
        <w:t xml:space="preserve">وربما يقال: إنّ المتعلّق أوّلاً هو الطبيعة وثانياً هو الأفراد، بمعنى أنّها هي المأموربها في اللّبّ والواقع لکن لا كما يقوله القائل بالطّبيعة من كونها كذلك تبعاً بل بالأصالة</w:t>
      </w:r>
      <w:r>
        <w:rPr>
          <w:rStyle w:val="FootnoteReference"/>
        </w:rPr>
        <w:footnoteReference w:id="575"/>
      </w:r>
      <w:r>
        <w:rPr>
          <w:rFonts w:ascii="IRNazanin" w:hAnsi="IRNazanin" w:eastAsia="IRNazanin" w:cs="IRNazanin"/>
          <w:lang w:bidi="fa-IR"/>
          <w:color w:val="111111"/>
          <w:sz w:val="28"/>
          <w:szCs w:val="28"/>
          <w:rtl/>
        </w:rPr>
        <w:t xml:space="preserve">وبالذات</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فالمطلوب في أوّل الأمر وفي بادي الحال، الطّبيعة لكنّ الغرض إتیان الأفراد فهي المتعلّق في الحقيقة حسبما يظهر من الشّيخ في الحاشية.</w:t>
      </w:r>
      <w:r>
        <w:rPr>
          <w:rStyle w:val="FootnoteReference"/>
        </w:rPr>
        <w:footnoteReference w:id="577"/>
      </w:r>
    </w:p>
    <w:p>
      <w:pPr>
        <w:pStyle w:val="Heading6"/>
      </w:pPr>
      <w:bookmarkStart w:id="453" w:name="_Toc134"/>
      <w:r>
        <w:t>[المراد من الطبایع والأفراد]</w:t>
      </w:r>
      <w:bookmarkEnd w:id="453"/>
    </w:p>
    <w:p>
      <w:pPr>
        <w:pStyle w:val="BookText"/>
      </w:pPr>
      <w:r>
        <w:rPr>
          <w:rFonts w:ascii="IRNazanin" w:hAnsi="IRNazanin" w:eastAsia="IRNazanin" w:cs="IRNazanin"/>
          <w:lang w:bidi="fa-IR"/>
          <w:color w:val="111111"/>
          <w:sz w:val="28"/>
          <w:szCs w:val="28"/>
          <w:rtl/>
        </w:rPr>
        <w:t xml:space="preserve">ثمّ المراد بالطبائع هي الکلّيات الطّبيعيّة على ما صرّحوا به وهي معروضات الکلّيات المنطقيّة وبالأفراد هي الأشخاص الخارجيّة سواء كانت بلحاظ أنّها طبيعة متشخّصة بمعنى مجموع القيد والمقيّد أو لا بهذا اللّحاظ.</w:t>
      </w:r>
    </w:p>
    <w:p>
      <w:pPr>
        <w:pStyle w:val="BookText"/>
      </w:pPr>
      <w:r>
        <w:rPr>
          <w:rFonts w:ascii="Amiri" w:hAnsi="Amiri" w:eastAsia="Amiri" w:cs="Amiri"/>
          <w:lang w:bidi="ar-SA"/>
          <w:color w:val="111111"/>
          <w:sz w:val="28"/>
          <w:szCs w:val="28"/>
          <w:rtl/>
        </w:rPr>
        <w:t xml:space="preserve">ويمكن أن يكون المراد بها الطبائع المقيّدة مع دخول التّقييد وخروج القيد على ما يظهر من صاحب الفصول.</w:t>
      </w:r>
      <w:r>
        <w:rPr>
          <w:rStyle w:val="FootnoteReference"/>
        </w:rPr>
        <w:footnoteReference w:id="578"/>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1" w:name="pg6784_51201"/>
    <w:bookmarkEnd w:id="81"/>
    <w:p>
      <w:pPr>
        <w:pStyle w:val="BookText"/>
      </w:pPr>
      <w:r>
        <w:rPr>
          <w:rFonts w:ascii="IRNazanin" w:hAnsi="IRNazanin" w:eastAsia="IRNazanin" w:cs="IRNazanin"/>
          <w:lang w:bidi="fa-IR"/>
          <w:color w:val="111111"/>
          <w:sz w:val="28"/>
          <w:szCs w:val="28"/>
          <w:rtl/>
        </w:rPr>
        <w:t xml:space="preserve">لكنّ الظاهر الأوّل؛ إذ الثاني هو ما يسمّونه بحصص الکلّي فإنّ الماهيّة من حيث هي مع قطع النّظر عن التقييد بالخصوصيّات هي الکلّي الطّبيعي ومع التّقييد وخروج القيد هي الحصص ومع دخوله هي الأفراد.</w:t>
      </w:r>
    </w:p>
    <w:p>
      <w:pPr>
        <w:pStyle w:val="BookText"/>
      </w:pPr>
      <w:r>
        <w:rPr>
          <w:rFonts w:ascii="IRNazanin" w:hAnsi="IRNazanin" w:eastAsia="IRNazanin" w:cs="IRNazanin"/>
          <w:lang w:bidi="fa-IR"/>
          <w:color w:val="111111"/>
          <w:sz w:val="28"/>
          <w:szCs w:val="28"/>
          <w:rtl/>
        </w:rPr>
        <w:t xml:space="preserve">ثمّ عنوان جملة منهم وإن کان كما ذكرنا إلّا أنّه لا فرق بين الأمر والنّهي وسائر التعبيرات بل وسائر الأحکام فيجري النّزاع في الوضعيات أیضاً.</w:t>
      </w:r>
    </w:p>
    <w:p>
      <w:pPr>
        <w:pStyle w:val="BookText"/>
      </w:pPr>
      <w:r>
        <w:rPr>
          <w:rFonts w:ascii="IRNazanin" w:hAnsi="IRNazanin" w:eastAsia="IRNazanin" w:cs="IRNazanin"/>
          <w:lang w:bidi="fa-IR"/>
          <w:color w:val="111111"/>
          <w:sz w:val="28"/>
          <w:szCs w:val="28"/>
          <w:rtl/>
        </w:rPr>
        <w:t xml:space="preserve">فمثل قوله: «الغنم حلال» وقوله: «الاستدبار مبطل» أو «الفلان شرط» أو</w:t>
      </w:r>
      <w:r>
        <w:rPr>
          <w:rStyle w:val="FootnoteReference"/>
        </w:rPr>
        <w:footnoteReference w:id="579"/>
      </w:r>
      <w:r>
        <w:rPr>
          <w:rFonts w:ascii="IRNazanin" w:hAnsi="IRNazanin" w:eastAsia="IRNazanin" w:cs="IRNazanin"/>
          <w:lang w:bidi="fa-IR"/>
          <w:color w:val="111111"/>
          <w:sz w:val="28"/>
          <w:szCs w:val="28"/>
          <w:rtl/>
        </w:rPr>
        <w:t xml:space="preserve">نحو ذلك أیضاً داخل في مناط</w:t>
      </w:r>
      <w:r>
        <w:rPr>
          <w:rStyle w:val="FootnoteReference"/>
        </w:rPr>
        <w:footnoteReference w:id="580"/>
      </w:r>
      <w:r>
        <w:rPr>
          <w:rFonts w:ascii="IRNazanin" w:hAnsi="IRNazanin" w:eastAsia="IRNazanin" w:cs="IRNazanin"/>
          <w:lang w:bidi="fa-IR"/>
          <w:color w:val="111111"/>
          <w:sz w:val="28"/>
          <w:szCs w:val="28"/>
          <w:rtl/>
        </w:rPr>
        <w:t xml:space="preserve">النزاع</w:t>
      </w:r>
      <w:r>
        <w:rPr>
          <w:rStyle w:val="FootnoteReference"/>
        </w:rPr>
        <w:footnoteReference w:id="581"/>
      </w:r>
      <w:r>
        <w:rPr>
          <w:rFonts w:ascii="IRNazanin" w:hAnsi="IRNazanin" w:eastAsia="IRNazanin" w:cs="IRNazanin"/>
          <w:lang w:bidi="fa-IR"/>
          <w:color w:val="111111"/>
          <w:sz w:val="28"/>
          <w:szCs w:val="28"/>
          <w:rtl/>
        </w:rPr>
        <w:t xml:space="preserve">ولذا قد يقال في العنوان: هل متعلّق الأحکام هي الطّبيعة أو الأفراد؟ثمّ إنّ الکلام في الإيجاب الجزئي بالنّسبة إلى كونه هو الطّبيعة والکلّي بالنّسبة إلى كونه هو الفرد وذلك لأنّه لا إشکال ولا خلاف في كون المتعلّق هو الفرد فيما لو قال: «کلّ غنم حلال» أو «کلّ عالم يجب إکرامه» أو نحو ذلك.</w:t>
      </w:r>
    </w:p>
    <w:p>
      <w:pPr>
        <w:pStyle w:val="BookText"/>
      </w:pPr>
      <w:r>
        <w:rPr>
          <w:rFonts w:ascii="Amiri" w:hAnsi="Amiri" w:eastAsia="Amiri" w:cs="Amiri"/>
          <w:lang w:bidi="ar-SA"/>
          <w:color w:val="111111"/>
          <w:sz w:val="28"/>
          <w:szCs w:val="28"/>
          <w:rtl/>
        </w:rPr>
        <w:t xml:space="preserve">ومحلّ الخلاف ما لو كان المتعلّق في ظاهر التّعبير هو الطّبيعة.</w:t>
      </w:r>
    </w:p>
    <w:p>
      <w:pPr>
        <w:pStyle w:val="Heading6"/>
      </w:pPr>
      <w:bookmarkStart w:id="454" w:name="_Toc135"/>
      <w:r>
        <w:t>[مقامان في البحث اللغوي والبحث العقلي]</w:t>
      </w:r>
      <w:bookmarkEnd w:id="454"/>
    </w:p>
    <w:p>
      <w:pPr>
        <w:pStyle w:val="Heading6"/>
      </w:pPr>
      <w:bookmarkStart w:id="455" w:name="_Toc136"/>
      <w:r>
        <w:t>اشارة</w:t>
      </w:r>
      <w:bookmarkEnd w:id="455"/>
    </w:p>
    <w:p>
      <w:pPr>
        <w:pStyle w:val="BookText"/>
      </w:pPr>
      <w:r>
        <w:rPr>
          <w:rFonts w:ascii="IRNazanin" w:hAnsi="IRNazanin" w:eastAsia="IRNazanin" w:cs="IRNazanin"/>
          <w:lang w:bidi="fa-IR"/>
          <w:color w:val="111111"/>
          <w:sz w:val="28"/>
          <w:szCs w:val="28"/>
          <w:rtl/>
        </w:rPr>
        <w:t xml:space="preserve">ثمّ إنّ الکلام تارة بالنّسبة إلى وضع الألفاظ وأنّها موضوعة لطلب الطّبائع أو الأفراد حتّى يكون البحث لغوياً وتارة بالنّسبة إلى حكم العقل وأنّه هل يعقل التعلّق بالطّبائع حتّى تبقى الظّواهر على ظاهرها</w:t>
      </w:r>
      <w:r>
        <w:rPr>
          <w:rStyle w:val="FootnoteReference"/>
        </w:rPr>
        <w:footnoteReference w:id="582"/>
      </w:r>
      <w:r>
        <w:rPr>
          <w:rFonts w:ascii="IRNazanin" w:hAnsi="IRNazanin" w:eastAsia="IRNazanin" w:cs="IRNazanin"/>
          <w:lang w:bidi="fa-IR"/>
          <w:color w:val="111111"/>
          <w:sz w:val="28"/>
          <w:szCs w:val="28"/>
          <w:rtl/>
        </w:rPr>
        <w:t xml:space="preserve">أو لا يعقل حتّى يجب التصرّف فيها بالحمل على المجاز أو جعلها من باب إطلاق الکلّي على الفرد وتعدّد الدالّ والمدلول أو أنّه هل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2" w:name="pg6784_51202"/>
    <w:bookmarkEnd w:id="82"/>
    <w:p>
      <w:pPr>
        <w:pStyle w:val="BookText"/>
      </w:pPr>
      <w:r>
        <w:rPr>
          <w:rFonts w:ascii="IRNazanin" w:hAnsi="IRNazanin" w:eastAsia="IRNazanin" w:cs="IRNazanin"/>
          <w:lang w:bidi="fa-IR"/>
          <w:color w:val="111111"/>
          <w:sz w:val="28"/>
          <w:szCs w:val="28"/>
          <w:rtl/>
        </w:rPr>
        <w:t xml:space="preserve">يكون العقل حاكماً بوجوب كون المتعلّق کلّياً ولو جزئياً أي في بعض المقامات أم لا</w:t>
      </w:r>
      <w:r>
        <w:rPr>
          <w:rStyle w:val="FootnoteReference"/>
        </w:rPr>
        <w:footnoteReference w:id="583"/>
      </w:r>
      <w:r>
        <w:rPr>
          <w:rFonts w:ascii="IRNazanin" w:hAnsi="IRNazanin" w:eastAsia="IRNazanin" w:cs="IRNazanin"/>
          <w:lang w:bidi="fa-IR"/>
          <w:color w:val="111111"/>
          <w:sz w:val="28"/>
          <w:szCs w:val="28"/>
          <w:rtl/>
        </w:rPr>
        <w:t xml:space="preserve">؟</w:t>
      </w:r>
    </w:p>
    <w:p>
      <w:pPr>
        <w:pStyle w:val="Heading6"/>
      </w:pPr>
      <w:bookmarkStart w:id="456" w:name="_Toc137"/>
      <w:r>
        <w:t>[المقام الأوّل: في أنّ الأوامر والنّواهي موضوعة لطلب الطّبيعة]</w:t>
      </w:r>
      <w:bookmarkEnd w:id="456"/>
    </w:p>
    <w:p>
      <w:pPr>
        <w:pStyle w:val="BookText"/>
      </w:pPr>
      <w:r>
        <w:rPr>
          <w:rFonts w:ascii="Amiri" w:hAnsi="Amiri" w:eastAsia="Amiri" w:cs="Amiri"/>
          <w:lang w:bidi="ar-SA"/>
          <w:color w:val="111111"/>
          <w:sz w:val="28"/>
          <w:szCs w:val="28"/>
          <w:rtl/>
        </w:rPr>
        <w:t xml:space="preserve">أمّا المقام الأوّل:</w:t>
      </w:r>
    </w:p>
    <w:p>
      <w:pPr>
        <w:pStyle w:val="BookText"/>
      </w:pPr>
      <w:r>
        <w:rPr>
          <w:rFonts w:ascii="Amiri" w:hAnsi="Amiri" w:eastAsia="Amiri" w:cs="Amiri"/>
          <w:lang w:bidi="ar-SA"/>
          <w:color w:val="111111"/>
          <w:sz w:val="28"/>
          <w:szCs w:val="28"/>
          <w:rtl/>
        </w:rPr>
        <w:t xml:space="preserve">فنقول: لا ينبغي التأمّل في أنّ الأوامر والنّواهي موضوعة لطلب الطّبيعة وظاهرة فيه وذلك للتبادر بالنّسبة إليها أنفسها ولأنّها مأخوذة من المصادر الخالية عن اللّواحق وهي موضوعة للطبائع مثل أسماء الأجناس للتبادر ولدعوى السّكّاكي الإجماع على ذلك بالنّسبة إلى المصادر.</w:t>
      </w:r>
      <w:r>
        <w:rPr>
          <w:rStyle w:val="FootnoteReference"/>
        </w:rPr>
        <w:footnoteReference w:id="584"/>
      </w:r>
    </w:p>
    <w:p>
      <w:pPr>
        <w:pStyle w:val="BookText"/>
      </w:pPr>
      <w:r>
        <w:rPr>
          <w:rFonts w:ascii="Amiri" w:hAnsi="Amiri" w:eastAsia="Amiri" w:cs="Amiri"/>
          <w:lang w:bidi="ar-SA"/>
          <w:color w:val="111111"/>
          <w:sz w:val="28"/>
          <w:szCs w:val="28"/>
          <w:rtl/>
        </w:rPr>
        <w:t xml:space="preserve">ودعوى أنّ المادّة الموجودة في الأوامر مغايرة للمادّة المجرّدة</w:t>
      </w:r>
      <w:r>
        <w:rPr>
          <w:rStyle w:val="FootnoteReference"/>
        </w:rPr>
        <w:footnoteReference w:id="585"/>
      </w:r>
      <w:r>
        <w:rPr>
          <w:rFonts w:ascii="IRNazanin" w:hAnsi="IRNazanin" w:eastAsia="IRNazanin" w:cs="IRNazanin"/>
          <w:lang w:bidi="fa-IR"/>
          <w:color w:val="111111"/>
          <w:sz w:val="28"/>
          <w:szCs w:val="28"/>
          <w:rtl/>
        </w:rPr>
        <w:t xml:space="preserve">في الوضع وأنّها موضوعة للخصوصيّات بعيدة كدعوى الوضع بالنّسبة إلى مجموع المادّة والهيئة من غير ملاحظة کلّ منهما بانفراده.ولم أر مخالفاً فيما ذكر إلّا صاحب المناهج</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ثم قال في ص66: «والتحقیق أنّ على القول بعدم وجود الماهیّة لا مفرّ من القول بتعلّق طلب الأمر بالفرد إذ لیس غیره، وأمّا على القول بوجودها کما هو الحقّ فیمکن القول بتعلّقه بکلّ منهما لکن یجب البناء على وضع المبدأ لأنّ الأمر لطلب المبدأ بحکم التبادر وللأصل فمن یقول بکونه موضوعاً للماهیّة یجب علیه القول بتعلّقه بها ومن یقول بالوضع للفرد المنتشر أو کلّ فرد على البدل بالوضع العامّ یجب أن یقول بتعلّقه به وإذ قد عرفت حقّ القول في ذلك وأنّه موضوع للفرد الخاصّ على أن یکون الوضع عامّاً والموضوع له خاصّاً تعرف أنّ الحقّ أنّ الأمر متعلّق بالأفراد الخاصّة على البدلیّة. ویظهر أیضاً فساد زعم من زعم أنّه لو کان متعلّق الأمر الفرد یلزم أن یکون أکثر أوامر الشرع مجازات. فإن قیل لو کان کذا لم یبق فرق بین الواجبات التخییریة والعینیّة. قلنا: المخیّر الشرعي ما کان مخیره شرعیّاً أي بتصریح الشرع وهذا التخییر عقليّ».</w:t>
      </w:r>
    </w:p>
    <w:p>
      <w:pPr>
        <w:pStyle w:val="BookText"/>
      </w:pPr>
      <w:r>
        <w:rPr>
          <w:rFonts w:ascii="Amiri" w:hAnsi="Amiri" w:eastAsia="Amiri" w:cs="Amiri"/>
          <w:lang w:bidi="ar-SA"/>
          <w:color w:val="111111"/>
          <w:sz w:val="28"/>
          <w:szCs w:val="28"/>
          <w:rtl/>
        </w:rPr>
        <w:t xml:space="preserve">حيث إنّه منع التبادر بالنّسبة إلى</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3" w:name="pg6784_51203"/>
    <w:bookmarkEnd w:id="83"/>
    <w:p>
      <w:pPr>
        <w:pStyle w:val="BookText"/>
      </w:pPr>
      <w:r>
        <w:rPr>
          <w:rFonts w:ascii="IRNazanin" w:hAnsi="IRNazanin" w:eastAsia="IRNazanin" w:cs="IRNazanin"/>
          <w:lang w:bidi="fa-IR"/>
          <w:color w:val="111111"/>
          <w:sz w:val="28"/>
          <w:szCs w:val="28"/>
          <w:rtl/>
        </w:rPr>
        <w:t xml:space="preserve">طلب الطّبيعة ومنع الإجماع والتبادر بالنّسبة إلى المصادر أیضاً بل اختار أنّ المصادر وأسماء الأجناس موضوعة للأفراد وإذا كانت الأوامر مأخوذة من المصادر فتكون موضوعة لطلب الخصوصيّات وأنت خبير بما في کلامه</w:t>
      </w:r>
      <w:r>
        <w:rPr>
          <w:rStyle w:val="FootnoteReference"/>
        </w:rPr>
        <w:footnoteReference w:id="587"/>
      </w:r>
    </w:p>
    <w:p>
      <w:pPr>
        <w:pStyle w:val="Heading6"/>
      </w:pPr>
      <w:bookmarkStart w:id="457" w:name="_Toc138"/>
      <w:r>
        <w:t>[إیراد من صاحب هدایة المسترشدین وجوابه]</w:t>
      </w:r>
      <w:bookmarkEnd w:id="457"/>
    </w:p>
    <w:p>
      <w:pPr>
        <w:pStyle w:val="BookText"/>
      </w:pPr>
      <w:r>
        <w:rPr>
          <w:rFonts w:ascii="Amiri" w:hAnsi="Amiri" w:eastAsia="Amiri" w:cs="Amiri"/>
          <w:lang w:bidi="ar-SA"/>
          <w:color w:val="111111"/>
          <w:sz w:val="28"/>
          <w:szCs w:val="28"/>
          <w:rtl/>
        </w:rPr>
        <w:t xml:space="preserve">هذا، وقد يقال: «إنّ المتبادر من الأوامر طلب الأفراد لكن لا بخصوصيّاتها</w:t>
      </w:r>
      <w:r>
        <w:rPr>
          <w:rStyle w:val="FootnoteReference"/>
        </w:rPr>
        <w:footnoteReference w:id="588"/>
      </w:r>
      <w:r>
        <w:rPr>
          <w:rFonts w:ascii="Amiri" w:hAnsi="Amiri" w:eastAsia="Amiri" w:cs="Amiri"/>
          <w:lang w:bidi="ar-SA"/>
          <w:color w:val="111111"/>
          <w:sz w:val="28"/>
          <w:szCs w:val="28"/>
          <w:rtl/>
        </w:rPr>
        <w:t xml:space="preserve">بل من حيث إنّها مصاديق للطبيعة»،</w:t>
      </w:r>
      <w:r>
        <w:rPr>
          <w:rStyle w:val="FootnoteReference"/>
        </w:rPr>
        <w:footnoteReference w:id="589"/>
      </w:r>
      <w:r>
        <w:rPr>
          <w:rFonts w:ascii="IRNazanin" w:hAnsi="IRNazanin" w:eastAsia="IRNazanin" w:cs="IRNazanin"/>
          <w:lang w:bidi="fa-IR"/>
          <w:color w:val="111111"/>
          <w:sz w:val="28"/>
          <w:szCs w:val="28"/>
          <w:rtl/>
        </w:rPr>
        <w:t xml:space="preserve">- كما يظهر من الحاشية - وإنّ هذا لا ينافي كونها مأخوذة من المصادر الموضوعة للطّبيعة من غير تغیّر في وضع الموادّ في ضمن الأوامر بدعوى أنّ القضايا الطّبيعيّة يتبادر منها في العرف الأفراد وأنّها راجعة إلى المسوّرة</w:t>
      </w:r>
      <w:r>
        <w:rPr>
          <w:rStyle w:val="FootnoteReference"/>
        </w:rPr>
        <w:footnoteReference w:id="590"/>
      </w:r>
      <w:r>
        <w:rPr>
          <w:rFonts w:ascii="Amiri" w:hAnsi="Amiri" w:eastAsia="Amiri" w:cs="Amiri"/>
          <w:lang w:bidi="ar-SA"/>
          <w:color w:val="111111"/>
          <w:sz w:val="28"/>
          <w:szCs w:val="28"/>
          <w:rtl/>
        </w:rPr>
        <w:t xml:space="preserve">فتكون</w:t>
      </w:r>
      <w:r>
        <w:rPr>
          <w:rStyle w:val="FootnoteReference"/>
        </w:rPr>
        <w:footnoteReference w:id="591"/>
      </w:r>
      <w:r>
        <w:rPr>
          <w:rFonts w:ascii="Amiri" w:hAnsi="Amiri" w:eastAsia="Amiri" w:cs="Amiri"/>
          <w:lang w:bidi="ar-SA"/>
          <w:color w:val="111111"/>
          <w:sz w:val="28"/>
          <w:szCs w:val="28"/>
          <w:rtl/>
        </w:rPr>
        <w:t xml:space="preserve">الطبائع مرادة من حيث كونها عنوانات للأفراد وأنّ المطلوب في الحقيقة هي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4" w:name="pg6784_51204"/>
    <w:bookmarkEnd w:id="84"/>
    <w:p>
      <w:pPr>
        <w:pStyle w:val="BookText"/>
      </w:pPr>
      <w:r>
        <w:rPr>
          <w:rFonts w:ascii="Amiri" w:hAnsi="Amiri" w:eastAsia="Amiri" w:cs="Amiri"/>
          <w:lang w:bidi="ar-SA"/>
          <w:color w:val="111111"/>
          <w:sz w:val="28"/>
          <w:szCs w:val="28"/>
          <w:rtl/>
        </w:rPr>
        <w:t xml:space="preserve">الأفراد فالمتعلّق هو الأفراد مع كون الموادّ موضوعة للطبائع من دون التزام بخروجها عن أوضاعها.</w:t>
      </w:r>
    </w:p>
    <w:p>
      <w:pPr>
        <w:pStyle w:val="BookText"/>
      </w:pPr>
      <w:r>
        <w:rPr>
          <w:rFonts w:ascii="IRNazanin" w:hAnsi="IRNazanin" w:eastAsia="IRNazanin" w:cs="IRNazanin"/>
          <w:lang w:bidi="fa-IR"/>
          <w:color w:val="111111"/>
          <w:sz w:val="28"/>
          <w:szCs w:val="28"/>
          <w:rtl/>
        </w:rPr>
        <w:t xml:space="preserve">قلت: هذا مشکل؛ إذ لا بدّ إمّا من الحكم بالمغايرة بين الموادّ في ضمن الهيئات وبين غيرها أو الحكم بكون مطلوبیّة الأفراد مستفاداً من الخارج لا من اللّفظ كما لايخفى.</w:t>
      </w:r>
    </w:p>
    <w:p>
      <w:pPr>
        <w:pStyle w:val="BookText"/>
      </w:pPr>
      <w:r>
        <w:rPr>
          <w:rFonts w:ascii="IRNazanin" w:hAnsi="IRNazanin" w:eastAsia="IRNazanin" w:cs="IRNazanin"/>
          <w:lang w:bidi="fa-IR"/>
          <w:color w:val="111111"/>
          <w:sz w:val="28"/>
          <w:szCs w:val="28"/>
          <w:rtl/>
        </w:rPr>
        <w:t xml:space="preserve">فالجمع</w:t>
      </w:r>
      <w:r>
        <w:rPr>
          <w:rStyle w:val="FootnoteReference"/>
        </w:rPr>
        <w:footnoteReference w:id="592"/>
      </w:r>
      <w:r>
        <w:rPr>
          <w:rFonts w:ascii="Amiri" w:hAnsi="Amiri" w:eastAsia="Amiri" w:cs="Amiri"/>
          <w:lang w:bidi="ar-SA"/>
          <w:color w:val="111111"/>
          <w:sz w:val="28"/>
          <w:szCs w:val="28"/>
          <w:rtl/>
        </w:rPr>
        <w:t xml:space="preserve">بين الاستفادة من اللّفظ وظهوره</w:t>
      </w:r>
      <w:r>
        <w:rPr>
          <w:rStyle w:val="FootnoteReference"/>
        </w:rPr>
        <w:footnoteReference w:id="593"/>
      </w:r>
      <w:r>
        <w:rPr>
          <w:rFonts w:ascii="Amiri" w:hAnsi="Amiri" w:eastAsia="Amiri" w:cs="Amiri"/>
          <w:lang w:bidi="ar-SA"/>
          <w:color w:val="111111"/>
          <w:sz w:val="28"/>
          <w:szCs w:val="28"/>
          <w:rtl/>
        </w:rPr>
        <w:t xml:space="preserve">فيها لا يجتمع مع الحكم بكون الموادّ باقية على حالها من الوضع للطّبائع. فتدبّر.</w:t>
      </w:r>
    </w:p>
    <w:p>
      <w:pPr>
        <w:pStyle w:val="Heading6"/>
      </w:pPr>
      <w:bookmarkStart w:id="458" w:name="_Toc139"/>
      <w:r>
        <w:t>[المقام الثاني: أنّ متعلّق الأحکام الطبائع في حکم العقل]</w:t>
      </w:r>
      <w:bookmarkEnd w:id="458"/>
    </w:p>
    <w:p>
      <w:pPr>
        <w:pStyle w:val="BookText"/>
      </w:pPr>
      <w:r>
        <w:rPr>
          <w:rFonts w:ascii="Amiri" w:hAnsi="Amiri" w:eastAsia="Amiri" w:cs="Amiri"/>
          <w:lang w:bidi="ar-SA"/>
          <w:color w:val="111111"/>
          <w:sz w:val="28"/>
          <w:szCs w:val="28"/>
          <w:rtl/>
        </w:rPr>
        <w:t xml:space="preserve">وأمّا المقام الثاني: فالحقّ أنّ المتعلّق هي الطبائع في حكم العقل بأحد الوجهين: من أنّه لا يرى مانعاً عن ذلك فتبقى</w:t>
      </w:r>
      <w:r>
        <w:rPr>
          <w:rStyle w:val="FootnoteReference"/>
        </w:rPr>
        <w:footnoteReference w:id="594"/>
      </w:r>
      <w:r>
        <w:rPr>
          <w:rFonts w:ascii="Amiri" w:hAnsi="Amiri" w:eastAsia="Amiri" w:cs="Amiri"/>
          <w:lang w:bidi="ar-SA"/>
          <w:color w:val="111111"/>
          <w:sz w:val="28"/>
          <w:szCs w:val="28"/>
          <w:rtl/>
        </w:rPr>
        <w:t xml:space="preserve">الظواهر على حالها، ومن حكمه مستقلّاً بأنّه لا بدّ من كون المتعلّق هو الطّبيعة في بعض الموارد،</w:t>
      </w:r>
      <w:r>
        <w:rPr>
          <w:rStyle w:val="FootnoteReference"/>
        </w:rPr>
        <w:footnoteReference w:id="595"/>
      </w:r>
      <w:r>
        <w:rPr>
          <w:rFonts w:ascii="IRNazanin" w:hAnsi="IRNazanin" w:eastAsia="IRNazanin" w:cs="IRNazanin"/>
          <w:lang w:bidi="fa-IR"/>
          <w:color w:val="111111"/>
          <w:sz w:val="28"/>
          <w:szCs w:val="28"/>
          <w:rtl/>
        </w:rPr>
        <w:t xml:space="preserve">ومن</w:t>
      </w:r>
      <w:r>
        <w:rPr>
          <w:rStyle w:val="FootnoteReference"/>
        </w:rPr>
        <w:footnoteReference w:id="596"/>
      </w:r>
      <w:r>
        <w:rPr>
          <w:rFonts w:ascii="Amiri" w:hAnsi="Amiri" w:eastAsia="Amiri" w:cs="Amiri"/>
          <w:lang w:bidi="ar-SA"/>
          <w:color w:val="111111"/>
          <w:sz w:val="28"/>
          <w:szCs w:val="28"/>
          <w:rtl/>
        </w:rPr>
        <w:t xml:space="preserve">حيث إنّه مبني في الجملة على وجود الکلّي الطّبيعي فلا بدّ من التّکلّم فيه مجملاً.</w:t>
      </w:r>
    </w:p>
    <w:p>
      <w:pPr>
        <w:pStyle w:val="Heading6"/>
      </w:pPr>
      <w:bookmarkStart w:id="459" w:name="_Toc140"/>
      <w:r>
        <w:t>[الأقوال في أنّ الکلّي الطبيعى موجود في الخارج أم لا؟]</w:t>
      </w:r>
      <w:bookmarkEnd w:id="459"/>
    </w:p>
    <w:p>
      <w:pPr>
        <w:pStyle w:val="Heading6"/>
      </w:pPr>
      <w:bookmarkStart w:id="460" w:name="_Toc141"/>
      <w:r>
        <w:t>اشارة</w:t>
      </w:r>
      <w:bookmarkEnd w:id="460"/>
    </w:p>
    <w:p>
      <w:pPr>
        <w:pStyle w:val="BookText"/>
      </w:pPr>
      <w:r>
        <w:rPr>
          <w:rFonts w:ascii="IRNazanin" w:hAnsi="IRNazanin" w:eastAsia="IRNazanin" w:cs="IRNazanin"/>
          <w:lang w:bidi="fa-IR"/>
          <w:color w:val="111111"/>
          <w:sz w:val="28"/>
          <w:szCs w:val="28"/>
          <w:rtl/>
        </w:rPr>
        <w:t xml:space="preserve">فنقول: اختلفوا في وجود الکلّي الطبيعي بمعنى الماهيّة اللّابشرط المقسمي على أقوال: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5" w:name="pg6784_51205"/>
    <w:bookmarkEnd w:id="85"/>
    <w:p>
      <w:pPr>
        <w:pStyle w:val="Heading6"/>
      </w:pPr>
      <w:bookmarkStart w:id="461" w:name="_Toc142"/>
      <w:r>
        <w:t>[القول الأوّل في الکلّي الطبیعي]</w:t>
      </w:r>
      <w:bookmarkEnd w:id="461"/>
    </w:p>
    <w:p>
      <w:pPr>
        <w:pStyle w:val="BookText"/>
      </w:pPr>
      <w:r>
        <w:rPr>
          <w:rFonts w:ascii="IRNazanin" w:hAnsi="IRNazanin" w:eastAsia="IRNazanin" w:cs="IRNazanin"/>
          <w:lang w:bidi="fa-IR"/>
          <w:color w:val="111111"/>
          <w:sz w:val="28"/>
          <w:szCs w:val="28"/>
          <w:rtl/>
        </w:rPr>
        <w:t xml:space="preserve">أحدها: أنّه غير موجود في الخارج وأنّ الموجود فيه هو الأفراد فقط ولازم هذاالقول كون الأفراد متباينة الحقيقة في الحقيقة وإنّما اشتراكها في أمر انتزاعي صرف لیس</w:t>
      </w:r>
      <w:r>
        <w:rPr>
          <w:rStyle w:val="FootnoteReference"/>
        </w:rPr>
        <w:footnoteReference w:id="597"/>
      </w:r>
      <w:r>
        <w:rPr>
          <w:rFonts w:ascii="IRNazanin" w:hAnsi="IRNazanin" w:eastAsia="IRNazanin" w:cs="IRNazanin"/>
          <w:lang w:bidi="fa-IR"/>
          <w:color w:val="111111"/>
          <w:sz w:val="28"/>
          <w:szCs w:val="28"/>
          <w:rtl/>
        </w:rPr>
        <w:t xml:space="preserve">له حقیقة نظير ما يقوله المشّاؤون</w:t>
      </w:r>
      <w:r>
        <w:rPr>
          <w:rStyle w:val="FootnoteReference"/>
        </w:rPr>
        <w:footnoteReference w:id="598"/>
      </w:r>
      <w:r>
        <w:rPr>
          <w:rFonts w:ascii="IRNazanin" w:hAnsi="IRNazanin" w:eastAsia="IRNazanin" w:cs="IRNazanin"/>
          <w:lang w:bidi="fa-IR"/>
          <w:color w:val="111111"/>
          <w:sz w:val="28"/>
          <w:szCs w:val="28"/>
          <w:rtl/>
        </w:rPr>
        <w:t xml:space="preserve">في الوجودات الخارجيّة والوجود المفهومي حيث إنّ الوجودات عندهم متباينة الحقائق والوجود المفهومي ليس قدراً مشتركاً بينها بل هو أمر انتزاعي عنوان لها فالکلّي الطّبيعي على مذهب هذا القائل نظير الوجود المفهومي والأفراد مصاديقه لا أفراده وإنّما أفراده حقیقة هي المفاهيم الکلّية الموجودة في أذهان المنتزعين.</w:t>
      </w:r>
    </w:p>
    <w:p>
      <w:pPr>
        <w:pStyle w:val="Heading6"/>
      </w:pPr>
      <w:bookmarkStart w:id="462" w:name="_Toc143"/>
      <w:r>
        <w:t>[القول الثاني في الکلّي الطبیعي]</w:t>
      </w:r>
      <w:bookmarkEnd w:id="462"/>
    </w:p>
    <w:p>
      <w:pPr>
        <w:pStyle w:val="BookText"/>
      </w:pPr>
      <w:r>
        <w:rPr>
          <w:rFonts w:ascii="Amiri" w:hAnsi="Amiri" w:eastAsia="Amiri" w:cs="Amiri"/>
          <w:lang w:bidi="ar-SA"/>
          <w:color w:val="111111"/>
          <w:sz w:val="28"/>
          <w:szCs w:val="28"/>
          <w:rtl/>
        </w:rPr>
        <w:t xml:space="preserve">الثاني: أنّه موجود بوجود ربّ النّوع بمعنى أنّه هو وليس هناك شي‌ء آخر</w:t>
      </w:r>
      <w:r>
        <w:rPr>
          <w:rStyle w:val="FootnoteReference"/>
        </w:rPr>
        <w:footnoteReference w:id="599"/>
      </w:r>
      <w:r>
        <w:rPr>
          <w:rFonts w:ascii="Amiri" w:hAnsi="Amiri" w:eastAsia="Amiri" w:cs="Amiri"/>
          <w:lang w:bidi="ar-SA"/>
          <w:color w:val="111111"/>
          <w:sz w:val="28"/>
          <w:szCs w:val="28"/>
          <w:rtl/>
        </w:rPr>
        <w:t xml:space="preserve">موجود سوى الأفراد وسوى أرباب أنواعها وهذا القول في الحقيقة نفي لوجوده</w:t>
      </w:r>
      <w:r>
        <w:rPr>
          <w:rStyle w:val="FootnoteReference"/>
        </w:rPr>
        <w:footnoteReference w:id="600"/>
      </w:r>
      <w:r>
        <w:rPr>
          <w:rFonts w:ascii="IRNazanin" w:hAnsi="IRNazanin" w:eastAsia="IRNazanin" w:cs="IRNazanin"/>
          <w:lang w:bidi="fa-IR"/>
          <w:color w:val="111111"/>
          <w:sz w:val="28"/>
          <w:szCs w:val="28"/>
          <w:rtl/>
        </w:rPr>
        <w:t xml:space="preserve">كما لا يخفی؛ إذ ربّ النّوع ليس هي الماهيّة اللّا بشرط</w:t>
      </w:r>
      <w:r>
        <w:rPr>
          <w:rStyle w:val="FootnoteReference"/>
        </w:rPr>
        <w:footnoteReference w:id="601"/>
      </w:r>
      <w:r>
        <w:rPr>
          <w:rFonts w:ascii="Amiri" w:hAnsi="Amiri" w:eastAsia="Amiri" w:cs="Amiri"/>
          <w:lang w:bidi="ar-SA"/>
          <w:color w:val="111111"/>
          <w:sz w:val="28"/>
          <w:szCs w:val="28"/>
          <w:rtl/>
        </w:rPr>
        <w:t xml:space="preserve">بل فرد كامل لذلك النّوع واجد لجميع مراتبها الكماليّة مجرّد عن المادّة؛ إذ أرباب الأنواع هي المُثُل الأفلاطونيّة.</w:t>
      </w:r>
      <w:r>
        <w:rPr>
          <w:rStyle w:val="FootnoteReference"/>
        </w:rPr>
        <w:footnoteReference w:id="602"/>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6" w:name="pg6784_51206"/>
    <w:bookmarkEnd w:id="86"/>
    <w:p>
      <w:pPr>
        <w:pStyle w:val="Heading6"/>
      </w:pPr>
      <w:bookmarkStart w:id="463" w:name="_Toc144"/>
      <w:r>
        <w:t>[القول الثالث في الکلّي الطبیعي]</w:t>
      </w:r>
      <w:bookmarkEnd w:id="463"/>
    </w:p>
    <w:p>
      <w:pPr>
        <w:pStyle w:val="BookText"/>
      </w:pPr>
      <w:r>
        <w:rPr>
          <w:rFonts w:ascii="IRNazanin" w:hAnsi="IRNazanin" w:eastAsia="IRNazanin" w:cs="IRNazanin"/>
          <w:lang w:bidi="fa-IR"/>
          <w:color w:val="111111"/>
          <w:sz w:val="28"/>
          <w:szCs w:val="28"/>
          <w:rtl/>
        </w:rPr>
        <w:t xml:space="preserve">الثّالث: أنّه موجود في الخارج بوجود حقیقي شخصيّ وأنّه واحد بالعدد ومتحقّق في ضمن جميع الأفراد ومتّصف بالأضداد وأنّ نسبته إليها نسبة الأب الواحد إلى الأولاد وهذا ما</w:t>
      </w:r>
      <w:r>
        <w:rPr>
          <w:rStyle w:val="FootnoteReference"/>
        </w:rPr>
        <w:footnoteReference w:id="603"/>
      </w:r>
      <w:r>
        <w:rPr>
          <w:rFonts w:ascii="Amiri" w:hAnsi="Amiri" w:eastAsia="Amiri" w:cs="Amiri"/>
          <w:lang w:bidi="ar-SA"/>
          <w:color w:val="111111"/>
          <w:sz w:val="28"/>
          <w:szCs w:val="28"/>
          <w:rtl/>
        </w:rPr>
        <w:t xml:space="preserve">نسبه الشّيخ الرّئيس إلى الرّجل الهمداني</w:t>
      </w:r>
      <w:r>
        <w:rPr>
          <w:rStyle w:val="FootnoteReference"/>
        </w:rPr>
        <w:footnoteReference w:id="604"/>
      </w:r>
      <w:r>
        <w:rPr>
          <w:rFonts w:ascii="IRNazanin" w:hAnsi="IRNazanin" w:eastAsia="IRNazanin" w:cs="IRNazanin"/>
          <w:lang w:bidi="fa-IR"/>
          <w:color w:val="111111"/>
          <w:sz w:val="28"/>
          <w:szCs w:val="28"/>
          <w:rtl/>
        </w:rPr>
        <w:t xml:space="preserve">وهو في غاية السّخافة.ويمكن إرجاعه إلى القول السّابق بأن يكون مراده من كونه واحداً بالعدد أنّه فرد كامل ومراده من وجوده في ضمن جميع الأفراد نحو من علقة مع کلّ منها علقة التّربية والحفظ فهو أیضاً في الحقيقة نفي لوجوده بالمعنى المصطلح.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7" w:name="pg6784_51207"/>
    <w:bookmarkEnd w:id="87"/>
    <w:p>
      <w:pPr>
        <w:pStyle w:val="Heading6"/>
      </w:pPr>
      <w:bookmarkStart w:id="464" w:name="_Toc145"/>
      <w:r>
        <w:t>[القول الرابع في الکلّي الطبیعي]</w:t>
      </w:r>
      <w:bookmarkEnd w:id="464"/>
    </w:p>
    <w:p>
      <w:pPr>
        <w:pStyle w:val="BookText"/>
      </w:pPr>
      <w:r>
        <w:rPr>
          <w:rFonts w:ascii="Amiri" w:hAnsi="Amiri" w:eastAsia="Amiri" w:cs="Amiri"/>
          <w:lang w:bidi="ar-SA"/>
          <w:color w:val="111111"/>
          <w:sz w:val="28"/>
          <w:szCs w:val="28"/>
          <w:rtl/>
        </w:rPr>
        <w:t xml:space="preserve">الرّابع: أنّه موجود بالمعنى المعروف بوجود الأفراد ومتّحد معها في الخارج وأنّه ليس واحداً بالعدد بل بالنّوع ونسبته إلى الأفراد نسبة الآباء مع الأولاد وهذا مذهب المحقّقين من الحكماء والأصوليين.</w:t>
      </w:r>
    </w:p>
    <w:p>
      <w:pPr>
        <w:pStyle w:val="BookText"/>
      </w:pPr>
      <w:r>
        <w:rPr>
          <w:rFonts w:ascii="Amiri" w:hAnsi="Amiri" w:eastAsia="Amiri" w:cs="Amiri"/>
          <w:lang w:bidi="ar-SA"/>
          <w:color w:val="111111"/>
          <w:sz w:val="28"/>
          <w:szCs w:val="28"/>
          <w:rtl/>
        </w:rPr>
        <w:t xml:space="preserve">لكنّ</w:t>
      </w:r>
      <w:r>
        <w:rPr>
          <w:rStyle w:val="FootnoteReference"/>
        </w:rPr>
        <w:footnoteReference w:id="605"/>
      </w:r>
      <w:r>
        <w:rPr>
          <w:rFonts w:ascii="Amiri" w:hAnsi="Amiri" w:eastAsia="Amiri" w:cs="Amiri"/>
          <w:lang w:bidi="ar-SA"/>
          <w:color w:val="111111"/>
          <w:sz w:val="28"/>
          <w:szCs w:val="28"/>
          <w:rtl/>
        </w:rPr>
        <w:t xml:space="preserve">القائلين</w:t>
      </w:r>
      <w:r>
        <w:rPr>
          <w:rStyle w:val="FootnoteReference"/>
        </w:rPr>
        <w:footnoteReference w:id="606"/>
      </w:r>
      <w:r>
        <w:rPr>
          <w:rFonts w:ascii="Amiri" w:hAnsi="Amiri" w:eastAsia="Amiri" w:cs="Amiri"/>
          <w:lang w:bidi="ar-SA"/>
          <w:color w:val="111111"/>
          <w:sz w:val="28"/>
          <w:szCs w:val="28"/>
          <w:rtl/>
        </w:rPr>
        <w:t xml:space="preserve">بأصالة الماهيّة منهم يقولون: إنّه موجود في الخارج بالأصالة وإنّ الوجود ينسب إليه أوّلاً وبالذات، والقائلين بأصالة الوجود يقولون: إنّه موجود في الخارج بالعرض والمجاز بتوسّط وجود الشخص؛ إذ التشخّص يساوق الوجود فالوجود ينسب على هذا القول أوّلاً وبالذات إلى الشخص أي إلى الوجود؛ لأنّه المجعول</w:t>
      </w:r>
      <w:r>
        <w:rPr>
          <w:rStyle w:val="FootnoteReference"/>
        </w:rPr>
        <w:footnoteReference w:id="607"/>
      </w:r>
      <w:r>
        <w:rPr>
          <w:rFonts w:ascii="IRNazanin" w:hAnsi="IRNazanin" w:eastAsia="IRNazanin" w:cs="IRNazanin"/>
          <w:lang w:bidi="fa-IR"/>
          <w:color w:val="111111"/>
          <w:sz w:val="28"/>
          <w:szCs w:val="28"/>
          <w:rtl/>
        </w:rPr>
        <w:t xml:space="preserve">حقیقة وينسب إلى الکلّي أي الماهيّة من حيث هي ثانياً وبالعرض؛ لأنّهمجعول بالجعل التّبعي العرضي بتوسّط جعل الوجود فهى بعدُ باقية على اعتباريّتها كما قبل الوجود، غاية الأمر أنّه تحقّق في الخارج ما تنتزع منه.</w:t>
      </w:r>
    </w:p>
    <w:p>
      <w:pPr>
        <w:pStyle w:val="BookText"/>
      </w:pPr>
      <w:r>
        <w:rPr>
          <w:rFonts w:ascii="IRNazanin" w:hAnsi="IRNazanin" w:eastAsia="IRNazanin" w:cs="IRNazanin"/>
          <w:lang w:bidi="fa-IR"/>
          <w:color w:val="111111"/>
          <w:sz w:val="28"/>
          <w:szCs w:val="28"/>
          <w:rtl/>
        </w:rPr>
        <w:t xml:space="preserve">وهم أیضاً بين قولين:</w:t>
      </w:r>
    </w:p>
    <w:p>
      <w:pPr>
        <w:pStyle w:val="BookText"/>
      </w:pPr>
      <w:r>
        <w:rPr>
          <w:rFonts w:ascii="Amiri" w:hAnsi="Amiri" w:eastAsia="Amiri" w:cs="Amiri"/>
          <w:lang w:bidi="ar-SA"/>
          <w:color w:val="111111"/>
          <w:sz w:val="28"/>
          <w:szCs w:val="28"/>
          <w:rtl/>
        </w:rPr>
        <w:t xml:space="preserve">منهم من يقول: إنّ وجوده من قبيل حركة جالس السّفينة بالنّسبة إلى حركتها بمعنى أنّ كونه موجوداً بالعرض والمجاز دون الحقيقة جليّ مثل الحركة المذكورة.</w:t>
      </w:r>
    </w:p>
    <w:p>
      <w:pPr>
        <w:pStyle w:val="BookText"/>
      </w:pPr>
      <w:r>
        <w:rPr>
          <w:rFonts w:ascii="Amiri" w:hAnsi="Amiri" w:eastAsia="Amiri" w:cs="Amiri"/>
          <w:lang w:bidi="ar-SA"/>
          <w:color w:val="111111"/>
          <w:sz w:val="28"/>
          <w:szCs w:val="28"/>
          <w:rtl/>
        </w:rPr>
        <w:t xml:space="preserve">ومنهم من يقول: إنّه من قبيل الجنس بالنّسبة إلى الفصل حيث إنّ كون وجود الجنس بواسطة وجود الفصل في غاية الخفاء؛ إذ هما لشدّة اتّحادهما في الخارج لا يفهم منهما من أوّل النظر أنّ وجود الجنس عرضي.</w:t>
      </w:r>
    </w:p>
    <w:p>
      <w:pPr>
        <w:pStyle w:val="BookText"/>
      </w:pPr>
      <w:r>
        <w:rPr>
          <w:rFonts w:ascii="Amiri" w:hAnsi="Amiri" w:eastAsia="Amiri" w:cs="Amiri"/>
          <w:lang w:bidi="ar-SA"/>
          <w:color w:val="111111"/>
          <w:sz w:val="28"/>
          <w:szCs w:val="28"/>
          <w:rtl/>
        </w:rPr>
        <w:t xml:space="preserve">والحاصل: أنّ الواسطة في العروض قد يكون جليّاً مثل حركة السّفينة وقد يكون خفيّاً مثل بياض البياض والأبيض وقد يكون أخفى مثل وجود الفصل بالنسبة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الجنس</w:t>
      </w:r>
      <w:r>
        <w:rPr>
          <w:rStyle w:val="FootnoteReference"/>
        </w:rPr>
        <w:footnoteReference w:id="608"/>
      </w:r>
      <w:r>
        <w:rPr>
          <w:rFonts w:ascii="Amiri" w:hAnsi="Amiri" w:eastAsia="Amiri" w:cs="Amiri"/>
          <w:lang w:bidi="ar-SA"/>
          <w:color w:val="111111"/>
          <w:sz w:val="28"/>
          <w:szCs w:val="28"/>
          <w:rtl/>
        </w:rPr>
        <w:t xml:space="preserve">فمنهم من يجعل المقام من الأوّل ومنهم من يجعله من الأخير.</w:t>
      </w:r>
    </w:p>
    <w:p>
      <w:pPr>
        <w:pStyle w:val="BookText"/>
      </w:pPr>
      <w:r>
        <w:rPr>
          <w:rFonts w:ascii="IRNazanin" w:hAnsi="IRNazanin" w:eastAsia="IRNazanin" w:cs="IRNazanin"/>
          <w:lang w:bidi="fa-IR"/>
          <w:color w:val="111111"/>
          <w:sz w:val="28"/>
          <w:szCs w:val="28"/>
          <w:rtl/>
        </w:rPr>
        <w:t xml:space="preserve">ثم إنّه ظهر من هذا أنّ وجود الکلّي الطبيعي في الخارج لا يبتني على القول بأصالة الماهيّة والقول بعدم وجوده أیضاً ليس مبنيّاً</w:t>
      </w:r>
      <w:r>
        <w:rPr>
          <w:rStyle w:val="FootnoteReference"/>
        </w:rPr>
        <w:footnoteReference w:id="609"/>
      </w:r>
      <w:r>
        <w:rPr>
          <w:rFonts w:ascii="Amiri" w:hAnsi="Amiri" w:eastAsia="Amiri" w:cs="Amiri"/>
          <w:lang w:bidi="ar-SA"/>
          <w:color w:val="111111"/>
          <w:sz w:val="28"/>
          <w:szCs w:val="28"/>
          <w:rtl/>
        </w:rPr>
        <w:t xml:space="preserve">على القول بأصالة الوجود</w:t>
      </w:r>
      <w:r>
        <w:rPr>
          <w:rStyle w:val="FootnoteReference"/>
        </w:rPr>
        <w:footnoteReference w:id="610"/>
      </w:r>
      <w:r>
        <w:rPr>
          <w:rFonts w:ascii="IRNazanin" w:hAnsi="IRNazanin" w:eastAsia="IRNazanin" w:cs="IRNazanin"/>
          <w:lang w:bidi="fa-IR"/>
          <w:color w:val="111111"/>
          <w:sz w:val="28"/>
          <w:szCs w:val="28"/>
          <w:rtl/>
        </w:rPr>
        <w:t xml:space="preserve">كما ربما يتخيّل بل يمكن اختيار کلّ من القولين على کلّ من القولين.</w:t>
      </w:r>
    </w:p>
    <w:p>
      <w:pPr>
        <w:pStyle w:val="BookText"/>
      </w:pPr>
      <w:r>
        <w:rPr>
          <w:rFonts w:ascii="Amiri" w:hAnsi="Amiri" w:eastAsia="Amiri" w:cs="Amiri"/>
          <w:lang w:bidi="ar-SA"/>
          <w:color w:val="111111"/>
          <w:sz w:val="28"/>
          <w:szCs w:val="28"/>
          <w:rtl/>
        </w:rPr>
        <w:t xml:space="preserve">نعم لو أريد من وجوده في الخارج الوجود المتأصّل الحقيقي بمعنى أنّ الماهيّة متحقّقة في الخارج أصالة فظاهر أنّه مبتنٍ على القول بأصالة الماهيّة.</w:t>
      </w:r>
    </w:p>
    <w:p>
      <w:pPr>
        <w:pStyle w:val="BookText"/>
      </w:pPr>
      <w:r>
        <w:rPr>
          <w:rFonts w:ascii="IRNazanin" w:hAnsi="IRNazanin" w:eastAsia="IRNazanin" w:cs="IRNazanin"/>
          <w:lang w:bidi="fa-IR"/>
          <w:color w:val="111111"/>
          <w:sz w:val="28"/>
          <w:szCs w:val="28"/>
          <w:rtl/>
        </w:rPr>
        <w:t xml:space="preserve">وبالجملة الکلام في المقام في أنّ الفرد والکلّي کلاهما موجود في الخارج أو الموجود هو الفرد فقط؟ والکلام في تلك المسألة في أنّ الکلّي أو الفرد الّذي حكم بوجوده في الخارج هل المتأصّل والمجعول للجاعل فيه هو ماهيّتهما أو وجودهما؟</w:t>
      </w:r>
    </w:p>
    <w:p>
      <w:pPr>
        <w:pStyle w:val="BookText"/>
      </w:pPr>
      <w:r>
        <w:rPr>
          <w:rFonts w:ascii="IRNazanin" w:hAnsi="IRNazanin" w:eastAsia="IRNazanin" w:cs="IRNazanin"/>
          <w:lang w:bidi="fa-IR"/>
          <w:color w:val="111111"/>
          <w:sz w:val="28"/>
          <w:szCs w:val="28"/>
          <w:rtl/>
        </w:rPr>
        <w:t xml:space="preserve">فالقائل بأصالة الوجود كما يجعل الماهيّة الکلّية على فرض وجودها مجعولة بالعرض كذلك يجعل ماهيّة الفرد أیضاً كذلك فمعنى كون الکلّي الطبيعي فيالخارج على مذهب القائل بأصالة الوجود</w:t>
      </w:r>
      <w:r>
        <w:rPr>
          <w:rStyle w:val="FootnoteReference"/>
        </w:rPr>
        <w:footnoteReference w:id="611"/>
      </w:r>
      <w:r>
        <w:rPr>
          <w:rFonts w:ascii="Amiri" w:hAnsi="Amiri" w:eastAsia="Amiri" w:cs="Amiri"/>
          <w:lang w:bidi="ar-SA"/>
          <w:color w:val="111111"/>
          <w:sz w:val="28"/>
          <w:szCs w:val="28"/>
          <w:rtl/>
        </w:rPr>
        <w:t xml:space="preserve">كونه موجوداً بالعرض لاتّحادها مع الوجود كما صرّح به المحقّق السبزواري</w:t>
      </w:r>
      <w:r>
        <w:rPr>
          <w:rStyle w:val="FootnoteReference"/>
        </w:rPr>
        <w:footnoteReference w:id="612"/>
      </w:r>
      <w:r>
        <w:rPr>
          <w:rFonts w:ascii="IRNazanin" w:hAnsi="IRNazanin" w:eastAsia="IRNazanin" w:cs="IRNazanin"/>
          <w:lang w:bidi="fa-IR"/>
          <w:color w:val="111111"/>
          <w:sz w:val="28"/>
          <w:szCs w:val="28"/>
          <w:rtl/>
        </w:rPr>
        <w:t xml:space="preserve">واختاره. فتدبّر.</w:t>
      </w:r>
    </w:p>
    <w:p>
      <w:pPr>
        <w:pStyle w:val="BookText"/>
      </w:pPr>
      <w:r>
        <w:rPr>
          <w:rFonts w:ascii="IRNazanin" w:hAnsi="IRNazanin" w:eastAsia="IRNazanin" w:cs="IRNazanin"/>
          <w:lang w:bidi="fa-IR"/>
          <w:color w:val="111111"/>
          <w:sz w:val="28"/>
          <w:szCs w:val="28"/>
          <w:rtl/>
        </w:rPr>
        <w:t xml:space="preserve">والحقّ هو القول الرابع وأنّ الکلّي موجود بوجود الأشخاص، بمعنى أنّ في الخارج ما لو لوحظ مع العراء عن الخصوصيّات كان قابلاً للصدق على الكثيرين فمعنى کلّيته</w:t>
      </w:r>
      <w:r>
        <w:rPr>
          <w:rStyle w:val="FootnoteReference"/>
        </w:rPr>
        <w:footnoteReference w:id="613"/>
      </w:r>
      <w:r>
        <w:rPr>
          <w:rFonts w:ascii="IRNazanin" w:hAnsi="IRNazanin" w:eastAsia="IRNazanin" w:cs="IRNazanin"/>
          <w:lang w:bidi="fa-IR"/>
          <w:color w:val="111111"/>
          <w:sz w:val="28"/>
          <w:szCs w:val="28"/>
          <w:rtl/>
        </w:rPr>
        <w:t xml:space="preserve">هو كونه قابلاً للصدق على الكثيرين في الذهن لا أنّه موجود في الخارج بوصف الکلّية، فإنّه محال.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8" w:name="pg6784_51209"/>
    <w:bookmarkEnd w:id="88"/>
    <w:p>
      <w:pPr>
        <w:pStyle w:val="BookText"/>
      </w:pPr>
      <w:r>
        <w:rPr>
          <w:rFonts w:ascii="IRNazanin" w:hAnsi="IRNazanin" w:eastAsia="IRNazanin" w:cs="IRNazanin"/>
          <w:lang w:bidi="fa-IR"/>
          <w:color w:val="111111"/>
          <w:sz w:val="28"/>
          <w:szCs w:val="28"/>
          <w:rtl/>
        </w:rPr>
        <w:t xml:space="preserve">فهو من قبيل ما يقال: إنّ الجوهر ما يكون في وجوده الخارجي غير محتاج إلى الموضوع دفعاً للإشکال الوارد على وجود الجواهر في الذهن وإنّها متّصفة بأنّها جواهر مع أنّها في هذا النحو من الوجود محتاجة إلى الموضوع لأنّها قائمة بالنفس.</w:t>
      </w:r>
    </w:p>
    <w:p>
      <w:pPr>
        <w:pStyle w:val="BookText"/>
      </w:pPr>
      <w:r>
        <w:rPr>
          <w:rFonts w:ascii="Amiri" w:hAnsi="Amiri" w:eastAsia="Amiri" w:cs="Amiri"/>
          <w:lang w:bidi="ar-SA"/>
          <w:color w:val="111111"/>
          <w:sz w:val="28"/>
          <w:szCs w:val="28"/>
          <w:rtl/>
        </w:rPr>
        <w:t xml:space="preserve">وما ذكرنا مراد من قال: «إنّ الکلّي الطّبيعي متّصف بالکلّية شأناً وبالقوّة لا إنّه کلّي بالفعل»، فغرضه أنّ معنى کلّيته</w:t>
      </w:r>
      <w:r>
        <w:rPr>
          <w:rStyle w:val="FootnoteReference"/>
        </w:rPr>
        <w:footnoteReference w:id="614"/>
      </w:r>
      <w:r>
        <w:rPr>
          <w:rFonts w:ascii="Amiri" w:hAnsi="Amiri" w:eastAsia="Amiri" w:cs="Amiri"/>
          <w:lang w:bidi="ar-SA"/>
          <w:color w:val="111111"/>
          <w:sz w:val="28"/>
          <w:szCs w:val="28"/>
          <w:rtl/>
        </w:rPr>
        <w:t xml:space="preserve">ذلك؛ لأنّه</w:t>
      </w:r>
      <w:r>
        <w:rPr>
          <w:rStyle w:val="FootnoteReference"/>
        </w:rPr>
        <w:footnoteReference w:id="615"/>
      </w:r>
      <w:r>
        <w:rPr>
          <w:rFonts w:ascii="Amiri" w:hAnsi="Amiri" w:eastAsia="Amiri" w:cs="Amiri"/>
          <w:lang w:bidi="ar-SA"/>
          <w:color w:val="111111"/>
          <w:sz w:val="28"/>
          <w:szCs w:val="28"/>
          <w:rtl/>
        </w:rPr>
        <w:t xml:space="preserve">ليس بکلّي فعلاً.</w:t>
      </w:r>
    </w:p>
    <w:p>
      <w:pPr>
        <w:pStyle w:val="BookText"/>
      </w:pPr>
      <w:r>
        <w:rPr>
          <w:rFonts w:ascii="Amiri" w:hAnsi="Amiri" w:eastAsia="Amiri" w:cs="Amiri"/>
          <w:lang w:bidi="ar-SA"/>
          <w:color w:val="111111"/>
          <w:sz w:val="28"/>
          <w:szCs w:val="28"/>
          <w:rtl/>
        </w:rPr>
        <w:t xml:space="preserve">هذا والدّليل على وجوده في الخارج هو البداهة والوجدان؛ لأنّا إذا لاحظنا أفراد ماهيّة واحدة كالإنسان نرى بينها شركة في أمر متحقّق بالفعل في الخارج وليس اشتراكها</w:t>
      </w:r>
      <w:r>
        <w:rPr>
          <w:rStyle w:val="FootnoteReference"/>
        </w:rPr>
        <w:footnoteReference w:id="616"/>
      </w:r>
      <w:r>
        <w:rPr>
          <w:rFonts w:ascii="IRNazanin" w:hAnsi="IRNazanin" w:eastAsia="IRNazanin" w:cs="IRNazanin"/>
          <w:lang w:bidi="fa-IR"/>
          <w:color w:val="111111"/>
          <w:sz w:val="28"/>
          <w:szCs w:val="28"/>
          <w:rtl/>
        </w:rPr>
        <w:t xml:space="preserve">مثل اشتراك أفراد مفهوم الجزئي والکلّي في كونه في</w:t>
      </w:r>
      <w:r>
        <w:rPr>
          <w:rStyle w:val="FootnoteReference"/>
        </w:rPr>
        <w:footnoteReference w:id="617"/>
      </w:r>
      <w:r>
        <w:rPr>
          <w:rFonts w:ascii="Amiri" w:hAnsi="Amiri" w:eastAsia="Amiri" w:cs="Amiri"/>
          <w:lang w:bidi="ar-SA"/>
          <w:color w:val="111111"/>
          <w:sz w:val="28"/>
          <w:szCs w:val="28"/>
          <w:rtl/>
        </w:rPr>
        <w:t xml:space="preserve">أمر انتزاعي.</w:t>
      </w:r>
    </w:p>
    <w:p>
      <w:pPr>
        <w:pStyle w:val="BookText"/>
      </w:pPr>
      <w:r>
        <w:rPr>
          <w:rFonts w:ascii="Amiri" w:hAnsi="Amiri" w:eastAsia="Amiri" w:cs="Amiri"/>
          <w:lang w:bidi="ar-SA"/>
          <w:color w:val="111111"/>
          <w:sz w:val="28"/>
          <w:szCs w:val="28"/>
          <w:rtl/>
        </w:rPr>
        <w:t xml:space="preserve">فاتّصاف زيد وعمرو بالإنسانيّة ليس مثل</w:t>
      </w:r>
      <w:r>
        <w:rPr>
          <w:rStyle w:val="FootnoteReference"/>
        </w:rPr>
        <w:footnoteReference w:id="618"/>
      </w:r>
      <w:r>
        <w:rPr>
          <w:rFonts w:ascii="IRNazanin" w:hAnsi="IRNazanin" w:eastAsia="IRNazanin" w:cs="IRNazanin"/>
          <w:lang w:bidi="fa-IR"/>
          <w:color w:val="111111"/>
          <w:sz w:val="28"/>
          <w:szCs w:val="28"/>
          <w:rtl/>
        </w:rPr>
        <w:t xml:space="preserve">اتّصافهما بكونهما جزئياً وليس مثل اتّصاف ماهيّة الإنسان والحمار في كونهما کلّياً.</w:t>
      </w:r>
    </w:p>
    <w:p>
      <w:pPr>
        <w:pStyle w:val="BookText"/>
      </w:pPr>
      <w:r>
        <w:rPr>
          <w:rFonts w:ascii="IRNazanin" w:hAnsi="IRNazanin" w:eastAsia="IRNazanin" w:cs="IRNazanin"/>
          <w:lang w:bidi="fa-IR"/>
          <w:color w:val="111111"/>
          <w:sz w:val="28"/>
          <w:szCs w:val="28"/>
          <w:rtl/>
        </w:rPr>
        <w:t xml:space="preserve">فالکلّية المشتركة بينهما والجزئية المشتركة بين زيد وعمرو إنّما هما من الأمور الانتزاعيّة بخلاف الإنسانيّة المشتركة بين زيد وعمرو، وهذا واضح، وهو العمدة فيالمقام.</w:t>
      </w:r>
    </w:p>
    <w:p>
      <w:pPr>
        <w:pStyle w:val="Heading6"/>
      </w:pPr>
      <w:bookmarkStart w:id="465" w:name="_Toc146"/>
      <w:r>
        <w:t>[الوجوه غیر التامّة المذکورة لإثبات الوجود الکلّي الطبیعي]</w:t>
      </w:r>
      <w:bookmarkEnd w:id="465"/>
    </w:p>
    <w:p>
      <w:pPr>
        <w:pStyle w:val="Heading6"/>
      </w:pPr>
      <w:bookmarkStart w:id="466" w:name="_Toc147"/>
      <w:r>
        <w:t>[الوجه الأوّل]</w:t>
      </w:r>
      <w:bookmarkEnd w:id="466"/>
    </w:p>
    <w:p>
      <w:pPr>
        <w:pStyle w:val="BookText"/>
      </w:pPr>
      <w:r>
        <w:rPr>
          <w:rFonts w:ascii="Amiri" w:hAnsi="Amiri" w:eastAsia="Amiri" w:cs="Amiri"/>
          <w:lang w:bidi="ar-SA"/>
          <w:color w:val="111111"/>
          <w:sz w:val="28"/>
          <w:szCs w:val="28"/>
          <w:rtl/>
        </w:rPr>
        <w:t xml:space="preserve">لا ما ذكروه من الوجوه دليلاً على وجوده مثل ما ذكره المحقّق السّبزواري في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9" w:name="pg6784_51210"/>
    <w:bookmarkEnd w:id="89"/>
    <w:p>
      <w:pPr>
        <w:pStyle w:val="BookText"/>
      </w:pPr>
      <w:r>
        <w:rPr>
          <w:rFonts w:ascii="IRNazanin" w:hAnsi="IRNazanin" w:eastAsia="IRNazanin" w:cs="IRNazanin"/>
          <w:lang w:bidi="fa-IR"/>
          <w:color w:val="111111"/>
          <w:sz w:val="28"/>
          <w:szCs w:val="28"/>
          <w:rtl/>
        </w:rPr>
        <w:t xml:space="preserve">منظومته من أنّ الکلّي الطبيعي مقسم لأفراده ومقسم الموجود لا بدّ أن يكون موجوداً؛ لأن کلّ واحد من الأقسام هو ذلك المقسم مع خصوصيّة أخرى.</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وإليه يرجع ما يقال: من إنّه لا إشکال في وجود الأخصّ فلا بدّ من وجود الأعمّ الّذي هو الکلّي؛</w:t>
      </w:r>
    </w:p>
    <w:p>
      <w:pPr>
        <w:pStyle w:val="Heading6"/>
      </w:pPr>
      <w:bookmarkStart w:id="467" w:name="_Toc148"/>
      <w:r>
        <w:t>[إیراد على الوجه الأوّل]</w:t>
      </w:r>
      <w:bookmarkEnd w:id="467"/>
    </w:p>
    <w:p>
      <w:pPr>
        <w:pStyle w:val="BookText"/>
      </w:pPr>
      <w:r>
        <w:rPr>
          <w:rFonts w:ascii="IRNazanin" w:hAnsi="IRNazanin" w:eastAsia="IRNazanin" w:cs="IRNazanin"/>
          <w:lang w:bidi="fa-IR"/>
          <w:color w:val="111111"/>
          <w:sz w:val="28"/>
          <w:szCs w:val="28"/>
          <w:rtl/>
        </w:rPr>
        <w:t xml:space="preserve">إذ فيه: أنّ المقسم يمكن أن يكون أمراً انتزاعيّاً أیضاً مثل أنّه يقال: الجزئي ينقسم إلى زيد وعمرو وبكر كما يقال: الإنسان ينقسم إليهم.</w:t>
      </w:r>
    </w:p>
    <w:p>
      <w:pPr>
        <w:pStyle w:val="BookText"/>
      </w:pPr>
      <w:r>
        <w:rPr>
          <w:rFonts w:ascii="Amiri" w:hAnsi="Amiri" w:eastAsia="Amiri" w:cs="Amiri"/>
          <w:lang w:bidi="ar-SA"/>
          <w:color w:val="111111"/>
          <w:sz w:val="28"/>
          <w:szCs w:val="28"/>
          <w:rtl/>
        </w:rPr>
        <w:t xml:space="preserve">ولا شكّ أنّ الجزئيّة من الأمور الاعتباريّة.</w:t>
      </w:r>
      <w:r>
        <w:rPr>
          <w:rStyle w:val="FootnoteReference"/>
        </w:rPr>
        <w:footnoteReference w:id="620"/>
      </w:r>
    </w:p>
    <w:p>
      <w:pPr>
        <w:pStyle w:val="Heading6"/>
      </w:pPr>
      <w:bookmarkStart w:id="468" w:name="_Toc149"/>
      <w:r>
        <w:t>[الوجه الثاني]</w:t>
      </w:r>
      <w:bookmarkEnd w:id="468"/>
    </w:p>
    <w:p>
      <w:pPr>
        <w:pStyle w:val="BookText"/>
      </w:pPr>
      <w:r>
        <w:rPr>
          <w:rFonts w:ascii="IRNazanin" w:hAnsi="IRNazanin" w:eastAsia="IRNazanin" w:cs="IRNazanin"/>
          <w:lang w:bidi="fa-IR"/>
          <w:color w:val="111111"/>
          <w:sz w:val="28"/>
          <w:szCs w:val="28"/>
          <w:rtl/>
        </w:rPr>
        <w:t xml:space="preserve">ومثل ما يقال إنّ الکلّي يحمل على الأفراد ولا بدّ في الحمل من الاتّحاد في الخارج؛</w:t>
      </w:r>
    </w:p>
    <w:p>
      <w:pPr>
        <w:pStyle w:val="Heading6"/>
      </w:pPr>
      <w:bookmarkStart w:id="469" w:name="_Toc150"/>
      <w:r>
        <w:t>[إیراد على الوجه الثاني]</w:t>
      </w:r>
      <w:bookmarkEnd w:id="469"/>
    </w:p>
    <w:p>
      <w:pPr>
        <w:pStyle w:val="BookText"/>
      </w:pPr>
      <w:r>
        <w:rPr>
          <w:rFonts w:ascii="Amiri" w:hAnsi="Amiri" w:eastAsia="Amiri" w:cs="Amiri"/>
          <w:lang w:bidi="ar-SA"/>
          <w:color w:val="111111"/>
          <w:sz w:val="28"/>
          <w:szCs w:val="28"/>
          <w:rtl/>
        </w:rPr>
        <w:t xml:space="preserve">إذ فيه: أنّه يكفيه مثل الاتّحاد المتحقّق في الأمور الانتزاعية مع مناشئ انتزاعها.</w:t>
      </w:r>
    </w:p>
    <w:p>
      <w:pPr>
        <w:pStyle w:val="BookText"/>
      </w:pPr>
      <w:r>
        <w:rPr>
          <w:rFonts w:ascii="IRNazanin" w:hAnsi="IRNazanin" w:eastAsia="IRNazanin" w:cs="IRNazanin"/>
          <w:lang w:bidi="fa-IR"/>
          <w:color w:val="111111"/>
          <w:sz w:val="28"/>
          <w:szCs w:val="28"/>
          <w:rtl/>
        </w:rPr>
        <w:t xml:space="preserve">ألا ترى أنّه يقال: «زيد جزئي» و«عمرو جزئي» و«الإنسان کلّي» وهكذا.</w:t>
      </w:r>
    </w:p>
    <w:p>
      <w:pPr>
        <w:pStyle w:val="Heading6"/>
      </w:pPr>
      <w:bookmarkStart w:id="470" w:name="_Toc151"/>
      <w:r>
        <w:t>[الوجه الثالث]</w:t>
      </w:r>
      <w:bookmarkEnd w:id="470"/>
    </w:p>
    <w:p>
      <w:pPr>
        <w:pStyle w:val="BookText"/>
      </w:pPr>
      <w:r>
        <w:rPr>
          <w:rFonts w:ascii="IRNazanin" w:hAnsi="IRNazanin" w:eastAsia="IRNazanin" w:cs="IRNazanin"/>
          <w:lang w:bidi="fa-IR"/>
          <w:color w:val="111111"/>
          <w:sz w:val="28"/>
          <w:szCs w:val="28"/>
          <w:rtl/>
        </w:rPr>
        <w:t xml:space="preserve">ومثل ما يقال: إنّ الکلّي جزء الشخص</w:t>
      </w:r>
      <w:r>
        <w:rPr>
          <w:rStyle w:val="FootnoteReference"/>
        </w:rPr>
        <w:footnoteReference w:id="621"/>
      </w:r>
      <w:r>
        <w:rPr>
          <w:rFonts w:ascii="IRNazanin" w:hAnsi="IRNazanin" w:eastAsia="IRNazanin" w:cs="IRNazanin"/>
          <w:lang w:bidi="fa-IR"/>
          <w:color w:val="111111"/>
          <w:sz w:val="28"/>
          <w:szCs w:val="28"/>
          <w:rtl/>
        </w:rPr>
        <w:t xml:space="preserve">وجزء الموجود موجود؛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0" w:name="pg6784_51211"/>
    <w:bookmarkEnd w:id="90"/>
    <w:p>
      <w:pPr>
        <w:pStyle w:val="Heading6"/>
      </w:pPr>
      <w:bookmarkStart w:id="471" w:name="_Toc152"/>
      <w:r>
        <w:t>[إیراد على الوجه الثالث]</w:t>
      </w:r>
      <w:bookmarkEnd w:id="471"/>
    </w:p>
    <w:p>
      <w:pPr>
        <w:pStyle w:val="BookText"/>
      </w:pPr>
      <w:r>
        <w:rPr>
          <w:rFonts w:ascii="IRNazanin" w:hAnsi="IRNazanin" w:eastAsia="IRNazanin" w:cs="IRNazanin"/>
          <w:lang w:bidi="fa-IR"/>
          <w:color w:val="111111"/>
          <w:sz w:val="28"/>
          <w:szCs w:val="28"/>
          <w:rtl/>
        </w:rPr>
        <w:t xml:space="preserve">إذ فيه: أنّ الجزئيّة تحليليّة عقليّة لا خارجيّة، كيف ولو كانت خارجيّة لزم التّسلسل؛ لأنّه على هذا التقدير يكون للکلّي وجود وللشخص</w:t>
      </w:r>
      <w:r>
        <w:rPr>
          <w:rStyle w:val="FootnoteReference"/>
        </w:rPr>
        <w:footnoteReference w:id="622"/>
      </w:r>
      <w:r>
        <w:rPr>
          <w:rFonts w:ascii="IRNazanin" w:hAnsi="IRNazanin" w:eastAsia="IRNazanin" w:cs="IRNazanin"/>
          <w:lang w:bidi="fa-IR"/>
          <w:color w:val="111111"/>
          <w:sz w:val="28"/>
          <w:szCs w:val="28"/>
          <w:rtl/>
        </w:rPr>
        <w:t xml:space="preserve">الّذي هو الجزء الآخر أیضاً وجود وإذا كان موجوداً كان متشخّصاً؛ لأنّ الشي‌ء ما لم يتشخّص لم يوجد، فينقل الکلام إليه ويقال: إنّه مركب من الکلّي والتشخّص. وهكذا.</w:t>
      </w:r>
    </w:p>
    <w:p>
      <w:pPr>
        <w:pStyle w:val="Heading6"/>
      </w:pPr>
      <w:bookmarkStart w:id="472" w:name="_Toc153"/>
      <w:r>
        <w:t>[الوجه الرابع]</w:t>
      </w:r>
      <w:bookmarkEnd w:id="472"/>
    </w:p>
    <w:p>
      <w:pPr>
        <w:pStyle w:val="BookText"/>
      </w:pPr>
      <w:r>
        <w:rPr>
          <w:rFonts w:ascii="Amiri" w:hAnsi="Amiri" w:eastAsia="Amiri" w:cs="Amiri"/>
          <w:lang w:bidi="ar-SA"/>
          <w:color w:val="111111"/>
          <w:sz w:val="28"/>
          <w:szCs w:val="28"/>
          <w:rtl/>
        </w:rPr>
        <w:t xml:space="preserve">ومثل ما يقال: إنّه لو لم يكن موجوداً يلزم انتفاء الحقائق؛ لأنّ المفروض أنّه عبارة عن ماهيّة الشي‌ء؛</w:t>
      </w:r>
    </w:p>
    <w:p>
      <w:pPr>
        <w:pStyle w:val="Heading6"/>
      </w:pPr>
      <w:bookmarkStart w:id="473" w:name="_Toc154"/>
      <w:r>
        <w:t>[إیراد على الوجه الرابع]</w:t>
      </w:r>
      <w:bookmarkEnd w:id="473"/>
    </w:p>
    <w:p>
      <w:pPr>
        <w:pStyle w:val="BookText"/>
      </w:pPr>
      <w:r>
        <w:rPr>
          <w:rFonts w:ascii="Amiri" w:hAnsi="Amiri" w:eastAsia="Amiri" w:cs="Amiri"/>
          <w:lang w:bidi="ar-SA"/>
          <w:color w:val="111111"/>
          <w:sz w:val="28"/>
          <w:szCs w:val="28"/>
          <w:rtl/>
        </w:rPr>
        <w:t xml:space="preserve">إذ فيه: أنّه يلزم ذلك لو لم يقل: «إنّ الفرد ماهيّة متشخّصة»، وقيل: «إنّه مجرّد التشخّص» وليس كذلك. غاية الأمر أنّه يلزم تباين الأفراد في الحقيقة وهو خلاف الوجدان. وهذا هو ما ذكرنا من الدّليل.</w:t>
      </w:r>
    </w:p>
    <w:p>
      <w:pPr>
        <w:pStyle w:val="Heading6"/>
      </w:pPr>
      <w:bookmarkStart w:id="474" w:name="_Toc155"/>
      <w:r>
        <w:t>[الوجه الخامس]</w:t>
      </w:r>
      <w:bookmarkEnd w:id="474"/>
    </w:p>
    <w:p>
      <w:pPr>
        <w:pStyle w:val="BookText"/>
      </w:pPr>
      <w:r>
        <w:rPr>
          <w:rFonts w:ascii="IRNazanin" w:hAnsi="IRNazanin" w:eastAsia="IRNazanin" w:cs="IRNazanin"/>
          <w:lang w:bidi="fa-IR"/>
          <w:color w:val="111111"/>
          <w:sz w:val="28"/>
          <w:szCs w:val="28"/>
          <w:rtl/>
        </w:rPr>
        <w:t xml:space="preserve">ومثل ما قيل من أنّ الأمر الانتزاعي أیضاً لا بدّ له من منشأ للانتزاع</w:t>
      </w:r>
      <w:r>
        <w:rPr>
          <w:rStyle w:val="FootnoteReference"/>
        </w:rPr>
        <w:footnoteReference w:id="623"/>
      </w:r>
      <w:r>
        <w:rPr>
          <w:rFonts w:ascii="Amiri" w:hAnsi="Amiri" w:eastAsia="Amiri" w:cs="Amiri"/>
          <w:lang w:bidi="ar-SA"/>
          <w:color w:val="111111"/>
          <w:sz w:val="28"/>
          <w:szCs w:val="28"/>
          <w:rtl/>
        </w:rPr>
        <w:t xml:space="preserve">متحقّق في الخارج فلو لم يكن</w:t>
      </w:r>
      <w:r>
        <w:rPr>
          <w:rStyle w:val="FootnoteReference"/>
        </w:rPr>
        <w:footnoteReference w:id="624"/>
      </w:r>
      <w:r>
        <w:rPr>
          <w:rFonts w:ascii="IRNazanin" w:hAnsi="IRNazanin" w:eastAsia="IRNazanin" w:cs="IRNazanin"/>
          <w:lang w:bidi="fa-IR"/>
          <w:color w:val="111111"/>
          <w:sz w:val="28"/>
          <w:szCs w:val="28"/>
          <w:rtl/>
        </w:rPr>
        <w:t xml:space="preserve">في الخارج إلّا الأفراد فمن أين ينتزع الکلّي؛ إذ لا يمكن انتزاعه من خصوصيّاتها</w:t>
      </w:r>
      <w:r>
        <w:rPr>
          <w:rStyle w:val="FootnoteReference"/>
        </w:rPr>
        <w:footnoteReference w:id="625"/>
      </w:r>
      <w:r>
        <w:rPr>
          <w:rFonts w:ascii="Amiri" w:hAnsi="Amiri" w:eastAsia="Amiri" w:cs="Amiri"/>
          <w:lang w:bidi="ar-SA"/>
          <w:color w:val="111111"/>
          <w:sz w:val="28"/>
          <w:szCs w:val="28"/>
          <w:rtl/>
        </w:rPr>
        <w:t xml:space="preserve">فلا بدّ من وجود قدر مشترك بينها؛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1" w:name="pg6784_51212"/>
    <w:bookmarkEnd w:id="91"/>
    <w:p>
      <w:pPr>
        <w:pStyle w:val="Heading6"/>
      </w:pPr>
      <w:bookmarkStart w:id="475" w:name="_Toc156"/>
      <w:r>
        <w:t>[إیراد على الوجه الخامس]</w:t>
      </w:r>
      <w:bookmarkEnd w:id="475"/>
    </w:p>
    <w:p>
      <w:pPr>
        <w:pStyle w:val="BookText"/>
      </w:pPr>
      <w:r>
        <w:rPr>
          <w:rFonts w:ascii="Amiri" w:hAnsi="Amiri" w:eastAsia="Amiri" w:cs="Amiri"/>
          <w:lang w:bidi="ar-SA"/>
          <w:color w:val="111111"/>
          <w:sz w:val="28"/>
          <w:szCs w:val="28"/>
          <w:rtl/>
        </w:rPr>
        <w:t xml:space="preserve">إذ فيه: أنّ لازم هذا وجود جميع الأمور الانتزاعيّة.</w:t>
      </w:r>
    </w:p>
    <w:p>
      <w:pPr>
        <w:pStyle w:val="BookText"/>
      </w:pPr>
      <w:r>
        <w:rPr>
          <w:rFonts w:ascii="IRNazanin" w:hAnsi="IRNazanin" w:eastAsia="IRNazanin" w:cs="IRNazanin"/>
          <w:lang w:bidi="fa-IR"/>
          <w:color w:val="111111"/>
          <w:sz w:val="28"/>
          <w:szCs w:val="28"/>
          <w:rtl/>
        </w:rPr>
        <w:t xml:space="preserve">وحلّه: أنّا نقول ينتزع الکلّي من نفس الأفراد لا من خصوص تشخّصاتها وخصوصيّاتها.</w:t>
      </w:r>
    </w:p>
    <w:p>
      <w:pPr>
        <w:pStyle w:val="Heading6"/>
      </w:pPr>
      <w:bookmarkStart w:id="476" w:name="_Toc157"/>
      <w:r>
        <w:t>[الوجه السادس]</w:t>
      </w:r>
      <w:bookmarkEnd w:id="476"/>
    </w:p>
    <w:p>
      <w:pPr>
        <w:pStyle w:val="BookText"/>
      </w:pPr>
      <w:r>
        <w:rPr>
          <w:rFonts w:ascii="Amiri" w:hAnsi="Amiri" w:eastAsia="Amiri" w:cs="Amiri"/>
          <w:lang w:bidi="ar-SA"/>
          <w:color w:val="111111"/>
          <w:sz w:val="28"/>
          <w:szCs w:val="28"/>
          <w:rtl/>
        </w:rPr>
        <w:t xml:space="preserve">ومثل ما قيل: إنّ أهل العرف يفهمون من الأوامر طلب الطبائع</w:t>
      </w:r>
      <w:r>
        <w:rPr>
          <w:rStyle w:val="FootnoteReference"/>
        </w:rPr>
        <w:footnoteReference w:id="626"/>
      </w:r>
      <w:r>
        <w:rPr>
          <w:rFonts w:ascii="Amiri" w:hAnsi="Amiri" w:eastAsia="Amiri" w:cs="Amiri"/>
          <w:lang w:bidi="ar-SA"/>
          <w:color w:val="111111"/>
          <w:sz w:val="28"/>
          <w:szCs w:val="28"/>
          <w:rtl/>
        </w:rPr>
        <w:t xml:space="preserve">ويتخيّلون وجودها وهم أهل العقول فاعتقادهم وجوده يكون حكماً إجمالياً للعقل؛ إذ من البعيد خطأ</w:t>
      </w:r>
      <w:r>
        <w:rPr>
          <w:rStyle w:val="FootnoteReference"/>
        </w:rPr>
        <w:footnoteReference w:id="627"/>
      </w:r>
      <w:r>
        <w:rPr>
          <w:rFonts w:ascii="Amiri" w:hAnsi="Amiri" w:eastAsia="Amiri" w:cs="Amiri"/>
          <w:lang w:bidi="ar-SA"/>
          <w:color w:val="111111"/>
          <w:sz w:val="28"/>
          <w:szCs w:val="28"/>
          <w:rtl/>
        </w:rPr>
        <w:t xml:space="preserve">جميعهم في ذلك؛</w:t>
      </w:r>
    </w:p>
    <w:p>
      <w:pPr>
        <w:pStyle w:val="Heading6"/>
      </w:pPr>
      <w:bookmarkStart w:id="477" w:name="_Toc158"/>
      <w:r>
        <w:t>[إیراد على الوجه السادس]</w:t>
      </w:r>
      <w:bookmarkEnd w:id="477"/>
    </w:p>
    <w:p>
      <w:pPr>
        <w:pStyle w:val="BookText"/>
      </w:pPr>
      <w:r>
        <w:rPr>
          <w:rFonts w:ascii="Amiri" w:hAnsi="Amiri" w:eastAsia="Amiri" w:cs="Amiri"/>
          <w:lang w:bidi="ar-SA"/>
          <w:color w:val="111111"/>
          <w:sz w:val="28"/>
          <w:szCs w:val="28"/>
          <w:rtl/>
        </w:rPr>
        <w:t xml:space="preserve">إذ فيه: أنّ خيالهم مبنيّ على النظر المسامحي فلا عبرة به.</w:t>
      </w:r>
    </w:p>
    <w:p>
      <w:pPr>
        <w:pStyle w:val="Heading6"/>
      </w:pPr>
      <w:bookmarkStart w:id="478" w:name="_Toc159"/>
      <w:r>
        <w:t>[الوجه السابع]</w:t>
      </w:r>
      <w:bookmarkEnd w:id="478"/>
    </w:p>
    <w:p>
      <w:pPr>
        <w:pStyle w:val="BookText"/>
      </w:pPr>
      <w:r>
        <w:rPr>
          <w:rFonts w:ascii="Amiri" w:hAnsi="Amiri" w:eastAsia="Amiri" w:cs="Amiri"/>
          <w:lang w:bidi="ar-SA"/>
          <w:color w:val="111111"/>
          <w:sz w:val="28"/>
          <w:szCs w:val="28"/>
          <w:rtl/>
        </w:rPr>
        <w:t xml:space="preserve">ومثل ما قيل أیضاً: إنّ</w:t>
      </w:r>
      <w:r>
        <w:rPr>
          <w:rStyle w:val="FootnoteReference"/>
        </w:rPr>
        <w:footnoteReference w:id="628"/>
      </w:r>
      <w:r>
        <w:rPr>
          <w:rFonts w:ascii="Amiri" w:hAnsi="Amiri" w:eastAsia="Amiri" w:cs="Amiri"/>
          <w:lang w:bidi="ar-SA"/>
          <w:color w:val="111111"/>
          <w:sz w:val="28"/>
          <w:szCs w:val="28"/>
          <w:rtl/>
        </w:rPr>
        <w:t xml:space="preserve">الواضع وضع الألفاظ للطبائع وهو حكيم ولو لم</w:t>
      </w:r>
      <w:r>
        <w:rPr>
          <w:rStyle w:val="FootnoteReference"/>
        </w:rPr>
        <w:footnoteReference w:id="629"/>
      </w:r>
      <w:r>
        <w:rPr>
          <w:rFonts w:ascii="Amiri" w:hAnsi="Amiri" w:eastAsia="Amiri" w:cs="Amiri"/>
          <w:lang w:bidi="ar-SA"/>
          <w:color w:val="111111"/>
          <w:sz w:val="28"/>
          <w:szCs w:val="28"/>
          <w:rtl/>
        </w:rPr>
        <w:t xml:space="preserve">يكن موجوداً لم يضع اللّفظ له؛</w:t>
      </w:r>
    </w:p>
    <w:p>
      <w:pPr>
        <w:pStyle w:val="Heading6"/>
      </w:pPr>
      <w:bookmarkStart w:id="479" w:name="_Toc160"/>
      <w:r>
        <w:t>[إیراد على الوجه السابع]</w:t>
      </w:r>
      <w:bookmarkEnd w:id="479"/>
    </w:p>
    <w:p>
      <w:pPr>
        <w:pStyle w:val="BookText"/>
      </w:pPr>
      <w:r>
        <w:rPr>
          <w:rFonts w:ascii="Amiri" w:hAnsi="Amiri" w:eastAsia="Amiri" w:cs="Amiri"/>
          <w:lang w:bidi="ar-SA"/>
          <w:color w:val="111111"/>
          <w:sz w:val="28"/>
          <w:szCs w:val="28"/>
          <w:rtl/>
        </w:rPr>
        <w:t xml:space="preserve">إذ هو كما ترى.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2" w:name="pg6784_51213"/>
    <w:bookmarkEnd w:id="92"/>
    <w:p>
      <w:pPr>
        <w:pStyle w:val="Heading6"/>
      </w:pPr>
      <w:bookmarkStart w:id="480" w:name="_Toc161"/>
      <w:r>
        <w:t>[استدلال القائلین بعدم وجود الکلّي الطبیعي]</w:t>
      </w:r>
      <w:bookmarkEnd w:id="480"/>
    </w:p>
    <w:p>
      <w:pPr>
        <w:pStyle w:val="Heading6"/>
      </w:pPr>
      <w:bookmarkStart w:id="481" w:name="_Toc162"/>
      <w:r>
        <w:t>[الدلیل الأوّل لنافي الوجود الخارجي للکلّي الطبیعي]</w:t>
      </w:r>
      <w:bookmarkEnd w:id="481"/>
    </w:p>
    <w:p>
      <w:pPr>
        <w:pStyle w:val="BookText"/>
      </w:pPr>
      <w:r>
        <w:rPr>
          <w:rFonts w:ascii="IRNazanin" w:hAnsi="IRNazanin" w:eastAsia="IRNazanin" w:cs="IRNazanin"/>
          <w:lang w:bidi="fa-IR"/>
          <w:color w:val="111111"/>
          <w:sz w:val="28"/>
          <w:szCs w:val="28"/>
          <w:rtl/>
        </w:rPr>
        <w:t xml:space="preserve">واستدلّ القائل بعدم وجوده بأنّه لا يعقل وجود الکلّي في الخارج؛ إذ الشي‌ء ما لم يتشخّص لم يوجد، وأیضاً لو وجد يلزم منه كون شي‌ء واحد کلّياً وجزئياً وأیضاً يلزم منه تعدّد الواحد.</w:t>
      </w:r>
    </w:p>
    <w:p>
      <w:pPr>
        <w:pStyle w:val="Heading6"/>
      </w:pPr>
      <w:bookmarkStart w:id="482" w:name="_Toc163"/>
      <w:r>
        <w:t>[ردّ الدلیل الأوّل]</w:t>
      </w:r>
      <w:bookmarkEnd w:id="482"/>
    </w:p>
    <w:p>
      <w:pPr>
        <w:pStyle w:val="BookText"/>
      </w:pPr>
      <w:r>
        <w:rPr>
          <w:rFonts w:ascii="Amiri" w:hAnsi="Amiri" w:eastAsia="Amiri" w:cs="Amiri"/>
          <w:lang w:bidi="ar-SA"/>
          <w:color w:val="111111"/>
          <w:sz w:val="28"/>
          <w:szCs w:val="28"/>
          <w:rtl/>
        </w:rPr>
        <w:t xml:space="preserve">والجواب يظهر ممّا ذكرنا من أنّه ليس معنى</w:t>
      </w:r>
      <w:r>
        <w:rPr>
          <w:rStyle w:val="FootnoteReference"/>
        </w:rPr>
        <w:footnoteReference w:id="630"/>
      </w:r>
      <w:r>
        <w:rPr>
          <w:rFonts w:ascii="Amiri" w:hAnsi="Amiri" w:eastAsia="Amiri" w:cs="Amiri"/>
          <w:lang w:bidi="ar-SA"/>
          <w:color w:val="111111"/>
          <w:sz w:val="28"/>
          <w:szCs w:val="28"/>
          <w:rtl/>
        </w:rPr>
        <w:t xml:space="preserve">كونه کلّياً أنّه متّصف بالکلّية الخارجيّة بل معناه أنّه لو لوحظ مجرّداً عن الخصوصيّات كان کلّياً صادقاً علىالكثيرين.</w:t>
      </w:r>
    </w:p>
    <w:p>
      <w:pPr>
        <w:pStyle w:val="BookText"/>
      </w:pPr>
      <w:r>
        <w:rPr>
          <w:rFonts w:ascii="IRNazanin" w:hAnsi="IRNazanin" w:eastAsia="IRNazanin" w:cs="IRNazanin"/>
          <w:lang w:bidi="fa-IR"/>
          <w:color w:val="111111"/>
          <w:sz w:val="28"/>
          <w:szCs w:val="28"/>
          <w:rtl/>
        </w:rPr>
        <w:t xml:space="preserve">وهذا بخلاف الفرد فإنّه إذا تصوّر في الذهن كان جزئياً غير قابل للصّدق على الكثيرين وحینئذٍ فلا يضرّ تشخّصه في کلّيته؛ لأنّه متشخّص بلحاظ الخصوصيّات وکلّي بلحاظه</w:t>
      </w:r>
      <w:r>
        <w:rPr>
          <w:rStyle w:val="FootnoteReference"/>
        </w:rPr>
        <w:footnoteReference w:id="631"/>
      </w:r>
      <w:r>
        <w:rPr>
          <w:rFonts w:ascii="Amiri" w:hAnsi="Amiri" w:eastAsia="Amiri" w:cs="Amiri"/>
          <w:lang w:bidi="ar-SA"/>
          <w:color w:val="111111"/>
          <w:sz w:val="28"/>
          <w:szCs w:val="28"/>
          <w:rtl/>
        </w:rPr>
        <w:t xml:space="preserve">معرّى</w:t>
      </w:r>
      <w:r>
        <w:rPr>
          <w:rStyle w:val="FootnoteReference"/>
        </w:rPr>
        <w:footnoteReference w:id="632"/>
      </w:r>
      <w:r>
        <w:rPr>
          <w:rFonts w:ascii="Amiri" w:hAnsi="Amiri" w:eastAsia="Amiri" w:cs="Amiri"/>
          <w:lang w:bidi="ar-SA"/>
          <w:color w:val="111111"/>
          <w:sz w:val="28"/>
          <w:szCs w:val="28"/>
          <w:rtl/>
        </w:rPr>
        <w:t xml:space="preserve">ولا يضرّ تعدّده بتعدّد الجزئيات في وحدته مع عدم لحاظها.</w:t>
      </w:r>
    </w:p>
    <w:p>
      <w:pPr>
        <w:pStyle w:val="Heading6"/>
      </w:pPr>
      <w:bookmarkStart w:id="483" w:name="_Toc164"/>
      <w:r>
        <w:t>[الدلیل الثاني لنافي الوجود الخارجي للکلّي الطبیعي]</w:t>
      </w:r>
      <w:bookmarkEnd w:id="483"/>
    </w:p>
    <w:p>
      <w:pPr>
        <w:pStyle w:val="BookText"/>
      </w:pPr>
      <w:r>
        <w:rPr>
          <w:rFonts w:ascii="Amiri" w:hAnsi="Amiri" w:eastAsia="Amiri" w:cs="Amiri"/>
          <w:lang w:bidi="ar-SA"/>
          <w:color w:val="111111"/>
          <w:sz w:val="28"/>
          <w:szCs w:val="28"/>
          <w:rtl/>
        </w:rPr>
        <w:t xml:space="preserve">وأمّا ما قيل: من أنّه لو كان موجوداً في الخارج يلزم منه وجود شي‌ء واحد في أزمنة متعدّدة وأمكنة متعدّدة؛</w:t>
      </w:r>
    </w:p>
    <w:p>
      <w:pPr>
        <w:pStyle w:val="Heading6"/>
      </w:pPr>
      <w:bookmarkStart w:id="484" w:name="_Toc165"/>
      <w:r>
        <w:t>[ردّ الدلیل الثاني]</w:t>
      </w:r>
      <w:bookmarkEnd w:id="484"/>
    </w:p>
    <w:p>
      <w:pPr>
        <w:pStyle w:val="BookText"/>
      </w:pPr>
      <w:r>
        <w:rPr>
          <w:rFonts w:ascii="Amiri" w:hAnsi="Amiri" w:eastAsia="Amiri" w:cs="Amiri"/>
          <w:lang w:bidi="ar-SA"/>
          <w:color w:val="111111"/>
          <w:sz w:val="28"/>
          <w:szCs w:val="28"/>
          <w:rtl/>
        </w:rPr>
        <w:t xml:space="preserve">ففيه: أنّه لا يضرّ ذلك في الواحد بالنّوع وإنّما لا يجوز هذا في الواحد بالشّخص فهذا يرد على ما قاله الرّجل الهمداني حيث إنّه قال: إنّه واحد بالعدد ومع ذلك موجود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3" w:name="pg6784_51214"/>
    <w:bookmarkEnd w:id="93"/>
    <w:p>
      <w:pPr>
        <w:pStyle w:val="BookText"/>
      </w:pPr>
      <w:r>
        <w:rPr>
          <w:rFonts w:ascii="Amiri" w:hAnsi="Amiri" w:eastAsia="Amiri" w:cs="Amiri"/>
          <w:lang w:bidi="ar-SA"/>
          <w:color w:val="111111"/>
          <w:sz w:val="28"/>
          <w:szCs w:val="28"/>
          <w:rtl/>
        </w:rPr>
        <w:t xml:space="preserve">في الأشخاص ومتّصف بخصوصيّاتها</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r>
        <w:rPr>
          <w:rStyle w:val="FootnoteReference"/>
        </w:rPr>
        <w:footnoteReference w:id="634"/>
      </w:r>
    </w:p>
    <w:p>
      <w:pPr>
        <w:pStyle w:val="Heading6"/>
      </w:pPr>
      <w:bookmarkStart w:id="485" w:name="_Toc166"/>
      <w:r>
        <w:t>[نسبة الکلّي بأفراده]</w:t>
      </w:r>
      <w:bookmarkEnd w:id="485"/>
    </w:p>
    <w:p>
      <w:pPr>
        <w:pStyle w:val="BookText"/>
      </w:pPr>
      <w:r>
        <w:rPr>
          <w:rFonts w:ascii="IRNazanin" w:hAnsi="IRNazanin" w:eastAsia="IRNazanin" w:cs="IRNazanin"/>
          <w:lang w:bidi="fa-IR"/>
          <w:color w:val="111111"/>
          <w:sz w:val="28"/>
          <w:szCs w:val="28"/>
          <w:rtl/>
        </w:rPr>
        <w:t xml:space="preserve">ثمّ إنّ نسبة الکلّي إلى أفراده نسبة الجزئيّة في الذّهن والاتّحاد في الخارج فهو في الذّهن والتعقّل جزء للأفراد وفي الخارج عينها وليس الفرد مقدّمة لوجوده - كما ذهب إليه المحقّق القمي (قدس‌سره)</w:t>
      </w:r>
      <w:r>
        <w:rPr>
          <w:rStyle w:val="FootnoteReference"/>
        </w:rPr>
        <w:footnoteReference w:id="635"/>
      </w:r>
      <w:r>
        <w:rPr>
          <w:rFonts w:ascii="Amiri" w:hAnsi="Amiri" w:eastAsia="Amiri" w:cs="Amiri"/>
          <w:lang w:bidi="ar-SA"/>
          <w:color w:val="111111"/>
          <w:sz w:val="28"/>
          <w:szCs w:val="28"/>
          <w:rtl/>
        </w:rPr>
        <w:t xml:space="preserve">-؛ وذلك لأنّ هناك شيئاً واحداً خارجياً</w:t>
      </w:r>
      <w:r>
        <w:rPr>
          <w:rStyle w:val="FootnoteReference"/>
        </w:rPr>
        <w:footnoteReference w:id="636"/>
      </w:r>
      <w:r>
        <w:rPr>
          <w:rFonts w:ascii="IRNazanin" w:hAnsi="IRNazanin" w:eastAsia="IRNazanin" w:cs="IRNazanin"/>
          <w:lang w:bidi="fa-IR"/>
          <w:color w:val="111111"/>
          <w:sz w:val="28"/>
          <w:szCs w:val="28"/>
          <w:rtl/>
        </w:rPr>
        <w:t xml:space="preserve">يصدق عليه أنّه وجود الکلّي ووجود الفرد، فإيجاد الکلّي ليس إلّا جعله متشخّصاً في الخارج.</w:t>
      </w:r>
    </w:p>
    <w:p>
      <w:pPr>
        <w:pStyle w:val="BookText"/>
      </w:pPr>
      <w:r>
        <w:rPr>
          <w:rFonts w:ascii="IRNazanin" w:hAnsi="IRNazanin" w:eastAsia="IRNazanin" w:cs="IRNazanin"/>
          <w:lang w:bidi="fa-IR"/>
          <w:color w:val="111111"/>
          <w:sz w:val="28"/>
          <w:szCs w:val="28"/>
          <w:rtl/>
        </w:rPr>
        <w:t xml:space="preserve">كما أنّ إيجاد الفرد أیضاً ليس إلّا إيجاد الکلّي متشخّصاً فالوجود ينسب إليهما على نسق واحد وفي عرض واحد بل لو لوحظ التحليل العقلي كان الکلّي مقدّمةللفرد حيث إنّه جزؤه</w:t>
      </w:r>
      <w:r>
        <w:rPr>
          <w:rStyle w:val="FootnoteReference"/>
        </w:rPr>
        <w:footnoteReference w:id="637"/>
      </w:r>
    </w:p>
    <w:p>
      <w:pPr>
        <w:pStyle w:val="BookText"/>
      </w:pPr>
      <w:r>
        <w:rPr>
          <w:rFonts w:ascii="Amiri" w:hAnsi="Amiri" w:eastAsia="Amiri" w:cs="Amiri"/>
          <w:lang w:bidi="ar-SA"/>
          <w:color w:val="111111"/>
          <w:sz w:val="28"/>
          <w:szCs w:val="28"/>
          <w:rtl/>
        </w:rPr>
        <w:t xml:space="preserve">والحاصل: أنّه يصدر من الجاعل تأثير واحد وأثر</w:t>
      </w:r>
      <w:r>
        <w:rPr>
          <w:rStyle w:val="FootnoteReference"/>
        </w:rPr>
        <w:footnoteReference w:id="638"/>
      </w:r>
      <w:r>
        <w:rPr>
          <w:rFonts w:ascii="IRNazanin" w:hAnsi="IRNazanin" w:eastAsia="IRNazanin" w:cs="IRNazanin"/>
          <w:lang w:bidi="fa-IR"/>
          <w:color w:val="111111"/>
          <w:sz w:val="28"/>
          <w:szCs w:val="28"/>
          <w:rtl/>
        </w:rPr>
        <w:t xml:space="preserve">واحد في الخارج وهو الکلّي المتشخّص ولكنّه یتّصف بالکلّية بلحاظ وبالفرديّة بلحاظ</w:t>
      </w:r>
      <w:r>
        <w:rPr>
          <w:rStyle w:val="FootnoteReference"/>
        </w:rPr>
        <w:footnoteReference w:id="639"/>
      </w:r>
    </w:p>
    <w:p>
      <w:pPr>
        <w:pStyle w:val="BookText"/>
      </w:pPr>
      <w:r>
        <w:rPr>
          <w:rFonts w:ascii="Amiri" w:hAnsi="Amiri" w:eastAsia="Amiri" w:cs="Amiri"/>
          <w:lang w:bidi="ar-SA"/>
          <w:color w:val="111111"/>
          <w:sz w:val="28"/>
          <w:szCs w:val="28"/>
          <w:rtl/>
        </w:rPr>
        <w:t xml:space="preserve">والحكم الشّرعي تارة يرد عليه باللّحاظ الأوّل فيقال: «إنّ الحكم متعلّق بالطبيعة» وتارة باللحاظ الثاني فيقال: «إنّه متعلّق بالفرد» ويتفاوت الحال في الأصالة والتّبعيّة كما هو واضح.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4" w:name="pg6784_51215"/>
    <w:bookmarkEnd w:id="94"/>
    <w:p>
      <w:pPr>
        <w:pStyle w:val="Heading6"/>
      </w:pPr>
      <w:bookmarkStart w:id="486" w:name="_Toc167"/>
      <w:r>
        <w:t>[في بيان الرأي المختار]</w:t>
      </w:r>
      <w:bookmarkEnd w:id="486"/>
    </w:p>
    <w:p>
      <w:pPr>
        <w:pStyle w:val="BookText"/>
      </w:pPr>
      <w:r>
        <w:rPr>
          <w:rFonts w:ascii="IRNazanin" w:hAnsi="IRNazanin" w:eastAsia="IRNazanin" w:cs="IRNazanin"/>
          <w:lang w:bidi="fa-IR"/>
          <w:color w:val="111111"/>
          <w:sz w:val="28"/>
          <w:szCs w:val="28"/>
          <w:rtl/>
        </w:rPr>
        <w:t xml:space="preserve">إذا عرفت ذلك فنقول: إذا كان الکلّي الطّبيعي ممكن الإيجاد في الخارج والمفروض أنّ ظاهر الدّليل تعلّق الحكم به حسبما عرفت في المقام الأوّل فلا وجه لصرفه عن ظاهره فكون هذا الدليل عقليّاً من حيث إنّ العقل يرفع المانع.</w:t>
      </w:r>
    </w:p>
    <w:p>
      <w:pPr>
        <w:pStyle w:val="BookText"/>
      </w:pPr>
      <w:r>
        <w:rPr>
          <w:rFonts w:ascii="IRNazanin" w:hAnsi="IRNazanin" w:eastAsia="IRNazanin" w:cs="IRNazanin"/>
          <w:lang w:bidi="fa-IR"/>
          <w:color w:val="111111"/>
          <w:sz w:val="28"/>
          <w:szCs w:val="28"/>
          <w:rtl/>
        </w:rPr>
        <w:t xml:space="preserve">ويمكن أن يقال بعد الحكم بوجود الکلّي الطّبيعي: إنّ العقل مستقلّ بتعلّق الأحکام بالطّبائع؛ وذلك لأنّها تابعة للمصالح والمفاسد والحسن والقبح وهما إنّما يكونان في الطّبائع الکلّية.</w:t>
      </w:r>
    </w:p>
    <w:p>
      <w:pPr>
        <w:pStyle w:val="BookText"/>
      </w:pPr>
      <w:r>
        <w:rPr>
          <w:rFonts w:ascii="Amiri" w:hAnsi="Amiri" w:eastAsia="Amiri" w:cs="Amiri"/>
          <w:lang w:bidi="ar-SA"/>
          <w:color w:val="111111"/>
          <w:sz w:val="28"/>
          <w:szCs w:val="28"/>
          <w:rtl/>
        </w:rPr>
        <w:t xml:space="preserve">أمّا على القول بالذّاتية أو الصّفات اللّازمة</w:t>
      </w:r>
      <w:r>
        <w:rPr>
          <w:rStyle w:val="FootnoteReference"/>
        </w:rPr>
        <w:footnoteReference w:id="640"/>
      </w:r>
      <w:r>
        <w:rPr>
          <w:rFonts w:ascii="IRNazanin" w:hAnsi="IRNazanin" w:eastAsia="IRNazanin" w:cs="IRNazanin"/>
          <w:lang w:bidi="fa-IR"/>
          <w:color w:val="111111"/>
          <w:sz w:val="28"/>
          <w:szCs w:val="28"/>
          <w:rtl/>
        </w:rPr>
        <w:t xml:space="preserve">فواضح. وأمّا على القول بالوجوه والاعتبار؛ فلأنّ المعلوم عدم دورانها مدار الاعتبارات الشخصيّة بل الکلّيات منها مثل النّفع والضّرر ونحوهما وإذا كان الحسن والقبح في الکلّيات فلا بدّ من تعلّق الحكم بها</w:t>
      </w:r>
      <w:r>
        <w:rPr>
          <w:rStyle w:val="FootnoteReference"/>
        </w:rPr>
        <w:footnoteReference w:id="641"/>
      </w:r>
      <w:r>
        <w:rPr>
          <w:rFonts w:ascii="IRNazanin" w:hAnsi="IRNazanin" w:eastAsia="IRNazanin" w:cs="IRNazanin"/>
          <w:lang w:bidi="fa-IR"/>
          <w:color w:val="111111"/>
          <w:sz w:val="28"/>
          <w:szCs w:val="28"/>
          <w:rtl/>
        </w:rPr>
        <w:t xml:space="preserve">دون الأفراد.</w:t>
      </w:r>
    </w:p>
    <w:p>
      <w:pPr>
        <w:pStyle w:val="BookText"/>
      </w:pPr>
      <w:r>
        <w:rPr>
          <w:rFonts w:ascii="IRNazanin" w:hAnsi="IRNazanin" w:eastAsia="IRNazanin" w:cs="IRNazanin"/>
          <w:lang w:bidi="fa-IR"/>
          <w:color w:val="111111"/>
          <w:sz w:val="28"/>
          <w:szCs w:val="28"/>
          <w:rtl/>
        </w:rPr>
        <w:t xml:space="preserve">هذا ولكن مقتضى هذا الوجه عدم تعلّق الحكم في شي‌ء من الموارد بالأفراد فلا بدّ من الالتزام بكون قوله: «أکرم کلّ واحد من العلماء» راجعاً إلى قوله: «أکرم طبيعة العالم» وهكذا وهو مشکل.</w:t>
      </w:r>
    </w:p>
    <w:p>
      <w:pPr>
        <w:pStyle w:val="BookText"/>
      </w:pPr>
      <w:r>
        <w:rPr>
          <w:rFonts w:ascii="Amiri" w:hAnsi="Amiri" w:eastAsia="Amiri" w:cs="Amiri"/>
          <w:lang w:bidi="ar-SA"/>
          <w:color w:val="111111"/>
          <w:sz w:val="28"/>
          <w:szCs w:val="28"/>
          <w:rtl/>
        </w:rPr>
        <w:t xml:space="preserve">ودعوى أنّه يمكن كون الخصوصيّات الشخصيّة الدّاخلة تحت عنوان واحدمحلّاً ومورداً للحسن والقبح مثل خصوصيّات أفراد</w:t>
      </w:r>
      <w:r>
        <w:rPr>
          <w:rStyle w:val="FootnoteReference"/>
        </w:rPr>
        <w:footnoteReference w:id="642"/>
      </w:r>
      <w:r>
        <w:rPr>
          <w:rFonts w:ascii="Amiri" w:hAnsi="Amiri" w:eastAsia="Amiri" w:cs="Amiri"/>
          <w:lang w:bidi="ar-SA"/>
          <w:color w:val="111111"/>
          <w:sz w:val="28"/>
          <w:szCs w:val="28"/>
          <w:rtl/>
        </w:rPr>
        <w:t xml:space="preserve">الكذب الضّارّ أو النّافع فإذا علّق الشّارع الحكم بالأفراد يستكشف منه ذلك؛</w:t>
      </w:r>
    </w:p>
    <w:p>
      <w:pPr>
        <w:pStyle w:val="BookText"/>
      </w:pPr>
      <w:r>
        <w:rPr>
          <w:rFonts w:ascii="Amiri" w:hAnsi="Amiri" w:eastAsia="Amiri" w:cs="Amiri"/>
          <w:lang w:bidi="ar-SA"/>
          <w:color w:val="111111"/>
          <w:sz w:val="28"/>
          <w:szCs w:val="28"/>
          <w:rtl/>
        </w:rPr>
        <w:t xml:space="preserve">مدفوعة - مضافاً إلى بُعده -؛ بأنّ لازمه</w:t>
      </w:r>
      <w:r>
        <w:rPr>
          <w:rStyle w:val="FootnoteReference"/>
        </w:rPr>
        <w:footnoteReference w:id="643"/>
      </w:r>
      <w:r>
        <w:rPr>
          <w:rFonts w:ascii="Amiri" w:hAnsi="Amiri" w:eastAsia="Amiri" w:cs="Amiri"/>
          <w:lang w:bidi="ar-SA"/>
          <w:color w:val="111111"/>
          <w:sz w:val="28"/>
          <w:szCs w:val="28"/>
          <w:rtl/>
        </w:rPr>
        <w:t xml:space="preserve">بطلان التمسّك بهذا الوجه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5" w:name="pg6784_51216"/>
    <w:bookmarkEnd w:id="95"/>
    <w:p>
      <w:pPr>
        <w:pStyle w:val="BookText"/>
      </w:pPr>
      <w:r>
        <w:rPr>
          <w:rFonts w:ascii="Amiri" w:hAnsi="Amiri" w:eastAsia="Amiri" w:cs="Amiri"/>
          <w:lang w:bidi="ar-SA"/>
          <w:color w:val="111111"/>
          <w:sz w:val="28"/>
          <w:szCs w:val="28"/>
          <w:rtl/>
        </w:rPr>
        <w:t xml:space="preserve">والانحصار في الوجه السّابق.</w:t>
      </w:r>
    </w:p>
    <w:p>
      <w:pPr>
        <w:pStyle w:val="BookText"/>
      </w:pPr>
      <w:r>
        <w:rPr>
          <w:rFonts w:ascii="IRNazanin" w:hAnsi="IRNazanin" w:eastAsia="IRNazanin" w:cs="IRNazanin"/>
          <w:lang w:bidi="fa-IR"/>
          <w:color w:val="111111"/>
          <w:sz w:val="28"/>
          <w:szCs w:val="28"/>
          <w:rtl/>
        </w:rPr>
        <w:t xml:space="preserve">والأولى الالتزام بما ذكر وأنّه لا فرق بين «أکرم العالم» و«أکرم العلماء» ويكون سرّ التّعبير بالعموم الأفرادي إرادة إسراء الحكم إلى جميع أفراد الطّبيعة.</w:t>
      </w:r>
    </w:p>
    <w:p>
      <w:pPr>
        <w:pStyle w:val="BookText"/>
      </w:pPr>
      <w:r>
        <w:rPr>
          <w:rFonts w:ascii="Amiri" w:hAnsi="Amiri" w:eastAsia="Amiri" w:cs="Amiri"/>
          <w:lang w:bidi="ar-SA"/>
          <w:color w:val="111111"/>
          <w:sz w:val="28"/>
          <w:szCs w:val="28"/>
          <w:rtl/>
        </w:rPr>
        <w:t xml:space="preserve">هذا ولكنّ الإنصاف عدم تماميّة هذا الوجه لمكان الاحتمال المذكور</w:t>
      </w:r>
      <w:r>
        <w:rPr>
          <w:rStyle w:val="FootnoteReference"/>
        </w:rPr>
        <w:footnoteReference w:id="644"/>
      </w:r>
      <w:r>
        <w:rPr>
          <w:rFonts w:ascii="IRNazanin" w:hAnsi="IRNazanin" w:eastAsia="IRNazanin" w:cs="IRNazanin"/>
          <w:lang w:bidi="fa-IR"/>
          <w:color w:val="111111"/>
          <w:sz w:val="28"/>
          <w:szCs w:val="28"/>
          <w:rtl/>
        </w:rPr>
        <w:t xml:space="preserve">وإن کان بعيداً.</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هذا مع إمکان كون المصلحة والحسن في التکلیف لا في المکلّف به فيكون في الأمر بالأفراد على سبيل العموم الاستغراقي أو البدلي مصلحة.</w:t>
      </w:r>
    </w:p>
    <w:p>
      <w:pPr>
        <w:pStyle w:val="BookText"/>
      </w:pPr>
      <w:r>
        <w:rPr>
          <w:rFonts w:ascii="Amiri" w:hAnsi="Amiri" w:eastAsia="Amiri" w:cs="Amiri"/>
          <w:lang w:bidi="ar-SA"/>
          <w:color w:val="111111"/>
          <w:sz w:val="28"/>
          <w:szCs w:val="28"/>
          <w:rtl/>
        </w:rPr>
        <w:t xml:space="preserve">فالمعتمد هو الوجه الأوّل وهو الحكم بكون المتعلّق هو الطّبيعة</w:t>
      </w:r>
      <w:r>
        <w:rPr>
          <w:rStyle w:val="FootnoteReference"/>
        </w:rPr>
        <w:footnoteReference w:id="646"/>
      </w:r>
      <w:r>
        <w:rPr>
          <w:rFonts w:ascii="Amiri" w:hAnsi="Amiri" w:eastAsia="Amiri" w:cs="Amiri"/>
          <w:lang w:bidi="ar-SA"/>
          <w:color w:val="111111"/>
          <w:sz w:val="28"/>
          <w:szCs w:val="28"/>
          <w:rtl/>
        </w:rPr>
        <w:t xml:space="preserve">فيما لو كان كذلك في ظاهر الدّليل لعدم المانع من إبقائه على ظاهره.</w:t>
      </w:r>
    </w:p>
    <w:p>
      <w:pPr>
        <w:pStyle w:val="BookText"/>
      </w:pPr>
      <w:r>
        <w:rPr>
          <w:rFonts w:ascii="IRNazanin" w:hAnsi="IRNazanin" w:eastAsia="IRNazanin" w:cs="IRNazanin"/>
          <w:lang w:bidi="fa-IR"/>
          <w:color w:val="111111"/>
          <w:sz w:val="28"/>
          <w:szCs w:val="28"/>
          <w:rtl/>
        </w:rPr>
        <w:t xml:space="preserve">نعم يلحق به ما إذا علم مصلحة الحكم وأنّها في المکلّف به في طبيعته سواء كان من جهة ظهور الدّليل في كون المناط كذا أو نصوصيّته أو من</w:t>
      </w:r>
      <w:r>
        <w:rPr>
          <w:rStyle w:val="FootnoteReference"/>
        </w:rPr>
        <w:footnoteReference w:id="647"/>
      </w:r>
      <w:r>
        <w:rPr>
          <w:rFonts w:ascii="IRNazanin" w:hAnsi="IRNazanin" w:eastAsia="IRNazanin" w:cs="IRNazanin"/>
          <w:lang w:bidi="fa-IR"/>
          <w:color w:val="111111"/>
          <w:sz w:val="28"/>
          <w:szCs w:val="28"/>
          <w:rtl/>
        </w:rPr>
        <w:t xml:space="preserve">الخارج.</w:t>
      </w:r>
    </w:p>
    <w:p>
      <w:pPr>
        <w:pStyle w:val="Heading6"/>
      </w:pPr>
      <w:bookmarkStart w:id="487" w:name="_Toc168"/>
      <w:r>
        <w:t>[استدلال القائلين بتعلّق الأمر أو النهي بالأفراد]</w:t>
      </w:r>
      <w:bookmarkEnd w:id="487"/>
    </w:p>
    <w:p>
      <w:pPr>
        <w:pStyle w:val="BookText"/>
      </w:pPr>
      <w:r>
        <w:rPr>
          <w:rFonts w:ascii="IRNazanin" w:hAnsi="IRNazanin" w:eastAsia="IRNazanin" w:cs="IRNazanin"/>
          <w:lang w:bidi="fa-IR"/>
          <w:color w:val="111111"/>
          <w:sz w:val="28"/>
          <w:szCs w:val="28"/>
          <w:rtl/>
        </w:rPr>
        <w:t xml:space="preserve">واستدلّ القائل بالتعلّق بالأفراد بأنّ الکلّي الطّبيعي غير موجود في الخارج فيكون التکلیف بإيجاده من التکلیف بالمحال فيكون هذا من القرينة العقليّة على إرادة الأفراد.</w:t>
      </w:r>
    </w:p>
    <w:p>
      <w:pPr>
        <w:pStyle w:val="Heading6"/>
      </w:pPr>
      <w:bookmarkStart w:id="488" w:name="_Toc169"/>
      <w:r>
        <w:t>[ردّ على هذا الاستدلال]</w:t>
      </w:r>
      <w:bookmarkEnd w:id="488"/>
    </w:p>
    <w:p>
      <w:pPr>
        <w:pStyle w:val="BookText"/>
      </w:pPr>
      <w:r>
        <w:rPr>
          <w:rFonts w:ascii="Amiri" w:hAnsi="Amiri" w:eastAsia="Amiri" w:cs="Amiri"/>
          <w:lang w:bidi="ar-SA"/>
          <w:color w:val="111111"/>
          <w:sz w:val="28"/>
          <w:szCs w:val="28"/>
          <w:rtl/>
        </w:rPr>
        <w:t xml:space="preserve">وقد عرفت الجواب وأنّه موجود فيمكن الأمر بإيجاده ويكون متعلّقاً للإيجاد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6" w:name="pg6784_51217"/>
    <w:bookmarkEnd w:id="96"/>
    <w:p>
      <w:pPr>
        <w:pStyle w:val="BookText"/>
      </w:pPr>
      <w:r>
        <w:rPr>
          <w:rFonts w:ascii="Amiri" w:hAnsi="Amiri" w:eastAsia="Amiri" w:cs="Amiri"/>
          <w:lang w:bidi="ar-SA"/>
          <w:color w:val="111111"/>
          <w:sz w:val="28"/>
          <w:szCs w:val="28"/>
          <w:rtl/>
        </w:rPr>
        <w:t xml:space="preserve">أوّلاً لا بواسطة الفرد، فلا وجه لما يقال في الجواب بناء على وجوده بأنّه مقدور بالواسطة والمقدور بالواسطة مقدور.</w:t>
      </w:r>
    </w:p>
    <w:p>
      <w:pPr>
        <w:pStyle w:val="BookText"/>
      </w:pPr>
      <w:r>
        <w:rPr>
          <w:rFonts w:ascii="IRNazanin" w:hAnsi="IRNazanin" w:eastAsia="IRNazanin" w:cs="IRNazanin"/>
          <w:lang w:bidi="fa-IR"/>
          <w:color w:val="111111"/>
          <w:sz w:val="28"/>
          <w:szCs w:val="28"/>
          <w:rtl/>
        </w:rPr>
        <w:t xml:space="preserve">مع أنّ هذا التّعليل إنّما يناسب إذا كان المستدلّ ناظراً إلى عدم إمکان إيجاده من حيث إنّه أثر الفعل الخارجي نظير الأفعال التوليديّة</w:t>
      </w:r>
      <w:r>
        <w:rPr>
          <w:rStyle w:val="FootnoteReference"/>
        </w:rPr>
        <w:footnoteReference w:id="648"/>
      </w:r>
      <w:r>
        <w:rPr>
          <w:rFonts w:ascii="Amiri" w:hAnsi="Amiri" w:eastAsia="Amiri" w:cs="Amiri"/>
          <w:lang w:bidi="ar-SA"/>
          <w:color w:val="111111"/>
          <w:sz w:val="28"/>
          <w:szCs w:val="28"/>
          <w:rtl/>
        </w:rPr>
        <w:t xml:space="preserve">وليس كذلك؛ إذ غرضه أنّه لايمكن إيجاده أصلاً.</w:t>
      </w:r>
    </w:p>
    <w:p>
      <w:pPr>
        <w:pStyle w:val="BookText"/>
      </w:pPr>
      <w:r>
        <w:rPr>
          <w:rFonts w:ascii="Amiri" w:hAnsi="Amiri" w:eastAsia="Amiri" w:cs="Amiri"/>
          <w:lang w:bidi="ar-SA"/>
          <w:color w:val="111111"/>
          <w:sz w:val="28"/>
          <w:szCs w:val="28"/>
          <w:rtl/>
        </w:rPr>
        <w:t xml:space="preserve">نعم هو مناسب لما سيجيء من الدّليل.</w:t>
      </w:r>
    </w:p>
    <w:p>
      <w:pPr>
        <w:pStyle w:val="BookText"/>
      </w:pPr>
      <w:r>
        <w:rPr>
          <w:rFonts w:ascii="IRNazanin" w:hAnsi="IRNazanin" w:eastAsia="IRNazanin" w:cs="IRNazanin"/>
          <w:lang w:bidi="fa-IR"/>
          <w:color w:val="111111"/>
          <w:sz w:val="28"/>
          <w:szCs w:val="28"/>
          <w:rtl/>
        </w:rPr>
        <w:t xml:space="preserve">ثم لو شكّ في وجود الکلّي الطّبيعي وعدمه أیضاً يكفي في الحكم بكون المتعلّق هو الطّبيعة؛ لظاهر</w:t>
      </w:r>
      <w:r>
        <w:rPr>
          <w:rStyle w:val="FootnoteReference"/>
        </w:rPr>
        <w:footnoteReference w:id="649"/>
      </w:r>
      <w:r>
        <w:rPr>
          <w:rFonts w:ascii="IRNazanin" w:hAnsi="IRNazanin" w:eastAsia="IRNazanin" w:cs="IRNazanin"/>
          <w:lang w:bidi="fa-IR"/>
          <w:color w:val="111111"/>
          <w:sz w:val="28"/>
          <w:szCs w:val="28"/>
          <w:rtl/>
        </w:rPr>
        <w:t xml:space="preserve">الدّليل وعدم المانع بل يمكن أن يجعل ظاهر الدّليل دليلاً على وجوده بمعنى ترتيب الآثار الشرعیّة. فتدبّر.</w:t>
      </w:r>
    </w:p>
    <w:p>
      <w:pPr>
        <w:pStyle w:val="Heading6"/>
      </w:pPr>
      <w:bookmarkStart w:id="489" w:name="_Toc170"/>
      <w:r>
        <w:t>[ردّ المحقّق القمّي (رحمة الله‌علیه) على الاستدلال]</w:t>
      </w:r>
      <w:bookmarkEnd w:id="489"/>
    </w:p>
    <w:p>
      <w:pPr>
        <w:pStyle w:val="BookText"/>
      </w:pPr>
      <w:r>
        <w:rPr>
          <w:rFonts w:ascii="IRNazanin" w:hAnsi="IRNazanin" w:eastAsia="IRNazanin" w:cs="IRNazanin"/>
          <w:lang w:bidi="fa-IR"/>
          <w:color w:val="111111"/>
          <w:sz w:val="28"/>
          <w:szCs w:val="28"/>
          <w:rtl/>
        </w:rPr>
        <w:t xml:space="preserve">وأجاب المحقّق القمي (قدس‌سره) على فرض عدم وجود الکلّي أیضاً:</w:t>
      </w:r>
    </w:p>
    <w:p>
      <w:pPr>
        <w:pStyle w:val="BookText"/>
      </w:pPr>
      <w:r>
        <w:rPr>
          <w:rFonts w:ascii="IRNazanin" w:hAnsi="IRNazanin" w:eastAsia="IRNazanin" w:cs="IRNazanin"/>
          <w:lang w:bidi="fa-IR"/>
          <w:color w:val="111111"/>
          <w:sz w:val="28"/>
          <w:szCs w:val="28"/>
          <w:rtl/>
        </w:rPr>
        <w:t xml:space="preserve">بأنّ المنكرين لا ينكرون أنّ العقل ينتزع من الأفراد صوراً کلّية؛ إمّا من ذواتها أو من أعراضها المكتنفة بها وهذه الصّور الانتزاعية معنى الکلّي الطّبيعي عند هؤلاء.</w:t>
      </w:r>
    </w:p>
    <w:p>
      <w:pPr>
        <w:pStyle w:val="BookText"/>
      </w:pPr>
      <w:r>
        <w:rPr>
          <w:rFonts w:ascii="IRNazanin" w:hAnsi="IRNazanin" w:eastAsia="IRNazanin" w:cs="IRNazanin"/>
          <w:lang w:bidi="fa-IR"/>
          <w:color w:val="111111"/>
          <w:sz w:val="28"/>
          <w:szCs w:val="28"/>
          <w:rtl/>
        </w:rPr>
        <w:t xml:space="preserve">وهي وإن كانت غير موجودة في الخارج بالنظر الدّقيق الفلسفي إلّا أنّها لمّا كان لها نوع اتّحاد مع الأفراد ويزعم أهل العرف وجودها بتخیّل أنّ وجود الأفراد وجودها فلا بأس بالتکلیف بها والحكم بإيجادها؛</w:t>
      </w:r>
      <w:r>
        <w:rPr>
          <w:rStyle w:val="FootnoteReference"/>
        </w:rPr>
        <w:footnoteReference w:id="650"/>
      </w:r>
      <w:r>
        <w:rPr>
          <w:rFonts w:ascii="IRNazanin" w:hAnsi="IRNazanin" w:eastAsia="IRNazanin" w:cs="IRNazanin"/>
          <w:lang w:bidi="fa-IR"/>
          <w:color w:val="111111"/>
          <w:sz w:val="28"/>
          <w:szCs w:val="28"/>
          <w:rtl/>
        </w:rPr>
        <w:t xml:space="preserve">لأنّ الأحکام الشرعیّة واردة على حسب الأفهام العرفيّة وإن كانت مخالفة للدّقائق الحكميّة.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7" w:name="pg6784_51218"/>
    <w:bookmarkEnd w:id="97"/>
    <w:p>
      <w:pPr>
        <w:pStyle w:val="Heading6"/>
      </w:pPr>
      <w:bookmarkStart w:id="490" w:name="_Toc171"/>
      <w:r>
        <w:t>[إیراد على المحقّق القمي (رحمة الله‌علیه)]</w:t>
      </w:r>
      <w:bookmarkEnd w:id="490"/>
    </w:p>
    <w:p>
      <w:pPr>
        <w:pStyle w:val="BookText"/>
      </w:pPr>
      <w:r>
        <w:rPr>
          <w:rFonts w:ascii="IRNazanin" w:hAnsi="IRNazanin" w:eastAsia="IRNazanin" w:cs="IRNazanin"/>
          <w:lang w:bidi="fa-IR"/>
          <w:color w:val="111111"/>
          <w:sz w:val="28"/>
          <w:szCs w:val="28"/>
          <w:rtl/>
        </w:rPr>
        <w:t xml:space="preserve">وأورد عليه: بأنّه إذا لم يمكن إيجاد الکلّي في الخارج فلا ينفع تخيّل العرف إمکان وجوده في صحّة التکلیف به؛ لأنّه من التکلیف بالمحال.وإن أريد من تعلّق التکلیف بإيجاده تعلّقه بإيجاد ما يفهم العرف أنّه إيجاده وهو الفرد فيرجع إلى القول بالتعلّق بالأفراد.</w:t>
      </w:r>
    </w:p>
    <w:p>
      <w:pPr>
        <w:pStyle w:val="BookText"/>
      </w:pPr>
      <w:r>
        <w:rPr>
          <w:rFonts w:ascii="IRNazanin" w:hAnsi="IRNazanin" w:eastAsia="IRNazanin" w:cs="IRNazanin"/>
          <w:lang w:bidi="fa-IR"/>
          <w:color w:val="111111"/>
          <w:sz w:val="28"/>
          <w:szCs w:val="28"/>
          <w:rtl/>
        </w:rPr>
        <w:t xml:space="preserve">وما اشتهر من أنّ الأحکام دائرة مدار فهم العرف إنّما يكون فيما لو علّق الشارع حكماً على موضوع تخيّل أهل العرف كون الشيء الفلاني فرده وليس</w:t>
      </w:r>
      <w:r>
        <w:rPr>
          <w:rStyle w:val="FootnoteReference"/>
        </w:rPr>
        <w:footnoteReference w:id="651"/>
      </w:r>
      <w:r>
        <w:rPr>
          <w:rFonts w:ascii="Amiri" w:hAnsi="Amiri" w:eastAsia="Amiri" w:cs="Amiri"/>
          <w:lang w:bidi="ar-SA"/>
          <w:color w:val="111111"/>
          <w:sz w:val="28"/>
          <w:szCs w:val="28"/>
          <w:rtl/>
        </w:rPr>
        <w:t xml:space="preserve">بفرده فإنّه يحكم بأنّ الحكم معلّق على الأفراد المعدودة لذلك الموضوع عُرْفاً.</w:t>
      </w:r>
    </w:p>
    <w:p>
      <w:pPr>
        <w:pStyle w:val="BookText"/>
      </w:pPr>
      <w:r>
        <w:rPr>
          <w:rFonts w:ascii="IRNazanin" w:hAnsi="IRNazanin" w:eastAsia="IRNazanin" w:cs="IRNazanin"/>
          <w:lang w:bidi="fa-IR"/>
          <w:color w:val="111111"/>
          <w:sz w:val="28"/>
          <w:szCs w:val="28"/>
          <w:rtl/>
        </w:rPr>
        <w:t xml:space="preserve">كما إذا قال: «أبقِ حكم الموضوع السّابق» وحكم العرف على موضوع بأنّه الموضوع السّابق مع عدم كونه كذلك بحسب الدّقة كما في الماء المتغیّر بعد زوال التغیّر، أو قال: «الدّم نجس» وحكم أهل العرف بأنّ اللّون ليس بدم مع كونه دماً بحسب الدّقة لاستحالة انتقال العرض.</w:t>
      </w:r>
    </w:p>
    <w:p>
      <w:pPr>
        <w:pStyle w:val="BookText"/>
      </w:pPr>
      <w:r>
        <w:rPr>
          <w:rFonts w:ascii="Amiri" w:hAnsi="Amiri" w:eastAsia="Amiri" w:cs="Amiri"/>
          <w:lang w:bidi="ar-SA"/>
          <w:color w:val="111111"/>
          <w:sz w:val="28"/>
          <w:szCs w:val="28"/>
          <w:rtl/>
        </w:rPr>
        <w:t xml:space="preserve">ففي الحقيقة الحكم الشرعي واردٌ على الأعمّ من الفرد وغيره في الفرض الأوّل وعلى خصوص بعض الأفراد في الفرض الثاني.</w:t>
      </w:r>
    </w:p>
    <w:p>
      <w:pPr>
        <w:pStyle w:val="BookText"/>
      </w:pPr>
      <w:r>
        <w:rPr>
          <w:rFonts w:ascii="IRNazanin" w:hAnsi="IRNazanin" w:eastAsia="IRNazanin" w:cs="IRNazanin"/>
          <w:lang w:bidi="fa-IR"/>
          <w:color w:val="111111"/>
          <w:sz w:val="28"/>
          <w:szCs w:val="28"/>
          <w:rtl/>
        </w:rPr>
        <w:t xml:space="preserve">وهذا بخلاف المقام فإنّ المفروض أنّ الحكم وارد على نفس الطّبيعة وأنّ المراد إيجادها حقیقة وهذا ممّا لا يمكن.</w:t>
      </w:r>
    </w:p>
    <w:p>
      <w:pPr>
        <w:pStyle w:val="BookText"/>
      </w:pPr>
      <w:r>
        <w:rPr>
          <w:rFonts w:ascii="Amiri" w:hAnsi="Amiri" w:eastAsia="Amiri" w:cs="Amiri"/>
          <w:lang w:bidi="ar-SA"/>
          <w:color w:val="111111"/>
          <w:sz w:val="28"/>
          <w:szCs w:val="28"/>
          <w:rtl/>
        </w:rPr>
        <w:t xml:space="preserve">نعم إذا قيل: إنّ المراد من إيجاد الطّبيعة إيجاد الأفراد؛ لأنّ أهل العرف يفهمون من الأمر بإيجاد الطّبيعة إيجاد الأفراد كان</w:t>
      </w:r>
      <w:r>
        <w:rPr>
          <w:rStyle w:val="FootnoteReference"/>
        </w:rPr>
        <w:footnoteReference w:id="652"/>
      </w:r>
      <w:r>
        <w:rPr>
          <w:rFonts w:ascii="IRNazanin" w:hAnsi="IRNazanin" w:eastAsia="IRNazanin" w:cs="IRNazanin"/>
          <w:lang w:bidi="fa-IR"/>
          <w:color w:val="111111"/>
          <w:sz w:val="28"/>
          <w:szCs w:val="28"/>
          <w:rtl/>
        </w:rPr>
        <w:t xml:space="preserve">داخلاً في تلك القاعدة، لكنّه خلاف المقصود؛ إذ قد عرفت أنّ عليه يكون المتعلّق هو الأفراد حقیقة.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8" w:name="pg6784_51219"/>
    <w:bookmarkEnd w:id="98"/>
    <w:p>
      <w:pPr>
        <w:pStyle w:val="Heading6"/>
      </w:pPr>
      <w:bookmarkStart w:id="491" w:name="_Toc172"/>
      <w:r>
        <w:t>[توجیه کلام المحقّق القمّي (رحمة الله‌علیه)]</w:t>
      </w:r>
      <w:bookmarkEnd w:id="491"/>
    </w:p>
    <w:p>
      <w:pPr>
        <w:pStyle w:val="BookText"/>
      </w:pPr>
      <w:r>
        <w:rPr>
          <w:rFonts w:ascii="IRNazanin" w:hAnsi="IRNazanin" w:eastAsia="IRNazanin" w:cs="IRNazanin"/>
          <w:lang w:bidi="fa-IR"/>
          <w:color w:val="111111"/>
          <w:sz w:val="28"/>
          <w:szCs w:val="28"/>
          <w:rtl/>
        </w:rPr>
        <w:t xml:space="preserve">قلت: يمكن أن يوجّه ما ذكره بأنّا لا نقول: إنّ المطلوب إيجاد الطّبيعة حقیقة في الخارج لزعم</w:t>
      </w:r>
      <w:r>
        <w:rPr>
          <w:rStyle w:val="FootnoteReference"/>
        </w:rPr>
        <w:footnoteReference w:id="653"/>
      </w:r>
      <w:r>
        <w:rPr>
          <w:rFonts w:ascii="IRNazanin" w:hAnsi="IRNazanin" w:eastAsia="IRNazanin" w:cs="IRNazanin"/>
          <w:lang w:bidi="fa-IR"/>
          <w:color w:val="111111"/>
          <w:sz w:val="28"/>
          <w:szCs w:val="28"/>
          <w:rtl/>
        </w:rPr>
        <w:t xml:space="preserve">أهل العرف إمکانه ولا إنّ الطبيعة</w:t>
      </w:r>
      <w:r>
        <w:rPr>
          <w:rStyle w:val="FootnoteReference"/>
        </w:rPr>
        <w:footnoteReference w:id="654"/>
      </w:r>
      <w:r>
        <w:rPr>
          <w:rFonts w:ascii="Amiri" w:hAnsi="Amiri" w:eastAsia="Amiri" w:cs="Amiri"/>
          <w:lang w:bidi="ar-SA"/>
          <w:color w:val="111111"/>
          <w:sz w:val="28"/>
          <w:szCs w:val="28"/>
          <w:rtl/>
        </w:rPr>
        <w:t xml:space="preserve">عنوان لإرادة الفرد، حتّى يقال: إنّه التزام بالتعلّق بالفرد.</w:t>
      </w:r>
    </w:p>
    <w:p>
      <w:pPr>
        <w:pStyle w:val="BookText"/>
      </w:pPr>
      <w:r>
        <w:rPr>
          <w:rFonts w:ascii="Amiri" w:hAnsi="Amiri" w:eastAsia="Amiri" w:cs="Amiri"/>
          <w:lang w:bidi="ar-SA"/>
          <w:color w:val="111111"/>
          <w:sz w:val="28"/>
          <w:szCs w:val="28"/>
          <w:rtl/>
        </w:rPr>
        <w:t xml:space="preserve">بل نقول: إنّ المطلوب إيجاد الطّبيعة بما لها من الوجود الاعتباري الانتزاعي</w:t>
      </w:r>
      <w:r>
        <w:rPr>
          <w:rStyle w:val="FootnoteReference"/>
        </w:rPr>
        <w:footnoteReference w:id="655"/>
      </w:r>
      <w:r>
        <w:rPr>
          <w:rFonts w:ascii="Amiri" w:hAnsi="Amiri" w:eastAsia="Amiri" w:cs="Amiri"/>
          <w:lang w:bidi="ar-SA"/>
          <w:color w:val="111111"/>
          <w:sz w:val="28"/>
          <w:szCs w:val="28"/>
          <w:rtl/>
        </w:rPr>
        <w:t xml:space="preserve">وإذا كان لها نحو وجود اعتباري لمكان اتّحادها مع الأفراد أمكن أن تطلب في الخارج بهذا المقدار لا بالوجود الحقيقي حتّى يقال: إنّه مُحال.</w:t>
      </w:r>
    </w:p>
    <w:p>
      <w:pPr>
        <w:pStyle w:val="BookText"/>
      </w:pPr>
      <w:r>
        <w:rPr>
          <w:rFonts w:ascii="IRNazanin" w:hAnsi="IRNazanin" w:eastAsia="IRNazanin" w:cs="IRNazanin"/>
          <w:lang w:bidi="fa-IR"/>
          <w:color w:val="111111"/>
          <w:sz w:val="28"/>
          <w:szCs w:val="28"/>
          <w:rtl/>
        </w:rPr>
        <w:t xml:space="preserve">ومن المعلوم أنّ الأمور الاعتباريّة أیضاً قبل وجود منشأِ انتزاعها مغايرة لما بعده.</w:t>
      </w:r>
    </w:p>
    <w:p>
      <w:pPr>
        <w:pStyle w:val="BookText"/>
      </w:pPr>
      <w:r>
        <w:rPr>
          <w:rFonts w:ascii="Amiri" w:hAnsi="Amiri" w:eastAsia="Amiri" w:cs="Amiri"/>
          <w:lang w:bidi="ar-SA"/>
          <w:color w:val="111111"/>
          <w:sz w:val="28"/>
          <w:szCs w:val="28"/>
          <w:rtl/>
        </w:rPr>
        <w:t xml:space="preserve">فالمراد إيجاد الطبيعة بإيجاد الأفراد نظير ما إذا قال: «أوجد الفوقيّة»، فإنّه صحيح إذا أريد إيجادها بما لها من الوجود الاعتباري</w:t>
      </w:r>
      <w:r>
        <w:rPr>
          <w:rStyle w:val="FootnoteReference"/>
        </w:rPr>
        <w:footnoteReference w:id="656"/>
      </w:r>
      <w:r>
        <w:rPr>
          <w:rFonts w:ascii="Amiri" w:hAnsi="Amiri" w:eastAsia="Amiri" w:cs="Amiri"/>
          <w:lang w:bidi="ar-SA"/>
          <w:color w:val="111111"/>
          <w:sz w:val="28"/>
          <w:szCs w:val="28"/>
          <w:rtl/>
        </w:rPr>
        <w:t xml:space="preserve">الّذي ليس إلّا إيجاد</w:t>
      </w:r>
      <w:r>
        <w:rPr>
          <w:rStyle w:val="FootnoteReference"/>
        </w:rPr>
        <w:footnoteReference w:id="657"/>
      </w:r>
      <w:r>
        <w:rPr>
          <w:rFonts w:ascii="Amiri" w:hAnsi="Amiri" w:eastAsia="Amiri" w:cs="Amiri"/>
          <w:lang w:bidi="ar-SA"/>
          <w:color w:val="111111"/>
          <w:sz w:val="28"/>
          <w:szCs w:val="28"/>
          <w:rtl/>
        </w:rPr>
        <w:t xml:space="preserve">السّقف</w:t>
      </w:r>
      <w:r>
        <w:rPr>
          <w:rStyle w:val="FootnoteReference"/>
        </w:rPr>
        <w:footnoteReference w:id="658"/>
      </w:r>
      <w:r>
        <w:rPr>
          <w:rFonts w:ascii="IRNazanin" w:hAnsi="IRNazanin" w:eastAsia="IRNazanin" w:cs="IRNazanin"/>
          <w:lang w:bidi="fa-IR"/>
          <w:color w:val="111111"/>
          <w:sz w:val="28"/>
          <w:szCs w:val="28"/>
          <w:rtl/>
        </w:rPr>
        <w:t xml:space="preserve">فإنّه وإن لم يكن إيجاداً حقیقة في الخارج إلّا أنّ اعتبار الفوقيّة قبل وجود السّقف غيره بعده.</w:t>
      </w:r>
    </w:p>
    <w:p>
      <w:pPr>
        <w:pStyle w:val="BookText"/>
      </w:pPr>
      <w:r>
        <w:rPr>
          <w:rFonts w:ascii="Amiri" w:hAnsi="Amiri" w:eastAsia="Amiri" w:cs="Amiri"/>
          <w:lang w:bidi="ar-SA"/>
          <w:color w:val="111111"/>
          <w:sz w:val="28"/>
          <w:szCs w:val="28"/>
          <w:rtl/>
        </w:rPr>
        <w:t xml:space="preserve">فقبله اعتبار ذهني صرف وبعده اعتبار خارجي فلا مانع من كون المطلوب هذا المقدار.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9" w:name="pg6784_51220"/>
    <w:bookmarkEnd w:id="99"/>
    <w:p>
      <w:pPr>
        <w:pStyle w:val="BookText"/>
      </w:pPr>
      <w:r>
        <w:rPr>
          <w:rFonts w:ascii="IRNazanin" w:hAnsi="IRNazanin" w:eastAsia="IRNazanin" w:cs="IRNazanin"/>
          <w:lang w:bidi="fa-IR"/>
          <w:color w:val="111111"/>
          <w:sz w:val="28"/>
          <w:szCs w:val="28"/>
          <w:rtl/>
        </w:rPr>
        <w:t xml:space="preserve">وكذا إذا قال: «ايت بالجزئي أو بالکلّي»، فإنّ إتیان زيد يكفي مع كون المطلوب إتیان عنوان الجزئي الّذي هو من الأمور الانتزاعيّة.</w:t>
      </w:r>
    </w:p>
    <w:p>
      <w:pPr>
        <w:pStyle w:val="BookText"/>
      </w:pPr>
      <w:r>
        <w:rPr>
          <w:rFonts w:ascii="IRNazanin" w:hAnsi="IRNazanin" w:eastAsia="IRNazanin" w:cs="IRNazanin"/>
          <w:lang w:bidi="fa-IR"/>
          <w:color w:val="111111"/>
          <w:sz w:val="28"/>
          <w:szCs w:val="28"/>
          <w:rtl/>
        </w:rPr>
        <w:t xml:space="preserve">فللجزئي تحقّق في الخارج في انتزاعيّته ليس له هذا التحقّق قبل إيجاد الجزئي فليس المراد إيجاد السّقف وإتیان زيد إلّا تبعاً لكونهما مستلزمَين لإتیان المطلوب الّذي هو الفوقيّة أو الجزئي.</w:t>
      </w:r>
    </w:p>
    <w:p>
      <w:pPr>
        <w:pStyle w:val="BookText"/>
      </w:pPr>
      <w:r>
        <w:rPr>
          <w:rFonts w:ascii="IRNazanin" w:hAnsi="IRNazanin" w:eastAsia="IRNazanin" w:cs="IRNazanin"/>
          <w:lang w:bidi="fa-IR"/>
          <w:color w:val="111111"/>
          <w:sz w:val="28"/>
          <w:szCs w:val="28"/>
          <w:rtl/>
        </w:rPr>
        <w:t xml:space="preserve">بل أقول: إنّ القائل بوجود الکلّي الطّبيعي في الخارج بالوجود العرضي كما هو على القول بأصالة الوجود مرجع کلامه إلى ما ذكرنا.</w:t>
      </w:r>
    </w:p>
    <w:p>
      <w:pPr>
        <w:pStyle w:val="BookText"/>
      </w:pPr>
      <w:r>
        <w:rPr>
          <w:rFonts w:ascii="IRNazanin" w:hAnsi="IRNazanin" w:eastAsia="IRNazanin" w:cs="IRNazanin"/>
          <w:lang w:bidi="fa-IR"/>
          <w:color w:val="111111"/>
          <w:sz w:val="28"/>
          <w:szCs w:val="28"/>
          <w:rtl/>
        </w:rPr>
        <w:t xml:space="preserve">فإنّه لا يمكن على قوله أیضاً إيجاد الطّبيعة حقیقة، بمعنى أنّ الکلّي على مذهبه إنّما يكون من الأمور الانتزاعيّة المنتزعة من الوجود الّذي هو التشخّص.</w:t>
      </w:r>
    </w:p>
    <w:p>
      <w:pPr>
        <w:pStyle w:val="BookText"/>
      </w:pPr>
      <w:r>
        <w:rPr>
          <w:rFonts w:ascii="IRNazanin" w:hAnsi="IRNazanin" w:eastAsia="IRNazanin" w:cs="IRNazanin"/>
          <w:lang w:bidi="fa-IR"/>
          <w:color w:val="111111"/>
          <w:sz w:val="28"/>
          <w:szCs w:val="28"/>
          <w:rtl/>
        </w:rPr>
        <w:t xml:space="preserve">والحاصل: أنّه إذا كان المراد من الإيجاد هذا المقدار لمسامحة أهل العرف في كونه إيجاداً للطّبيعة وإن لم يكن إيجاداً حقیقة فلا مانع منه.</w:t>
      </w:r>
    </w:p>
    <w:p>
      <w:pPr>
        <w:pStyle w:val="Heading6"/>
      </w:pPr>
      <w:bookmarkStart w:id="492" w:name="_Toc173"/>
      <w:r>
        <w:t>[إیراد على التوجیه المذکور]</w:t>
      </w:r>
      <w:bookmarkEnd w:id="492"/>
    </w:p>
    <w:p>
      <w:pPr>
        <w:pStyle w:val="BookText"/>
      </w:pPr>
      <w:r>
        <w:rPr>
          <w:rFonts w:ascii="IRNazanin" w:hAnsi="IRNazanin" w:eastAsia="IRNazanin" w:cs="IRNazanin"/>
          <w:lang w:bidi="fa-IR"/>
          <w:color w:val="111111"/>
          <w:sz w:val="28"/>
          <w:szCs w:val="28"/>
          <w:rtl/>
        </w:rPr>
        <w:t xml:space="preserve">نعم يشکل هذا: بأنّ كون المصلحة في هذا الأمر الاعتباري بعيد بل الظاهر أنّ محلّ الحسن والمصلحة هو الموجود الخارجي الحقيقي وهو الأفراد على القول بعدم وجود الکلّي الطّبيعي. فتأمّل.</w:t>
      </w:r>
    </w:p>
    <w:p>
      <w:pPr>
        <w:pStyle w:val="Heading6"/>
      </w:pPr>
      <w:bookmarkStart w:id="493" w:name="_Toc174"/>
      <w:r>
        <w:t>[استدلال صاحب المناهج (رحمة الله‌علیه) لتعلّق الحکم بالفرد وردّه]</w:t>
      </w:r>
      <w:bookmarkEnd w:id="493"/>
    </w:p>
    <w:p>
      <w:pPr>
        <w:pStyle w:val="BookText"/>
      </w:pPr>
      <w:r>
        <w:rPr>
          <w:rFonts w:ascii="Amiri" w:hAnsi="Amiri" w:eastAsia="Amiri" w:cs="Amiri"/>
          <w:lang w:bidi="ar-SA"/>
          <w:color w:val="111111"/>
          <w:sz w:val="28"/>
          <w:szCs w:val="28"/>
          <w:rtl/>
        </w:rPr>
        <w:t xml:space="preserve">واستدلّ في المناهج</w:t>
      </w:r>
      <w:r>
        <w:rPr>
          <w:rStyle w:val="FootnoteReference"/>
        </w:rPr>
        <w:footnoteReference w:id="659"/>
      </w:r>
      <w:r>
        <w:rPr>
          <w:rFonts w:ascii="IRNazanin" w:hAnsi="IRNazanin" w:eastAsia="IRNazanin" w:cs="IRNazanin"/>
          <w:lang w:bidi="fa-IR"/>
          <w:color w:val="111111"/>
          <w:sz w:val="28"/>
          <w:szCs w:val="28"/>
          <w:rtl/>
        </w:rPr>
        <w:t xml:space="preserve">على القول بالتعلّق بالفرد:</w:t>
      </w:r>
    </w:p>
    <w:p>
      <w:pPr>
        <w:pStyle w:val="BookText"/>
      </w:pPr>
      <w:r>
        <w:rPr>
          <w:rFonts w:ascii="Amiri" w:hAnsi="Amiri" w:eastAsia="Amiri" w:cs="Amiri"/>
          <w:lang w:bidi="ar-SA"/>
          <w:color w:val="111111"/>
          <w:sz w:val="28"/>
          <w:szCs w:val="28"/>
          <w:rtl/>
        </w:rPr>
        <w:t xml:space="preserve">بأنّ الأوامر مأخوذة من المصادر وهي موضوعة للأفراد كأسماء الأجناس.</w:t>
      </w:r>
      <w:r>
        <w:rPr>
          <w:rStyle w:val="FootnoteReference"/>
        </w:rPr>
        <w:footnoteReference w:id="660"/>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0" w:name="pg6784_51221"/>
    <w:bookmarkEnd w:id="100"/>
    <w:p>
      <w:pPr>
        <w:pStyle w:val="BookText"/>
      </w:pPr>
      <w:r>
        <w:rPr>
          <w:rFonts w:ascii="Amiri" w:hAnsi="Amiri" w:eastAsia="Amiri" w:cs="Amiri"/>
          <w:lang w:bidi="ar-SA"/>
          <w:color w:val="111111"/>
          <w:sz w:val="28"/>
          <w:szCs w:val="28"/>
          <w:rtl/>
        </w:rPr>
        <w:t xml:space="preserve">وفيه ما لا يخفى.</w:t>
      </w:r>
    </w:p>
    <w:p>
      <w:pPr>
        <w:pStyle w:val="Heading6"/>
      </w:pPr>
      <w:bookmarkStart w:id="494" w:name="_Toc175"/>
      <w:r>
        <w:t>[استدلال آخر لتعلّق الحکم بالفرد وردّه]</w:t>
      </w:r>
      <w:bookmarkEnd w:id="494"/>
    </w:p>
    <w:p>
      <w:pPr>
        <w:pStyle w:val="BookText"/>
      </w:pPr>
      <w:r>
        <w:rPr>
          <w:rFonts w:ascii="Amiri" w:hAnsi="Amiri" w:eastAsia="Amiri" w:cs="Amiri"/>
          <w:lang w:bidi="ar-SA"/>
          <w:color w:val="111111"/>
          <w:sz w:val="28"/>
          <w:szCs w:val="28"/>
          <w:rtl/>
        </w:rPr>
        <w:t xml:space="preserve">وقد يستدلّ عليه:</w:t>
      </w:r>
    </w:p>
    <w:p>
      <w:pPr>
        <w:pStyle w:val="BookText"/>
      </w:pPr>
      <w:r>
        <w:rPr>
          <w:rFonts w:ascii="IRNazanin" w:hAnsi="IRNazanin" w:eastAsia="IRNazanin" w:cs="IRNazanin"/>
          <w:lang w:bidi="fa-IR"/>
          <w:color w:val="111111"/>
          <w:sz w:val="28"/>
          <w:szCs w:val="28"/>
          <w:rtl/>
        </w:rPr>
        <w:t xml:space="preserve">بأنّ الأحکام تابعة للحسن والقبح وهما بالوجوه والاعتبار</w:t>
      </w:r>
      <w:r>
        <w:rPr>
          <w:rStyle w:val="FootnoteReference"/>
        </w:rPr>
        <w:footnoteReference w:id="661"/>
      </w:r>
      <w:r>
        <w:rPr>
          <w:rFonts w:ascii="IRNazanin" w:hAnsi="IRNazanin" w:eastAsia="IRNazanin" w:cs="IRNazanin"/>
          <w:lang w:bidi="fa-IR"/>
          <w:color w:val="111111"/>
          <w:sz w:val="28"/>
          <w:szCs w:val="28"/>
          <w:rtl/>
        </w:rPr>
        <w:t xml:space="preserve">ولازم هذا كون الأحکام متعلّقة بالأفراد. وفيه ما عرفت.</w:t>
      </w:r>
    </w:p>
    <w:p>
      <w:pPr>
        <w:pStyle w:val="Heading6"/>
      </w:pPr>
      <w:bookmarkStart w:id="495" w:name="_Toc176"/>
      <w:r>
        <w:t>[استدلال آخر لعدم تعلّق التکلیف بالکلّي]</w:t>
      </w:r>
      <w:bookmarkEnd w:id="495"/>
    </w:p>
    <w:p>
      <w:pPr>
        <w:pStyle w:val="BookText"/>
      </w:pPr>
      <w:r>
        <w:rPr>
          <w:rFonts w:ascii="Amiri" w:hAnsi="Amiri" w:eastAsia="Amiri" w:cs="Amiri"/>
          <w:lang w:bidi="ar-SA"/>
          <w:color w:val="111111"/>
          <w:sz w:val="28"/>
          <w:szCs w:val="28"/>
          <w:rtl/>
        </w:rPr>
        <w:t xml:space="preserve">وقد يستدلّ عليه: بأنّ الکلّي مقدور بالواسطة ومتعلّق التکلیف لا بدّ أن يكون مقدوراً أوّلاً:</w:t>
      </w:r>
    </w:p>
    <w:p>
      <w:pPr>
        <w:pStyle w:val="BookText"/>
      </w:pPr>
      <w:r>
        <w:rPr>
          <w:rFonts w:ascii="Amiri" w:hAnsi="Amiri" w:eastAsia="Amiri" w:cs="Amiri"/>
          <w:lang w:bidi="ar-SA"/>
          <w:color w:val="111111"/>
          <w:sz w:val="28"/>
          <w:szCs w:val="28"/>
          <w:rtl/>
        </w:rPr>
        <w:t xml:space="preserve">إمّا لأنّه لا يمكن الأمر بالمسبّب وأنّه يرجع إلى الأمر بالسّبب؛ لأنّ تعلّق الأمربه حال وجود السّبب محال؛ لأنّه تحصيل للحاصل، وحال عدمه محال؛ لأنّه ممتنع.</w:t>
      </w:r>
    </w:p>
    <w:p>
      <w:pPr>
        <w:pStyle w:val="BookText"/>
      </w:pPr>
      <w:r>
        <w:rPr>
          <w:rFonts w:ascii="IRNazanin" w:hAnsi="IRNazanin" w:eastAsia="IRNazanin" w:cs="IRNazanin"/>
          <w:lang w:bidi="fa-IR"/>
          <w:color w:val="111111"/>
          <w:sz w:val="28"/>
          <w:szCs w:val="28"/>
          <w:rtl/>
        </w:rPr>
        <w:t xml:space="preserve">وإمّا لأنّ الحكم على ما عرّفوه خطاب الله المتعلّق بأفعال المکلّفين والمقدور بالواسطة ليس من فعل المکلّف بل من آثار فعله ففعله في المقام إنّما هو إيجاد الفرد ووجود الطبيعة أثر فعله.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1" w:name="pg6784_51222"/>
    <w:bookmarkEnd w:id="101"/>
    <w:p>
      <w:pPr>
        <w:pStyle w:val="Heading6"/>
      </w:pPr>
      <w:bookmarkStart w:id="496" w:name="_Toc177"/>
      <w:r>
        <w:t>[إیرادات على هذا الاستدلال]</w:t>
      </w:r>
      <w:bookmarkEnd w:id="496"/>
    </w:p>
    <w:p>
      <w:pPr>
        <w:pStyle w:val="BookText"/>
      </w:pPr>
      <w:r>
        <w:rPr>
          <w:rFonts w:ascii="IRNazanin" w:hAnsi="IRNazanin" w:eastAsia="IRNazanin" w:cs="IRNazanin"/>
          <w:lang w:bidi="fa-IR"/>
          <w:color w:val="111111"/>
          <w:sz w:val="28"/>
          <w:szCs w:val="28"/>
          <w:rtl/>
        </w:rPr>
        <w:t xml:space="preserve">وفيه أوّلاً: أنّ الفرد والکلّي متّحدان في الوجود الخارجي وليس أحدهما واسطة في وجود الآخر كما عرفت.</w:t>
      </w:r>
    </w:p>
    <w:p>
      <w:pPr>
        <w:pStyle w:val="BookText"/>
      </w:pPr>
      <w:r>
        <w:rPr>
          <w:rFonts w:ascii="IRNazanin" w:hAnsi="IRNazanin" w:eastAsia="IRNazanin" w:cs="IRNazanin"/>
          <w:lang w:bidi="fa-IR"/>
          <w:color w:val="111111"/>
          <w:sz w:val="28"/>
          <w:szCs w:val="28"/>
          <w:rtl/>
        </w:rPr>
        <w:t xml:space="preserve">وثانياً: أنّه لا مانع من الأمر بالمسبّب فإنّا نقول يتعلّق به الطلب حال عدم السّبب لا بشرط العدم وأیضاً كون الکلّي على فرض كون الفرد واسطة من الآثار دون الأفعال ممنوع</w:t>
      </w:r>
      <w:r>
        <w:rPr>
          <w:rStyle w:val="FootnoteReference"/>
        </w:rPr>
        <w:footnoteReference w:id="662"/>
      </w:r>
      <w:r>
        <w:rPr>
          <w:rFonts w:ascii="Amiri" w:hAnsi="Amiri" w:eastAsia="Amiri" w:cs="Amiri"/>
          <w:lang w:bidi="ar-SA"/>
          <w:color w:val="111111"/>
          <w:sz w:val="28"/>
          <w:szCs w:val="28"/>
          <w:rtl/>
        </w:rPr>
        <w:t xml:space="preserve">لأنّه نظير الأفعال التوليديّة.</w:t>
      </w:r>
    </w:p>
    <w:p>
      <w:pPr>
        <w:pStyle w:val="BookText"/>
      </w:pPr>
      <w:r>
        <w:rPr>
          <w:rFonts w:ascii="IRNazanin" w:hAnsi="IRNazanin" w:eastAsia="IRNazanin" w:cs="IRNazanin"/>
          <w:lang w:bidi="fa-IR"/>
          <w:color w:val="111111"/>
          <w:sz w:val="28"/>
          <w:szCs w:val="28"/>
          <w:rtl/>
        </w:rPr>
        <w:t xml:space="preserve">فليس کلّ ما يكون مقدوراً بالواسطة</w:t>
      </w:r>
      <w:r>
        <w:rPr>
          <w:rStyle w:val="FootnoteReference"/>
        </w:rPr>
        <w:footnoteReference w:id="663"/>
      </w:r>
      <w:r>
        <w:rPr>
          <w:rFonts w:ascii="Amiri" w:hAnsi="Amiri" w:eastAsia="Amiri" w:cs="Amiri"/>
          <w:lang w:bidi="ar-SA"/>
          <w:color w:val="111111"/>
          <w:sz w:val="28"/>
          <w:szCs w:val="28"/>
          <w:rtl/>
        </w:rPr>
        <w:t xml:space="preserve">من الآثار كما هو واضح.</w:t>
      </w:r>
    </w:p>
    <w:p>
      <w:pPr>
        <w:pStyle w:val="Heading6"/>
      </w:pPr>
      <w:bookmarkStart w:id="497" w:name="_Toc178"/>
      <w:r>
        <w:t>[کلام شیخ المحقّقین (رحمة الله‌علیه) في متعلّق التکالیف]</w:t>
      </w:r>
      <w:bookmarkEnd w:id="497"/>
    </w:p>
    <w:p>
      <w:pPr>
        <w:pStyle w:val="BookText"/>
      </w:pPr>
      <w:r>
        <w:rPr>
          <w:rFonts w:ascii="Amiri" w:hAnsi="Amiri" w:eastAsia="Amiri" w:cs="Amiri"/>
          <w:lang w:bidi="ar-SA"/>
          <w:color w:val="111111"/>
          <w:sz w:val="28"/>
          <w:szCs w:val="28"/>
          <w:rtl/>
        </w:rPr>
        <w:t xml:space="preserve">واستدلّ في الحاشية</w:t>
      </w:r>
      <w:r>
        <w:rPr>
          <w:rStyle w:val="FootnoteReference"/>
        </w:rPr>
        <w:footnoteReference w:id="664"/>
      </w:r>
      <w:r>
        <w:rPr>
          <w:rFonts w:ascii="IRNazanin" w:hAnsi="IRNazanin" w:eastAsia="IRNazanin" w:cs="IRNazanin"/>
          <w:lang w:bidi="fa-IR"/>
          <w:color w:val="111111"/>
          <w:sz w:val="28"/>
          <w:szCs w:val="28"/>
          <w:rtl/>
        </w:rPr>
        <w:t xml:space="preserve">على مختاره - من كون المتعلّق هو الأفراد ثانياً وبالمآل وإن کان هو الکلّي أوّلاً بمعنى أنّه عنوان لملاحظة الأفراد وأنّ الحكم متعلّق</w:t>
      </w:r>
      <w:r>
        <w:rPr>
          <w:rStyle w:val="FootnoteReference"/>
        </w:rPr>
        <w:footnoteReference w:id="665"/>
      </w:r>
      <w:r>
        <w:rPr>
          <w:rFonts w:ascii="Amiri" w:hAnsi="Amiri" w:eastAsia="Amiri" w:cs="Amiri"/>
          <w:lang w:bidi="ar-SA"/>
          <w:color w:val="111111"/>
          <w:sz w:val="28"/>
          <w:szCs w:val="28"/>
          <w:rtl/>
        </w:rPr>
        <w:t xml:space="preserve">بها من حيث إنّها مصاديق</w:t>
      </w:r>
      <w:r>
        <w:rPr>
          <w:rStyle w:val="FootnoteReference"/>
        </w:rPr>
        <w:footnoteReference w:id="666"/>
      </w:r>
      <w:r>
        <w:rPr>
          <w:rFonts w:ascii="Amiri" w:hAnsi="Amiri" w:eastAsia="Amiri" w:cs="Amiri"/>
          <w:lang w:bidi="ar-SA"/>
          <w:color w:val="111111"/>
          <w:sz w:val="28"/>
          <w:szCs w:val="28"/>
          <w:rtl/>
        </w:rPr>
        <w:t xml:space="preserve">الطّبيعة لا بلحاظ خصوصيّاتها كما يقوله القائل بالتعلّق بالأفراد ابتداءً -:</w:t>
      </w:r>
    </w:p>
    <w:p>
      <w:pPr>
        <w:pStyle w:val="BookText"/>
      </w:pPr>
      <w:r>
        <w:rPr>
          <w:rFonts w:ascii="IRNazanin" w:hAnsi="IRNazanin" w:eastAsia="IRNazanin" w:cs="IRNazanin"/>
          <w:lang w:bidi="fa-IR"/>
          <w:color w:val="111111"/>
          <w:sz w:val="28"/>
          <w:szCs w:val="28"/>
          <w:rtl/>
        </w:rPr>
        <w:t xml:space="preserve">بأنّ المتبادر من الأوامر والنّواهي ومن القضايا الطّبيعيّة؛ مثل قوله: «الغنم حلال» و«البيع حلال» ونحوهما هو الأفراد من الحيثيّة المذكورة وأیضاً القضايا الطّبيعيّة غير معتبرة في شي‌ء من العلوم؛ إذ المقصود منها بيان معرفة حال ما وجد أو يوجد فيالخارج ولا يستفاد من القضيّة</w:t>
      </w:r>
      <w:r>
        <w:rPr>
          <w:rStyle w:val="FootnoteReference"/>
        </w:rPr>
        <w:footnoteReference w:id="667"/>
      </w:r>
      <w:r>
        <w:rPr>
          <w:rFonts w:ascii="Amiri" w:hAnsi="Amiri" w:eastAsia="Amiri" w:cs="Amiri"/>
          <w:lang w:bidi="ar-SA"/>
          <w:color w:val="111111"/>
          <w:sz w:val="28"/>
          <w:szCs w:val="28"/>
          <w:rtl/>
        </w:rPr>
        <w:t xml:space="preserve">الطّبيعيّة إلّا حالها من حيث هي ولا نظر فيها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2" w:name="pg6784_51223"/>
    <w:bookmarkEnd w:id="102"/>
    <w:p>
      <w:pPr>
        <w:pStyle w:val="BookText"/>
      </w:pPr>
      <w:r>
        <w:rPr>
          <w:rFonts w:ascii="Amiri" w:hAnsi="Amiri" w:eastAsia="Amiri" w:cs="Amiri"/>
          <w:lang w:bidi="ar-SA"/>
          <w:color w:val="111111"/>
          <w:sz w:val="28"/>
          <w:szCs w:val="28"/>
          <w:rtl/>
        </w:rPr>
        <w:t xml:space="preserve">إلى الخارج، ولذا يقال: «الرّجل خير من المرأة» مع كون جميع أفراد المرأة خيراً من جميع أفراد الرّجل في الخارج.</w:t>
      </w:r>
    </w:p>
    <w:p>
      <w:pPr>
        <w:pStyle w:val="BookText"/>
      </w:pPr>
      <w:r>
        <w:rPr>
          <w:rFonts w:ascii="Amiri" w:hAnsi="Amiri" w:eastAsia="Amiri" w:cs="Amiri"/>
          <w:lang w:bidi="ar-SA"/>
          <w:color w:val="111111"/>
          <w:sz w:val="28"/>
          <w:szCs w:val="28"/>
          <w:rtl/>
        </w:rPr>
        <w:t xml:space="preserve">ولهذا قالوا في تقرير دليل الحكمة لإرجاع المفرد المحلّى باللّام إلى العموم:</w:t>
      </w:r>
    </w:p>
    <w:p>
      <w:pPr>
        <w:pStyle w:val="BookText"/>
      </w:pPr>
      <w:r>
        <w:rPr>
          <w:rFonts w:ascii="Amiri" w:hAnsi="Amiri" w:eastAsia="Amiri" w:cs="Amiri"/>
          <w:lang w:bidi="ar-SA"/>
          <w:color w:val="111111"/>
          <w:sz w:val="28"/>
          <w:szCs w:val="28"/>
          <w:rtl/>
        </w:rPr>
        <w:t xml:space="preserve">إنّ الطّبيعة</w:t>
      </w:r>
      <w:r>
        <w:rPr>
          <w:rStyle w:val="FootnoteReference"/>
        </w:rPr>
        <w:footnoteReference w:id="668"/>
      </w:r>
      <w:r>
        <w:rPr>
          <w:rFonts w:ascii="Amiri" w:hAnsi="Amiri" w:eastAsia="Amiri" w:cs="Amiri"/>
          <w:lang w:bidi="ar-SA"/>
          <w:color w:val="111111"/>
          <w:sz w:val="28"/>
          <w:szCs w:val="28"/>
          <w:rtl/>
        </w:rPr>
        <w:t xml:space="preserve">غير مرادة لعدم الفائدة في تعليق الحكم عليها بل المراد الأفراد على سبيل الاستغراق لعدم</w:t>
      </w:r>
      <w:r>
        <w:rPr>
          <w:rStyle w:val="FootnoteReference"/>
        </w:rPr>
        <w:footnoteReference w:id="669"/>
      </w:r>
      <w:r>
        <w:rPr>
          <w:rFonts w:ascii="Amiri" w:hAnsi="Amiri" w:eastAsia="Amiri" w:cs="Amiri"/>
          <w:lang w:bidi="ar-SA"/>
          <w:color w:val="111111"/>
          <w:sz w:val="28"/>
          <w:szCs w:val="28"/>
          <w:rtl/>
        </w:rPr>
        <w:t xml:space="preserve">المعيِّن للمعيَّن من الأفراد.</w:t>
      </w:r>
    </w:p>
    <w:p>
      <w:pPr>
        <w:pStyle w:val="BookText"/>
      </w:pPr>
      <w:r>
        <w:rPr>
          <w:rFonts w:ascii="IRNazanin" w:hAnsi="IRNazanin" w:eastAsia="IRNazanin" w:cs="IRNazanin"/>
          <w:lang w:bidi="fa-IR"/>
          <w:color w:val="111111"/>
          <w:sz w:val="28"/>
          <w:szCs w:val="28"/>
          <w:rtl/>
        </w:rPr>
        <w:t xml:space="preserve">وحاصل مدّعاه: أنّ بناء الشرع</w:t>
      </w:r>
      <w:r>
        <w:rPr>
          <w:rStyle w:val="FootnoteReference"/>
        </w:rPr>
        <w:footnoteReference w:id="670"/>
      </w:r>
      <w:r>
        <w:rPr>
          <w:rFonts w:ascii="Amiri" w:hAnsi="Amiri" w:eastAsia="Amiri" w:cs="Amiri"/>
          <w:lang w:bidi="ar-SA"/>
          <w:color w:val="111111"/>
          <w:sz w:val="28"/>
          <w:szCs w:val="28"/>
          <w:rtl/>
        </w:rPr>
        <w:t xml:space="preserve">على بيان الحكم القطعي</w:t>
      </w:r>
      <w:r>
        <w:rPr>
          <w:rStyle w:val="FootnoteReference"/>
        </w:rPr>
        <w:footnoteReference w:id="671"/>
      </w:r>
      <w:r>
        <w:rPr>
          <w:rFonts w:ascii="Amiri" w:hAnsi="Amiri" w:eastAsia="Amiri" w:cs="Amiri"/>
          <w:lang w:bidi="ar-SA"/>
          <w:color w:val="111111"/>
          <w:sz w:val="28"/>
          <w:szCs w:val="28"/>
          <w:rtl/>
        </w:rPr>
        <w:t xml:space="preserve">للموضوع والمستفاد من الطّبيعة مجرّد بيان المقتضي ولا فائدة فيه.</w:t>
      </w:r>
      <w:r>
        <w:rPr>
          <w:rStyle w:val="FootnoteReference"/>
        </w:rPr>
        <w:footnoteReference w:id="672"/>
      </w:r>
    </w:p>
    <w:p>
      <w:pPr>
        <w:pStyle w:val="Heading6"/>
      </w:pPr>
      <w:bookmarkStart w:id="498" w:name="_Toc179"/>
      <w:r>
        <w:t>[نقد کلام شیخ المحقّقین (رحمة الله‌علیه)]</w:t>
      </w:r>
      <w:bookmarkEnd w:id="498"/>
    </w:p>
    <w:p>
      <w:pPr>
        <w:pStyle w:val="BookText"/>
      </w:pPr>
      <w:r>
        <w:rPr>
          <w:rFonts w:ascii="IRNazanin" w:hAnsi="IRNazanin" w:eastAsia="IRNazanin" w:cs="IRNazanin"/>
          <w:lang w:bidi="fa-IR"/>
          <w:color w:val="111111"/>
          <w:sz w:val="28"/>
          <w:szCs w:val="28"/>
          <w:rtl/>
        </w:rPr>
        <w:t xml:space="preserve">قلت: أمّا التبادر الّذي ذكره فهو ممنوع خصوصاً مع اعترافه بأنّ المبدأ موضوع للطّبيعة وأنّه باقٍ على ما كان ولم يتصرّف فيه أصلاً وأنّ الکلّي الطّبيعي ممكن الوجود في الخارج.</w:t>
      </w:r>
    </w:p>
    <w:p>
      <w:pPr>
        <w:pStyle w:val="BookText"/>
      </w:pPr>
      <w:r>
        <w:rPr>
          <w:rFonts w:ascii="IRNazanin" w:hAnsi="IRNazanin" w:eastAsia="IRNazanin" w:cs="IRNazanin"/>
          <w:lang w:bidi="fa-IR"/>
          <w:color w:val="111111"/>
          <w:sz w:val="28"/>
          <w:szCs w:val="28"/>
          <w:rtl/>
        </w:rPr>
        <w:t xml:space="preserve">وأمّا ما ذكره من عدم اعتبار الطّبيعیّة</w:t>
      </w:r>
      <w:r>
        <w:rPr>
          <w:rStyle w:val="FootnoteReference"/>
        </w:rPr>
        <w:footnoteReference w:id="673"/>
      </w:r>
      <w:r>
        <w:rPr>
          <w:rFonts w:ascii="Amiri" w:hAnsi="Amiri" w:eastAsia="Amiri" w:cs="Amiri"/>
          <w:lang w:bidi="ar-SA"/>
          <w:color w:val="111111"/>
          <w:sz w:val="28"/>
          <w:szCs w:val="28"/>
          <w:rtl/>
        </w:rPr>
        <w:t xml:space="preserve">في العلوم؛</w:t>
      </w:r>
    </w:p>
    <w:p>
      <w:pPr>
        <w:pStyle w:val="BookText"/>
      </w:pPr>
      <w:r>
        <w:rPr>
          <w:rFonts w:ascii="IRNazanin" w:hAnsi="IRNazanin" w:eastAsia="IRNazanin" w:cs="IRNazanin"/>
          <w:lang w:bidi="fa-IR"/>
          <w:color w:val="111111"/>
          <w:sz w:val="28"/>
          <w:szCs w:val="28"/>
          <w:rtl/>
        </w:rPr>
        <w:t xml:space="preserve">ففيه: أوّلاً: أنّه ممنوع وما ذكروه من عدم الاعتبار به في العلوم العقليّة فهو من جهة أنّ غرضهم إعطاء القواعد الکلّيّة الغير المنخرمة في شي‌ء من المقامات خصوصاً في الاستنتاجات</w:t>
      </w:r>
      <w:r>
        <w:rPr>
          <w:rStyle w:val="FootnoteReference"/>
        </w:rPr>
        <w:footnoteReference w:id="674"/>
      </w:r>
      <w:r>
        <w:rPr>
          <w:rFonts w:ascii="Amiri" w:hAnsi="Amiri" w:eastAsia="Amiri" w:cs="Amiri"/>
          <w:lang w:bidi="ar-SA"/>
          <w:color w:val="111111"/>
          <w:sz w:val="28"/>
          <w:szCs w:val="28"/>
          <w:rtl/>
        </w:rPr>
        <w:t xml:space="preserve">وأمّا في الشّرعيّات فيمكن أن يكون الغرض متعلّقاً بمجرّد إثبات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3" w:name="pg6784_51224"/>
    <w:bookmarkEnd w:id="103"/>
    <w:p>
      <w:pPr>
        <w:pStyle w:val="BookText"/>
      </w:pPr>
      <w:r>
        <w:rPr>
          <w:rFonts w:ascii="Amiri" w:hAnsi="Amiri" w:eastAsia="Amiri" w:cs="Amiri"/>
          <w:lang w:bidi="ar-SA"/>
          <w:color w:val="111111"/>
          <w:sz w:val="28"/>
          <w:szCs w:val="28"/>
          <w:rtl/>
        </w:rPr>
        <w:t xml:space="preserve">المقتضي.</w:t>
      </w:r>
    </w:p>
    <w:p>
      <w:pPr>
        <w:pStyle w:val="BookText"/>
      </w:pPr>
      <w:r>
        <w:rPr>
          <w:rFonts w:ascii="IRNazanin" w:hAnsi="IRNazanin" w:eastAsia="IRNazanin" w:cs="IRNazanin"/>
          <w:lang w:bidi="fa-IR"/>
          <w:color w:val="111111"/>
          <w:sz w:val="28"/>
          <w:szCs w:val="28"/>
          <w:rtl/>
        </w:rPr>
        <w:t xml:space="preserve">وثانياً: لا يلزم أن يكون بيان حال ما وجد أو يوجد في الخارج بالتّعليقبالأفراد؛ إذ بعد البناء على وجود الکلّي الطبيعي كما هو المفروض يمكن تعليق الحكم به باعتبار الفعليّة والخارج.</w:t>
      </w:r>
    </w:p>
    <w:p>
      <w:pPr>
        <w:pStyle w:val="BookText"/>
      </w:pPr>
      <w:r>
        <w:rPr>
          <w:rFonts w:ascii="IRNazanin" w:hAnsi="IRNazanin" w:eastAsia="IRNazanin" w:cs="IRNazanin"/>
          <w:lang w:bidi="fa-IR"/>
          <w:color w:val="111111"/>
          <w:sz w:val="28"/>
          <w:szCs w:val="28"/>
          <w:rtl/>
        </w:rPr>
        <w:t xml:space="preserve">وبعبارة أخری: إثبات الفعلیة يمكن بإرادة الطّبيعة أیضاً بنصب القرینة على أنّ المراد بيان حالها أينما وجدت وإن لم يكن النّظر إلى خصوصيّات الأفراد.</w:t>
      </w:r>
    </w:p>
    <w:p>
      <w:pPr>
        <w:pStyle w:val="BookText"/>
      </w:pPr>
      <w:r>
        <w:rPr>
          <w:rFonts w:ascii="Amiri" w:hAnsi="Amiri" w:eastAsia="Amiri" w:cs="Amiri"/>
          <w:lang w:bidi="ar-SA"/>
          <w:color w:val="111111"/>
          <w:sz w:val="28"/>
          <w:szCs w:val="28"/>
          <w:rtl/>
        </w:rPr>
        <w:t xml:space="preserve">بل يمكن أن يقال: إنّ غرضهم من إرجاع المفرد المعرّف إلى العموم نفي كون القضية مهملة وإنّ الحكم معلّق على الطّبيعة السّارية الّتي هي</w:t>
      </w:r>
      <w:r>
        <w:rPr>
          <w:rStyle w:val="FootnoteReference"/>
        </w:rPr>
        <w:footnoteReference w:id="675"/>
      </w:r>
      <w:r>
        <w:rPr>
          <w:rFonts w:ascii="Amiri" w:hAnsi="Amiri" w:eastAsia="Amiri" w:cs="Amiri"/>
          <w:lang w:bidi="ar-SA"/>
          <w:color w:val="111111"/>
          <w:sz w:val="28"/>
          <w:szCs w:val="28"/>
          <w:rtl/>
        </w:rPr>
        <w:t xml:space="preserve">في قوّة عموم</w:t>
      </w:r>
      <w:r>
        <w:rPr>
          <w:rStyle w:val="FootnoteReference"/>
        </w:rPr>
        <w:footnoteReference w:id="676"/>
      </w:r>
      <w:r>
        <w:rPr>
          <w:rFonts w:ascii="IRNazanin" w:hAnsi="IRNazanin" w:eastAsia="IRNazanin" w:cs="IRNazanin"/>
          <w:lang w:bidi="fa-IR"/>
          <w:color w:val="111111"/>
          <w:sz w:val="28"/>
          <w:szCs w:val="28"/>
          <w:rtl/>
        </w:rPr>
        <w:t xml:space="preserve">الأفراد</w:t>
      </w:r>
      <w:r>
        <w:rPr>
          <w:rStyle w:val="FootnoteReference"/>
        </w:rPr>
        <w:footnoteReference w:id="677"/>
      </w:r>
      <w:r>
        <w:rPr>
          <w:rFonts w:ascii="Amiri" w:hAnsi="Amiri" w:eastAsia="Amiri" w:cs="Amiri"/>
          <w:lang w:bidi="ar-SA"/>
          <w:color w:val="111111"/>
          <w:sz w:val="28"/>
          <w:szCs w:val="28"/>
          <w:rtl/>
        </w:rPr>
        <w:t xml:space="preserve">لا أنّ المقصود هو الفرد، بل الظّاهر ذلك كما لا يخفى.</w:t>
      </w:r>
    </w:p>
    <w:p>
      <w:pPr>
        <w:pStyle w:val="BookText"/>
      </w:pPr>
      <w:r>
        <w:rPr>
          <w:rFonts w:ascii="IRNazanin" w:hAnsi="IRNazanin" w:eastAsia="IRNazanin" w:cs="IRNazanin"/>
          <w:lang w:bidi="fa-IR"/>
          <w:color w:val="111111"/>
          <w:sz w:val="28"/>
          <w:szCs w:val="28"/>
          <w:rtl/>
        </w:rPr>
        <w:t xml:space="preserve">ثمّ ما ذكره من أنّ المتعلّق هو الأفراد بلحاظ كونها من مصاديق الطّبيعة عين القول بالتعلّق بالطبيعة كما لا يخفی؛ إذ بعد إمکان وجودها وعدم خصوصيّة في خصوصيّاتها لا داعي إلى ملاحظتها إلّا تبعاً فالمتعلّق بالأصالة هونفس الطّبيعة.</w:t>
      </w:r>
    </w:p>
    <w:p>
      <w:pPr>
        <w:pStyle w:val="BookText"/>
      </w:pPr>
      <w:r>
        <w:rPr>
          <w:rFonts w:ascii="IRNazanin" w:hAnsi="IRNazanin" w:eastAsia="IRNazanin" w:cs="IRNazanin"/>
          <w:lang w:bidi="fa-IR"/>
          <w:color w:val="111111"/>
          <w:sz w:val="28"/>
          <w:szCs w:val="28"/>
          <w:rtl/>
        </w:rPr>
        <w:t xml:space="preserve">نعم لو قلنا بعدم وجود الکلّي الطّبيعي فلا بدّ من القول بأنّ الحكم یتعلّق</w:t>
      </w:r>
      <w:r>
        <w:rPr>
          <w:rStyle w:val="FootnoteReference"/>
        </w:rPr>
        <w:footnoteReference w:id="678"/>
      </w:r>
      <w:r>
        <w:rPr>
          <w:rFonts w:ascii="Amiri" w:hAnsi="Amiri" w:eastAsia="Amiri" w:cs="Amiri"/>
          <w:lang w:bidi="ar-SA"/>
          <w:color w:val="111111"/>
          <w:sz w:val="28"/>
          <w:szCs w:val="28"/>
          <w:rtl/>
        </w:rPr>
        <w:t xml:space="preserve">بالأفراد بعد الاعتراف بأنّ المقصود بيان حال ما وجد أو يوجد في الخارج.</w:t>
      </w:r>
    </w:p>
    <w:p>
      <w:pPr>
        <w:pStyle w:val="Heading6"/>
      </w:pPr>
      <w:bookmarkStart w:id="499" w:name="_Toc180"/>
      <w:r>
        <w:t>[إیرادان على تعلّق الحکم بالأفراد]</w:t>
      </w:r>
      <w:bookmarkEnd w:id="499"/>
    </w:p>
    <w:p>
      <w:pPr>
        <w:pStyle w:val="Heading6"/>
      </w:pPr>
      <w:bookmarkStart w:id="500" w:name="_Toc181"/>
      <w:r>
        <w:t>اشارة</w:t>
      </w:r>
      <w:bookmarkEnd w:id="500"/>
    </w:p>
    <w:p>
      <w:pPr>
        <w:pStyle w:val="BookText"/>
      </w:pPr>
      <w:r>
        <w:rPr>
          <w:rFonts w:ascii="Amiri" w:hAnsi="Amiri" w:eastAsia="Amiri" w:cs="Amiri"/>
          <w:lang w:bidi="ar-SA"/>
          <w:color w:val="111111"/>
          <w:sz w:val="28"/>
          <w:szCs w:val="28"/>
          <w:rtl/>
        </w:rPr>
        <w:t xml:space="preserve">ثمّ إنّه أورد على القول بالتعلّق بالأفراد بوجهين: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4" w:name="pg6784_51225"/>
    <w:bookmarkEnd w:id="104"/>
    <w:p>
      <w:pPr>
        <w:pStyle w:val="Heading6"/>
      </w:pPr>
      <w:bookmarkStart w:id="501" w:name="_Toc182"/>
      <w:r>
        <w:t>[الإیراد الأوّل على تعلّق الحکم بالأفراد]</w:t>
      </w:r>
      <w:bookmarkEnd w:id="501"/>
    </w:p>
    <w:p>
      <w:pPr>
        <w:pStyle w:val="Heading6"/>
      </w:pPr>
      <w:bookmarkStart w:id="502" w:name="_Toc183"/>
      <w:r>
        <w:t>اشارة</w:t>
      </w:r>
      <w:bookmarkEnd w:id="502"/>
    </w:p>
    <w:p>
      <w:pPr>
        <w:pStyle w:val="BookText"/>
      </w:pPr>
      <w:r>
        <w:rPr>
          <w:rFonts w:ascii="Amiri" w:hAnsi="Amiri" w:eastAsia="Amiri" w:cs="Amiri"/>
          <w:lang w:bidi="ar-SA"/>
          <w:color w:val="111111"/>
          <w:sz w:val="28"/>
          <w:szCs w:val="28"/>
          <w:rtl/>
        </w:rPr>
        <w:t xml:space="preserve">أحدهما: أنّ لازمه كون جميع الأوامر والنّواهى بل أكثر خطابات الشّرع مجازات.</w:t>
      </w:r>
    </w:p>
    <w:p>
      <w:pPr>
        <w:pStyle w:val="Heading6"/>
      </w:pPr>
      <w:bookmarkStart w:id="503" w:name="_Toc184"/>
      <w:r>
        <w:t>[جواب صاحب المناهج (رحمة الله‌علیه) عن الإیراد الأوّل]</w:t>
      </w:r>
      <w:bookmarkEnd w:id="503"/>
    </w:p>
    <w:p>
      <w:pPr>
        <w:pStyle w:val="BookText"/>
      </w:pPr>
      <w:r>
        <w:rPr>
          <w:rFonts w:ascii="IRNazanin" w:hAnsi="IRNazanin" w:eastAsia="IRNazanin" w:cs="IRNazanin"/>
          <w:lang w:bidi="fa-IR"/>
          <w:color w:val="111111"/>
          <w:sz w:val="28"/>
          <w:szCs w:val="28"/>
          <w:rtl/>
        </w:rPr>
        <w:t xml:space="preserve">وأجاب في المناهج: بالمنع من ذلك على مختاره من أنّ الموادّ وأسماء الأجناس أیضاً موضوعة للأفراد.</w:t>
      </w:r>
      <w:r>
        <w:rPr>
          <w:rStyle w:val="FootnoteReference"/>
        </w:rPr>
        <w:footnoteReference w:id="679"/>
      </w:r>
    </w:p>
    <w:p>
      <w:pPr>
        <w:pStyle w:val="Heading6"/>
      </w:pPr>
      <w:bookmarkStart w:id="504" w:name="_Toc185"/>
      <w:r>
        <w:t>[جواب صاحب الفصول (رحمة الله‌علیه) عن الإیراد الأوّل]</w:t>
      </w:r>
      <w:bookmarkEnd w:id="504"/>
    </w:p>
    <w:p>
      <w:pPr>
        <w:pStyle w:val="BookText"/>
      </w:pPr>
      <w:r>
        <w:rPr>
          <w:rFonts w:ascii="Amiri" w:hAnsi="Amiri" w:eastAsia="Amiri" w:cs="Amiri"/>
          <w:lang w:bidi="ar-SA"/>
          <w:color w:val="111111"/>
          <w:sz w:val="28"/>
          <w:szCs w:val="28"/>
          <w:rtl/>
        </w:rPr>
        <w:t xml:space="preserve">وأجاب في الفصول</w:t>
      </w:r>
      <w:r>
        <w:rPr>
          <w:rStyle w:val="FootnoteReference"/>
        </w:rPr>
        <w:footnoteReference w:id="680"/>
      </w:r>
      <w:r>
        <w:rPr>
          <w:rFonts w:ascii="Amiri" w:hAnsi="Amiri" w:eastAsia="Amiri" w:cs="Amiri"/>
          <w:lang w:bidi="ar-SA"/>
          <w:color w:val="111111"/>
          <w:sz w:val="28"/>
          <w:szCs w:val="28"/>
          <w:rtl/>
        </w:rPr>
        <w:t xml:space="preserve">مع عدم التزامه بذلك:</w:t>
      </w:r>
    </w:p>
    <w:p>
      <w:pPr>
        <w:pStyle w:val="BookText"/>
      </w:pPr>
      <w:r>
        <w:rPr>
          <w:rFonts w:ascii="Amiri" w:hAnsi="Amiri" w:eastAsia="Amiri" w:cs="Amiri"/>
          <w:lang w:bidi="ar-SA"/>
          <w:color w:val="111111"/>
          <w:sz w:val="28"/>
          <w:szCs w:val="28"/>
          <w:rtl/>
        </w:rPr>
        <w:t xml:space="preserve">أوّلاً</w:t>
      </w:r>
      <w:r>
        <w:rPr>
          <w:rStyle w:val="FootnoteReference"/>
        </w:rPr>
        <w:footnoteReference w:id="681"/>
      </w:r>
      <w:r>
        <w:rPr>
          <w:rFonts w:ascii="Amiri" w:hAnsi="Amiri" w:eastAsia="Amiri" w:cs="Amiri"/>
          <w:lang w:bidi="ar-SA"/>
          <w:color w:val="111111"/>
          <w:sz w:val="28"/>
          <w:szCs w:val="28"/>
          <w:rtl/>
        </w:rPr>
        <w:t xml:space="preserve">: بأنّ الأمر موضوع لطلب الأفراد. وكأنّه يريد دعوى المغايرة بين وضعي المادّة مجرّدة وفي ضمن الهيئات.</w:t>
      </w:r>
    </w:p>
    <w:p>
      <w:pPr>
        <w:pStyle w:val="BookText"/>
      </w:pPr>
      <w:r>
        <w:rPr>
          <w:rFonts w:ascii="Amiri" w:hAnsi="Amiri" w:eastAsia="Amiri" w:cs="Amiri"/>
          <w:lang w:bidi="ar-SA"/>
          <w:color w:val="111111"/>
          <w:sz w:val="28"/>
          <w:szCs w:val="28"/>
          <w:rtl/>
        </w:rPr>
        <w:t xml:space="preserve">وثانياً: بأنّه</w:t>
      </w:r>
      <w:r>
        <w:rPr>
          <w:rStyle w:val="FootnoteReference"/>
        </w:rPr>
        <w:footnoteReference w:id="682"/>
      </w:r>
      <w:r>
        <w:rPr>
          <w:rFonts w:ascii="Amiri" w:hAnsi="Amiri" w:eastAsia="Amiri" w:cs="Amiri"/>
          <w:lang w:bidi="ar-SA"/>
          <w:color w:val="111111"/>
          <w:sz w:val="28"/>
          <w:szCs w:val="28"/>
          <w:rtl/>
        </w:rPr>
        <w:t xml:space="preserve">لو سلّم أنّه موضوع لطلب الطّبيعة فاللّازم التزام الهجر والنقل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5" w:name="pg6784_51226"/>
    <w:bookmarkEnd w:id="105"/>
    <w:p>
      <w:pPr>
        <w:pStyle w:val="BookText"/>
      </w:pPr>
      <w:r>
        <w:rPr>
          <w:rFonts w:ascii="Amiri" w:hAnsi="Amiri" w:eastAsia="Amiri" w:cs="Amiri"/>
          <w:lang w:bidi="ar-SA"/>
          <w:color w:val="111111"/>
          <w:sz w:val="28"/>
          <w:szCs w:val="28"/>
          <w:rtl/>
        </w:rPr>
        <w:t xml:space="preserve">بكثرة الاستعمال، ففي أوّل الأمر كان الاستعمال</w:t>
      </w:r>
      <w:r>
        <w:rPr>
          <w:rStyle w:val="FootnoteReference"/>
        </w:rPr>
        <w:footnoteReference w:id="683"/>
      </w:r>
      <w:r>
        <w:rPr>
          <w:rFonts w:ascii="Amiri" w:hAnsi="Amiri" w:eastAsia="Amiri" w:cs="Amiri"/>
          <w:lang w:bidi="ar-SA"/>
          <w:color w:val="111111"/>
          <w:sz w:val="28"/>
          <w:szCs w:val="28"/>
          <w:rtl/>
        </w:rPr>
        <w:t xml:space="preserve">مجازاً ثمّ صار حقیقة.</w:t>
      </w:r>
      <w:r>
        <w:rPr>
          <w:rStyle w:val="FootnoteReference"/>
        </w:rPr>
        <w:footnoteReference w:id="684"/>
      </w:r>
    </w:p>
    <w:p>
      <w:pPr>
        <w:pStyle w:val="Heading6"/>
      </w:pPr>
      <w:bookmarkStart w:id="505" w:name="_Toc186"/>
      <w:r>
        <w:t>[نقد الجوابین وبیان الحقّ في الجواب]</w:t>
      </w:r>
      <w:bookmarkEnd w:id="505"/>
    </w:p>
    <w:p>
      <w:pPr>
        <w:pStyle w:val="BookText"/>
      </w:pPr>
      <w:r>
        <w:rPr>
          <w:rFonts w:ascii="Amiri" w:hAnsi="Amiri" w:eastAsia="Amiri" w:cs="Amiri"/>
          <w:lang w:bidi="ar-SA"/>
          <w:color w:val="111111"/>
          <w:sz w:val="28"/>
          <w:szCs w:val="28"/>
          <w:rtl/>
        </w:rPr>
        <w:t xml:space="preserve">قلت: ولا يخفى ما في</w:t>
      </w:r>
      <w:r>
        <w:rPr>
          <w:rStyle w:val="FootnoteReference"/>
        </w:rPr>
        <w:footnoteReference w:id="685"/>
      </w:r>
      <w:r>
        <w:rPr>
          <w:rFonts w:ascii="Amiri" w:hAnsi="Amiri" w:eastAsia="Amiri" w:cs="Amiri"/>
          <w:lang w:bidi="ar-SA"/>
          <w:color w:val="111111"/>
          <w:sz w:val="28"/>
          <w:szCs w:val="28"/>
          <w:rtl/>
        </w:rPr>
        <w:t xml:space="preserve">هذه الأجوبة.</w:t>
      </w:r>
    </w:p>
    <w:p>
      <w:pPr>
        <w:pStyle w:val="BookText"/>
      </w:pPr>
      <w:r>
        <w:rPr>
          <w:rFonts w:ascii="Amiri" w:hAnsi="Amiri" w:eastAsia="Amiri" w:cs="Amiri"/>
          <w:lang w:bidi="ar-SA"/>
          <w:color w:val="111111"/>
          <w:sz w:val="28"/>
          <w:szCs w:val="28"/>
          <w:rtl/>
        </w:rPr>
        <w:t xml:space="preserve">أمّا الأوّل فلمنع</w:t>
      </w:r>
      <w:r>
        <w:rPr>
          <w:rStyle w:val="FootnoteReference"/>
        </w:rPr>
        <w:footnoteReference w:id="686"/>
      </w:r>
      <w:r>
        <w:rPr>
          <w:rFonts w:ascii="Amiri" w:hAnsi="Amiri" w:eastAsia="Amiri" w:cs="Amiri"/>
          <w:lang w:bidi="ar-SA"/>
          <w:color w:val="111111"/>
          <w:sz w:val="28"/>
          <w:szCs w:val="28"/>
          <w:rtl/>
        </w:rPr>
        <w:t xml:space="preserve">كون المصادر للأفراد.</w:t>
      </w:r>
    </w:p>
    <w:p>
      <w:pPr>
        <w:pStyle w:val="BookText"/>
      </w:pPr>
      <w:r>
        <w:rPr>
          <w:rFonts w:ascii="Amiri" w:hAnsi="Amiri" w:eastAsia="Amiri" w:cs="Amiri"/>
          <w:lang w:bidi="ar-SA"/>
          <w:color w:val="111111"/>
          <w:sz w:val="28"/>
          <w:szCs w:val="28"/>
          <w:rtl/>
        </w:rPr>
        <w:t xml:space="preserve">وأمّا الثاني فلبُعد المغايرة.</w:t>
      </w:r>
    </w:p>
    <w:p>
      <w:pPr>
        <w:pStyle w:val="BookText"/>
      </w:pPr>
      <w:r>
        <w:rPr>
          <w:rFonts w:ascii="Amiri" w:hAnsi="Amiri" w:eastAsia="Amiri" w:cs="Amiri"/>
          <w:lang w:bidi="ar-SA"/>
          <w:color w:val="111111"/>
          <w:sz w:val="28"/>
          <w:szCs w:val="28"/>
          <w:rtl/>
        </w:rPr>
        <w:t xml:space="preserve">وامّا الثّالث فلأنّ الاستعمال ليس خاصّاً بالشّرع والالتزام بالنّقل في العرف السّابق بعيد.</w:t>
      </w:r>
    </w:p>
    <w:p>
      <w:pPr>
        <w:pStyle w:val="BookText"/>
      </w:pPr>
      <w:r>
        <w:rPr>
          <w:rFonts w:ascii="IRNazanin" w:hAnsi="IRNazanin" w:eastAsia="IRNazanin" w:cs="IRNazanin"/>
          <w:lang w:bidi="fa-IR"/>
          <w:color w:val="111111"/>
          <w:sz w:val="28"/>
          <w:szCs w:val="28"/>
          <w:rtl/>
        </w:rPr>
        <w:t xml:space="preserve">والحقّ في الجواب: أنّه يمكن التزام كون الاستعمالات من باب إطلاقالکلّي على الفرد بإرادة الخصوصيّة من القرینة العقليّة فيكون من باب تعدّد الدالّ والمدلول ووحدة المراد الواقعي ففرق بين المراد من اللّفظ والمراد الواقعي.</w:t>
      </w:r>
    </w:p>
    <w:p>
      <w:pPr>
        <w:pStyle w:val="BookText"/>
      </w:pPr>
      <w:r>
        <w:rPr>
          <w:rFonts w:ascii="IRNazanin" w:hAnsi="IRNazanin" w:eastAsia="IRNazanin" w:cs="IRNazanin"/>
          <w:lang w:bidi="fa-IR"/>
          <w:color w:val="111111"/>
          <w:sz w:val="28"/>
          <w:szCs w:val="28"/>
          <w:rtl/>
        </w:rPr>
        <w:t xml:space="preserve">وما ذكره في الفصول: من أنّ هذا إنّما يتمّ على القول بوجود الکلّي الطّبيعي وأمّا على القول بعدمه فلا</w:t>
      </w:r>
      <w:r>
        <w:rPr>
          <w:rStyle w:val="FootnoteReference"/>
        </w:rPr>
        <w:footnoteReference w:id="687"/>
      </w:r>
      <w:r>
        <w:rPr>
          <w:rFonts w:ascii="IRNazanin" w:hAnsi="IRNazanin" w:eastAsia="IRNazanin" w:cs="IRNazanin"/>
          <w:lang w:bidi="fa-IR"/>
          <w:color w:val="111111"/>
          <w:sz w:val="28"/>
          <w:szCs w:val="28"/>
          <w:rtl/>
        </w:rPr>
        <w:t xml:space="preserve">إذ لا تحقّق للطّبيعة حینئذٍ في ضمن الأفراد حتّى يطلق عليه اللّفظ باعتباره؛</w:t>
      </w:r>
    </w:p>
    <w:p>
      <w:pPr>
        <w:pStyle w:val="BookText"/>
      </w:pPr>
      <w:r>
        <w:rPr>
          <w:rFonts w:ascii="IRNazanin" w:hAnsi="IRNazanin" w:eastAsia="IRNazanin" w:cs="IRNazanin"/>
          <w:lang w:bidi="fa-IR"/>
          <w:color w:val="111111"/>
          <w:sz w:val="28"/>
          <w:szCs w:val="28"/>
          <w:rtl/>
        </w:rPr>
        <w:t xml:space="preserve">مدفوع بأنّ الکلّي الانتزاعي الّذي يعترف به المنكرون يكفي في الإرادة وفي</w:t>
      </w:r>
      <w:r>
        <w:rPr>
          <w:rStyle w:val="FootnoteReference"/>
        </w:rPr>
        <w:footnoteReference w:id="688"/>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6" w:name="pg6784_51227"/>
    <w:bookmarkEnd w:id="106"/>
    <w:p>
      <w:pPr>
        <w:pStyle w:val="BookText"/>
      </w:pPr>
      <w:r>
        <w:rPr>
          <w:rFonts w:ascii="IRNazanin" w:hAnsi="IRNazanin" w:eastAsia="IRNazanin" w:cs="IRNazanin"/>
          <w:lang w:bidi="fa-IR"/>
          <w:color w:val="111111"/>
          <w:sz w:val="28"/>
          <w:szCs w:val="28"/>
          <w:rtl/>
        </w:rPr>
        <w:t xml:space="preserve">كون اللّفظ حقیقة، فإنّ الإطلاق على الفرد لا يلزم أن يكون على وجه یکون</w:t>
      </w:r>
      <w:r>
        <w:rPr>
          <w:rStyle w:val="FootnoteReference"/>
        </w:rPr>
        <w:footnoteReference w:id="689"/>
      </w:r>
      <w:r>
        <w:rPr>
          <w:rFonts w:ascii="IRNazanin" w:hAnsi="IRNazanin" w:eastAsia="IRNazanin" w:cs="IRNazanin"/>
          <w:lang w:bidi="fa-IR"/>
          <w:color w:val="111111"/>
          <w:sz w:val="28"/>
          <w:szCs w:val="28"/>
          <w:rtl/>
        </w:rPr>
        <w:t xml:space="preserve">الکلّي مطلوباً ولو ضمن الفرد.</w:t>
      </w:r>
    </w:p>
    <w:p>
      <w:pPr>
        <w:pStyle w:val="BookText"/>
      </w:pPr>
      <w:r>
        <w:rPr>
          <w:rFonts w:ascii="IRNazanin" w:hAnsi="IRNazanin" w:eastAsia="IRNazanin" w:cs="IRNazanin"/>
          <w:lang w:bidi="fa-IR"/>
          <w:color w:val="111111"/>
          <w:sz w:val="28"/>
          <w:szCs w:val="28"/>
          <w:rtl/>
        </w:rPr>
        <w:t xml:space="preserve">بل يمكن أن يكون مراداً على وجه العنوانيّة والمرآتيّة للأفراد ومن المعلوم أنّ الاستعمال على هذا الوجه صحيح واللّفظ حقیقة؛ إذ لا يلزم أن يكون المستعمل فيه متعلّقاً</w:t>
      </w:r>
      <w:r>
        <w:rPr>
          <w:rStyle w:val="FootnoteReference"/>
        </w:rPr>
        <w:footnoteReference w:id="690"/>
      </w:r>
      <w:r>
        <w:rPr>
          <w:rFonts w:ascii="Amiri" w:hAnsi="Amiri" w:eastAsia="Amiri" w:cs="Amiri"/>
          <w:lang w:bidi="ar-SA"/>
          <w:color w:val="111111"/>
          <w:sz w:val="28"/>
          <w:szCs w:val="28"/>
          <w:rtl/>
        </w:rPr>
        <w:t xml:space="preserve">للغرض بالذات ولذا نقول: إنّ الكنايات حقائق</w:t>
      </w:r>
      <w:r>
        <w:rPr>
          <w:rStyle w:val="FootnoteReference"/>
        </w:rPr>
        <w:footnoteReference w:id="691"/>
      </w:r>
    </w:p>
    <w:p>
      <w:pPr>
        <w:pStyle w:val="Heading6"/>
      </w:pPr>
      <w:bookmarkStart w:id="506" w:name="_Toc187"/>
      <w:r>
        <w:t>[جواب صاحب القوانین (رحمة الله‌علیه) ونقده]</w:t>
      </w:r>
      <w:bookmarkEnd w:id="506"/>
    </w:p>
    <w:p>
      <w:pPr>
        <w:pStyle w:val="BookText"/>
      </w:pPr>
      <w:r>
        <w:rPr>
          <w:rFonts w:ascii="IRNazanin" w:hAnsi="IRNazanin" w:eastAsia="IRNazanin" w:cs="IRNazanin"/>
          <w:lang w:bidi="fa-IR"/>
          <w:color w:val="111111"/>
          <w:sz w:val="28"/>
          <w:szCs w:val="28"/>
          <w:rtl/>
        </w:rPr>
        <w:t xml:space="preserve">هذا، وذكر في القوانين في المنع من كون المقام من باب إطلاق الکلّي على الفرد ما لا يفهم محصّله، فإنّه قال:</w:t>
      </w:r>
    </w:p>
    <w:p>
      <w:pPr>
        <w:pStyle w:val="BookText"/>
      </w:pPr>
      <w:r>
        <w:rPr>
          <w:rFonts w:ascii="IRNazanin" w:hAnsi="IRNazanin" w:eastAsia="IRNazanin" w:cs="IRNazanin"/>
          <w:lang w:bidi="fa-IR"/>
          <w:color w:val="111111"/>
          <w:sz w:val="28"/>
          <w:szCs w:val="28"/>
          <w:rtl/>
        </w:rPr>
        <w:t xml:space="preserve">«فإن قلت: على ما ذكرت من كفاية مطلق اتّحاد الکلّي مع الفرد فيصحّ إطلاق الکلّي</w:t>
      </w:r>
      <w:r>
        <w:rPr>
          <w:rStyle w:val="FootnoteReference"/>
        </w:rPr>
        <w:footnoteReference w:id="692"/>
      </w:r>
      <w:r>
        <w:rPr>
          <w:rFonts w:ascii="IRNazanin" w:hAnsi="IRNazanin" w:eastAsia="IRNazanin" w:cs="IRNazanin"/>
          <w:lang w:bidi="fa-IR"/>
          <w:color w:val="111111"/>
          <w:sz w:val="28"/>
          <w:szCs w:val="28"/>
          <w:rtl/>
        </w:rPr>
        <w:t xml:space="preserve">وإرادة الفرد حقیقة وإن کان الاتّحاد غير واقع في نفس الأمر فلا مجاز.</w:t>
      </w:r>
    </w:p>
    <w:p>
      <w:pPr>
        <w:pStyle w:val="BookText"/>
      </w:pPr>
      <w:r>
        <w:rPr>
          <w:rFonts w:ascii="Amiri" w:hAnsi="Amiri" w:eastAsia="Amiri" w:cs="Amiri"/>
          <w:lang w:bidi="ar-SA"/>
          <w:color w:val="111111"/>
          <w:sz w:val="28"/>
          <w:szCs w:val="28"/>
          <w:rtl/>
        </w:rPr>
        <w:t xml:space="preserve">قلت: فرق بيّن بين قولنا: «ايتني برجل» و«أتاني رجل</w:t>
      </w:r>
      <w:r>
        <w:rPr>
          <w:rStyle w:val="FootnoteReference"/>
        </w:rPr>
        <w:footnoteReference w:id="693"/>
      </w:r>
      <w:r>
        <w:rPr>
          <w:rFonts w:ascii="Amiri" w:hAnsi="Amiri" w:eastAsia="Amiri" w:cs="Amiri"/>
          <w:lang w:bidi="ar-SA"/>
          <w:color w:val="111111"/>
          <w:sz w:val="28"/>
          <w:szCs w:val="28"/>
          <w:rtl/>
        </w:rPr>
        <w:t xml:space="preserve">» و«سلّم أمري إلى الرّجل لا المرأة».</w:t>
      </w:r>
    </w:p>
    <w:p>
      <w:pPr>
        <w:pStyle w:val="BookText"/>
      </w:pPr>
      <w:r>
        <w:rPr>
          <w:rFonts w:ascii="IRNazanin" w:hAnsi="IRNazanin" w:eastAsia="IRNazanin" w:cs="IRNazanin"/>
          <w:lang w:bidi="fa-IR"/>
          <w:color w:val="111111"/>
          <w:sz w:val="28"/>
          <w:szCs w:val="28"/>
          <w:rtl/>
        </w:rPr>
        <w:t xml:space="preserve">والمسلّم في كون الکلّي حقیقة في الفرد هو الصّورة الأولى.وفي الثانية إشکال: فإنّ المراد منه شخص خاصّ وإنّما علّق الحكم على المطلق أوّلاً ليسري إلى الفرد والمطوي في ضمير المتکلّم إنّما هو الرّجل الخاصّ مثل قوله تعالى: </w:t>
      </w:r>
      <w:r>
        <w:rPr>
          <w:rFonts w:ascii="Amiri" w:hAnsi="Amiri" w:eastAsia="Amiri" w:cs="Amiri"/>
          <w:lang w:bidi="ar-SA"/>
          <w:color w:val="111111"/>
          <w:sz w:val="28"/>
          <w:szCs w:val="28"/>
          <w:rtl/>
        </w:rPr>
        <w:t xml:space="preserve">وَجَاءَ رَجُلٌ مِنْ أَقْصَى المَدِيْنَةِ</w:t>
      </w:r>
      <w:r>
        <w:rPr>
          <w:rStyle w:val="FootnoteReference"/>
        </w:rPr>
        <w:footnoteReference w:id="694"/>
      </w:r>
      <w:r>
        <w:rPr>
          <w:rFonts w:ascii="Amiri" w:hAnsi="Amiri" w:eastAsia="Amiri" w:cs="Amiri"/>
          <w:lang w:bidi="ar-SA"/>
          <w:color w:val="111111"/>
          <w:sz w:val="28"/>
          <w:szCs w:val="28"/>
          <w:rtl/>
        </w:rPr>
        <w:t xml:space="preserve">فلم يعلّق الحكم أوّلاً على الفرد الخاصّ ولم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7" w:name="pg6784_51228"/>
    <w:bookmarkEnd w:id="107"/>
    <w:p>
      <w:pPr>
        <w:pStyle w:val="BookText"/>
      </w:pPr>
      <w:r>
        <w:rPr>
          <w:rFonts w:ascii="IRNazanin" w:hAnsi="IRNazanin" w:eastAsia="IRNazanin" w:cs="IRNazanin"/>
          <w:lang w:bidi="fa-IR"/>
          <w:color w:val="111111"/>
          <w:sz w:val="28"/>
          <w:szCs w:val="28"/>
          <w:rtl/>
        </w:rPr>
        <w:t xml:space="preserve">يقصد من اللّفظ دلالته على الخصوصيّة وبذلك يمكن إدراجه تحت الحقيقة أیضاً.</w:t>
      </w:r>
    </w:p>
    <w:p>
      <w:pPr>
        <w:pStyle w:val="BookText"/>
      </w:pPr>
      <w:r>
        <w:rPr>
          <w:rFonts w:ascii="Amiri" w:hAnsi="Amiri" w:eastAsia="Amiri" w:cs="Amiri"/>
          <w:lang w:bidi="ar-SA"/>
          <w:color w:val="111111"/>
          <w:sz w:val="28"/>
          <w:szCs w:val="28"/>
          <w:rtl/>
        </w:rPr>
        <w:t xml:space="preserve">وأمّا الثّالثة فلا التفات فيه إلى الفرد لا أوّلا وبالذات ولا ثانياً ولكن لمّا لم يمكن الامتثال إلّا بالفرد وجب من باب المقدّمة. ولا ريب أنّ الأوامر من قبيل الثالث فلا ريب أنّ إرادة الفرد من ذلك مجاز. فتدبّر».</w:t>
      </w:r>
      <w:r>
        <w:rPr>
          <w:rStyle w:val="FootnoteReference"/>
        </w:rPr>
        <w:footnoteReference w:id="695"/>
      </w:r>
      <w:r>
        <w:rPr>
          <w:rFonts w:ascii="IRNazanin" w:hAnsi="IRNazanin" w:eastAsia="IRNazanin" w:cs="IRNazanin"/>
          <w:lang w:bidi="fa-IR"/>
          <w:color w:val="111111"/>
          <w:sz w:val="28"/>
          <w:szCs w:val="28"/>
          <w:rtl/>
        </w:rPr>
        <w:t xml:space="preserve">انتهى.</w:t>
      </w:r>
    </w:p>
    <w:p>
      <w:pPr>
        <w:pStyle w:val="BookText"/>
      </w:pPr>
      <w:r>
        <w:rPr>
          <w:rFonts w:ascii="IRNazanin" w:hAnsi="IRNazanin" w:eastAsia="IRNazanin" w:cs="IRNazanin"/>
          <w:lang w:bidi="fa-IR"/>
          <w:color w:val="111111"/>
          <w:sz w:val="28"/>
          <w:szCs w:val="28"/>
          <w:rtl/>
        </w:rPr>
        <w:t xml:space="preserve">ولعلّه يريد أن يقول: إنّ كون إرادة الفرد حقیقة إنّما هو فيما لو</w:t>
      </w:r>
      <w:r>
        <w:rPr>
          <w:rStyle w:val="FootnoteReference"/>
        </w:rPr>
        <w:footnoteReference w:id="696"/>
      </w:r>
      <w:r>
        <w:rPr>
          <w:rFonts w:ascii="Amiri" w:hAnsi="Amiri" w:eastAsia="Amiri" w:cs="Amiri"/>
          <w:lang w:bidi="ar-SA"/>
          <w:color w:val="111111"/>
          <w:sz w:val="28"/>
          <w:szCs w:val="28"/>
          <w:rtl/>
        </w:rPr>
        <w:t xml:space="preserve">كان اللّافظ ملتفتاً إليه وكان مفهوماً لأهل العرف بخلاف ما إذا لم يكن كذلك وأريد من باب حكم العقل.</w:t>
      </w:r>
    </w:p>
    <w:p>
      <w:pPr>
        <w:pStyle w:val="BookText"/>
      </w:pPr>
      <w:r>
        <w:rPr>
          <w:rFonts w:ascii="Amiri" w:hAnsi="Amiri" w:eastAsia="Amiri" w:cs="Amiri"/>
          <w:lang w:bidi="ar-SA"/>
          <w:color w:val="111111"/>
          <w:sz w:val="28"/>
          <w:szCs w:val="28"/>
          <w:rtl/>
        </w:rPr>
        <w:t xml:space="preserve">والفرق أنّه على الأوّل يمكن أن يقال الطّبيعة مرادة من اللّفظ والفرديّة من الخارج بخلاف الثاني فإنّه إذا أريد الفرد فلا بدّ أن يراد من نفس اللّفظ فيكون مجازاً. فتدبّر.</w:t>
      </w:r>
    </w:p>
    <w:p>
      <w:pPr>
        <w:pStyle w:val="Heading6"/>
      </w:pPr>
      <w:bookmarkStart w:id="507" w:name="_Toc188"/>
      <w:r>
        <w:t>[الإیراد الثاني على تعلّق الحکم بالأفراد]</w:t>
      </w:r>
      <w:bookmarkEnd w:id="507"/>
    </w:p>
    <w:p>
      <w:pPr>
        <w:pStyle w:val="Heading6"/>
      </w:pPr>
      <w:bookmarkStart w:id="508" w:name="_Toc189"/>
      <w:r>
        <w:t>اشارة</w:t>
      </w:r>
      <w:bookmarkEnd w:id="508"/>
    </w:p>
    <w:p>
      <w:pPr>
        <w:pStyle w:val="BookText"/>
      </w:pPr>
      <w:r>
        <w:rPr>
          <w:rFonts w:ascii="Amiri" w:hAnsi="Amiri" w:eastAsia="Amiri" w:cs="Amiri"/>
          <w:lang w:bidi="ar-SA"/>
          <w:color w:val="111111"/>
          <w:sz w:val="28"/>
          <w:szCs w:val="28"/>
          <w:rtl/>
        </w:rPr>
        <w:t xml:space="preserve">الثاني: أنّ القائل بالتعلّق بالأفراد لا يمكنه أن يقول: إنّ المطلوب هو الفرد المعيّن لعدم المعيِّن، ولا جميع الأفراد ولو على سبيل البدل؛ إذ اللّازم رجوعه إلى الواجب التخييري.</w:t>
      </w:r>
    </w:p>
    <w:p>
      <w:pPr>
        <w:pStyle w:val="BookText"/>
      </w:pPr>
      <w:r>
        <w:rPr>
          <w:rFonts w:ascii="Amiri" w:hAnsi="Amiri" w:eastAsia="Amiri" w:cs="Amiri"/>
          <w:lang w:bidi="ar-SA"/>
          <w:color w:val="111111"/>
          <w:sz w:val="28"/>
          <w:szCs w:val="28"/>
          <w:rtl/>
        </w:rPr>
        <w:t xml:space="preserve">مع أنّ الفرق بين التعييني والتخييري معلوم ولذا نازعوا في الواجب التخييري على أقوال شتّى ولم ينازعوا في المقام أصلاً.</w:t>
      </w:r>
    </w:p>
    <w:p>
      <w:pPr>
        <w:pStyle w:val="BookText"/>
      </w:pPr>
      <w:r>
        <w:rPr>
          <w:rFonts w:ascii="Amiri" w:hAnsi="Amiri" w:eastAsia="Amiri" w:cs="Amiri"/>
          <w:lang w:bidi="ar-SA"/>
          <w:color w:val="111111"/>
          <w:sz w:val="28"/>
          <w:szCs w:val="28"/>
          <w:rtl/>
        </w:rPr>
        <w:t xml:space="preserve">فتعيّن أن يكون المراد فرداً</w:t>
      </w:r>
      <w:r>
        <w:rPr>
          <w:rStyle w:val="FootnoteReference"/>
        </w:rPr>
        <w:footnoteReference w:id="697"/>
      </w:r>
      <w:r>
        <w:rPr>
          <w:rFonts w:ascii="Amiri" w:hAnsi="Amiri" w:eastAsia="Amiri" w:cs="Amiri"/>
          <w:lang w:bidi="ar-SA"/>
          <w:color w:val="111111"/>
          <w:sz w:val="28"/>
          <w:szCs w:val="28"/>
          <w:rtl/>
        </w:rPr>
        <w:t xml:space="preserve">من الطّبيعة</w:t>
      </w:r>
      <w:r>
        <w:rPr>
          <w:rStyle w:val="FootnoteReference"/>
        </w:rPr>
        <w:footnoteReference w:id="698"/>
      </w:r>
      <w:r>
        <w:rPr>
          <w:rFonts w:ascii="Amiri" w:hAnsi="Amiri" w:eastAsia="Amiri" w:cs="Amiri"/>
          <w:lang w:bidi="ar-SA"/>
          <w:color w:val="111111"/>
          <w:sz w:val="28"/>
          <w:szCs w:val="28"/>
          <w:rtl/>
        </w:rPr>
        <w:t xml:space="preserve">وهو أیضاً کلّي فيلزم الكَرّ على ما فرّ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8" w:name="pg6784_51229"/>
    <w:bookmarkEnd w:id="108"/>
    <w:p>
      <w:pPr>
        <w:pStyle w:val="BookText"/>
      </w:pPr>
      <w:r>
        <w:rPr>
          <w:rFonts w:ascii="IRNazanin" w:hAnsi="IRNazanin" w:eastAsia="IRNazanin" w:cs="IRNazanin"/>
          <w:lang w:bidi="fa-IR"/>
          <w:color w:val="111111"/>
          <w:sz w:val="28"/>
          <w:szCs w:val="28"/>
          <w:rtl/>
        </w:rPr>
        <w:t xml:space="preserve">منه</w:t>
      </w:r>
      <w:r>
        <w:rPr>
          <w:rStyle w:val="FootnoteReference"/>
        </w:rPr>
        <w:footnoteReference w:id="699"/>
      </w:r>
    </w:p>
    <w:p>
      <w:pPr>
        <w:pStyle w:val="Heading6"/>
      </w:pPr>
      <w:bookmarkStart w:id="509" w:name="_Toc190"/>
      <w:r>
        <w:t>[جواب صاحب المناهج (رحمة الله‌علیه) عن الإیراد الثاني]</w:t>
      </w:r>
      <w:bookmarkEnd w:id="509"/>
    </w:p>
    <w:p>
      <w:pPr>
        <w:pStyle w:val="BookText"/>
      </w:pPr>
      <w:r>
        <w:rPr>
          <w:rFonts w:ascii="IRNazanin" w:hAnsi="IRNazanin" w:eastAsia="IRNazanin" w:cs="IRNazanin"/>
          <w:lang w:bidi="fa-IR"/>
          <w:color w:val="111111"/>
          <w:sz w:val="28"/>
          <w:szCs w:val="28"/>
          <w:rtl/>
        </w:rPr>
        <w:t xml:space="preserve">وأجيب تارة کما</w:t>
      </w:r>
      <w:r>
        <w:rPr>
          <w:rStyle w:val="FootnoteReference"/>
        </w:rPr>
        <w:footnoteReference w:id="700"/>
      </w:r>
      <w:r>
        <w:rPr>
          <w:rFonts w:ascii="IRNazanin" w:hAnsi="IRNazanin" w:eastAsia="IRNazanin" w:cs="IRNazanin"/>
          <w:lang w:bidi="fa-IR"/>
          <w:color w:val="111111"/>
          <w:sz w:val="28"/>
          <w:szCs w:val="28"/>
          <w:rtl/>
        </w:rPr>
        <w:t xml:space="preserve">في المناهج: من أنّ المراد ليس هو الفرد المنتشر حتّى يكون کلّياً بل الفرد الخاصّ على سبيل البدليّة بمعنى أنّ الواجب جميع الأفراد على سبيل البدليّة والفرق بين التّعييني والتخييري أنّ التّخيير في الأوّل غير مصرّح به للشّارع بل هو عقلي بخلاف الثاني.</w:t>
      </w:r>
      <w:r>
        <w:rPr>
          <w:rStyle w:val="FootnoteReference"/>
        </w:rPr>
        <w:footnoteReference w:id="701"/>
      </w:r>
    </w:p>
    <w:p>
      <w:pPr>
        <w:pStyle w:val="Heading6"/>
      </w:pPr>
      <w:bookmarkStart w:id="510" w:name="_Toc191"/>
      <w:r>
        <w:t>[جواب صاحب الفصول (رحمة الله‌علیه) عن الإیراد الثاني]</w:t>
      </w:r>
      <w:bookmarkEnd w:id="510"/>
    </w:p>
    <w:p>
      <w:pPr>
        <w:pStyle w:val="BookText"/>
      </w:pPr>
      <w:r>
        <w:rPr>
          <w:rFonts w:ascii="IRNazanin" w:hAnsi="IRNazanin" w:eastAsia="IRNazanin" w:cs="IRNazanin"/>
          <w:lang w:bidi="fa-IR"/>
          <w:color w:val="111111"/>
          <w:sz w:val="28"/>
          <w:szCs w:val="28"/>
          <w:rtl/>
        </w:rPr>
        <w:t xml:space="preserve">وتارة بما في الفصول: من منع كون فرد ما من الطّبيعة کلّياً بل هو جزئي مردّد؛ لأنّ المفروض أنّ الماهيّة حینئذٍ مقيّدة بالتشخّص المانع من الشّركة.</w:t>
      </w:r>
    </w:p>
    <w:p>
      <w:pPr>
        <w:pStyle w:val="BookText"/>
      </w:pPr>
      <w:r>
        <w:rPr>
          <w:rFonts w:ascii="Amiri" w:hAnsi="Amiri" w:eastAsia="Amiri" w:cs="Amiri"/>
          <w:lang w:bidi="ar-SA"/>
          <w:color w:val="111111"/>
          <w:sz w:val="28"/>
          <w:szCs w:val="28"/>
          <w:rtl/>
        </w:rPr>
        <w:t xml:space="preserve">وكون التّقييد ترديدياً لا يضرّ في كونه جزئياً؛ إذ الملاك في كونه جزئياً أخذ التقييد بالشّخص</w:t>
      </w:r>
      <w:r>
        <w:rPr>
          <w:rStyle w:val="FootnoteReference"/>
        </w:rPr>
        <w:footnoteReference w:id="702"/>
      </w:r>
      <w:r>
        <w:rPr>
          <w:rFonts w:ascii="Amiri" w:hAnsi="Amiri" w:eastAsia="Amiri" w:cs="Amiri"/>
          <w:lang w:bidi="ar-SA"/>
          <w:color w:val="111111"/>
          <w:sz w:val="28"/>
          <w:szCs w:val="28"/>
          <w:rtl/>
        </w:rPr>
        <w:t xml:space="preserve">فيه ولا مدخل لكونه تعيينيّاً أو ترديديّاً.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9" w:name="pg6784_51230"/>
    <w:bookmarkEnd w:id="109"/>
    <w:p>
      <w:pPr>
        <w:pStyle w:val="BookText"/>
      </w:pPr>
      <w:r>
        <w:rPr>
          <w:rFonts w:ascii="Amiri" w:hAnsi="Amiri" w:eastAsia="Amiri" w:cs="Amiri"/>
          <w:lang w:bidi="ar-SA"/>
          <w:color w:val="111111"/>
          <w:sz w:val="28"/>
          <w:szCs w:val="28"/>
          <w:rtl/>
        </w:rPr>
        <w:t xml:space="preserve">قال: ولذا نقول: إنّ النكرات من المفردات المنوّنة بتنوين التنكير وما</w:t>
      </w:r>
      <w:r>
        <w:rPr>
          <w:rStyle w:val="FootnoteReference"/>
        </w:rPr>
        <w:footnoteReference w:id="703"/>
      </w:r>
      <w:r>
        <w:rPr>
          <w:rFonts w:ascii="IRNazanin" w:hAnsi="IRNazanin" w:eastAsia="IRNazanin" w:cs="IRNazanin"/>
          <w:lang w:bidi="fa-IR"/>
          <w:color w:val="111111"/>
          <w:sz w:val="28"/>
          <w:szCs w:val="28"/>
          <w:rtl/>
        </w:rPr>
        <w:t xml:space="preserve">في حكمها والمثنى والمجموع جزئيات وليست بکلّيات.</w:t>
      </w:r>
    </w:p>
    <w:p>
      <w:pPr>
        <w:pStyle w:val="BookText"/>
      </w:pPr>
      <w:r>
        <w:rPr>
          <w:rFonts w:ascii="Amiri" w:hAnsi="Amiri" w:eastAsia="Amiri" w:cs="Amiri"/>
          <w:lang w:bidi="ar-SA"/>
          <w:color w:val="111111"/>
          <w:sz w:val="28"/>
          <w:szCs w:val="28"/>
          <w:rtl/>
        </w:rPr>
        <w:t xml:space="preserve">ولو كان مدلول النكرة الماهيّة</w:t>
      </w:r>
      <w:r>
        <w:rPr>
          <w:rStyle w:val="FootnoteReference"/>
        </w:rPr>
        <w:footnoteReference w:id="704"/>
      </w:r>
      <w:r>
        <w:rPr>
          <w:rFonts w:ascii="IRNazanin" w:hAnsi="IRNazanin" w:eastAsia="IRNazanin" w:cs="IRNazanin"/>
          <w:lang w:bidi="fa-IR"/>
          <w:color w:val="111111"/>
          <w:sz w:val="28"/>
          <w:szCs w:val="28"/>
          <w:rtl/>
        </w:rPr>
        <w:t xml:space="preserve">المقيّدة بمفهوم الفرد دون مصداقه امتنع إفادتهالمعنى البدليّة؛ لأنّ الکلّي المقيّد بکلّي آخر کلّي ثالث يتساوي نسبته إلى أفراده من غير بدليّة لامتناع وجود کلّي في أفراده بطريق البدليّة.</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وحاصل کلامه: أنّ المراد في المقام على القول بالأفراد مصداق فرد ما من الطّبيعة</w:t>
      </w:r>
      <w:r>
        <w:rPr>
          <w:rStyle w:val="FootnoteReference"/>
        </w:rPr>
        <w:footnoteReference w:id="706"/>
      </w:r>
      <w:r>
        <w:rPr>
          <w:rFonts w:ascii="Amiri" w:hAnsi="Amiri" w:eastAsia="Amiri" w:cs="Amiri"/>
          <w:lang w:bidi="ar-SA"/>
          <w:color w:val="111111"/>
          <w:sz w:val="28"/>
          <w:szCs w:val="28"/>
          <w:rtl/>
        </w:rPr>
        <w:t xml:space="preserve">وكذا في النكرة لا مفهومه ومن المعلوم أنّه جزئي.</w:t>
      </w:r>
    </w:p>
    <w:p>
      <w:pPr>
        <w:pStyle w:val="Heading6"/>
      </w:pPr>
      <w:bookmarkStart w:id="511" w:name="_Toc192"/>
      <w:r>
        <w:t>[إیراد على جواب صاحب الفصول (رحمة الله‌علیه)]</w:t>
      </w:r>
      <w:bookmarkEnd w:id="511"/>
    </w:p>
    <w:p>
      <w:pPr>
        <w:pStyle w:val="BookText"/>
      </w:pPr>
      <w:r>
        <w:rPr>
          <w:rFonts w:ascii="Amiri" w:hAnsi="Amiri" w:eastAsia="Amiri" w:cs="Amiri"/>
          <w:lang w:bidi="ar-SA"/>
          <w:color w:val="111111"/>
          <w:sz w:val="28"/>
          <w:szCs w:val="28"/>
          <w:rtl/>
        </w:rPr>
        <w:t xml:space="preserve">قلت: الوجه في الجواب هو الأوّل؛ وذلك لأنّا نمنع أنّ فرداً ما الّذي</w:t>
      </w:r>
      <w:r>
        <w:rPr>
          <w:rStyle w:val="FootnoteReference"/>
        </w:rPr>
        <w:footnoteReference w:id="707"/>
      </w:r>
      <w:r>
        <w:rPr>
          <w:rFonts w:ascii="IRNazanin" w:hAnsi="IRNazanin" w:eastAsia="IRNazanin" w:cs="IRNazanin"/>
          <w:lang w:bidi="fa-IR"/>
          <w:color w:val="111111"/>
          <w:sz w:val="28"/>
          <w:szCs w:val="28"/>
          <w:rtl/>
        </w:rPr>
        <w:t xml:space="preserve">هو مدلول النّكرة جزئي بل هو کلّي صادق على أفراده بالفعل وإن لم يرد مفهوم فرد</w:t>
      </w:r>
      <w:r>
        <w:rPr>
          <w:rStyle w:val="FootnoteReference"/>
        </w:rPr>
        <w:footnoteReference w:id="708"/>
      </w:r>
      <w:r>
        <w:rPr>
          <w:rFonts w:ascii="Amiri" w:hAnsi="Amiri" w:eastAsia="Amiri" w:cs="Amiri"/>
          <w:lang w:bidi="ar-SA"/>
          <w:color w:val="111111"/>
          <w:sz w:val="28"/>
          <w:szCs w:val="28"/>
          <w:rtl/>
        </w:rPr>
        <w:t xml:space="preserve">ما بل أريد مصداقه؛ إذ مصداقه المراد في المقام هو رجل ما مثلاً لا خصوص زيد أو خصوص</w:t>
      </w:r>
      <w:r>
        <w:rPr>
          <w:rStyle w:val="FootnoteReference"/>
        </w:rPr>
        <w:footnoteReference w:id="709"/>
      </w:r>
      <w:r>
        <w:rPr>
          <w:rFonts w:ascii="Amiri" w:hAnsi="Amiri" w:eastAsia="Amiri" w:cs="Amiri"/>
          <w:lang w:bidi="ar-SA"/>
          <w:color w:val="111111"/>
          <w:sz w:val="28"/>
          <w:szCs w:val="28"/>
          <w:rtl/>
        </w:rPr>
        <w:t xml:space="preserve">عمرو؛ إذ من المعلوم أنّ معنى «رجل» ليس زيداً وعمرواً</w:t>
      </w:r>
      <w:r>
        <w:rPr>
          <w:rStyle w:val="FootnoteReference"/>
        </w:rPr>
        <w:footnoteReference w:id="710"/>
      </w:r>
      <w:r>
        <w:rPr>
          <w:rFonts w:ascii="Amiri" w:hAnsi="Amiri" w:eastAsia="Amiri" w:cs="Amiri"/>
          <w:lang w:bidi="ar-SA"/>
          <w:color w:val="111111"/>
          <w:sz w:val="28"/>
          <w:szCs w:val="28"/>
          <w:rtl/>
        </w:rPr>
        <w:t xml:space="preserve">بل الرّجل المقيّد بالتشخّص فهو کلّي الفرد.</w:t>
      </w:r>
    </w:p>
    <w:p>
      <w:pPr>
        <w:pStyle w:val="BookText"/>
      </w:pPr>
      <w:r>
        <w:rPr>
          <w:rFonts w:ascii="Amiri" w:hAnsi="Amiri" w:eastAsia="Amiri" w:cs="Amiri"/>
          <w:lang w:bidi="ar-SA"/>
          <w:color w:val="111111"/>
          <w:sz w:val="28"/>
          <w:szCs w:val="28"/>
          <w:rtl/>
        </w:rPr>
        <w:t xml:space="preserve">والفرق بينه وبين الطّبيعة الکلّيّة أخذ الخصوصيّة جزءاً</w:t>
      </w:r>
      <w:r>
        <w:rPr>
          <w:rStyle w:val="FootnoteReference"/>
        </w:rPr>
        <w:footnoteReference w:id="711"/>
      </w:r>
      <w:r>
        <w:rPr>
          <w:rFonts w:ascii="IRNazanin" w:hAnsi="IRNazanin" w:eastAsia="IRNazanin" w:cs="IRNazanin"/>
          <w:lang w:bidi="fa-IR"/>
          <w:color w:val="111111"/>
          <w:sz w:val="28"/>
          <w:szCs w:val="28"/>
          <w:rtl/>
        </w:rPr>
        <w:t xml:space="preserve">له وعدم أخذها</w:t>
      </w:r>
      <w:r>
        <w:rPr>
          <w:rStyle w:val="FootnoteReference"/>
        </w:rPr>
        <w:footnoteReference w:id="712"/>
      </w:r>
      <w:r>
        <w:rPr>
          <w:rFonts w:ascii="Amiri" w:hAnsi="Amiri" w:eastAsia="Amiri" w:cs="Amiri"/>
          <w:lang w:bidi="ar-SA"/>
          <w:color w:val="111111"/>
          <w:sz w:val="28"/>
          <w:szCs w:val="28"/>
          <w:rtl/>
        </w:rPr>
        <w:t xml:space="preserve">في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الطّبيعة الکلّية فلو كان مدلول قوله: «صلّ» «ايت بصلاةٍ مّا» كان کلّياً أیضاً؛ إذ غاية الأمر إرادة الخصوصيّة في المأمور به بحيث تكون جزءاً</w:t>
      </w:r>
      <w:r>
        <w:rPr>
          <w:rStyle w:val="FootnoteReference"/>
        </w:rPr>
        <w:footnoteReference w:id="713"/>
      </w:r>
      <w:r>
        <w:rPr>
          <w:rFonts w:ascii="IRNazanin" w:hAnsi="IRNazanin" w:eastAsia="IRNazanin" w:cs="IRNazanin"/>
          <w:lang w:bidi="fa-IR"/>
          <w:color w:val="111111"/>
          <w:sz w:val="28"/>
          <w:szCs w:val="28"/>
          <w:rtl/>
        </w:rPr>
        <w:t xml:space="preserve">لموضوع الطّلب وهذا لا يخرجه عن الکلّية فهو الفرد الکلّي والأشخاص الخاصّة أفراده حقیقة.</w:t>
      </w:r>
    </w:p>
    <w:p>
      <w:pPr>
        <w:pStyle w:val="BookText"/>
      </w:pPr>
      <w:r>
        <w:rPr>
          <w:rFonts w:ascii="IRNazanin" w:hAnsi="IRNazanin" w:eastAsia="IRNazanin" w:cs="IRNazanin"/>
          <w:lang w:bidi="fa-IR"/>
          <w:color w:val="111111"/>
          <w:sz w:val="28"/>
          <w:szCs w:val="28"/>
          <w:rtl/>
        </w:rPr>
        <w:t xml:space="preserve">وأمّا الکلّي بمعنى الطّبيعة فالأشخاص مصاديقه في الحقيقة لاشتمالها على الخصوصيّة الغير الماخوذة فيه. فتدبّر.</w:t>
      </w:r>
    </w:p>
    <w:p>
      <w:pPr>
        <w:pStyle w:val="BookText"/>
      </w:pPr>
      <w:r>
        <w:rPr>
          <w:rFonts w:ascii="IRNazanin" w:hAnsi="IRNazanin" w:eastAsia="IRNazanin" w:cs="IRNazanin"/>
          <w:lang w:bidi="fa-IR"/>
          <w:color w:val="111111"/>
          <w:sz w:val="28"/>
          <w:szCs w:val="28"/>
          <w:rtl/>
        </w:rPr>
        <w:t xml:space="preserve">وحینئذٍ فالجواب عن الإشکال أن يقال: لا نسلّم أنّه على القول بالفرد يجب إرادة کلّي الصّلاة المقيّدة بالتشخّص بمعنى هذا المجموع حتّى يقال: إنّه کلّي.وبعبارة أخری: ليس مدلول الأمر مثل مدلول النّكرة هو الفرد المنتشر.</w:t>
      </w:r>
    </w:p>
    <w:p>
      <w:pPr>
        <w:pStyle w:val="BookText"/>
      </w:pPr>
      <w:r>
        <w:rPr>
          <w:rFonts w:ascii="Amiri" w:hAnsi="Amiri" w:eastAsia="Amiri" w:cs="Amiri"/>
          <w:lang w:bidi="ar-SA"/>
          <w:color w:val="111111"/>
          <w:sz w:val="28"/>
          <w:szCs w:val="28"/>
          <w:rtl/>
        </w:rPr>
        <w:t xml:space="preserve">بل المراد والمدلول خصوص الجزئيّات الخارجيّة على وجه البدليّة لكن لا بلحاظها مفصّلة والحكم بالتّخيير بينها حتّى يرجع إلى التّخيير الشّرعي بل بتعليق الحكم على خصوص فرد غير معين ولازم عدم تعيينه كون الطّلب على وجه التّخيير والبدليّة.</w:t>
      </w:r>
    </w:p>
    <w:p>
      <w:pPr>
        <w:pStyle w:val="BookText"/>
      </w:pPr>
      <w:r>
        <w:rPr>
          <w:rFonts w:ascii="Amiri" w:hAnsi="Amiri" w:eastAsia="Amiri" w:cs="Amiri"/>
          <w:lang w:bidi="ar-SA"/>
          <w:color w:val="111111"/>
          <w:sz w:val="28"/>
          <w:szCs w:val="28"/>
          <w:rtl/>
        </w:rPr>
        <w:t xml:space="preserve">فالملحوظ أوّلاً هو الواحد لا المتعدّد وإنّما يجي‌ء التعدّد من قبل عدم التّعيين وهذا هو مراد صاحب</w:t>
      </w:r>
      <w:r>
        <w:rPr>
          <w:rStyle w:val="FootnoteReference"/>
        </w:rPr>
        <w:footnoteReference w:id="714"/>
      </w:r>
      <w:r>
        <w:rPr>
          <w:rFonts w:ascii="IRNazanin" w:hAnsi="IRNazanin" w:eastAsia="IRNazanin" w:cs="IRNazanin"/>
          <w:lang w:bidi="fa-IR"/>
          <w:color w:val="111111"/>
          <w:sz w:val="28"/>
          <w:szCs w:val="28"/>
          <w:rtl/>
        </w:rPr>
        <w:t xml:space="preserve">الفصول</w:t>
      </w:r>
      <w:r>
        <w:rPr>
          <w:rStyle w:val="FootnoteReference"/>
        </w:rPr>
        <w:footnoteReference w:id="715"/>
      </w:r>
      <w:r>
        <w:rPr>
          <w:rFonts w:ascii="Amiri" w:hAnsi="Amiri" w:eastAsia="Amiri" w:cs="Amiri"/>
          <w:lang w:bidi="ar-SA"/>
          <w:color w:val="111111"/>
          <w:sz w:val="28"/>
          <w:szCs w:val="28"/>
          <w:rtl/>
        </w:rPr>
        <w:t xml:space="preserve">أیضاً إلّا أنّ الإيراد عليه أنّه يجعل هذا معنى النّكرة أیضاً وينكر كون الرّجل المقيّد بالخصوصيّة الغير المعيّنة کلّياً، مع أنّه ليس كذلك كما عرفت.</w:t>
      </w:r>
    </w:p>
    <w:p>
      <w:pPr>
        <w:pStyle w:val="BookText"/>
      </w:pPr>
      <w:r>
        <w:rPr>
          <w:rFonts w:ascii="IRNazanin" w:hAnsi="IRNazanin" w:eastAsia="IRNazanin" w:cs="IRNazanin"/>
          <w:lang w:bidi="fa-IR"/>
          <w:color w:val="111111"/>
          <w:sz w:val="28"/>
          <w:szCs w:val="28"/>
          <w:rtl/>
        </w:rPr>
        <w:t xml:space="preserve">والحاصل: أنّه قد يعلّق الحكم على مفهوم فرد ما وهذا لا إشکال في كونه کلّياً ولا في عدم كونه مدلول النّكرة ولا الأوامر وقد يعلّق على الطّبيعة المقيّدة بالتشخّص الغير المعيّن على وجه دخول القيد وهذا معنى النّكرة؛ إذ من المعلوم أنّ معنى «رجل»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الماهيّة المقيّدة بالتشخّص أيّ تشخّص كان وهذا کلّي لصدقه على زيد وعمرو وهكذا.</w:t>
      </w:r>
    </w:p>
    <w:p>
      <w:pPr>
        <w:pStyle w:val="BookText"/>
      </w:pPr>
      <w:r>
        <w:rPr>
          <w:rFonts w:ascii="IRNazanin" w:hAnsi="IRNazanin" w:eastAsia="IRNazanin" w:cs="IRNazanin"/>
          <w:lang w:bidi="fa-IR"/>
          <w:color w:val="111111"/>
          <w:sz w:val="28"/>
          <w:szCs w:val="28"/>
          <w:rtl/>
        </w:rPr>
        <w:t xml:space="preserve">وقد يعلّق على مصداق النّكرة أعني خصوصيّات الأفراد لا على التّعيين وهذا متعلّق الأوامر على القول المذكور وهو جزئي ولا إشکال فيه.</w:t>
      </w:r>
    </w:p>
    <w:p>
      <w:pPr>
        <w:pStyle w:val="BookText"/>
      </w:pPr>
      <w:r>
        <w:rPr>
          <w:rFonts w:ascii="IRNazanin" w:hAnsi="IRNazanin" w:eastAsia="IRNazanin" w:cs="IRNazanin"/>
          <w:lang w:bidi="fa-IR"/>
          <w:color w:val="111111"/>
          <w:sz w:val="28"/>
          <w:szCs w:val="28"/>
          <w:rtl/>
        </w:rPr>
        <w:t xml:space="preserve">نعم يرد عليه: أنّه يلزم عدم تعيين محلّ الحكم وموضوعه وهو مشکل؛ لأنّ الأحکام الشرعیّة من الأعراض الخارجيّة المحتاجة إلى محلّ معيّن.</w:t>
      </w:r>
    </w:p>
    <w:p>
      <w:pPr>
        <w:pStyle w:val="BookText"/>
      </w:pPr>
      <w:r>
        <w:rPr>
          <w:rFonts w:ascii="Amiri" w:hAnsi="Amiri" w:eastAsia="Amiri" w:cs="Amiri"/>
          <w:lang w:bidi="ar-SA"/>
          <w:color w:val="111111"/>
          <w:sz w:val="28"/>
          <w:szCs w:val="28"/>
          <w:rtl/>
        </w:rPr>
        <w:t xml:space="preserve">ألا ترى أنّه لا يمكن عروض السّواد لأحد الجسمين الخارجيّين لا على التّعيين.</w:t>
      </w:r>
    </w:p>
    <w:p>
      <w:pPr>
        <w:pStyle w:val="BookText"/>
      </w:pPr>
      <w:r>
        <w:rPr>
          <w:rFonts w:ascii="IRNazanin" w:hAnsi="IRNazanin" w:eastAsia="IRNazanin" w:cs="IRNazanin"/>
          <w:lang w:bidi="fa-IR"/>
          <w:color w:val="111111"/>
          <w:sz w:val="28"/>
          <w:szCs w:val="28"/>
          <w:rtl/>
        </w:rPr>
        <w:t xml:space="preserve">ولهذا قالوا: «إنّه لا يجوز بيع أحد العبدين المعيّنين» وعلّلوا المنع بالإبهام مضافاً إلى الغرر والجهالة ومنع بعضهم الغرر والجهالة أیضاً</w:t>
      </w:r>
      <w:r>
        <w:rPr>
          <w:rStyle w:val="FootnoteReference"/>
        </w:rPr>
        <w:footnoteReference w:id="716"/>
      </w:r>
      <w:r>
        <w:rPr>
          <w:rFonts w:ascii="Amiri" w:hAnsi="Amiri" w:eastAsia="Amiri" w:cs="Amiri"/>
          <w:lang w:bidi="ar-SA"/>
          <w:color w:val="111111"/>
          <w:sz w:val="28"/>
          <w:szCs w:val="28"/>
          <w:rtl/>
        </w:rPr>
        <w:t xml:space="preserve">وخصّ الوجه في المنع بالإبهام.</w:t>
      </w:r>
      <w:r>
        <w:rPr>
          <w:rStyle w:val="FootnoteReference"/>
        </w:rPr>
        <w:footnoteReference w:id="717"/>
      </w:r>
      <w:r>
        <w:rPr>
          <w:rFonts w:ascii="IRNazanin" w:hAnsi="IRNazanin" w:eastAsia="IRNazanin" w:cs="IRNazanin"/>
          <w:lang w:bidi="fa-IR"/>
          <w:color w:val="111111"/>
          <w:sz w:val="28"/>
          <w:szCs w:val="28"/>
          <w:rtl/>
        </w:rPr>
        <w:t xml:space="preserve">ويمكن الجواب: بأنّ الأحکام الشرعیّة وإن كانت من الأعراض الخارجيّة إلّا أنّها من الأمور الاعتباريّة فخارجيّتها عين هذا الأمر الاعتباري، ونمنع عدم إمکان تعلّقها بالمبهم لأنّ الاعتبار المذكور صحيح</w:t>
      </w:r>
      <w:r>
        <w:rPr>
          <w:rStyle w:val="FootnoteReference"/>
        </w:rPr>
        <w:footnoteReference w:id="718"/>
      </w:r>
      <w:r>
        <w:rPr>
          <w:rFonts w:ascii="Amiri" w:hAnsi="Amiri" w:eastAsia="Amiri" w:cs="Amiri"/>
          <w:lang w:bidi="ar-SA"/>
          <w:color w:val="111111"/>
          <w:sz w:val="28"/>
          <w:szCs w:val="28"/>
          <w:rtl/>
        </w:rPr>
        <w:t xml:space="preserve">في أنظار العقلاء.</w:t>
      </w:r>
    </w:p>
    <w:p>
      <w:pPr>
        <w:pStyle w:val="BookText"/>
      </w:pPr>
      <w:r>
        <w:rPr>
          <w:rFonts w:ascii="IRNazanin" w:hAnsi="IRNazanin" w:eastAsia="IRNazanin" w:cs="IRNazanin"/>
          <w:lang w:bidi="fa-IR"/>
          <w:color w:val="111111"/>
          <w:sz w:val="28"/>
          <w:szCs w:val="28"/>
          <w:rtl/>
        </w:rPr>
        <w:t xml:space="preserve">ألا ترى أنّها تتعلّق بالکلّيات مثل الأمر بالکلّي وبيع الکلّي مع أنّها معدومة ولايمكن عروض العرض</w:t>
      </w:r>
      <w:r>
        <w:rPr>
          <w:rStyle w:val="FootnoteReference"/>
        </w:rPr>
        <w:footnoteReference w:id="719"/>
      </w:r>
      <w:r>
        <w:rPr>
          <w:rFonts w:ascii="Amiri" w:hAnsi="Amiri" w:eastAsia="Amiri" w:cs="Amiri"/>
          <w:lang w:bidi="ar-SA"/>
          <w:color w:val="111111"/>
          <w:sz w:val="28"/>
          <w:szCs w:val="28"/>
          <w:rtl/>
        </w:rPr>
        <w:t xml:space="preserve">الخارجي للمعدوم.</w:t>
      </w:r>
    </w:p>
    <w:p>
      <w:pPr>
        <w:pStyle w:val="BookText"/>
      </w:pPr>
      <w:r>
        <w:rPr>
          <w:rFonts w:ascii="IRNazanin" w:hAnsi="IRNazanin" w:eastAsia="IRNazanin" w:cs="IRNazanin"/>
          <w:lang w:bidi="fa-IR"/>
          <w:color w:val="111111"/>
          <w:sz w:val="28"/>
          <w:szCs w:val="28"/>
          <w:rtl/>
        </w:rPr>
        <w:t xml:space="preserve">ففرق بين الأعراض الخارجيّة المتأصّلة مثل السّواد والبياض وغيرها مثل الأحکام الشرعیّة.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0" w:name="pg6784_51233"/>
    <w:bookmarkEnd w:id="110"/>
    <w:p>
      <w:pPr>
        <w:pStyle w:val="BookText"/>
      </w:pPr>
      <w:r>
        <w:rPr>
          <w:rFonts w:ascii="IRNazanin" w:hAnsi="IRNazanin" w:eastAsia="IRNazanin" w:cs="IRNazanin"/>
          <w:lang w:bidi="fa-IR"/>
          <w:color w:val="111111"/>
          <w:sz w:val="28"/>
          <w:szCs w:val="28"/>
          <w:rtl/>
        </w:rPr>
        <w:t xml:space="preserve">نعم يشکل الأمر على من جعل الطّلب عين الإرادة النفسيّة لعدم إمکان تعلّقها بالمبهم والمعدوم كما في الإرادة التكوينيّة. فتدبّر.</w:t>
      </w:r>
    </w:p>
    <w:p>
      <w:pPr>
        <w:pStyle w:val="Heading6"/>
      </w:pPr>
      <w:bookmarkStart w:id="512" w:name="_Toc193"/>
      <w:r>
        <w:t>[الفرق بین تعلّق الأمر بالفرد الخاص على سبیل البدلیّة والوجوب التخییري]</w:t>
      </w:r>
      <w:bookmarkEnd w:id="512"/>
    </w:p>
    <w:p>
      <w:pPr>
        <w:pStyle w:val="BookText"/>
      </w:pPr>
      <w:r>
        <w:rPr>
          <w:rFonts w:ascii="IRNazanin" w:hAnsi="IRNazanin" w:eastAsia="IRNazanin" w:cs="IRNazanin"/>
          <w:lang w:bidi="fa-IR"/>
          <w:color w:val="111111"/>
          <w:sz w:val="28"/>
          <w:szCs w:val="28"/>
          <w:rtl/>
        </w:rPr>
        <w:t xml:space="preserve">ثمّ على ما ذكرنا وإن کان يرجع الأمر بالأخرة إلى وجوب کلّ فرد على سبيل البدليّة كما في الواجب التخييري إلّا أنّه يمكن الفرق بينهما:</w:t>
      </w:r>
    </w:p>
    <w:p>
      <w:pPr>
        <w:pStyle w:val="BookText"/>
      </w:pPr>
      <w:r>
        <w:rPr>
          <w:rFonts w:ascii="Amiri" w:hAnsi="Amiri" w:eastAsia="Amiri" w:cs="Amiri"/>
          <w:lang w:bidi="ar-SA"/>
          <w:color w:val="111111"/>
          <w:sz w:val="28"/>
          <w:szCs w:val="28"/>
          <w:rtl/>
        </w:rPr>
        <w:t xml:space="preserve">إمّا بكون التّخيير مصرّحاً به في التخييري بخلاف المقام كما عرفت أو بكون التخيير ه-ٰهنا بين الأفراد المتّفقة الحقيقة بخلاف التخييري؛</w:t>
      </w:r>
    </w:p>
    <w:p>
      <w:pPr>
        <w:pStyle w:val="BookText"/>
      </w:pPr>
      <w:r>
        <w:rPr>
          <w:rFonts w:ascii="Amiri" w:hAnsi="Amiri" w:eastAsia="Amiri" w:cs="Amiri"/>
          <w:lang w:bidi="ar-SA"/>
          <w:color w:val="111111"/>
          <w:sz w:val="28"/>
          <w:szCs w:val="28"/>
          <w:rtl/>
        </w:rPr>
        <w:t xml:space="preserve">أو بأنّ طرف التّخيير غير محصور في المقام بخلاف التّخييري.</w:t>
      </w:r>
    </w:p>
    <w:p>
      <w:pPr>
        <w:pStyle w:val="BookText"/>
      </w:pPr>
      <w:r>
        <w:rPr>
          <w:rFonts w:ascii="Amiri" w:hAnsi="Amiri" w:eastAsia="Amiri" w:cs="Amiri"/>
          <w:lang w:bidi="ar-SA"/>
          <w:color w:val="111111"/>
          <w:sz w:val="28"/>
          <w:szCs w:val="28"/>
          <w:rtl/>
        </w:rPr>
        <w:t xml:space="preserve">لكن لا يخفى أنّ هذه</w:t>
      </w:r>
      <w:r>
        <w:rPr>
          <w:rStyle w:val="FootnoteReference"/>
        </w:rPr>
        <w:footnoteReference w:id="720"/>
      </w:r>
      <w:r>
        <w:rPr>
          <w:rFonts w:ascii="IRNazanin" w:hAnsi="IRNazanin" w:eastAsia="IRNazanin" w:cs="IRNazanin"/>
          <w:lang w:bidi="fa-IR"/>
          <w:color w:val="111111"/>
          <w:sz w:val="28"/>
          <w:szCs w:val="28"/>
          <w:rtl/>
        </w:rPr>
        <w:t xml:space="preserve">الفروق ليست فرقاً على الحقيقة خصوصاً مع إمکان فرض التّخيير الشّرعي أیضاً بين متّفقي</w:t>
      </w:r>
      <w:r>
        <w:rPr>
          <w:rStyle w:val="FootnoteReference"/>
        </w:rPr>
        <w:footnoteReference w:id="721"/>
      </w:r>
      <w:r>
        <w:rPr>
          <w:rFonts w:ascii="Amiri" w:hAnsi="Amiri" w:eastAsia="Amiri" w:cs="Amiri"/>
          <w:lang w:bidi="ar-SA"/>
          <w:color w:val="111111"/>
          <w:sz w:val="28"/>
          <w:szCs w:val="28"/>
          <w:rtl/>
        </w:rPr>
        <w:t xml:space="preserve">الحقيقة.</w:t>
      </w:r>
    </w:p>
    <w:p>
      <w:pPr>
        <w:pStyle w:val="BookText"/>
      </w:pPr>
      <w:r>
        <w:rPr>
          <w:rFonts w:ascii="Amiri" w:hAnsi="Amiri" w:eastAsia="Amiri" w:cs="Amiri"/>
          <w:lang w:bidi="ar-SA"/>
          <w:color w:val="111111"/>
          <w:sz w:val="28"/>
          <w:szCs w:val="28"/>
          <w:rtl/>
        </w:rPr>
        <w:t xml:space="preserve">فالأولى أن يقال: إنّ المطلوب في الواجب التّخييري لمّا كان متعدّداً في أوّل النظر فيكون التخيير راجعاً إلى قصور في الطّلب بشوبه بجواز الترك إلى البدل بخلاف المقام حيث إنّ المطلوب واحد، فالطّلب فيه غير مشوب.غاية الأمر أنّ المطلوب لمّا أخذ على وجه عدم التّعيين فيجيء الشوب بجواز الترك ثانياً فمن الأوّل يرد الطّلب التّعييني على ذلك المطلوب وهو الواحد لا بعينه وبملاحظة عدم التّعيين تجي‌ء</w:t>
      </w:r>
      <w:r>
        <w:rPr>
          <w:rStyle w:val="FootnoteReference"/>
        </w:rPr>
        <w:footnoteReference w:id="722"/>
      </w:r>
      <w:r>
        <w:rPr>
          <w:rFonts w:ascii="Amiri" w:hAnsi="Amiri" w:eastAsia="Amiri" w:cs="Amiri"/>
          <w:lang w:bidi="ar-SA"/>
          <w:color w:val="111111"/>
          <w:sz w:val="28"/>
          <w:szCs w:val="28"/>
          <w:rtl/>
        </w:rPr>
        <w:t xml:space="preserve">البدليّة.</w:t>
      </w:r>
    </w:p>
    <w:p>
      <w:pPr>
        <w:pStyle w:val="BookText"/>
      </w:pPr>
      <w:r>
        <w:rPr>
          <w:rFonts w:ascii="IRNazanin" w:hAnsi="IRNazanin" w:eastAsia="IRNazanin" w:cs="IRNazanin"/>
          <w:lang w:bidi="fa-IR"/>
          <w:color w:val="111111"/>
          <w:sz w:val="28"/>
          <w:szCs w:val="28"/>
          <w:rtl/>
        </w:rPr>
        <w:t xml:space="preserve">ولا فرق في ذلك بين القول بوجود الکلّي الطّبيعي وعدمه؛ أمّا على القول بالوجود فواضح حيث إنّ المطلوب حینئذٍ الماهيّة المقيّدة بتشخّص خارجي غير معيّن؛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على القول بالعدم فلأنّ الماهيّة وإن لم تكن</w:t>
      </w:r>
      <w:r>
        <w:rPr>
          <w:rStyle w:val="FootnoteReference"/>
        </w:rPr>
        <w:footnoteReference w:id="723"/>
      </w:r>
      <w:r>
        <w:rPr>
          <w:rFonts w:ascii="IRNazanin" w:hAnsi="IRNazanin" w:eastAsia="IRNazanin" w:cs="IRNazanin"/>
          <w:lang w:bidi="fa-IR"/>
          <w:color w:val="111111"/>
          <w:sz w:val="28"/>
          <w:szCs w:val="28"/>
          <w:rtl/>
        </w:rPr>
        <w:t xml:space="preserve">موجودة في ضمن المقيّدات إلّا أنّه يلاحظ الأمر الانتزاعي حینئذٍ ويجعل مرآة</w:t>
      </w:r>
      <w:r>
        <w:rPr>
          <w:rStyle w:val="FootnoteReference"/>
        </w:rPr>
        <w:footnoteReference w:id="724"/>
      </w:r>
      <w:r>
        <w:rPr>
          <w:rFonts w:ascii="Amiri" w:hAnsi="Amiri" w:eastAsia="Amiri" w:cs="Amiri"/>
          <w:lang w:bidi="ar-SA"/>
          <w:color w:val="111111"/>
          <w:sz w:val="28"/>
          <w:szCs w:val="28"/>
          <w:rtl/>
        </w:rPr>
        <w:t xml:space="preserve">لملاحظة الماهيّات المتشخّصة ويعلّق الحكم على واحد منها بلحاظ أنّه ماهيّة متشخّصة بتشخّص غير معيّن.</w:t>
      </w:r>
    </w:p>
    <w:p>
      <w:pPr>
        <w:pStyle w:val="BookText"/>
      </w:pPr>
      <w:r>
        <w:rPr>
          <w:rFonts w:ascii="Amiri" w:hAnsi="Amiri" w:eastAsia="Amiri" w:cs="Amiri"/>
          <w:lang w:bidi="ar-SA"/>
          <w:color w:val="111111"/>
          <w:sz w:val="28"/>
          <w:szCs w:val="28"/>
          <w:rtl/>
        </w:rPr>
        <w:t xml:space="preserve">فعلى التقديرين:الحكم معلّق على الماهيّة المتشخّصة بالتشخّص</w:t>
      </w:r>
      <w:r>
        <w:rPr>
          <w:rStyle w:val="FootnoteReference"/>
        </w:rPr>
        <w:footnoteReference w:id="725"/>
      </w:r>
      <w:r>
        <w:rPr>
          <w:rFonts w:ascii="Amiri" w:hAnsi="Amiri" w:eastAsia="Amiri" w:cs="Amiri"/>
          <w:lang w:bidi="ar-SA"/>
          <w:color w:val="111111"/>
          <w:sz w:val="28"/>
          <w:szCs w:val="28"/>
          <w:rtl/>
        </w:rPr>
        <w:t xml:space="preserve">الغير المعيّن</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غاية الأمر أنّه على أحد التقديرين: الماهيّة مع قطع النظر عن هذا التشخّص موجود وعلى الآخر غير موجود وهذا لا يضرّ في إمکان حمل الحكم عليه.</w:t>
      </w:r>
    </w:p>
    <w:p>
      <w:pPr>
        <w:pStyle w:val="BookText"/>
      </w:pPr>
      <w:r>
        <w:rPr>
          <w:rFonts w:ascii="IRNazanin" w:hAnsi="IRNazanin" w:eastAsia="IRNazanin" w:cs="IRNazanin"/>
          <w:lang w:bidi="fa-IR"/>
          <w:color w:val="111111"/>
          <w:sz w:val="28"/>
          <w:szCs w:val="28"/>
          <w:rtl/>
        </w:rPr>
        <w:t xml:space="preserve">غاية الأمر أنه يحتاج على الثاني إلى مرآة وهو الکلّي الانتزاعي.</w:t>
      </w:r>
    </w:p>
    <w:p>
      <w:pPr>
        <w:pStyle w:val="BookText"/>
      </w:pPr>
      <w:r>
        <w:rPr>
          <w:rFonts w:ascii="IRNazanin" w:hAnsi="IRNazanin" w:eastAsia="IRNazanin" w:cs="IRNazanin"/>
          <w:lang w:bidi="fa-IR"/>
          <w:color w:val="111111"/>
          <w:sz w:val="28"/>
          <w:szCs w:val="28"/>
          <w:rtl/>
        </w:rPr>
        <w:t xml:space="preserve">فلا وجه لما ذكره صاحب الفصول من أنّ الفرق المذكور مبني على القول بوجود الکلّي الطّبيعي.</w:t>
      </w:r>
      <w:r>
        <w:rPr>
          <w:rStyle w:val="FootnoteReference"/>
        </w:rPr>
        <w:footnoteReference w:id="727"/>
      </w:r>
    </w:p>
    <w:p>
      <w:pPr>
        <w:pStyle w:val="BookText"/>
      </w:pPr>
      <w:r>
        <w:rPr>
          <w:rFonts w:ascii="Amiri" w:hAnsi="Amiri" w:eastAsia="Amiri" w:cs="Amiri"/>
          <w:lang w:bidi="ar-SA"/>
          <w:color w:val="111111"/>
          <w:sz w:val="28"/>
          <w:szCs w:val="28"/>
          <w:rtl/>
        </w:rPr>
        <w:t xml:space="preserve">هذا ولا يخفى أنّه في لبّ اللّب يرجع المقام</w:t>
      </w:r>
      <w:r>
        <w:rPr>
          <w:rStyle w:val="FootnoteReference"/>
        </w:rPr>
        <w:footnoteReference w:id="728"/>
      </w:r>
      <w:r>
        <w:rPr>
          <w:rFonts w:ascii="Amiri" w:hAnsi="Amiri" w:eastAsia="Amiri" w:cs="Amiri"/>
          <w:lang w:bidi="ar-SA"/>
          <w:color w:val="111111"/>
          <w:sz w:val="28"/>
          <w:szCs w:val="28"/>
          <w:rtl/>
        </w:rPr>
        <w:t xml:space="preserve">إلى التّخيير الشرعي ولا بأس به فإنّ المنظور في الفرق إنّما هو ملاحظة</w:t>
      </w:r>
      <w:r>
        <w:rPr>
          <w:rStyle w:val="FootnoteReference"/>
        </w:rPr>
        <w:footnoteReference w:id="729"/>
      </w:r>
      <w:r>
        <w:rPr>
          <w:rFonts w:ascii="Amiri" w:hAnsi="Amiri" w:eastAsia="Amiri" w:cs="Amiri"/>
          <w:lang w:bidi="ar-SA"/>
          <w:color w:val="111111"/>
          <w:sz w:val="28"/>
          <w:szCs w:val="28"/>
          <w:rtl/>
        </w:rPr>
        <w:t xml:space="preserve">الحكم والإنشاء أوّلاً لا ما في لبّ قلب المولى كما لايخفى.</w:t>
      </w:r>
    </w:p>
    <w:p>
      <w:pPr>
        <w:pStyle w:val="BookText"/>
      </w:pPr>
      <w:r>
        <w:rPr>
          <w:rFonts w:ascii="Amiri" w:hAnsi="Amiri" w:eastAsia="Amiri" w:cs="Amiri"/>
          <w:lang w:bidi="ar-SA"/>
          <w:color w:val="111111"/>
          <w:sz w:val="28"/>
          <w:szCs w:val="28"/>
          <w:rtl/>
        </w:rPr>
        <w:t xml:space="preserve">ولا يضرّ هذا في عدم النّزاع في المقام مع أنّهم</w:t>
      </w:r>
      <w:r>
        <w:rPr>
          <w:rStyle w:val="FootnoteReference"/>
        </w:rPr>
        <w:footnoteReference w:id="730"/>
      </w:r>
      <w:r>
        <w:rPr>
          <w:rFonts w:ascii="IRNazanin" w:hAnsi="IRNazanin" w:eastAsia="IRNazanin" w:cs="IRNazanin"/>
          <w:lang w:bidi="fa-IR"/>
          <w:color w:val="111111"/>
          <w:sz w:val="28"/>
          <w:szCs w:val="28"/>
          <w:rtl/>
        </w:rPr>
        <w:t xml:space="preserve">نازعوا في التّخييري على أقوالشتّى مع أنّه على فرض عدم التّفاوت أصلاً أیضاً يمكن أن يقال: إنّ عدم النّزاع في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1" w:name="pg6784_51235"/>
    <w:bookmarkEnd w:id="111"/>
    <w:p>
      <w:pPr>
        <w:pStyle w:val="BookText"/>
      </w:pPr>
      <w:r>
        <w:rPr>
          <w:rFonts w:ascii="Amiri" w:hAnsi="Amiri" w:eastAsia="Amiri" w:cs="Amiri"/>
          <w:lang w:bidi="ar-SA"/>
          <w:color w:val="111111"/>
          <w:sz w:val="28"/>
          <w:szCs w:val="28"/>
          <w:rtl/>
        </w:rPr>
        <w:t xml:space="preserve">المقام من جهة البناء على أحد المذاهب هناك أو إنّهم</w:t>
      </w:r>
      <w:r>
        <w:rPr>
          <w:rStyle w:val="FootnoteReference"/>
        </w:rPr>
        <w:footnoteReference w:id="731"/>
      </w:r>
      <w:r>
        <w:rPr>
          <w:rFonts w:ascii="Amiri" w:hAnsi="Amiri" w:eastAsia="Amiri" w:cs="Amiri"/>
          <w:lang w:bidi="ar-SA"/>
          <w:color w:val="111111"/>
          <w:sz w:val="28"/>
          <w:szCs w:val="28"/>
          <w:rtl/>
        </w:rPr>
        <w:t xml:space="preserve">أحالوا المقام على ذلك المقام. فتدبّر.</w:t>
      </w:r>
    </w:p>
    <w:p>
      <w:pPr>
        <w:pStyle w:val="Heading6"/>
      </w:pPr>
      <w:bookmarkStart w:id="513" w:name="_Toc194"/>
      <w:r>
        <w:t>[بيان تفصيل صاحب الفصول (رحمة الله‌علیه) بین متعلّق الأمر والطلب]</w:t>
      </w:r>
      <w:bookmarkEnd w:id="513"/>
    </w:p>
    <w:p>
      <w:pPr>
        <w:pStyle w:val="BookText"/>
      </w:pPr>
      <w:r>
        <w:rPr>
          <w:rFonts w:ascii="IRNazanin" w:hAnsi="IRNazanin" w:eastAsia="IRNazanin" w:cs="IRNazanin"/>
          <w:lang w:bidi="fa-IR"/>
          <w:color w:val="111111"/>
          <w:sz w:val="28"/>
          <w:szCs w:val="28"/>
          <w:rtl/>
        </w:rPr>
        <w:t xml:space="preserve">ثمّ إنّ لصاحب الفصول في هذا المقام تفصيلاً بين متعلّق الأمر والطّلب فجعل الأوّل کلّياً والثاني فرداً على بعض الوجوه الّذي هو مختاره.</w:t>
      </w:r>
    </w:p>
    <w:p>
      <w:pPr>
        <w:pStyle w:val="BookText"/>
      </w:pPr>
      <w:r>
        <w:rPr>
          <w:rFonts w:ascii="IRNazanin" w:hAnsi="IRNazanin" w:eastAsia="IRNazanin" w:cs="IRNazanin"/>
          <w:lang w:bidi="fa-IR"/>
          <w:color w:val="111111"/>
          <w:sz w:val="28"/>
          <w:szCs w:val="28"/>
          <w:rtl/>
        </w:rPr>
        <w:t xml:space="preserve">فإنّه ذكر ما محصّله بعد مقدّمة مطويّة: هي أنّه لا بدّ من اعتبار الوجود في الأمر والعدم في النّهي وإلّا فلو جعل الأمر عبارة عن طلب الماهيّة لم يفارق النهي؛ حيث إنّه أیضاً طلب وأیضاً لا معنى لطلب نفس الطّبيعة مع قطع النظر عن الوجود؛ لأنّه لا حسن فيها إلّا من حيث الوجود وإلّا لزم كفاية تصوّرها في مقام الامتثال وهو باطل</w:t>
      </w:r>
      <w:r>
        <w:rPr>
          <w:rStyle w:val="FootnoteReference"/>
        </w:rPr>
        <w:footnoteReference w:id="732"/>
      </w:r>
      <w:r>
        <w:rPr>
          <w:rFonts w:ascii="IRNazanin" w:hAnsi="IRNazanin" w:eastAsia="IRNazanin" w:cs="IRNazanin"/>
          <w:lang w:bidi="fa-IR"/>
          <w:color w:val="111111"/>
          <w:sz w:val="28"/>
          <w:szCs w:val="28"/>
          <w:rtl/>
        </w:rPr>
        <w:t xml:space="preserve">إذ</w:t>
      </w:r>
      <w:r>
        <w:rPr>
          <w:rStyle w:val="FootnoteReference"/>
        </w:rPr>
        <w:footnoteReference w:id="733"/>
      </w:r>
      <w:r>
        <w:rPr>
          <w:rFonts w:ascii="Amiri" w:hAnsi="Amiri" w:eastAsia="Amiri" w:cs="Amiri"/>
          <w:lang w:bidi="ar-SA"/>
          <w:color w:val="111111"/>
          <w:sz w:val="28"/>
          <w:szCs w:val="28"/>
          <w:rtl/>
        </w:rPr>
        <w:t xml:space="preserve">الوجود إمّا أن يعتبر في المعنى الهيئي للأمر ويقال: إنّه دالّ بهيئته على طلب الإيجاد وإمّا أن يعتبر في المادّة ويقال: إنّه دالّ على طلب الماهيّة المقيّدة بالوجود الخارجي أو الماهيّة الخارجيّة.</w:t>
      </w:r>
    </w:p>
    <w:p>
      <w:pPr>
        <w:pStyle w:val="BookText"/>
      </w:pPr>
      <w:r>
        <w:rPr>
          <w:rFonts w:ascii="Amiri" w:hAnsi="Amiri" w:eastAsia="Amiri" w:cs="Amiri"/>
          <w:lang w:bidi="ar-SA"/>
          <w:color w:val="111111"/>
          <w:sz w:val="28"/>
          <w:szCs w:val="28"/>
          <w:rtl/>
        </w:rPr>
        <w:t xml:space="preserve">والفرق بينهما أي بين الماهيّة المقيّدة والماهيّة الخارجيّة بالإجمال والتّفصيل في لحاظ القيد والمقيّد.</w:t>
      </w:r>
    </w:p>
    <w:p>
      <w:pPr>
        <w:pStyle w:val="BookText"/>
      </w:pPr>
      <w:r>
        <w:rPr>
          <w:rFonts w:ascii="Amiri" w:hAnsi="Amiri" w:eastAsia="Amiri" w:cs="Amiri"/>
          <w:lang w:bidi="ar-SA"/>
          <w:color w:val="111111"/>
          <w:sz w:val="28"/>
          <w:szCs w:val="28"/>
          <w:rtl/>
        </w:rPr>
        <w:t xml:space="preserve">فعلى الأوّل أعني اعتباره في المعنى الهيئي يكون متعلّق الأمر الّذي هو بمعنى طلب الإيجاد</w:t>
      </w:r>
      <w:r>
        <w:rPr>
          <w:rStyle w:val="FootnoteReference"/>
        </w:rPr>
        <w:footnoteReference w:id="734"/>
      </w:r>
      <w:r>
        <w:rPr>
          <w:rFonts w:ascii="IRNazanin" w:hAnsi="IRNazanin" w:eastAsia="IRNazanin" w:cs="IRNazanin"/>
          <w:lang w:bidi="fa-IR"/>
          <w:color w:val="111111"/>
          <w:sz w:val="28"/>
          <w:szCs w:val="28"/>
          <w:rtl/>
        </w:rPr>
        <w:t xml:space="preserve">الماهيّة الکلّيّة ولا يمكن أن يكون هو الفرد وإلّا لزم تحصيل الحاصل؛ لأنّ فرديّة الطّبيعة إنّما هي بانضمام الوجود إليها؛ إذ الطّبائع بأسرها کلّيات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ولايتحصّل من انضمام کلّي إلى آخر إلّا کلّي ثالث متعلّق</w:t>
      </w:r>
      <w:r>
        <w:rPr>
          <w:rStyle w:val="FootnoteReference"/>
        </w:rPr>
        <w:footnoteReference w:id="735"/>
      </w:r>
      <w:r>
        <w:rPr>
          <w:rFonts w:ascii="Amiri" w:hAnsi="Amiri" w:eastAsia="Amiri" w:cs="Amiri"/>
          <w:lang w:bidi="ar-SA"/>
          <w:color w:val="111111"/>
          <w:sz w:val="28"/>
          <w:szCs w:val="28"/>
          <w:rtl/>
        </w:rPr>
        <w:t xml:space="preserve">الأمر بالفرد على الحقيقة يؤدّي إلى ما ذكر.</w:t>
      </w:r>
    </w:p>
    <w:p>
      <w:pPr>
        <w:pStyle w:val="BookText"/>
      </w:pPr>
      <w:r>
        <w:rPr>
          <w:rFonts w:ascii="Amiri" w:hAnsi="Amiri" w:eastAsia="Amiri" w:cs="Amiri"/>
          <w:lang w:bidi="ar-SA"/>
          <w:color w:val="111111"/>
          <w:sz w:val="28"/>
          <w:szCs w:val="28"/>
          <w:rtl/>
        </w:rPr>
        <w:t xml:space="preserve">ولو جعل المتعلّق ما يكون فرداً بعد انضمام الوجود فهو التزام في الحقيقةبتعلّقه بنفس الطبيعة؛ لأنّ المفروض أنّه لم يصر فرداً بعدُ وأنّما يكون كذلك بعد الوجود.</w:t>
      </w:r>
    </w:p>
    <w:p>
      <w:pPr>
        <w:pStyle w:val="BookText"/>
      </w:pPr>
      <w:r>
        <w:rPr>
          <w:rFonts w:ascii="IRNazanin" w:hAnsi="IRNazanin" w:eastAsia="IRNazanin" w:cs="IRNazanin"/>
          <w:lang w:bidi="fa-IR"/>
          <w:color w:val="111111"/>
          <w:sz w:val="28"/>
          <w:szCs w:val="28"/>
          <w:rtl/>
        </w:rPr>
        <w:t xml:space="preserve">وأمّا متعلّق الطّلب فالمفروض أنّه الإيجاد حيث قلنا: إنّ الأمر طلب الإيجاد؛ إذ الطّلب حینئذٍ جزء المدلول الهيئي للأمر مضافاً إلى جزئه الآخر ومتعلّقاً به وهو الإيجاد وهو عين الوجود والتغاير بالاعتبار والوجودات متباينة الحقائق ولا جامع بينها متحقّقاً في الخارج حتّى يقال: إنّ الطّلب تعلّق بکلّي الوجود.</w:t>
      </w:r>
    </w:p>
    <w:p>
      <w:pPr>
        <w:pStyle w:val="BookText"/>
      </w:pPr>
      <w:r>
        <w:rPr>
          <w:rFonts w:ascii="IRNazanin" w:hAnsi="IRNazanin" w:eastAsia="IRNazanin" w:cs="IRNazanin"/>
          <w:lang w:bidi="fa-IR"/>
          <w:color w:val="111111"/>
          <w:sz w:val="28"/>
          <w:szCs w:val="28"/>
          <w:rtl/>
        </w:rPr>
        <w:t xml:space="preserve">نعم الوجود المفهومي قدر مشترك بينها لكنّه أمر انتزاعي لا حقیقة له في الخارج وليست الوجودات أفراداً لهذا المفهوم بل مصاديقه وإنّما أفراده المفاهيم الموجودة في أذهان الذاهنين.</w:t>
      </w:r>
    </w:p>
    <w:p>
      <w:pPr>
        <w:pStyle w:val="BookText"/>
      </w:pPr>
      <w:r>
        <w:rPr>
          <w:rFonts w:ascii="Amiri" w:hAnsi="Amiri" w:eastAsia="Amiri" w:cs="Amiri"/>
          <w:lang w:bidi="ar-SA"/>
          <w:color w:val="111111"/>
          <w:sz w:val="28"/>
          <w:szCs w:val="28"/>
          <w:rtl/>
        </w:rPr>
        <w:t xml:space="preserve">فعلى هذا، الطلب لا يتعلّق بهذا المفهوم؛ لأنّه انتزاعي وليس مورداً للمصلحة والمفسدة بل يجعل آلة لملاحظة الوجودات الخارجيّة المتباينة ويعلّق الطّلب عليها.</w:t>
      </w:r>
    </w:p>
    <w:p>
      <w:pPr>
        <w:pStyle w:val="BookText"/>
      </w:pPr>
      <w:r>
        <w:rPr>
          <w:rFonts w:ascii="Amiri" w:hAnsi="Amiri" w:eastAsia="Amiri" w:cs="Amiri"/>
          <w:lang w:bidi="ar-SA"/>
          <w:color w:val="111111"/>
          <w:sz w:val="28"/>
          <w:szCs w:val="28"/>
          <w:rtl/>
        </w:rPr>
        <w:t xml:space="preserve">وعلى الثاني أعني اعتباره في المادّة يكون المعنى الهيئي عين الطّلب ويكون متعلّقهما أي الأمر والطّلب هو الطّبيعة المقيّدة مع دخول التّقييد وخروج القيد.</w:t>
      </w:r>
    </w:p>
    <w:p>
      <w:pPr>
        <w:pStyle w:val="BookText"/>
      </w:pPr>
      <w:r>
        <w:rPr>
          <w:rFonts w:ascii="IRNazanin" w:hAnsi="IRNazanin" w:eastAsia="IRNazanin" w:cs="IRNazanin"/>
          <w:lang w:bidi="fa-IR"/>
          <w:color w:val="111111"/>
          <w:sz w:val="28"/>
          <w:szCs w:val="28"/>
          <w:rtl/>
        </w:rPr>
        <w:t xml:space="preserve">وحینئذٍ فإن قلنا: إنّ الفرد عبارة عن ذلك كان المتعلّق لهما هوالفرد.</w:t>
      </w:r>
    </w:p>
    <w:p>
      <w:pPr>
        <w:pStyle w:val="BookText"/>
      </w:pPr>
      <w:r>
        <w:rPr>
          <w:rFonts w:ascii="Amiri" w:hAnsi="Amiri" w:eastAsia="Amiri" w:cs="Amiri"/>
          <w:lang w:bidi="ar-SA"/>
          <w:color w:val="111111"/>
          <w:sz w:val="28"/>
          <w:szCs w:val="28"/>
          <w:rtl/>
        </w:rPr>
        <w:t xml:space="preserve">وإن قلنا: إنّ الفرد هو الطّبيعة المقيّدة مع دخول التقييد والقيد بمعنى المجموع المركّب فمتعلّقهما ليس فرداً؛ لأنّ المفروض خروج القيد من</w:t>
      </w:r>
      <w:r>
        <w:rPr>
          <w:rStyle w:val="FootnoteReference"/>
        </w:rPr>
        <w:footnoteReference w:id="736"/>
      </w:r>
      <w:r>
        <w:rPr>
          <w:rFonts w:ascii="IRNazanin" w:hAnsi="IRNazanin" w:eastAsia="IRNazanin" w:cs="IRNazanin"/>
          <w:lang w:bidi="fa-IR"/>
          <w:color w:val="111111"/>
          <w:sz w:val="28"/>
          <w:szCs w:val="28"/>
          <w:rtl/>
        </w:rPr>
        <w:t xml:space="preserve">المتعلّق ودخوله في الفرد ولا طبيعة لأنّ المفروض اعتبارها مقيّدة بالوجود الخارجي فيكون أمراً ثالثاً غير الکلّي وغير الفرد وحيث إنّ التحقیق أنّ الأمر طلب الإيجاد بمعنى أنّ الإيجاد معتبر في المعنى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2" w:name="pg6784_51237"/>
    <w:bookmarkEnd w:id="112"/>
    <w:p>
      <w:pPr>
        <w:pStyle w:val="BookText"/>
      </w:pPr>
      <w:r>
        <w:rPr>
          <w:rFonts w:ascii="Amiri" w:hAnsi="Amiri" w:eastAsia="Amiri" w:cs="Amiri"/>
          <w:lang w:bidi="ar-SA"/>
          <w:color w:val="111111"/>
          <w:sz w:val="28"/>
          <w:szCs w:val="28"/>
          <w:rtl/>
        </w:rPr>
        <w:t xml:space="preserve">الهيئي للأمر فيختلف متعلّق الطّلب والأمر حسبما عرفت.</w:t>
      </w:r>
      <w:r>
        <w:rPr>
          <w:rStyle w:val="FootnoteReference"/>
        </w:rPr>
        <w:footnoteReference w:id="737"/>
      </w:r>
    </w:p>
    <w:p>
      <w:pPr>
        <w:pStyle w:val="Heading6"/>
      </w:pPr>
      <w:bookmarkStart w:id="514" w:name="_Toc195"/>
      <w:r>
        <w:t>[إیرادات على رأي صاحب الفصول (رحمة الله‌علیه)]</w:t>
      </w:r>
      <w:bookmarkEnd w:id="514"/>
    </w:p>
    <w:p>
      <w:pPr>
        <w:pStyle w:val="Heading6"/>
      </w:pPr>
      <w:bookmarkStart w:id="515" w:name="_Toc196"/>
      <w:r>
        <w:t>اشارة</w:t>
      </w:r>
      <w:bookmarkEnd w:id="515"/>
    </w:p>
    <w:p>
      <w:pPr>
        <w:pStyle w:val="BookText"/>
      </w:pPr>
      <w:r>
        <w:rPr>
          <w:rFonts w:ascii="IRNazanin" w:hAnsi="IRNazanin" w:eastAsia="IRNazanin" w:cs="IRNazanin"/>
          <w:lang w:bidi="fa-IR"/>
          <w:color w:val="111111"/>
          <w:sz w:val="28"/>
          <w:szCs w:val="28"/>
          <w:rtl/>
        </w:rPr>
        <w:t xml:space="preserve">قلت: في کلامه نظر من وجوه:</w:t>
      </w:r>
    </w:p>
    <w:p>
      <w:pPr>
        <w:pStyle w:val="Heading6"/>
      </w:pPr>
      <w:bookmarkStart w:id="516" w:name="_Toc197"/>
      <w:r>
        <w:t>[الإیراد الأوّل على کلام صاحب الفصول (رحمة الله‌علیه)]</w:t>
      </w:r>
      <w:bookmarkEnd w:id="516"/>
    </w:p>
    <w:p>
      <w:pPr>
        <w:pStyle w:val="BookText"/>
      </w:pPr>
      <w:r>
        <w:rPr>
          <w:rFonts w:ascii="Amiri" w:hAnsi="Amiri" w:eastAsia="Amiri" w:cs="Amiri"/>
          <w:lang w:bidi="ar-SA"/>
          <w:color w:val="111111"/>
          <w:sz w:val="28"/>
          <w:szCs w:val="28"/>
          <w:rtl/>
        </w:rPr>
        <w:t xml:space="preserve">أحدها: أنّا لا نسلّم اعتبار الوجود في متعلّق الطلب حسبما ذكره حتّى يكون الفرق بين الأمر والنّهي هو اعتبار الوجود في متعلّق الأوّل والعدم في متعلّق الثاني بعد اشتراكهما في كونهما طلبين.</w:t>
      </w:r>
    </w:p>
    <w:p>
      <w:pPr>
        <w:pStyle w:val="BookText"/>
      </w:pPr>
      <w:r>
        <w:rPr>
          <w:rFonts w:ascii="IRNazanin" w:hAnsi="IRNazanin" w:eastAsia="IRNazanin" w:cs="IRNazanin"/>
          <w:lang w:bidi="fa-IR"/>
          <w:color w:val="111111"/>
          <w:sz w:val="28"/>
          <w:szCs w:val="28"/>
          <w:rtl/>
        </w:rPr>
        <w:t xml:space="preserve">بل نقول: معنى الأمر طلب الماهيّة من حيث هي والوجود معتبر في حقیقة الطّلب؛ إذ هو عبارة عن حبّ وجود الشي‌ء وإيجاده.</w:t>
      </w:r>
    </w:p>
    <w:p>
      <w:pPr>
        <w:pStyle w:val="BookText"/>
      </w:pPr>
      <w:r>
        <w:rPr>
          <w:rFonts w:ascii="Amiri" w:hAnsi="Amiri" w:eastAsia="Amiri" w:cs="Amiri"/>
          <w:lang w:bidi="ar-SA"/>
          <w:color w:val="111111"/>
          <w:sz w:val="28"/>
          <w:szCs w:val="28"/>
          <w:rtl/>
        </w:rPr>
        <w:t xml:space="preserve">فإذا تعلّق هذا الأمر البسيط الخارجي الّذي هو</w:t>
      </w:r>
      <w:r>
        <w:rPr>
          <w:rStyle w:val="FootnoteReference"/>
        </w:rPr>
        <w:footnoteReference w:id="738"/>
      </w:r>
      <w:r>
        <w:rPr>
          <w:rFonts w:ascii="IRNazanin" w:hAnsi="IRNazanin" w:eastAsia="IRNazanin" w:cs="IRNazanin"/>
          <w:lang w:bidi="fa-IR"/>
          <w:color w:val="111111"/>
          <w:sz w:val="28"/>
          <w:szCs w:val="28"/>
          <w:rtl/>
        </w:rPr>
        <w:t xml:space="preserve">في التّحليل عبارة عمّا ذكر بالماهيّة من حيث هي أفاد مطلوبیّتها من حيث الوجود والحيثيّة معتبرة في حقیقته والتّعبير من ضيق العبارة فليس الطّلب نظير الحبّ حيث إنّه قد يتعلّق بالماهيّة بلحاظ وجودها وقد يتعلّق بها بلحاظ عدمها وقد يتعلّق بها من حيث هي فيفيد في هذه الصّورة محبوبيّة نفسها في مرتبتها مع قطع النّظر عن الوجود الذّهني والخارجي والعدم نظير القضايا الطّبيعيّة</w:t>
      </w:r>
      <w:r>
        <w:rPr>
          <w:rStyle w:val="FootnoteReference"/>
        </w:rPr>
        <w:footnoteReference w:id="739"/>
      </w:r>
      <w:r>
        <w:rPr>
          <w:rFonts w:ascii="Amiri" w:hAnsi="Amiri" w:eastAsia="Amiri" w:cs="Amiri"/>
          <w:lang w:bidi="ar-SA"/>
          <w:color w:val="111111"/>
          <w:sz w:val="28"/>
          <w:szCs w:val="28"/>
          <w:rtl/>
        </w:rPr>
        <w:t xml:space="preserve">كقولك: «الرّجل خير من المرأة» فإنّ هذا المعنى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ولو لم يكن في الدّنيا رجل وامرأة أو كان جميع أفراد المرأة خيراً</w:t>
      </w:r>
      <w:r>
        <w:rPr>
          <w:rStyle w:val="FootnoteReference"/>
        </w:rPr>
        <w:footnoteReference w:id="740"/>
      </w:r>
      <w:r>
        <w:rPr>
          <w:rFonts w:ascii="IRNazanin" w:hAnsi="IRNazanin" w:eastAsia="IRNazanin" w:cs="IRNazanin"/>
          <w:lang w:bidi="fa-IR"/>
          <w:color w:val="111111"/>
          <w:sz w:val="28"/>
          <w:szCs w:val="28"/>
          <w:rtl/>
        </w:rPr>
        <w:t xml:space="preserve">من أفراد الرّجل.</w:t>
      </w:r>
    </w:p>
    <w:p>
      <w:pPr>
        <w:pStyle w:val="BookText"/>
      </w:pPr>
      <w:r>
        <w:rPr>
          <w:rFonts w:ascii="IRNazanin" w:hAnsi="IRNazanin" w:eastAsia="IRNazanin" w:cs="IRNazanin"/>
          <w:lang w:bidi="fa-IR"/>
          <w:color w:val="111111"/>
          <w:sz w:val="28"/>
          <w:szCs w:val="28"/>
          <w:rtl/>
        </w:rPr>
        <w:t xml:space="preserve">والحاصل: أنّ تعليق الحبّ على الطّبيعة من حيث هي لا بلحاظ الوجود والعدم معقول ويفيد حسنها ومحبوبيّتها في حدّ نفسها وأمّا تعليق الطّلب عليها فلا معنى له إلّا إفادة محبوبيّة وجودها ولا يعقل بدون ذلك ولو لم یکن الوجود معتبراً في حقیقته أمكن أن يطلب الماهيّة من حيث هي مع عدم إفادة إرادة الوجود الذّهني أو الخارجي مع أنّه غير معقول.</w:t>
      </w:r>
    </w:p>
    <w:p>
      <w:pPr>
        <w:pStyle w:val="BookText"/>
      </w:pPr>
      <w:r>
        <w:rPr>
          <w:rFonts w:ascii="IRNazanin" w:hAnsi="IRNazanin" w:eastAsia="IRNazanin" w:cs="IRNazanin"/>
          <w:lang w:bidi="fa-IR"/>
          <w:color w:val="111111"/>
          <w:sz w:val="28"/>
          <w:szCs w:val="28"/>
          <w:rtl/>
        </w:rPr>
        <w:t xml:space="preserve">والفرق بين الأمر والنّهي على ما ذكرنا هو أنّ الأمر طلب الماهيّة والنّهي منعهوالأوّل من مقولة الإرادة والثاني من مقولة الكراهة وکلاهما متعلّقان بالوجود ويؤيّد ذلك أنّ الأمر والنّهي كالإرادة والكراهة ضدّان بلحاظ نفسهما لا من</w:t>
      </w:r>
      <w:r>
        <w:rPr>
          <w:rStyle w:val="FootnoteReference"/>
        </w:rPr>
        <w:footnoteReference w:id="741"/>
      </w:r>
      <w:r>
        <w:rPr>
          <w:rFonts w:ascii="Amiri" w:hAnsi="Amiri" w:eastAsia="Amiri" w:cs="Amiri"/>
          <w:lang w:bidi="ar-SA"/>
          <w:color w:val="111111"/>
          <w:sz w:val="28"/>
          <w:szCs w:val="28"/>
          <w:rtl/>
        </w:rPr>
        <w:t xml:space="preserve">حيث متعلّقهما ولو كانا مشتركين في الطّلب.</w:t>
      </w:r>
    </w:p>
    <w:p>
      <w:pPr>
        <w:pStyle w:val="BookText"/>
      </w:pPr>
      <w:r>
        <w:rPr>
          <w:rFonts w:ascii="Amiri" w:hAnsi="Amiri" w:eastAsia="Amiri" w:cs="Amiri"/>
          <w:lang w:bidi="ar-SA"/>
          <w:color w:val="111111"/>
          <w:sz w:val="28"/>
          <w:szCs w:val="28"/>
          <w:rtl/>
        </w:rPr>
        <w:t xml:space="preserve">وكان الفرق بما ذكره من كون المتعلّق هو الوجود في الأوّل والعدم في الثاني لم يكونا ضدّين إلّا بلحاظ المتعلّق ومن المعلوم أنّ الإرادة والكراهة ليستا من قبيل إرادة وجود الرّجل وإرادة وجود المرأة في كون تغايرهما بلحاظ تغاير المتعلّق.</w:t>
      </w:r>
    </w:p>
    <w:p>
      <w:pPr>
        <w:pStyle w:val="BookText"/>
      </w:pPr>
      <w:r>
        <w:rPr>
          <w:rFonts w:ascii="Amiri" w:hAnsi="Amiri" w:eastAsia="Amiri" w:cs="Amiri"/>
          <w:lang w:bidi="ar-SA"/>
          <w:color w:val="111111"/>
          <w:sz w:val="28"/>
          <w:szCs w:val="28"/>
          <w:rtl/>
        </w:rPr>
        <w:t xml:space="preserve">وعلى ما ذكرنا فلا وجه لما ذكره من أنّ الأمر هو طلب إيجاد الماهيّة أو طلب الماهيّة</w:t>
      </w:r>
      <w:r>
        <w:rPr>
          <w:rStyle w:val="FootnoteReference"/>
        </w:rPr>
        <w:footnoteReference w:id="742"/>
      </w:r>
      <w:r>
        <w:rPr>
          <w:rFonts w:ascii="Amiri" w:hAnsi="Amiri" w:eastAsia="Amiri" w:cs="Amiri"/>
          <w:lang w:bidi="ar-SA"/>
          <w:color w:val="111111"/>
          <w:sz w:val="28"/>
          <w:szCs w:val="28"/>
          <w:rtl/>
        </w:rPr>
        <w:t xml:space="preserve">المقيّدة بالوجود الخارجي؛ إذ قد عرفت أنّه عبارة عن طلب الماهيّة من حيث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3" w:name="pg6784_51239"/>
    <w:bookmarkEnd w:id="113"/>
    <w:p>
      <w:pPr>
        <w:pStyle w:val="BookText"/>
      </w:pPr>
      <w:r>
        <w:rPr>
          <w:rFonts w:ascii="Amiri" w:hAnsi="Amiri" w:eastAsia="Amiri" w:cs="Amiri"/>
          <w:lang w:bidi="ar-SA"/>
          <w:color w:val="111111"/>
          <w:sz w:val="28"/>
          <w:szCs w:val="28"/>
          <w:rtl/>
        </w:rPr>
        <w:t xml:space="preserve">هي فيكون متعلّق الأمر والطّلب کلیهما کلّياً.</w:t>
      </w:r>
    </w:p>
    <w:p>
      <w:pPr>
        <w:pStyle w:val="BookText"/>
      </w:pPr>
      <w:r>
        <w:rPr>
          <w:rFonts w:ascii="IRNazanin" w:hAnsi="IRNazanin" w:eastAsia="IRNazanin" w:cs="IRNazanin"/>
          <w:lang w:bidi="fa-IR"/>
          <w:color w:val="111111"/>
          <w:sz w:val="28"/>
          <w:szCs w:val="28"/>
          <w:rtl/>
        </w:rPr>
        <w:t xml:space="preserve">ولو تنزّلنا عمّا ذكرنا من كون الوجود معتبراً في حقیقة الطّلب نقول: هنا شق آخر وهو أن يقال: إنّ الأمر طلب الماهيّة من حيث الوجود بأن يكون الوجود معتبراً في تعلّق الطّلب بالماهيّة لا في المعنى الهيئي ولا المادّي وإن کان في اللّب راجعاً إلى اعتباره في المتعلّق.</w:t>
      </w:r>
    </w:p>
    <w:p>
      <w:pPr>
        <w:pStyle w:val="Heading6"/>
      </w:pPr>
      <w:bookmarkStart w:id="517" w:name="_Toc198"/>
      <w:r>
        <w:t>[الإیراد الثاني على کلام صاحب الفصول]</w:t>
      </w:r>
      <w:bookmarkEnd w:id="517"/>
    </w:p>
    <w:p>
      <w:pPr>
        <w:pStyle w:val="BookText"/>
      </w:pPr>
      <w:r>
        <w:rPr>
          <w:rFonts w:ascii="Amiri" w:hAnsi="Amiri" w:eastAsia="Amiri" w:cs="Amiri"/>
          <w:lang w:bidi="ar-SA"/>
          <w:color w:val="111111"/>
          <w:sz w:val="28"/>
          <w:szCs w:val="28"/>
          <w:rtl/>
        </w:rPr>
        <w:t xml:space="preserve">الثاني: أنّ ما ذكره من أنّه بناءً على كون معنى الأمر طلب الإيجاد لا يعقل كون متعلّقه الفرد للزوم تحصيل الحاصل؛</w:t>
      </w:r>
    </w:p>
    <w:p>
      <w:pPr>
        <w:pStyle w:val="BookText"/>
      </w:pPr>
      <w:r>
        <w:rPr>
          <w:rFonts w:ascii="Amiri" w:hAnsi="Amiri" w:eastAsia="Amiri" w:cs="Amiri"/>
          <w:lang w:bidi="ar-SA"/>
          <w:color w:val="111111"/>
          <w:sz w:val="28"/>
          <w:szCs w:val="28"/>
          <w:rtl/>
        </w:rPr>
        <w:t xml:space="preserve">فيه: أنّه إن أراد كونه تحصيلاً للحاصل من جهة أنّ الفرد لا يصير فرداً إلّا بعد الوجود فهو ممنوع؛ إذ لا نقول: إنّ الأمر تعلّق به بعد وجوده.</w:t>
      </w:r>
    </w:p>
    <w:p>
      <w:pPr>
        <w:pStyle w:val="BookText"/>
      </w:pPr>
      <w:r>
        <w:rPr>
          <w:rFonts w:ascii="IRNazanin" w:hAnsi="IRNazanin" w:eastAsia="IRNazanin" w:cs="IRNazanin"/>
          <w:lang w:bidi="fa-IR"/>
          <w:color w:val="111111"/>
          <w:sz w:val="28"/>
          <w:szCs w:val="28"/>
          <w:rtl/>
        </w:rPr>
        <w:t xml:space="preserve">بل نقول: إنّه تصوّر الفرد الخارجي وأمر بإيجاده ودعوى أنّه ما لم ينضمّ إليه الوجود الخارجي لا يصير فرداً فما دام في الذّهن فهو کلّي ممنوعة</w:t>
      </w:r>
      <w:r>
        <w:rPr>
          <w:rStyle w:val="FootnoteReference"/>
        </w:rPr>
        <w:footnoteReference w:id="743"/>
      </w:r>
    </w:p>
    <w:p>
      <w:pPr>
        <w:pStyle w:val="BookText"/>
      </w:pPr>
      <w:r>
        <w:rPr>
          <w:rFonts w:ascii="Amiri" w:hAnsi="Amiri" w:eastAsia="Amiri" w:cs="Amiri"/>
          <w:lang w:bidi="ar-SA"/>
          <w:color w:val="111111"/>
          <w:sz w:val="28"/>
          <w:szCs w:val="28"/>
          <w:rtl/>
        </w:rPr>
        <w:t xml:space="preserve">كيف ونحن نرى بالوجدان أنّا نتصوّر زيداً وعمرواً ويكون هذا الموجود في الذّهن جزئياً.غاية الأمر أنّ الآمر يتصوّر الأفراد الجزئيّة قبل وجودها بالتّصوّر الإجمالي ولايعقل التفصيلي إلّا في حقّ الله تعالى.</w:t>
      </w:r>
    </w:p>
    <w:p>
      <w:pPr>
        <w:pStyle w:val="BookText"/>
      </w:pPr>
      <w:r>
        <w:rPr>
          <w:rFonts w:ascii="IRNazanin" w:hAnsi="IRNazanin" w:eastAsia="IRNazanin" w:cs="IRNazanin"/>
          <w:lang w:bidi="fa-IR"/>
          <w:color w:val="111111"/>
          <w:sz w:val="28"/>
          <w:szCs w:val="28"/>
          <w:rtl/>
        </w:rPr>
        <w:t xml:space="preserve">هذا مع أنّه لو كان الأمر كذلك لم يعقل تعلّق الطلب أیضاً بالأفراد؛ لأنّه طلب للحاصل.</w:t>
      </w:r>
    </w:p>
    <w:p>
      <w:pPr>
        <w:pStyle w:val="BookText"/>
      </w:pPr>
      <w:r>
        <w:rPr>
          <w:rFonts w:ascii="Amiri" w:hAnsi="Amiri" w:eastAsia="Amiri" w:cs="Amiri"/>
          <w:lang w:bidi="ar-SA"/>
          <w:color w:val="111111"/>
          <w:sz w:val="28"/>
          <w:szCs w:val="28"/>
          <w:rtl/>
        </w:rPr>
        <w:t xml:space="preserve">وإن أراد من تحصيل الحاصل أنّه يلزم تكرار لحاظ الوجود حيث إنّه اعتبر في المعنى الهيئي وفي المادة ولا حاجة إليه؛ لأنّه إذا قيل: إنّ الأمر طلب الإيجاد فيكفيه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التعلّق بالماهيّة وإذا جعل متعلّقاً بالفرد فكأنّه طلب إيجاد الماهيّة</w:t>
      </w:r>
      <w:r>
        <w:rPr>
          <w:rStyle w:val="FootnoteReference"/>
        </w:rPr>
        <w:footnoteReference w:id="744"/>
      </w:r>
      <w:r>
        <w:rPr>
          <w:rFonts w:ascii="Amiri" w:hAnsi="Amiri" w:eastAsia="Amiri" w:cs="Amiri"/>
          <w:lang w:bidi="ar-SA"/>
          <w:color w:val="111111"/>
          <w:sz w:val="28"/>
          <w:szCs w:val="28"/>
          <w:rtl/>
        </w:rPr>
        <w:t xml:space="preserve">الموجودة؛</w:t>
      </w:r>
    </w:p>
    <w:p>
      <w:pPr>
        <w:pStyle w:val="BookText"/>
      </w:pPr>
      <w:r>
        <w:rPr>
          <w:rFonts w:ascii="Amiri" w:hAnsi="Amiri" w:eastAsia="Amiri" w:cs="Amiri"/>
          <w:lang w:bidi="ar-SA"/>
          <w:color w:val="111111"/>
          <w:sz w:val="28"/>
          <w:szCs w:val="28"/>
          <w:rtl/>
        </w:rPr>
        <w:t xml:space="preserve">فيرد</w:t>
      </w:r>
      <w:r>
        <w:rPr>
          <w:rStyle w:val="FootnoteReference"/>
        </w:rPr>
        <w:footnoteReference w:id="745"/>
      </w:r>
      <w:r>
        <w:rPr>
          <w:rFonts w:ascii="Amiri" w:hAnsi="Amiri" w:eastAsia="Amiri" w:cs="Amiri"/>
          <w:lang w:bidi="ar-SA"/>
          <w:color w:val="111111"/>
          <w:sz w:val="28"/>
          <w:szCs w:val="28"/>
          <w:rtl/>
        </w:rPr>
        <w:t xml:space="preserve">عليه أنّه يلزم ذلك لو لوحظ الفرد الّذي هو المتعلّق بلحاظ أنّه ماهيّة موجودة وأمّا لو لوحظ لا بلحاظ وجوده بل بلحاظ سائر العوارض المشخّصة فلا.</w:t>
      </w:r>
    </w:p>
    <w:p>
      <w:pPr>
        <w:pStyle w:val="BookText"/>
      </w:pPr>
      <w:r>
        <w:rPr>
          <w:rFonts w:ascii="Amiri" w:hAnsi="Amiri" w:eastAsia="Amiri" w:cs="Amiri"/>
          <w:lang w:bidi="ar-SA"/>
          <w:color w:val="111111"/>
          <w:sz w:val="28"/>
          <w:szCs w:val="28"/>
          <w:rtl/>
        </w:rPr>
        <w:t xml:space="preserve">وهي وإن كانت مساوقة للوجود في الخارج إلّا أنّ لحاظها غير لحاظ مفهوم الوجود فنقول: يلاحظ الفرد المشخّص الخارجي قبل وجوده ثم يأمر بإيجاده ويطلب وجوده فلا تكرار في لحاظ الوجود ولذا يصحّ أن يقال: «أوجد واحداً من أفراد الماهيّة الفلانيّة»، من دون محذور.</w:t>
      </w:r>
    </w:p>
    <w:p>
      <w:pPr>
        <w:pStyle w:val="BookText"/>
      </w:pPr>
      <w:r>
        <w:rPr>
          <w:rFonts w:ascii="IRNazanin" w:hAnsi="IRNazanin" w:eastAsia="IRNazanin" w:cs="IRNazanin"/>
          <w:lang w:bidi="fa-IR"/>
          <w:color w:val="111111"/>
          <w:sz w:val="28"/>
          <w:szCs w:val="28"/>
          <w:rtl/>
        </w:rPr>
        <w:t xml:space="preserve">ثمّ إنّه لا إشکال في إمکان الأمر بالنّكرة مع أنّها عنده عبارة عن واحد من المصاديق الغير المعيّنة</w:t>
      </w:r>
      <w:r>
        <w:rPr>
          <w:rStyle w:val="FootnoteReference"/>
        </w:rPr>
        <w:footnoteReference w:id="746"/>
      </w:r>
      <w:r>
        <w:rPr>
          <w:rFonts w:ascii="IRNazanin" w:hAnsi="IRNazanin" w:eastAsia="IRNazanin" w:cs="IRNazanin"/>
          <w:lang w:bidi="fa-IR"/>
          <w:color w:val="111111"/>
          <w:sz w:val="28"/>
          <w:szCs w:val="28"/>
          <w:rtl/>
        </w:rPr>
        <w:t xml:space="preserve">فالأمر تعلّق بالفرد وإلّا لزم كون مفاد النكرة کلّياً أو استعمالها في الکلّي مجازاً في مقام الأوامر.</w:t>
      </w:r>
    </w:p>
    <w:p>
      <w:pPr>
        <w:pStyle w:val="BookText"/>
      </w:pPr>
      <w:r>
        <w:rPr>
          <w:rFonts w:ascii="IRNazanin" w:hAnsi="IRNazanin" w:eastAsia="IRNazanin" w:cs="IRNazanin"/>
          <w:lang w:bidi="fa-IR"/>
          <w:color w:val="111111"/>
          <w:sz w:val="28"/>
          <w:szCs w:val="28"/>
          <w:rtl/>
        </w:rPr>
        <w:t xml:space="preserve">إلّا أن يقال: إنّ متعلّق الأمر ليس هو النّكرة في مثل قوله: «ايتني برجل» بل المتعلّق الإتیان وهو کلّي والکلام فيه لا في مثل رجل وحینئذٍ فينحصر النقض بمثل «أوجد صلاة»مثلاً؛ إذ متعلّق الإيجاد فيه هو الفرد.</w:t>
      </w:r>
    </w:p>
    <w:p>
      <w:pPr>
        <w:pStyle w:val="BookText"/>
      </w:pPr>
      <w:r>
        <w:rPr>
          <w:rFonts w:ascii="IRNazanin" w:hAnsi="IRNazanin" w:eastAsia="IRNazanin" w:cs="IRNazanin"/>
          <w:lang w:bidi="fa-IR"/>
          <w:color w:val="111111"/>
          <w:sz w:val="28"/>
          <w:szCs w:val="28"/>
          <w:rtl/>
        </w:rPr>
        <w:t xml:space="preserve">ولا يمكن أن يقال: إنّ متعلّقه کلّي الإيجاد؛ لأنّه لا کلّي له في الخارج على مذهب صاحب الفصول</w:t>
      </w:r>
      <w:r>
        <w:rPr>
          <w:rStyle w:val="FootnoteReference"/>
        </w:rPr>
        <w:footnoteReference w:id="747"/>
      </w:r>
      <w:r>
        <w:rPr>
          <w:rFonts w:ascii="Amiri" w:hAnsi="Amiri" w:eastAsia="Amiri" w:cs="Amiri"/>
          <w:lang w:bidi="ar-SA"/>
          <w:color w:val="111111"/>
          <w:sz w:val="28"/>
          <w:szCs w:val="28"/>
          <w:rtl/>
        </w:rPr>
        <w:t xml:space="preserve">مع أنّ المعنى الهيئي في هذا الأمر ليس طلب الإيجاد بلالطّلب فقط وإلّا لزم تعلّق الطلب بإيجاد الإيجاد فطلب الإيجاد تعلّق بالفرد وهو صلاة ما.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4" w:name="pg6784_51241"/>
    <w:bookmarkEnd w:id="114"/>
    <w:p>
      <w:pPr>
        <w:pStyle w:val="Heading6"/>
      </w:pPr>
      <w:bookmarkStart w:id="518" w:name="_Toc199"/>
      <w:r>
        <w:t>[الإیراد الثالث على کلام صاحب الفصول]</w:t>
      </w:r>
      <w:bookmarkEnd w:id="518"/>
    </w:p>
    <w:p>
      <w:pPr>
        <w:pStyle w:val="BookText"/>
      </w:pPr>
      <w:r>
        <w:rPr>
          <w:rFonts w:ascii="Amiri" w:hAnsi="Amiri" w:eastAsia="Amiri" w:cs="Amiri"/>
          <w:lang w:bidi="ar-SA"/>
          <w:color w:val="111111"/>
          <w:sz w:val="28"/>
          <w:szCs w:val="28"/>
          <w:rtl/>
        </w:rPr>
        <w:t xml:space="preserve">الثّالث: أنّ ما ذكره من أنّ متعلّق الطّلب هو الإيجاد وهو عين الوجود إلى آخر ما قال؛</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فيه: أنّا ندّعي أنّ الطلب تعلّق بکلّي الإيجاد والوجود وما ذكره من عدم الجامع بين الوجودات وإن کان ممّا ذهب إليه الحكماء بأسرهم؛ إذ هم بين قائل بأصالة الماهيّة وحینئذٍ لا حقیقة للوجود في الخارج بل هو أمر اعتباري صرف وبين قائل بأصالة الوجود لكن بجعله حقیقة واحدة ذات مراتب مقولة عليها بالتّشكيك فيكون حینئذٍ کلّياً بمعنى آخر يعبّر عنه بالکلّي السّعي وبين قائل بأصالة الوجود لكن مع تباين أفراده المجهولة الكنه كما هو مذهب المشّائين.</w:t>
      </w:r>
    </w:p>
    <w:p>
      <w:pPr>
        <w:pStyle w:val="BookText"/>
      </w:pPr>
      <w:r>
        <w:rPr>
          <w:rFonts w:ascii="Amiri" w:hAnsi="Amiri" w:eastAsia="Amiri" w:cs="Amiri"/>
          <w:lang w:bidi="ar-SA"/>
          <w:color w:val="111111"/>
          <w:sz w:val="28"/>
          <w:szCs w:val="28"/>
          <w:rtl/>
        </w:rPr>
        <w:t xml:space="preserve">إلّا أنّ الإنصاف أنّ القول بوحدة الوجود ممّا لا يعقل</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وقال السیّد المصنّف في العروة الوثقى، ج1، ص140 و141:«لا إشكال في نجاسة الغلاة والخوارج والنواصب، وأمّا المجسّمة والمجبّرة والقائلين بوحدة الوجود من الصوفيّة إذا التزموا بأحكام الإسلام فالأقوى عدم نجاستهم، إلّا مع العلم بالتزامهم بلوازم مذاهبهم من المفاسد».</w:t>
      </w:r>
    </w:p>
    <w:p>
      <w:pPr>
        <w:pStyle w:val="BookText"/>
      </w:pPr>
      <w:r>
        <w:rPr>
          <w:rFonts w:ascii="Amiri" w:hAnsi="Amiri" w:eastAsia="Amiri" w:cs="Amiri"/>
          <w:lang w:bidi="ar-SA"/>
          <w:color w:val="111111"/>
          <w:sz w:val="28"/>
          <w:szCs w:val="28"/>
          <w:rtl/>
        </w:rPr>
        <w:t xml:space="preserve">إذ يحتاج إلى تعقّل طور وراء العقل حسبما ذكروه.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القول بالتّباين فهو وإن کان له وجه في بادي الرّأي إلّا أنّا نرى أنّ الوجدان الّذي يشهد بوجود الکلّي الطبيعي من أفراد الماهيّات</w:t>
      </w:r>
      <w:r>
        <w:rPr>
          <w:rStyle w:val="FootnoteReference"/>
        </w:rPr>
        <w:footnoteReference w:id="750"/>
      </w:r>
      <w:r>
        <w:rPr>
          <w:rFonts w:ascii="Amiri" w:hAnsi="Amiri" w:eastAsia="Amiri" w:cs="Amiri"/>
          <w:lang w:bidi="ar-SA"/>
          <w:color w:val="111111"/>
          <w:sz w:val="28"/>
          <w:szCs w:val="28"/>
          <w:rtl/>
        </w:rPr>
        <w:t xml:space="preserve">بملاحظة شركتها في أمر متحقّق خارجي يشهد بمثله</w:t>
      </w:r>
      <w:r>
        <w:rPr>
          <w:rStyle w:val="FootnoteReference"/>
        </w:rPr>
        <w:footnoteReference w:id="751"/>
      </w:r>
      <w:r>
        <w:rPr>
          <w:rFonts w:ascii="Amiri" w:hAnsi="Amiri" w:eastAsia="Amiri" w:cs="Amiri"/>
          <w:lang w:bidi="ar-SA"/>
          <w:color w:val="111111"/>
          <w:sz w:val="28"/>
          <w:szCs w:val="28"/>
          <w:rtl/>
        </w:rPr>
        <w:t xml:space="preserve">بالنّسبة إلى أفراد الوجودات.</w:t>
      </w:r>
    </w:p>
    <w:p>
      <w:pPr>
        <w:pStyle w:val="BookText"/>
      </w:pPr>
      <w:r>
        <w:rPr>
          <w:rFonts w:ascii="Amiri" w:hAnsi="Amiri" w:eastAsia="Amiri" w:cs="Amiri"/>
          <w:lang w:bidi="ar-SA"/>
          <w:color w:val="111111"/>
          <w:sz w:val="28"/>
          <w:szCs w:val="28"/>
          <w:rtl/>
        </w:rPr>
        <w:t xml:space="preserve">فكما أنّا نرى أنّ بين زيد وعمرو من حيث الماهيّة قدراً مشتركاً كذلك نرى بين وجوديهما جامعاً متحقّقاً ولا يلزم كون الوجود قدراً مشتركاً بين جميع الموجودات بأن يكون نوعاً واحداً بل يمكن أن يكون أنواعاً فوجود الإنسان نوع ووجود الحمار نوع آخر.</w:t>
      </w:r>
    </w:p>
    <w:p>
      <w:pPr>
        <w:pStyle w:val="BookText"/>
      </w:pPr>
      <w:r>
        <w:rPr>
          <w:rFonts w:ascii="IRNazanin" w:hAnsi="IRNazanin" w:eastAsia="IRNazanin" w:cs="IRNazanin"/>
          <w:lang w:bidi="fa-IR"/>
          <w:color w:val="111111"/>
          <w:sz w:val="28"/>
          <w:szCs w:val="28"/>
          <w:rtl/>
        </w:rPr>
        <w:t xml:space="preserve">ومرادنا بالنوع الحقيقة الواحدة الکلّيّة وإن لم يكن كأنواع الماهيّات</w:t>
      </w:r>
      <w:r>
        <w:rPr>
          <w:rStyle w:val="FootnoteReference"/>
        </w:rPr>
        <w:footnoteReference w:id="752"/>
      </w:r>
      <w:r>
        <w:rPr>
          <w:rFonts w:ascii="Amiri" w:hAnsi="Amiri" w:eastAsia="Amiri" w:cs="Amiri"/>
          <w:lang w:bidi="ar-SA"/>
          <w:color w:val="111111"/>
          <w:sz w:val="28"/>
          <w:szCs w:val="28"/>
          <w:rtl/>
        </w:rPr>
        <w:t xml:space="preserve">مركباً من جنس وفصل. فتدبّر.</w:t>
      </w:r>
    </w:p>
    <w:p>
      <w:pPr>
        <w:pStyle w:val="BookText"/>
      </w:pPr>
      <w:r>
        <w:rPr>
          <w:rFonts w:ascii="IRNazanin" w:hAnsi="IRNazanin" w:eastAsia="IRNazanin" w:cs="IRNazanin"/>
          <w:lang w:bidi="fa-IR"/>
          <w:color w:val="111111"/>
          <w:sz w:val="28"/>
          <w:szCs w:val="28"/>
          <w:rtl/>
        </w:rPr>
        <w:t xml:space="preserve">وحینئذٍ فنقول</w:t>
      </w:r>
      <w:r>
        <w:rPr>
          <w:rStyle w:val="FootnoteReference"/>
        </w:rPr>
        <w:footnoteReference w:id="753"/>
      </w:r>
      <w:r>
        <w:rPr>
          <w:rFonts w:ascii="Amiri" w:hAnsi="Amiri" w:eastAsia="Amiri" w:cs="Amiri"/>
          <w:lang w:bidi="ar-SA"/>
          <w:color w:val="111111"/>
          <w:sz w:val="28"/>
          <w:szCs w:val="28"/>
          <w:rtl/>
        </w:rPr>
        <w:t xml:space="preserve">: إنّ متعلّق الطلب الّذي هو جزء مدلول الأمر من</w:t>
      </w:r>
      <w:r>
        <w:rPr>
          <w:rStyle w:val="FootnoteReference"/>
        </w:rPr>
        <w:footnoteReference w:id="754"/>
      </w:r>
      <w:r>
        <w:rPr>
          <w:rFonts w:ascii="IRNazanin" w:hAnsi="IRNazanin" w:eastAsia="IRNazanin" w:cs="IRNazanin"/>
          <w:lang w:bidi="fa-IR"/>
          <w:color w:val="111111"/>
          <w:sz w:val="28"/>
          <w:szCs w:val="28"/>
          <w:rtl/>
        </w:rPr>
        <w:t xml:space="preserve">حيث الهيئة أیضاً هو الکلّي.</w:t>
      </w:r>
    </w:p>
    <w:p>
      <w:pPr>
        <w:pStyle w:val="BookText"/>
      </w:pPr>
      <w:r>
        <w:rPr>
          <w:rFonts w:ascii="Amiri" w:hAnsi="Amiri" w:eastAsia="Amiri" w:cs="Amiri"/>
          <w:lang w:bidi="ar-SA"/>
          <w:color w:val="111111"/>
          <w:sz w:val="28"/>
          <w:szCs w:val="28"/>
          <w:rtl/>
        </w:rPr>
        <w:t xml:space="preserve">ثمّ إنّ البيان الّذي ذکره</w:t>
      </w:r>
      <w:r>
        <w:rPr>
          <w:rStyle w:val="FootnoteReference"/>
        </w:rPr>
        <w:footnoteReference w:id="755"/>
      </w:r>
      <w:r>
        <w:rPr>
          <w:rFonts w:ascii="Amiri" w:hAnsi="Amiri" w:eastAsia="Amiri" w:cs="Amiri"/>
          <w:lang w:bidi="ar-SA"/>
          <w:color w:val="111111"/>
          <w:sz w:val="28"/>
          <w:szCs w:val="28"/>
          <w:rtl/>
        </w:rPr>
        <w:t xml:space="preserve">كما ترى مبنيّ على القول بأصالة الوجود.</w:t>
      </w:r>
    </w:p>
    <w:p>
      <w:pPr>
        <w:pStyle w:val="BookText"/>
      </w:pPr>
      <w:r>
        <w:rPr>
          <w:rFonts w:ascii="Amiri" w:hAnsi="Amiri" w:eastAsia="Amiri" w:cs="Amiri"/>
          <w:lang w:bidi="ar-SA"/>
          <w:color w:val="111111"/>
          <w:sz w:val="28"/>
          <w:szCs w:val="28"/>
          <w:rtl/>
        </w:rPr>
        <w:t xml:space="preserve">وأمّا إذا قلنا بأصالة الماهيّة فلا يكون هناك إلّا الوجود المفهومي الانتزاعي الّذي هو القدر المشترك بين الوجودات الخاصّة فيكون الطّلب متعلّقاً به ولا يضرّ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5" w:name="pg6784_51243"/>
    <w:bookmarkEnd w:id="115"/>
    <w:p>
      <w:pPr>
        <w:pStyle w:val="BookText"/>
      </w:pPr>
      <w:r>
        <w:rPr>
          <w:rFonts w:ascii="IRNazanin" w:hAnsi="IRNazanin" w:eastAsia="IRNazanin" w:cs="IRNazanin"/>
          <w:lang w:bidi="fa-IR"/>
          <w:color w:val="111111"/>
          <w:sz w:val="28"/>
          <w:szCs w:val="28"/>
          <w:rtl/>
        </w:rPr>
        <w:t xml:space="preserve">انتزاعيّته في كونه متعلّقاً للطلب وإن کان الحسن والقبح في الحقيقة في منشأِ</w:t>
      </w:r>
      <w:r>
        <w:rPr>
          <w:rStyle w:val="FootnoteReference"/>
        </w:rPr>
        <w:footnoteReference w:id="756"/>
      </w:r>
      <w:r>
        <w:rPr>
          <w:rFonts w:ascii="IRNazanin" w:hAnsi="IRNazanin" w:eastAsia="IRNazanin" w:cs="IRNazanin"/>
          <w:lang w:bidi="fa-IR"/>
          <w:color w:val="111111"/>
          <w:sz w:val="28"/>
          <w:szCs w:val="28"/>
          <w:rtl/>
        </w:rPr>
        <w:t xml:space="preserve">انتزاعه.</w:t>
      </w:r>
    </w:p>
    <w:p>
      <w:pPr>
        <w:pStyle w:val="BookText"/>
      </w:pPr>
      <w:r>
        <w:rPr>
          <w:rFonts w:ascii="IRNazanin" w:hAnsi="IRNazanin" w:eastAsia="IRNazanin" w:cs="IRNazanin"/>
          <w:lang w:bidi="fa-IR"/>
          <w:color w:val="111111"/>
          <w:sz w:val="28"/>
          <w:szCs w:val="28"/>
          <w:rtl/>
        </w:rPr>
        <w:t xml:space="preserve">أو نقول: إنّ الطلب متعلّق بالماهيّة بلحاظ هذا المفهوم الانتزاعي أعني بلحاظ كونها منشأ لهذا الانتزاع فالوجود الانتزاعي حینئذٍ آلة لملاحظة الماهيّة كذلك وعلى التقديرين يكون المتعلّق کلّياً.</w:t>
      </w:r>
    </w:p>
    <w:p>
      <w:pPr>
        <w:pStyle w:val="Heading6"/>
      </w:pPr>
      <w:bookmarkStart w:id="519" w:name="_Toc200"/>
      <w:r>
        <w:t>[الإیراد الرابع على کلام صاحب الفصول]</w:t>
      </w:r>
      <w:bookmarkEnd w:id="519"/>
    </w:p>
    <w:p>
      <w:pPr>
        <w:pStyle w:val="BookText"/>
      </w:pPr>
      <w:r>
        <w:rPr>
          <w:rFonts w:ascii="IRNazanin" w:hAnsi="IRNazanin" w:eastAsia="IRNazanin" w:cs="IRNazanin"/>
          <w:lang w:bidi="fa-IR"/>
          <w:color w:val="111111"/>
          <w:sz w:val="28"/>
          <w:szCs w:val="28"/>
          <w:rtl/>
        </w:rPr>
        <w:t xml:space="preserve">الرّابع: أنّ ما ذكره من كون المتعلّق لا کلّياً ولا جزئياً على تقدير كون الأمر لطلب الحقيقة الخارجيّة على فرض تفسير الفرد بالمجموع المركب؛</w:t>
      </w:r>
    </w:p>
    <w:p>
      <w:pPr>
        <w:pStyle w:val="BookText"/>
      </w:pPr>
      <w:r>
        <w:rPr>
          <w:rFonts w:ascii="IRNazanin" w:hAnsi="IRNazanin" w:eastAsia="IRNazanin" w:cs="IRNazanin"/>
          <w:lang w:bidi="fa-IR"/>
          <w:color w:val="111111"/>
          <w:sz w:val="28"/>
          <w:szCs w:val="28"/>
          <w:rtl/>
        </w:rPr>
        <w:t xml:space="preserve">فيه: أنّه حینئذٍ کلّي؛ إذ مجرّد تقييده بالوجود لا يخرجه عن الکلّيّة بناء على القول بوجود الکلّي الطّبيعي كما هو مختاره؛ إذ الفرض حینئذٍ أنّ المطلوب هو الکلّي الطبيعي بلحاظ وجوده الخارجي لا بلحاظ ذاته ولا بلحاظ وجوده الذّهني حتّى يكفي في مقام الامتثال تصوّر الماهيّة.</w:t>
      </w:r>
    </w:p>
    <w:p>
      <w:pPr>
        <w:pStyle w:val="BookText"/>
      </w:pPr>
      <w:r>
        <w:rPr>
          <w:rFonts w:ascii="IRNazanin" w:hAnsi="IRNazanin" w:eastAsia="IRNazanin" w:cs="IRNazanin"/>
          <w:lang w:bidi="fa-IR"/>
          <w:color w:val="111111"/>
          <w:sz w:val="28"/>
          <w:szCs w:val="28"/>
          <w:rtl/>
        </w:rPr>
        <w:t xml:space="preserve">ودعوى أنّ الکلّي الطبيعي هو الماهيّة من حيث هي والماهيّة اللا بشرط والمفروض اشتراط الوجود فيها فتخرج عن كونها کلّياً طبيعياً؛</w:t>
      </w:r>
    </w:p>
    <w:p>
      <w:pPr>
        <w:pStyle w:val="BookText"/>
      </w:pPr>
      <w:r>
        <w:rPr>
          <w:rFonts w:ascii="Amiri" w:hAnsi="Amiri" w:eastAsia="Amiri" w:cs="Amiri"/>
          <w:lang w:bidi="ar-SA"/>
          <w:color w:val="111111"/>
          <w:sz w:val="28"/>
          <w:szCs w:val="28"/>
          <w:rtl/>
        </w:rPr>
        <w:t xml:space="preserve">مدفوعة بأنّ المفروض خروج القيد والماهيّة المقيّدة عين اللّابشرط؛ إذ هو يجتمع مع ألف شرط وإلّا لزم الاعتراف بعدم كون الطبيعي موجوداً وإنّما الموجود أشخاصه.</w:t>
      </w:r>
    </w:p>
    <w:p>
      <w:pPr>
        <w:pStyle w:val="BookText"/>
      </w:pPr>
      <w:r>
        <w:rPr>
          <w:rFonts w:ascii="IRNazanin" w:hAnsi="IRNazanin" w:eastAsia="IRNazanin" w:cs="IRNazanin"/>
          <w:lang w:bidi="fa-IR"/>
          <w:color w:val="111111"/>
          <w:sz w:val="28"/>
          <w:szCs w:val="28"/>
          <w:rtl/>
        </w:rPr>
        <w:t xml:space="preserve">فإن قلت: وإن کان الکلّي موجوداً في الخارج إلّا أنّه إذا قيّد بالوجود واعتبر مقيّداً به خرج عن الکلّية فهو کلّي موجود في الخارج في حال الوجود لا مع لحاظ تقيّده</w:t>
      </w:r>
      <w:r>
        <w:rPr>
          <w:rStyle w:val="FootnoteReference"/>
        </w:rPr>
        <w:footnoteReference w:id="757"/>
      </w:r>
      <w:r>
        <w:rPr>
          <w:rFonts w:ascii="Amiri" w:hAnsi="Amiri" w:eastAsia="Amiri" w:cs="Amiri"/>
          <w:lang w:bidi="ar-SA"/>
          <w:color w:val="111111"/>
          <w:sz w:val="28"/>
          <w:szCs w:val="28"/>
          <w:rtl/>
        </w:rPr>
        <w:t xml:space="preserve">بالوجود كما هو المفروض.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ليس الطّبيعي موجوداً في ضمن الأشخاص بأن يكون هناك کلّي موجود في الخارج ومقيّد بوجود التشخّصات حتّى يكون لحاظ وجوده الرّاجع إلى لحاظ</w:t>
      </w:r>
      <w:r>
        <w:rPr>
          <w:rStyle w:val="FootnoteReference"/>
        </w:rPr>
        <w:footnoteReference w:id="758"/>
      </w:r>
      <w:r>
        <w:rPr>
          <w:rFonts w:ascii="IRNazanin" w:hAnsi="IRNazanin" w:eastAsia="IRNazanin" w:cs="IRNazanin"/>
          <w:lang w:bidi="fa-IR"/>
          <w:color w:val="111111"/>
          <w:sz w:val="28"/>
          <w:szCs w:val="28"/>
          <w:rtl/>
        </w:rPr>
        <w:t xml:space="preserve">تشخّصه منافياً لكونه کلّياً بل هو في الخارج عين التشخّصات كما عرفت.</w:t>
      </w:r>
    </w:p>
    <w:p>
      <w:pPr>
        <w:pStyle w:val="BookText"/>
      </w:pPr>
      <w:r>
        <w:rPr>
          <w:rFonts w:ascii="IRNazanin" w:hAnsi="IRNazanin" w:eastAsia="IRNazanin" w:cs="IRNazanin"/>
          <w:lang w:bidi="fa-IR"/>
          <w:color w:val="111111"/>
          <w:sz w:val="28"/>
          <w:szCs w:val="28"/>
          <w:rtl/>
        </w:rPr>
        <w:t xml:space="preserve">فاعتبار وجوده لا ينافي کلّيته وإن کان راجعاً إلى لحاظ تشخّصه بالتّبع من حيث إنّ الکلّي الموجود عين الفرد الموجود.</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والحاصل: أنّ اعتبار الوجود إنّما ينافي الکلّية إذا كان المقصود منه تعليق الحكم عليه بلحاظ تشخّصه وأمّا إذا كان الغرض منه تعليق الحكم عليه من حيثوجوده الخارجي مع قطع النظر عن تشخّصه وإن کان لا ينفكّ عنه فلا.</w:t>
      </w:r>
    </w:p>
    <w:p>
      <w:pPr>
        <w:pStyle w:val="BookText"/>
      </w:pPr>
      <w:r>
        <w:rPr>
          <w:rFonts w:ascii="IRNazanin" w:hAnsi="IRNazanin" w:eastAsia="IRNazanin" w:cs="IRNazanin"/>
          <w:lang w:bidi="fa-IR"/>
          <w:color w:val="111111"/>
          <w:sz w:val="28"/>
          <w:szCs w:val="28"/>
          <w:rtl/>
        </w:rPr>
        <w:t xml:space="preserve">نعم إذا اعتبر كذلك يرجع إلى الحصّة؛ لأنّها الکلّي المقيّد بالتشخّص مع خروج القيد ولا يضرّ؛ لأنّه کلّي أیضاً في قبال الفرد وإن لم يكن کلّياً في قبال الماهيّة من حيث هي لا بهذا التّقييد.</w:t>
      </w:r>
    </w:p>
    <w:p>
      <w:pPr>
        <w:pStyle w:val="BookText"/>
      </w:pPr>
      <w:r>
        <w:rPr>
          <w:rFonts w:ascii="Amiri" w:hAnsi="Amiri" w:eastAsia="Amiri" w:cs="Amiri"/>
          <w:lang w:bidi="ar-SA"/>
          <w:color w:val="111111"/>
          <w:sz w:val="28"/>
          <w:szCs w:val="28"/>
          <w:rtl/>
        </w:rPr>
        <w:t xml:space="preserve">مع أنّه يمكن أن يقال: إنّه لا يرجع إلى الحصّة</w:t>
      </w:r>
      <w:r>
        <w:rPr>
          <w:rStyle w:val="FootnoteReference"/>
        </w:rPr>
        <w:footnoteReference w:id="760"/>
      </w:r>
      <w:r>
        <w:rPr>
          <w:rFonts w:ascii="IRNazanin" w:hAnsi="IRNazanin" w:eastAsia="IRNazanin" w:cs="IRNazanin"/>
          <w:lang w:bidi="fa-IR"/>
          <w:color w:val="111111"/>
          <w:sz w:val="28"/>
          <w:szCs w:val="28"/>
          <w:rtl/>
        </w:rPr>
        <w:t xml:space="preserve">أیضاً؛ لأنّ المفروض تقييده</w:t>
      </w:r>
      <w:r>
        <w:rPr>
          <w:rStyle w:val="FootnoteReference"/>
        </w:rPr>
        <w:footnoteReference w:id="761"/>
      </w:r>
      <w:r>
        <w:rPr>
          <w:rFonts w:ascii="IRNazanin" w:hAnsi="IRNazanin" w:eastAsia="IRNazanin" w:cs="IRNazanin"/>
          <w:lang w:bidi="fa-IR"/>
          <w:color w:val="111111"/>
          <w:sz w:val="28"/>
          <w:szCs w:val="28"/>
          <w:rtl/>
        </w:rPr>
        <w:t xml:space="preserve">بالوجود لا بالتشخّص وإن کان مساوقاً له، فالحصّة هي الماهيّة المقيّدة بالتشخّص مع خروج القيد لا المقيّدة بالوجود كذلك.</w:t>
      </w:r>
    </w:p>
    <w:p>
      <w:pPr>
        <w:pStyle w:val="BookText"/>
      </w:pPr>
      <w:r>
        <w:rPr>
          <w:rFonts w:ascii="IRNazanin" w:hAnsi="IRNazanin" w:eastAsia="IRNazanin" w:cs="IRNazanin"/>
          <w:lang w:bidi="fa-IR"/>
          <w:color w:val="111111"/>
          <w:sz w:val="28"/>
          <w:szCs w:val="28"/>
          <w:rtl/>
        </w:rPr>
        <w:t xml:space="preserve">وظنّي أنّ الاشتباه إنّما نشأ من عدم الفرق بين هذين الأمرين من حيث كونهما متساوقين فتخيّل أنّ اعتبار أحدهما يلازم اعتبار الآخر وليس كذلك لما عرفت من أنّ اعتبار التشخّص يجعله فرداً واعتبار الوجود لا يخرجه عن كونه کلّياً. فتدبّر.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6" w:name="pg6784_51245"/>
    <w:bookmarkEnd w:id="116"/>
    <w:p>
      <w:pPr>
        <w:pStyle w:val="Heading6"/>
      </w:pPr>
      <w:bookmarkStart w:id="520" w:name="_Toc201"/>
      <w:r>
        <w:t>خاتمة</w:t>
      </w:r>
      <w:bookmarkEnd w:id="520"/>
    </w:p>
    <w:p>
      <w:pPr>
        <w:pStyle w:val="BookText"/>
      </w:pPr>
      <w:r>
        <w:rPr>
          <w:rFonts w:ascii="IRNazanin" w:hAnsi="IRNazanin" w:eastAsia="IRNazanin" w:cs="IRNazanin"/>
          <w:lang w:bidi="fa-IR"/>
          <w:color w:val="111111"/>
          <w:sz w:val="28"/>
          <w:szCs w:val="28"/>
          <w:rtl/>
        </w:rPr>
        <w:t xml:space="preserve">ربّما يستشکل على من اختار القول بالتعلّق بالأفراد في المقام</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وقال في مناهج الأحکام، في بحث متعلّق الأحکام، ص65: «واحتجّ الأوّلون [القائلون بتعلّق الأمر بالماهیّة] بالتبادر والإجماع على أنّ المصادر الغیر المنونة أي التي في ضمن المشتقات للطبیعة کما صرّح به في المفتاح [راجع: مفتاح العلوم، ص214] فالمشتقّ أیضاً کذلك لأنّه لا یفید إلّا طلب المبدأ بحکم التبادر وأصالة عدم الزیادة. ویرد على الأوّل أنّه إن أرید أنّ المتبادر أمر غیر معیّن بمعنى سبق عدم التعیّن إلى الذهن فهو مسلّم ولکنّ الفرد المنتشر أیضاً کذلك بل على القول بالوضع للأفراد الخاصّة أیضاً کذا؛ إذ لا یقال: إنّه موضوع لفرد خاصّ خاصّة. وإن أرید أنّ المتبادر هو الطبیعة فهو ممنوع بل لنا أن نقول: إنّ السامع لا یسبق إلى ذهنه إلّا الأفراد. وعلى الثاني منع الإجماع». ثم قال في ص66: «والتحقیق أنّ على القول بعدم وجود الماهیّة لا مفرّ من القول بتعلّق طلب الأمر بالفرد إذ لیس غیره، وأمّا على القول بوجودها کما هو الحقّ فیمکن القول بتعلّقه بکلّ منهما لکن یجب البناء على وضع المبدأ؛ لأنّ الأمر لطلب المبدأ بحکم التبادر وللأصل فمن یقول بکونه موضوعاً للماهیّة یجب علیه القول بتعلّقه بها ومن یقول بالوضع للفرد المنتشر أو کلّ فرد على البدل بالوضع العامّ یجب أن یقول بتعلّقه به وإذ قد عرفت حقّ القول في ذلك وأنّه موضوع للفرد الخاصّ على أن یکون الوضع عامّاً والموضوع له خاصّاً تعرف أنّ الحقّ أنّ الأمر متعلّق بالأفراد الخاصّة على البدلیّة. ویظهر أیضاً فساد زعم من زعم أنّه لو کان متعلّق الأمر الفرد یلزم أن یکون أکثر أوامر الشرع مجازات. فإن قیل: لو کان کذا لم یبق فرق بین الواجبات التخییریة والعینیّة. قلنا: المخیّر الشرعي ما کان مخیره شرعیّاً أي بتصریح الشرع وهذا التخییر عقليّ».</w:t>
      </w:r>
    </w:p>
    <w:p>
      <w:pPr>
        <w:pStyle w:val="BookText"/>
      </w:pPr>
      <w:r>
        <w:rPr>
          <w:rFonts w:ascii="Amiri" w:hAnsi="Amiri" w:eastAsia="Amiri" w:cs="Amiri"/>
          <w:lang w:bidi="ar-SA"/>
          <w:color w:val="111111"/>
          <w:sz w:val="28"/>
          <w:szCs w:val="28"/>
          <w:rtl/>
        </w:rPr>
        <w:t xml:space="preserve">مع اختياره فيبحث المرّة والتكرار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أنّ الأمر لطلب الطبيعة.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7" w:name="pg6784_51246"/>
    <w:bookmarkEnd w:id="117"/>
    <w:p>
      <w:pPr>
        <w:pStyle w:val="BookText"/>
      </w:pPr>
      <w:r>
        <w:rPr>
          <w:rFonts w:ascii="Amiri" w:hAnsi="Amiri" w:eastAsia="Amiri" w:cs="Amiri"/>
          <w:lang w:bidi="ar-SA"/>
          <w:color w:val="111111"/>
          <w:sz w:val="28"/>
          <w:szCs w:val="28"/>
          <w:rtl/>
        </w:rPr>
        <w:t xml:space="preserve">ويمكن دفعه بأنّ المراد بالطّبيعة هناك ما يقابل الأمرين لا ما يقابل الأفراد.</w:t>
      </w:r>
    </w:p>
    <w:p>
      <w:pPr>
        <w:pStyle w:val="BookText"/>
      </w:pPr>
      <w:r>
        <w:rPr>
          <w:rFonts w:ascii="IRNazanin" w:hAnsi="IRNazanin" w:eastAsia="IRNazanin" w:cs="IRNazanin"/>
          <w:lang w:bidi="fa-IR"/>
          <w:color w:val="111111"/>
          <w:sz w:val="28"/>
          <w:szCs w:val="28"/>
          <w:rtl/>
        </w:rPr>
        <w:t xml:space="preserve">نعم يشکل الأمر إذا فسّرنا المرّة والتكرار بالفرد والأفراد دون الدّفعة والدّفعات. ويمكن دفعه أیضاً بما لا يخفى على المتأمّل.</w:t>
      </w:r>
    </w:p>
    <w:p>
      <w:pPr>
        <w:pStyle w:val="Heading5"/>
      </w:pPr>
      <w:bookmarkStart w:id="521" w:name="_Toc202"/>
      <w:r>
        <w:t>[المقدّمة الثالثة: في بيان ثمرة المسألة]</w:t>
      </w:r>
      <w:bookmarkEnd w:id="521"/>
    </w:p>
    <w:p>
      <w:pPr>
        <w:pStyle w:val="Heading6"/>
      </w:pPr>
      <w:bookmarkStart w:id="522" w:name="_Toc203"/>
      <w:r>
        <w:t>اشارة</w:t>
      </w:r>
      <w:bookmarkEnd w:id="522"/>
    </w:p>
    <w:p>
      <w:pPr>
        <w:pStyle w:val="BookText"/>
      </w:pPr>
      <w:r>
        <w:rPr>
          <w:rFonts w:ascii="Amiri" w:hAnsi="Amiri" w:eastAsia="Amiri" w:cs="Amiri"/>
          <w:lang w:bidi="ar-SA"/>
          <w:color w:val="111111"/>
          <w:sz w:val="28"/>
          <w:szCs w:val="28"/>
          <w:rtl/>
        </w:rPr>
        <w:t xml:space="preserve">المقدّمة الثّالثه في بيان ثمرة</w:t>
      </w:r>
      <w:r>
        <w:rPr>
          <w:rStyle w:val="FootnoteReference"/>
        </w:rPr>
        <w:footnoteReference w:id="763"/>
      </w:r>
      <w:r>
        <w:rPr>
          <w:rFonts w:ascii="Amiri" w:hAnsi="Amiri" w:eastAsia="Amiri" w:cs="Amiri"/>
          <w:lang w:bidi="ar-SA"/>
          <w:color w:val="111111"/>
          <w:sz w:val="28"/>
          <w:szCs w:val="28"/>
          <w:rtl/>
        </w:rPr>
        <w:t xml:space="preserve">المسألة:</w:t>
      </w:r>
    </w:p>
    <w:p>
      <w:pPr>
        <w:pStyle w:val="Heading6"/>
      </w:pPr>
      <w:bookmarkStart w:id="523" w:name="_Toc204"/>
      <w:r>
        <w:t>[تعارض الإطلاقات والعمومات في المجمع على القول بالامتناع]</w:t>
      </w:r>
      <w:bookmarkEnd w:id="523"/>
    </w:p>
    <w:p>
      <w:pPr>
        <w:pStyle w:val="BookText"/>
      </w:pPr>
      <w:r>
        <w:rPr>
          <w:rFonts w:ascii="Amiri" w:hAnsi="Amiri" w:eastAsia="Amiri" w:cs="Amiri"/>
          <w:lang w:bidi="ar-SA"/>
          <w:color w:val="111111"/>
          <w:sz w:val="28"/>
          <w:szCs w:val="28"/>
          <w:rtl/>
        </w:rPr>
        <w:t xml:space="preserve">ذكر الأصوليّون</w:t>
      </w:r>
      <w:r>
        <w:rPr>
          <w:rStyle w:val="FootnoteReference"/>
        </w:rPr>
        <w:footnoteReference w:id="764"/>
      </w:r>
      <w:r>
        <w:rPr>
          <w:rFonts w:ascii="Amiri" w:hAnsi="Amiri" w:eastAsia="Amiri" w:cs="Amiri"/>
          <w:lang w:bidi="ar-SA"/>
          <w:color w:val="111111"/>
          <w:sz w:val="28"/>
          <w:szCs w:val="28"/>
          <w:rtl/>
        </w:rPr>
        <w:t xml:space="preserve">أنّه يظهر الثّمرة في إبقاء الإطلاقات والعمومات على حالها والحكم بصحّة الأفراد الّتي هي المجمع بين الطّبيعتين</w:t>
      </w:r>
      <w:r>
        <w:rPr>
          <w:rStyle w:val="FootnoteReference"/>
        </w:rPr>
        <w:footnoteReference w:id="765"/>
      </w:r>
      <w:r>
        <w:rPr>
          <w:rFonts w:ascii="Amiri" w:hAnsi="Amiri" w:eastAsia="Amiri" w:cs="Amiri"/>
          <w:lang w:bidi="ar-SA"/>
          <w:color w:val="111111"/>
          <w:sz w:val="28"/>
          <w:szCs w:val="28"/>
          <w:rtl/>
        </w:rPr>
        <w:t xml:space="preserve">مع الحكم بحرمتها بناء على جواز الاجتماع وإجراء أحكام التّعارض بينهما</w:t>
      </w:r>
      <w:r>
        <w:rPr>
          <w:rStyle w:val="FootnoteReference"/>
        </w:rPr>
        <w:footnoteReference w:id="766"/>
      </w:r>
      <w:r>
        <w:rPr>
          <w:rFonts w:ascii="IRNazanin" w:hAnsi="IRNazanin" w:eastAsia="IRNazanin" w:cs="IRNazanin"/>
          <w:lang w:bidi="fa-IR"/>
          <w:color w:val="111111"/>
          <w:sz w:val="28"/>
          <w:szCs w:val="28"/>
          <w:rtl/>
        </w:rPr>
        <w:t xml:space="preserve">على القول بعدم جواز الاجتماع</w:t>
      </w:r>
      <w:r>
        <w:rPr>
          <w:rStyle w:val="FootnoteReference"/>
        </w:rPr>
        <w:footnoteReference w:id="767"/>
      </w:r>
      <w:r>
        <w:rPr>
          <w:rFonts w:ascii="IRNazanin" w:hAnsi="IRNazanin" w:eastAsia="IRNazanin" w:cs="IRNazanin"/>
          <w:lang w:bidi="fa-IR"/>
          <w:color w:val="111111"/>
          <w:sz w:val="28"/>
          <w:szCs w:val="28"/>
          <w:rtl/>
        </w:rPr>
        <w:t xml:space="preserve">لأنّه حینئذٍ لا بدّ إمّا من إبقاء إطلاق الأوامر أو إبقاء إطلاق النّواهى فيحصل</w:t>
      </w:r>
      <w:r>
        <w:rPr>
          <w:rStyle w:val="FootnoteReference"/>
        </w:rPr>
        <w:footnoteReference w:id="768"/>
      </w:r>
      <w:r>
        <w:rPr>
          <w:rFonts w:ascii="IRNazanin" w:hAnsi="IRNazanin" w:eastAsia="IRNazanin" w:cs="IRNazanin"/>
          <w:lang w:bidi="fa-IR"/>
          <w:color w:val="111111"/>
          <w:sz w:val="28"/>
          <w:szCs w:val="28"/>
          <w:rtl/>
        </w:rPr>
        <w:t xml:space="preserve">المعارضة بملاحظة عدم إمکان الاجتماع فيجب الرّجوع إلى المرجّحات الدّلاليّة أوّلاً، ومع عدمها فالخارجيّة من السّنديّة والمتنيّة وغيرها من الشّهرة والموافقة للكتاب ونحوهما</w:t>
      </w:r>
      <w:r>
        <w:rPr>
          <w:rStyle w:val="FootnoteReference"/>
        </w:rPr>
        <w:footnoteReference w:id="769"/>
      </w:r>
      <w:r>
        <w:rPr>
          <w:rFonts w:ascii="Amiri" w:hAnsi="Amiri" w:eastAsia="Amiri" w:cs="Amiri"/>
          <w:lang w:bidi="ar-SA"/>
          <w:color w:val="111111"/>
          <w:sz w:val="28"/>
          <w:szCs w:val="28"/>
          <w:rtl/>
        </w:rPr>
        <w:t xml:space="preserve">ومع عدمها فهل يقدّم النّهي لما ذكروه من الوجوه من قاعدة الاشتغال وتقديم دفع المفسدة والاستقراء ونحو ذلك أو لا؟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8" w:name="pg6784_51247"/>
    <w:bookmarkEnd w:id="118"/>
    <w:p>
      <w:pPr>
        <w:pStyle w:val="BookText"/>
      </w:pPr>
      <w:r>
        <w:rPr>
          <w:rFonts w:ascii="IRNazanin" w:hAnsi="IRNazanin" w:eastAsia="IRNazanin" w:cs="IRNazanin"/>
          <w:lang w:bidi="fa-IR"/>
          <w:color w:val="111111"/>
          <w:sz w:val="28"/>
          <w:szCs w:val="28"/>
          <w:rtl/>
        </w:rPr>
        <w:t xml:space="preserve">قولان:</w:t>
      </w:r>
    </w:p>
    <w:p>
      <w:pPr>
        <w:pStyle w:val="BookText"/>
      </w:pPr>
      <w:r>
        <w:rPr>
          <w:rFonts w:ascii="Amiri" w:hAnsi="Amiri" w:eastAsia="Amiri" w:cs="Amiri"/>
          <w:lang w:bidi="ar-SA"/>
          <w:color w:val="111111"/>
          <w:sz w:val="28"/>
          <w:szCs w:val="28"/>
          <w:rtl/>
        </w:rPr>
        <w:t xml:space="preserve">فإن قدّمنا الأمر لأحد وجوه الترجيح</w:t>
      </w:r>
      <w:r>
        <w:rPr>
          <w:rStyle w:val="FootnoteReference"/>
        </w:rPr>
        <w:footnoteReference w:id="770"/>
      </w:r>
      <w:r>
        <w:rPr>
          <w:rFonts w:ascii="Amiri" w:hAnsi="Amiri" w:eastAsia="Amiri" w:cs="Amiri"/>
          <w:lang w:bidi="ar-SA"/>
          <w:color w:val="111111"/>
          <w:sz w:val="28"/>
          <w:szCs w:val="28"/>
          <w:rtl/>
        </w:rPr>
        <w:t xml:space="preserve">نحكم بصحّة العمل وعدم الحرمة؛</w:t>
      </w:r>
    </w:p>
    <w:p>
      <w:pPr>
        <w:pStyle w:val="BookText"/>
      </w:pPr>
      <w:r>
        <w:rPr>
          <w:rFonts w:ascii="Amiri" w:hAnsi="Amiri" w:eastAsia="Amiri" w:cs="Amiri"/>
          <w:lang w:bidi="ar-SA"/>
          <w:color w:val="111111"/>
          <w:sz w:val="28"/>
          <w:szCs w:val="28"/>
          <w:rtl/>
        </w:rPr>
        <w:t xml:space="preserve">وإن قدّمنا النّهي نحكم بالحرمة وعدم الصحّة.</w:t>
      </w:r>
    </w:p>
    <w:p>
      <w:pPr>
        <w:pStyle w:val="BookText"/>
      </w:pPr>
      <w:r>
        <w:rPr>
          <w:rFonts w:ascii="Amiri" w:hAnsi="Amiri" w:eastAsia="Amiri" w:cs="Amiri"/>
          <w:lang w:bidi="ar-SA"/>
          <w:color w:val="111111"/>
          <w:sz w:val="28"/>
          <w:szCs w:val="28"/>
          <w:rtl/>
        </w:rPr>
        <w:t xml:space="preserve">والحاصل: أنّهم جعلوا المقام بناء على عدم جواز الاجتماع من باب التّعارضوأجروا عليهما جميع أحكام</w:t>
      </w:r>
      <w:r>
        <w:rPr>
          <w:rStyle w:val="FootnoteReference"/>
        </w:rPr>
        <w:footnoteReference w:id="771"/>
      </w:r>
      <w:r>
        <w:rPr>
          <w:rFonts w:ascii="Amiri" w:hAnsi="Amiri" w:eastAsia="Amiri" w:cs="Amiri"/>
          <w:lang w:bidi="ar-SA"/>
          <w:color w:val="111111"/>
          <w:sz w:val="28"/>
          <w:szCs w:val="28"/>
          <w:rtl/>
        </w:rPr>
        <w:t xml:space="preserve">التّعارض.</w:t>
      </w:r>
    </w:p>
    <w:p>
      <w:pPr>
        <w:pStyle w:val="Heading6"/>
      </w:pPr>
      <w:bookmarkStart w:id="524" w:name="_Toc205"/>
      <w:r>
        <w:t>[المناقشة في الثمرة المذکورة]</w:t>
      </w:r>
      <w:bookmarkEnd w:id="524"/>
    </w:p>
    <w:p>
      <w:pPr>
        <w:pStyle w:val="BookText"/>
      </w:pPr>
      <w:r>
        <w:rPr>
          <w:rFonts w:ascii="IRNazanin" w:hAnsi="IRNazanin" w:eastAsia="IRNazanin" w:cs="IRNazanin"/>
          <w:lang w:bidi="fa-IR"/>
          <w:color w:val="111111"/>
          <w:sz w:val="28"/>
          <w:szCs w:val="28"/>
          <w:rtl/>
        </w:rPr>
        <w:t xml:space="preserve">قلت: يمكن المناقشة في الثمرة على کلا الفرضين.</w:t>
      </w:r>
    </w:p>
    <w:p>
      <w:pPr>
        <w:pStyle w:val="BookText"/>
      </w:pPr>
      <w:r>
        <w:rPr>
          <w:rFonts w:ascii="IRNazanin" w:hAnsi="IRNazanin" w:eastAsia="IRNazanin" w:cs="IRNazanin"/>
          <w:lang w:bidi="fa-IR"/>
          <w:color w:val="111111"/>
          <w:sz w:val="28"/>
          <w:szCs w:val="28"/>
          <w:rtl/>
        </w:rPr>
        <w:t xml:space="preserve">أمّا ما ذكروه على فرض القول بالجواز فلأنّا نمنع الحكم بالصحّة وإبقاء الأمر على حاله لإمکان أن يكون فهم العرف على التّخصيص وإن جاز الاجتماع عقلاً ففي قوله: «صلّ ولا تغصب» يفهمون المعارضة بينهما في مادّة الاجتماع وإن أمكن عقلاً إبقاؤهما على حالهما والعمل بهما.</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وأیضاً يمكن أن يكون هناك دليل شرعي عامّ أو خاصّ ببعض المقامات دالّ على عدم جواز الاجتماع وبطلان العمل مثل قوله (علیه‌السلام): «لا يطاع الله من حيث يعصى»</w:t>
      </w:r>
      <w:r>
        <w:rPr>
          <w:rStyle w:val="FootnoteReference"/>
        </w:rPr>
        <w:footnoteReference w:id="773"/>
      </w:r>
      <w:r>
        <w:rPr>
          <w:rFonts w:ascii="IRNazanin" w:hAnsi="IRNazanin" w:eastAsia="IRNazanin" w:cs="IRNazanin"/>
          <w:lang w:bidi="fa-IR"/>
          <w:color w:val="111111"/>
          <w:sz w:val="28"/>
          <w:szCs w:val="28"/>
          <w:rtl/>
        </w:rPr>
        <w:t xml:space="preserve">وقوله (علیه‌السلام): «لو أنّ النّاس أخذوا ما أمرهم الله [عزوجلّ]</w:t>
      </w:r>
      <w:r>
        <w:rPr>
          <w:rStyle w:val="FootnoteReference"/>
        </w:rPr>
        <w:footnoteReference w:id="774"/>
      </w:r>
      <w:r>
        <w:rPr>
          <w:rFonts w:ascii="Amiri" w:hAnsi="Amiri" w:eastAsia="Amiri" w:cs="Amiri"/>
          <w:lang w:bidi="ar-SA"/>
          <w:color w:val="111111"/>
          <w:sz w:val="28"/>
          <w:szCs w:val="28"/>
          <w:rtl/>
        </w:rPr>
        <w:t xml:space="preserve">به فأنفقوه فيما نهاهم عنه ما قبله منهم ولو أخذوا ما نهاهم الله عنه فأنفقوه فيما أمرهم الله به ما قبله منهم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يأخذوه من حقّ وينفقوه في حقّ»</w:t>
      </w:r>
      <w:r>
        <w:rPr>
          <w:rStyle w:val="FootnoteReference"/>
        </w:rPr>
        <w:footnoteReference w:id="775"/>
      </w:r>
      <w:r>
        <w:rPr>
          <w:rFonts w:ascii="IRNazanin" w:hAnsi="IRNazanin" w:eastAsia="IRNazanin" w:cs="IRNazanin"/>
          <w:lang w:bidi="fa-IR"/>
          <w:color w:val="111111"/>
          <w:sz w:val="28"/>
          <w:szCs w:val="28"/>
          <w:rtl/>
        </w:rPr>
        <w:t xml:space="preserve">ومثل قول أمير المؤمنين (علیه‌السلام) لكميل: «يا كميل انظر فيما تصلّي وعلى ما تصلّي إن لم يكن من وجهه وحلّه فلا قبول».</w:t>
      </w:r>
      <w:r>
        <w:rPr>
          <w:rStyle w:val="FootnoteReference"/>
        </w:rPr>
        <w:footnoteReference w:id="776"/>
      </w:r>
    </w:p>
    <w:p>
      <w:pPr>
        <w:pStyle w:val="BookText"/>
      </w:pPr>
      <w:r>
        <w:rPr>
          <w:rFonts w:ascii="Amiri" w:hAnsi="Amiri" w:eastAsia="Amiri" w:cs="Amiri"/>
          <w:lang w:bidi="ar-SA"/>
          <w:color w:val="111111"/>
          <w:sz w:val="28"/>
          <w:szCs w:val="28"/>
          <w:rtl/>
        </w:rPr>
        <w:t xml:space="preserve">إلّا أن يقال: إنّ غرضهم</w:t>
      </w:r>
      <w:r>
        <w:rPr>
          <w:rStyle w:val="FootnoteReference"/>
        </w:rPr>
        <w:footnoteReference w:id="777"/>
      </w:r>
      <w:r>
        <w:rPr>
          <w:rFonts w:ascii="Amiri" w:hAnsi="Amiri" w:eastAsia="Amiri" w:cs="Amiri"/>
          <w:lang w:bidi="ar-SA"/>
          <w:color w:val="111111"/>
          <w:sz w:val="28"/>
          <w:szCs w:val="28"/>
          <w:rtl/>
        </w:rPr>
        <w:t xml:space="preserve">أنّه بناء على هذا القول لا مانع من الأخذ بالإطلاق من حيث هو لا أنّه يجب الأخذ به</w:t>
      </w:r>
      <w:r>
        <w:rPr>
          <w:rStyle w:val="FootnoteReference"/>
        </w:rPr>
        <w:footnoteReference w:id="778"/>
      </w:r>
      <w:r>
        <w:rPr>
          <w:rFonts w:ascii="IRNazanin" w:hAnsi="IRNazanin" w:eastAsia="IRNazanin" w:cs="IRNazanin"/>
          <w:lang w:bidi="fa-IR"/>
          <w:color w:val="111111"/>
          <w:sz w:val="28"/>
          <w:szCs w:val="28"/>
          <w:rtl/>
        </w:rPr>
        <w:t xml:space="preserve">ويحكم بالصحّة كذلك ولعلّه كذلك وإن کان ظاهر کلامهم أنّه يحكم فعلاً بالصحّة.ولذا قال في المعالم: فمن أجازه صحّحها یعني الصّلاة في المكان المغصوب ومن أحاله أبطلها</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r>
        <w:rPr>
          <w:rStyle w:val="FootnoteReference"/>
        </w:rPr>
        <w:footnoteReference w:id="780"/>
      </w:r>
      <w:r>
        <w:rPr>
          <w:rFonts w:ascii="Amiri" w:hAnsi="Amiri" w:eastAsia="Amiri" w:cs="Amiri"/>
          <w:lang w:bidi="ar-SA"/>
          <w:color w:val="111111"/>
          <w:sz w:val="28"/>
          <w:szCs w:val="28"/>
          <w:rtl/>
        </w:rPr>
        <w:t xml:space="preserve">فإنّ الظّاهر أنّ هذا الحكم منهم من جهة عدم تماميّة الأخبار عندهم وعدم فهم العرف المعارضة مع قطع النظر عن عدم جواز الاجتماع</w:t>
      </w:r>
      <w:r>
        <w:rPr>
          <w:rStyle w:val="FootnoteReference"/>
        </w:rPr>
        <w:footnoteReference w:id="781"/>
      </w:r>
    </w:p>
    <w:p>
      <w:pPr>
        <w:pStyle w:val="BookText"/>
      </w:pPr>
      <w:r>
        <w:rPr>
          <w:rFonts w:ascii="Amiri" w:hAnsi="Amiri" w:eastAsia="Amiri" w:cs="Amiri"/>
          <w:lang w:bidi="ar-SA"/>
          <w:color w:val="111111"/>
          <w:sz w:val="28"/>
          <w:szCs w:val="28"/>
          <w:rtl/>
        </w:rPr>
        <w:t xml:space="preserve">فالمانع من الصحّة عندهم منحصر في حكم العقل بعدم جواز الاجتماع</w:t>
      </w:r>
      <w:r>
        <w:rPr>
          <w:rStyle w:val="FootnoteReference"/>
        </w:rPr>
        <w:footnoteReference w:id="782"/>
      </w:r>
      <w:r>
        <w:rPr>
          <w:rFonts w:ascii="Amiri" w:hAnsi="Amiri" w:eastAsia="Amiri" w:cs="Amiri"/>
          <w:lang w:bidi="ar-SA"/>
          <w:color w:val="111111"/>
          <w:sz w:val="28"/>
          <w:szCs w:val="28"/>
          <w:rtl/>
        </w:rPr>
        <w:t xml:space="preserve">فعلى هذا لا بأس بإطلاق الحكم بالصحّة على القول المذكور.</w:t>
      </w:r>
    </w:p>
    <w:p>
      <w:pPr>
        <w:pStyle w:val="BookText"/>
      </w:pPr>
      <w:r>
        <w:rPr>
          <w:rFonts w:ascii="IRNazanin" w:hAnsi="IRNazanin" w:eastAsia="IRNazanin" w:cs="IRNazanin"/>
          <w:lang w:bidi="fa-IR"/>
          <w:color w:val="111111"/>
          <w:sz w:val="28"/>
          <w:szCs w:val="28"/>
          <w:rtl/>
        </w:rPr>
        <w:t xml:space="preserve">هذا کلّه لو جعلنا النّزاع في خصوص الجواز العقلي كما هو ظاهر</w:t>
      </w:r>
      <w:r>
        <w:rPr>
          <w:rStyle w:val="FootnoteReference"/>
        </w:rPr>
        <w:footnoteReference w:id="783"/>
      </w:r>
      <w:r>
        <w:rPr>
          <w:rFonts w:ascii="Amiri" w:hAnsi="Amiri" w:eastAsia="Amiri" w:cs="Amiri"/>
          <w:lang w:bidi="ar-SA"/>
          <w:color w:val="111111"/>
          <w:sz w:val="28"/>
          <w:szCs w:val="28"/>
          <w:rtl/>
        </w:rPr>
        <w:t xml:space="preserve">، وأمّا لو جعلناه أعمّ</w:t>
      </w:r>
      <w:r>
        <w:rPr>
          <w:rStyle w:val="FootnoteReference"/>
        </w:rPr>
        <w:footnoteReference w:id="784"/>
      </w:r>
      <w:r>
        <w:rPr>
          <w:rFonts w:ascii="IRNazanin" w:hAnsi="IRNazanin" w:eastAsia="IRNazanin" w:cs="IRNazanin"/>
          <w:lang w:bidi="fa-IR"/>
          <w:color w:val="111111"/>
          <w:sz w:val="28"/>
          <w:szCs w:val="28"/>
          <w:rtl/>
        </w:rPr>
        <w:t xml:space="preserve">من الشرعي فلا إشکال في الثمرة؛ إذ الجواز بهذا المعنى يلازم الصحّة الفعليّة.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ذكروه على فرض القول</w:t>
      </w:r>
      <w:r>
        <w:rPr>
          <w:rStyle w:val="FootnoteReference"/>
        </w:rPr>
        <w:footnoteReference w:id="785"/>
      </w:r>
      <w:r>
        <w:rPr>
          <w:rFonts w:ascii="IRNazanin" w:hAnsi="IRNazanin" w:eastAsia="IRNazanin" w:cs="IRNazanin"/>
          <w:lang w:bidi="fa-IR"/>
          <w:color w:val="111111"/>
          <w:sz w:val="28"/>
          <w:szCs w:val="28"/>
          <w:rtl/>
        </w:rPr>
        <w:t xml:space="preserve">بعدم جواز الاجتماع</w:t>
      </w:r>
      <w:r>
        <w:rPr>
          <w:rStyle w:val="FootnoteReference"/>
        </w:rPr>
        <w:footnoteReference w:id="786"/>
      </w:r>
      <w:r>
        <w:rPr>
          <w:rFonts w:ascii="Amiri" w:hAnsi="Amiri" w:eastAsia="Amiri" w:cs="Amiri"/>
          <w:lang w:bidi="ar-SA"/>
          <w:color w:val="111111"/>
          <w:sz w:val="28"/>
          <w:szCs w:val="28"/>
          <w:rtl/>
        </w:rPr>
        <w:t xml:space="preserve">فلأنّه مبني على جعل المقام من باب التّعارض مع أنّه من قبيل التّزاحم مع فرض تقديم النّهي لأهمّيّته من جهة كونه عينيّاً</w:t>
      </w:r>
      <w:r>
        <w:rPr>
          <w:rStyle w:val="FootnoteReference"/>
        </w:rPr>
        <w:footnoteReference w:id="787"/>
      </w:r>
      <w:r>
        <w:rPr>
          <w:rFonts w:ascii="Amiri" w:hAnsi="Amiri" w:eastAsia="Amiri" w:cs="Amiri"/>
          <w:lang w:bidi="ar-SA"/>
          <w:color w:val="111111"/>
          <w:sz w:val="28"/>
          <w:szCs w:val="28"/>
          <w:rtl/>
        </w:rPr>
        <w:t xml:space="preserve">والأمر تخييرياً أو مع العلم بكونه فعليّاً من الخارج.</w:t>
      </w:r>
    </w:p>
    <w:p>
      <w:pPr>
        <w:pStyle w:val="BookText"/>
      </w:pPr>
      <w:r>
        <w:rPr>
          <w:rFonts w:ascii="Amiri" w:hAnsi="Amiri" w:eastAsia="Amiri" w:cs="Amiri"/>
          <w:lang w:bidi="ar-SA"/>
          <w:color w:val="111111"/>
          <w:sz w:val="28"/>
          <w:szCs w:val="28"/>
          <w:rtl/>
        </w:rPr>
        <w:t xml:space="preserve">فمفروض المسألة إنّما هو مورد علم كون الفرد المجمع حراماً بالفعل وشكّ في كونه مأموراً به أم لا؟ من جهة الشك في جواز الاجتماع وعدمه بعد العلم بكونه واجداً للمصلحة الموجودة في سائر الأفراد المباحة ولجميع الشرائط والأجزاء وفاقداً لجميع الموانع سوى تعلّق النّهي به.</w:t>
      </w:r>
    </w:p>
    <w:p>
      <w:pPr>
        <w:pStyle w:val="BookText"/>
      </w:pPr>
      <w:r>
        <w:rPr>
          <w:rFonts w:ascii="Amiri" w:hAnsi="Amiri" w:eastAsia="Amiri" w:cs="Amiri"/>
          <w:lang w:bidi="ar-SA"/>
          <w:color w:val="111111"/>
          <w:sz w:val="28"/>
          <w:szCs w:val="28"/>
          <w:rtl/>
        </w:rPr>
        <w:t xml:space="preserve">فإن جعلناه مانعاً عن تعلّق الطّلب به لعدم جواز اجتماع الطّلبين نحكم بعدم تعلّق الأمر به من هذه الجهة لا من حيث نقص في ذلك الفرد من حيث وجود مانع أو فقد شرط أو جزء وإن قلنا بجواز الاجتماع</w:t>
      </w:r>
      <w:r>
        <w:rPr>
          <w:rStyle w:val="FootnoteReference"/>
        </w:rPr>
        <w:footnoteReference w:id="788"/>
      </w:r>
      <w:r>
        <w:rPr>
          <w:rFonts w:ascii="IRNazanin" w:hAnsi="IRNazanin" w:eastAsia="IRNazanin" w:cs="IRNazanin"/>
          <w:lang w:bidi="fa-IR"/>
          <w:color w:val="111111"/>
          <w:sz w:val="28"/>
          <w:szCs w:val="28"/>
          <w:rtl/>
        </w:rPr>
        <w:t xml:space="preserve">فلا إشکال.والحاصل: أنّ مفروض المسألة ما إذا كان الفرد جامعاً لجميع ما يعتبر في المأمور به ولجميع ما يعتبر في المنهي عنه ولمصلحة الأوّل ومفسدة الثاني وكان حرمته فعلاً معلومة إمّا من الخارج أو من جهة المزاحمة مع الأمر وكون النّهي أهمّ من حيث إنّه تعييني والأمر تخييري ولم يكن هناك مانع من الصحّة إلّا حيثيّة المبغوضیّة والنّهي بناء على القول بعدم الجواز</w:t>
      </w:r>
      <w:r>
        <w:rPr>
          <w:rStyle w:val="FootnoteReference"/>
        </w:rPr>
        <w:footnoteReference w:id="789"/>
      </w:r>
      <w:r>
        <w:rPr>
          <w:rFonts w:ascii="Amiri" w:hAnsi="Amiri" w:eastAsia="Amiri" w:cs="Amiri"/>
          <w:lang w:bidi="ar-SA"/>
          <w:color w:val="111111"/>
          <w:sz w:val="28"/>
          <w:szCs w:val="28"/>
          <w:rtl/>
        </w:rPr>
        <w:t xml:space="preserve">كما في مسألة الصّلاة في</w:t>
      </w:r>
      <w:r>
        <w:rPr>
          <w:rStyle w:val="FootnoteReference"/>
        </w:rPr>
        <w:footnoteReference w:id="790"/>
      </w:r>
      <w:r>
        <w:rPr>
          <w:rFonts w:ascii="Amiri" w:hAnsi="Amiri" w:eastAsia="Amiri" w:cs="Amiri"/>
          <w:lang w:bidi="ar-SA"/>
          <w:color w:val="111111"/>
          <w:sz w:val="28"/>
          <w:szCs w:val="28"/>
          <w:rtl/>
        </w:rPr>
        <w:t xml:space="preserve">الدّار</w:t>
      </w:r>
      <w:r>
        <w:rPr>
          <w:rStyle w:val="FootnoteReference"/>
        </w:rPr>
        <w:footnoteReference w:id="791"/>
      </w:r>
      <w:r>
        <w:rPr>
          <w:rFonts w:ascii="IRNazanin" w:hAnsi="IRNazanin" w:eastAsia="IRNazanin" w:cs="IRNazanin"/>
          <w:lang w:bidi="fa-IR"/>
          <w:color w:val="111111"/>
          <w:sz w:val="28"/>
          <w:szCs w:val="28"/>
          <w:rtl/>
        </w:rPr>
        <w:t xml:space="preserve">المغصوبة فإنّ حرمة هذا الفرد من الغصب أیضاً معلومة كسائر الأفراد والصّلاة جامعة لجميع الأجزاء والشّرائط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البطلان على القول به يجي‌ء من قبل عدم إمکان توجّه الأمر إليه.</w:t>
      </w:r>
    </w:p>
    <w:p>
      <w:pPr>
        <w:pStyle w:val="BookText"/>
      </w:pPr>
      <w:r>
        <w:rPr>
          <w:rFonts w:ascii="IRNazanin" w:hAnsi="IRNazanin" w:eastAsia="IRNazanin" w:cs="IRNazanin"/>
          <w:lang w:bidi="fa-IR"/>
          <w:color w:val="111111"/>
          <w:sz w:val="28"/>
          <w:szCs w:val="28"/>
          <w:rtl/>
        </w:rPr>
        <w:t xml:space="preserve">والشاهد على كون المفروض ما ذكرنا مضافاً إلى ملاحظة الأمثلة الّتي يذكرونها حكمهم بصحّة العمل إذا أتى به على الوجه المحرّم ناسياً أو جاهلاً للموضوع أو غافلاً فإنّه لو لم يكن المأمور به مع قطع النّظر عن النّهي والمبغوضیّة جامعاً لجميع الشرائط لم يكن وجه للحكم بالصحّة.</w:t>
      </w:r>
    </w:p>
    <w:p>
      <w:pPr>
        <w:pStyle w:val="BookText"/>
      </w:pPr>
      <w:r>
        <w:rPr>
          <w:rFonts w:ascii="IRNazanin" w:hAnsi="IRNazanin" w:eastAsia="IRNazanin" w:cs="IRNazanin"/>
          <w:lang w:bidi="fa-IR"/>
          <w:color w:val="111111"/>
          <w:sz w:val="28"/>
          <w:szCs w:val="28"/>
          <w:rtl/>
        </w:rPr>
        <w:t xml:space="preserve">وبعبارة أخری: لو كان المقام من قبيل التعارض لم يكن فرق بين حال العلم والجهل وإذا كان الأمر على ما ذكرنا فلا وجه لما ذكروه من ملاحظة المرجّحات الدّلالية والسّندية وغيرها.</w:t>
      </w:r>
    </w:p>
    <w:p>
      <w:pPr>
        <w:pStyle w:val="BookText"/>
      </w:pPr>
      <w:r>
        <w:rPr>
          <w:rFonts w:ascii="Amiri" w:hAnsi="Amiri" w:eastAsia="Amiri" w:cs="Amiri"/>
          <w:lang w:bidi="ar-SA"/>
          <w:color w:val="111111"/>
          <w:sz w:val="28"/>
          <w:szCs w:val="28"/>
          <w:rtl/>
        </w:rPr>
        <w:t xml:space="preserve">بل الوجه أن يقال: بناءً على جواز الاجتماع نحكم بالحرمة والصحّة لعدم المزاحمة وبناء على العدم نحكم بالحرمة وعدم الصحّة من جهة التمانع بين الأمر والنّهي والمفروض فعلية النّهي.</w:t>
      </w:r>
    </w:p>
    <w:p>
      <w:pPr>
        <w:pStyle w:val="BookText"/>
      </w:pPr>
      <w:r>
        <w:rPr>
          <w:rFonts w:ascii="Amiri" w:hAnsi="Amiri" w:eastAsia="Amiri" w:cs="Amiri"/>
          <w:lang w:bidi="ar-SA"/>
          <w:color w:val="111111"/>
          <w:sz w:val="28"/>
          <w:szCs w:val="28"/>
          <w:rtl/>
        </w:rPr>
        <w:t xml:space="preserve">بل أقول: يمكن أن يحكم بصحّة العمل حينئذٍ وإن قلنا بعدم</w:t>
      </w:r>
      <w:r>
        <w:rPr>
          <w:rStyle w:val="FootnoteReference"/>
        </w:rPr>
        <w:footnoteReference w:id="792"/>
      </w:r>
      <w:r>
        <w:rPr>
          <w:rFonts w:ascii="Amiri" w:hAnsi="Amiri" w:eastAsia="Amiri" w:cs="Amiri"/>
          <w:lang w:bidi="ar-SA"/>
          <w:color w:val="111111"/>
          <w:sz w:val="28"/>
          <w:szCs w:val="28"/>
          <w:rtl/>
        </w:rPr>
        <w:t xml:space="preserve">جواز الاجتماع؛ وذلك لأنّ المفروض كون الفرد تامّاً</w:t>
      </w:r>
      <w:r>
        <w:rPr>
          <w:rStyle w:val="FootnoteReference"/>
        </w:rPr>
        <w:footnoteReference w:id="793"/>
      </w:r>
      <w:r>
        <w:rPr>
          <w:rFonts w:ascii="IRNazanin" w:hAnsi="IRNazanin" w:eastAsia="IRNazanin" w:cs="IRNazanin"/>
          <w:lang w:bidi="fa-IR"/>
          <w:color w:val="111111"/>
          <w:sz w:val="28"/>
          <w:szCs w:val="28"/>
          <w:rtl/>
        </w:rPr>
        <w:t xml:space="preserve">من جميع الجهات إلّا من حيث توجّه الأمر إليه ولا حاجة إلى الأمر في الحكم بالصحّة بل یکفي فيها وجود الشّرائط والأجزاء؛ إذ المانع من توجّه الأمر قصور في حيثيّة الطلب لا في المطلوب فهذا الفرد كسائر الأفرادفي جميع الحيثيّات وفي المحبوبيّة للشارع.</w:t>
      </w:r>
    </w:p>
    <w:p>
      <w:pPr>
        <w:pStyle w:val="BookText"/>
      </w:pPr>
      <w:r>
        <w:rPr>
          <w:rFonts w:ascii="IRNazanin" w:hAnsi="IRNazanin" w:eastAsia="IRNazanin" w:cs="IRNazanin"/>
          <w:lang w:bidi="fa-IR"/>
          <w:color w:val="111111"/>
          <w:sz w:val="28"/>
          <w:szCs w:val="28"/>
          <w:rtl/>
        </w:rPr>
        <w:t xml:space="preserve">غاية الأمر أنّه لا يمكنه الأمر به من جهة نهيه عنه من حيثيّة أخرى وإلّا فلا فرق في كونه محصّلاً لغرضه بينه وبين سائر الأفراد فيكون الإتیان به مسقطاً لأمره وإتیاناً لمطلوبه بمعنى ذات المطلوب فهو أداء بالنّسبة إلى ملاحظة ذات المأمور به وإسقاط بالنّسبة إلى ملاحظته بوصف أنّه مأمور به.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أنّه قد تكون</w:t>
      </w:r>
      <w:r>
        <w:rPr>
          <w:rStyle w:val="FootnoteReference"/>
        </w:rPr>
        <w:footnoteReference w:id="794"/>
      </w:r>
      <w:r>
        <w:rPr>
          <w:rFonts w:ascii="Amiri" w:hAnsi="Amiri" w:eastAsia="Amiri" w:cs="Amiri"/>
          <w:lang w:bidi="ar-SA"/>
          <w:color w:val="111111"/>
          <w:sz w:val="28"/>
          <w:szCs w:val="28"/>
          <w:rtl/>
        </w:rPr>
        <w:t xml:space="preserve">دائرة المطلوب والمأمور به أوسع من دائرة الطّلب والأمر كما في المقام وقد تكون أضيق كما في الأمر بالمقدّمة فإنّه متعلّق بذاتها مع قطع النّظر عن قيد الإيصال إلى ذي المقدّمة إلّا أنّ المطلوب هو المقدّمة الموصلة</w:t>
      </w:r>
      <w:r>
        <w:rPr>
          <w:rStyle w:val="FootnoteReference"/>
        </w:rPr>
        <w:footnoteReference w:id="795"/>
      </w:r>
      <w:r>
        <w:rPr>
          <w:rFonts w:ascii="Amiri" w:hAnsi="Amiri" w:eastAsia="Amiri" w:cs="Amiri"/>
          <w:lang w:bidi="ar-SA"/>
          <w:color w:val="111111"/>
          <w:sz w:val="28"/>
          <w:szCs w:val="28"/>
          <w:rtl/>
        </w:rPr>
        <w:t xml:space="preserve">بذي المقدّمة؛ إذ الغرض إنّما هو فيها ولا يمكن الأمر بها بل يجب الأمر بذاتها؛ وذلك لأنّ قيد الإيصال والموصليّة</w:t>
      </w:r>
      <w:r>
        <w:rPr>
          <w:rStyle w:val="FootnoteReference"/>
        </w:rPr>
        <w:footnoteReference w:id="796"/>
      </w:r>
      <w:r>
        <w:rPr>
          <w:rFonts w:ascii="Amiri" w:hAnsi="Amiri" w:eastAsia="Amiri" w:cs="Amiri"/>
          <w:lang w:bidi="ar-SA"/>
          <w:color w:val="111111"/>
          <w:sz w:val="28"/>
          <w:szCs w:val="28"/>
          <w:rtl/>
        </w:rPr>
        <w:t xml:space="preserve">بذي المقدّمة لا يمكن أن يكون في حيّز الأمر وإلّا لزم تكرار الطّلب بالنّسبة إلى ذي المقدّمة حيث إنّه مأمور به</w:t>
      </w:r>
      <w:r>
        <w:rPr>
          <w:rStyle w:val="FootnoteReference"/>
        </w:rPr>
        <w:footnoteReference w:id="797"/>
      </w:r>
      <w:r>
        <w:rPr>
          <w:rFonts w:ascii="Amiri" w:hAnsi="Amiri" w:eastAsia="Amiri" w:cs="Amiri"/>
          <w:lang w:bidi="ar-SA"/>
          <w:color w:val="111111"/>
          <w:sz w:val="28"/>
          <w:szCs w:val="28"/>
          <w:rtl/>
        </w:rPr>
        <w:t xml:space="preserve">في حدّ نفسه ومأمور به من حيث إنّه قيد في المقدّمة إذا كان المطلوب هو الموصلة؛ إذ حصول ذى المقدّمة معتبر في تحصيل وصف الإيصال فيلزم ما ذكرنا من التّكرار.</w:t>
      </w:r>
    </w:p>
    <w:p>
      <w:pPr>
        <w:pStyle w:val="BookText"/>
      </w:pPr>
      <w:r>
        <w:rPr>
          <w:rFonts w:ascii="Amiri" w:hAnsi="Amiri" w:eastAsia="Amiri" w:cs="Amiri"/>
          <w:lang w:bidi="ar-SA"/>
          <w:color w:val="111111"/>
          <w:sz w:val="28"/>
          <w:szCs w:val="28"/>
          <w:rtl/>
        </w:rPr>
        <w:t xml:space="preserve">فكما أنّ الغرض قد يقيّد المطلوب وإن لم يمكن</w:t>
      </w:r>
      <w:r>
        <w:rPr>
          <w:rStyle w:val="FootnoteReference"/>
        </w:rPr>
        <w:footnoteReference w:id="798"/>
      </w:r>
      <w:r>
        <w:rPr>
          <w:rFonts w:ascii="Amiri" w:hAnsi="Amiri" w:eastAsia="Amiri" w:cs="Amiri"/>
          <w:lang w:bidi="ar-SA"/>
          <w:color w:val="111111"/>
          <w:sz w:val="28"/>
          <w:szCs w:val="28"/>
          <w:rtl/>
        </w:rPr>
        <w:t xml:space="preserve">تقييد المأمور به كما في المقدّمة الموصلة كذلك قد يعمّم المطلوب وإن لم يمكن</w:t>
      </w:r>
      <w:r>
        <w:rPr>
          <w:rStyle w:val="FootnoteReference"/>
        </w:rPr>
        <w:footnoteReference w:id="799"/>
      </w:r>
      <w:r>
        <w:rPr>
          <w:rFonts w:ascii="Amiri" w:hAnsi="Amiri" w:eastAsia="Amiri" w:cs="Amiri"/>
          <w:lang w:bidi="ar-SA"/>
          <w:color w:val="111111"/>
          <w:sz w:val="28"/>
          <w:szCs w:val="28"/>
          <w:rtl/>
        </w:rPr>
        <w:t xml:space="preserve">تعميم الأمر كما في المقام وكما في الفعل التوصّلي المأتي به حال الغفلة والنّسيان والنّوم ونحو ذلك فإنّه لا يمكن أن يتعلّق به الطّلب لكنّه مطلوب للآمر؛ إذ لا فرق بينه وبين ما يؤتى به في حال الالتفات في نظر المولى وفي حصول غرضه.</w:t>
      </w:r>
    </w:p>
    <w:p>
      <w:pPr>
        <w:pStyle w:val="BookText"/>
      </w:pPr>
      <w:r>
        <w:rPr>
          <w:rFonts w:ascii="IRNazanin" w:hAnsi="IRNazanin" w:eastAsia="IRNazanin" w:cs="IRNazanin"/>
          <w:lang w:bidi="fa-IR"/>
          <w:color w:val="111111"/>
          <w:sz w:val="28"/>
          <w:szCs w:val="28"/>
          <w:rtl/>
        </w:rPr>
        <w:t xml:space="preserve">فإن قلت: إنّ ما ذكرت من الصحّة مع عدم الأمر إنّما يسلّم في التوصّلي الغير المحتاج إلى قصد القربة لا في التعبّدي فإنّه يحتاج إلى الأمر ليمكن قصد الامتثال.قلت: لا يعتبر في قصد القربة قصد الأمر بل یکفي فيه الإتیان بداعي الله على أيّ وجه يكون.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وحينئذٍ فنقول: يقصد في المقام الإتیان به؛ لأنّه محبوب لله ومشتمل</w:t>
      </w:r>
      <w:r>
        <w:rPr>
          <w:rStyle w:val="FootnoteReference"/>
        </w:rPr>
        <w:footnoteReference w:id="800"/>
      </w:r>
      <w:r>
        <w:rPr>
          <w:rFonts w:ascii="Amiri" w:hAnsi="Amiri" w:eastAsia="Amiri" w:cs="Amiri"/>
          <w:lang w:bidi="ar-SA"/>
          <w:color w:val="111111"/>
          <w:sz w:val="28"/>
          <w:szCs w:val="28"/>
          <w:rtl/>
        </w:rPr>
        <w:t xml:space="preserve">على ما يفي بغرضه.</w:t>
      </w:r>
    </w:p>
    <w:p>
      <w:pPr>
        <w:pStyle w:val="BookText"/>
      </w:pPr>
      <w:r>
        <w:rPr>
          <w:rFonts w:ascii="IRNazanin" w:hAnsi="IRNazanin" w:eastAsia="IRNazanin" w:cs="IRNazanin"/>
          <w:lang w:bidi="fa-IR"/>
          <w:color w:val="111111"/>
          <w:sz w:val="28"/>
          <w:szCs w:val="28"/>
          <w:rtl/>
        </w:rPr>
        <w:t xml:space="preserve">ولذا قلنا بصحّة قصد القربة في المقدّمات وإن لم نقل بوجوبها الغيري ولا رجحانها النّفسي إذا كان القصد في إتیانها التوصّل بها إلى ذيها ممّا يجب نفساً.</w:t>
      </w:r>
    </w:p>
    <w:p>
      <w:pPr>
        <w:pStyle w:val="BookText"/>
      </w:pPr>
      <w:r>
        <w:rPr>
          <w:rFonts w:ascii="IRNazanin" w:hAnsi="IRNazanin" w:eastAsia="IRNazanin" w:cs="IRNazanin"/>
          <w:lang w:bidi="fa-IR"/>
          <w:color w:val="111111"/>
          <w:sz w:val="28"/>
          <w:szCs w:val="28"/>
          <w:rtl/>
        </w:rPr>
        <w:t xml:space="preserve">وبهذا يندفع الإشکال في كون الوجوب الغيري قاصراً عن كونه ملاكاً لعباديّة العبادة كالوضوء أو كافياً في اتّصافها بها كسائر المقدّمات إذا أريد إتیانها على وجه العبادة.</w:t>
      </w:r>
    </w:p>
    <w:p>
      <w:pPr>
        <w:pStyle w:val="BookText"/>
      </w:pPr>
      <w:r>
        <w:rPr>
          <w:rFonts w:ascii="IRNazanin" w:hAnsi="IRNazanin" w:eastAsia="IRNazanin" w:cs="IRNazanin"/>
          <w:lang w:bidi="fa-IR"/>
          <w:color w:val="111111"/>
          <w:sz w:val="28"/>
          <w:szCs w:val="28"/>
          <w:rtl/>
        </w:rPr>
        <w:t xml:space="preserve">فالقدر</w:t>
      </w:r>
      <w:r>
        <w:rPr>
          <w:rStyle w:val="FootnoteReference"/>
        </w:rPr>
        <w:footnoteReference w:id="801"/>
      </w:r>
      <w:r>
        <w:rPr>
          <w:rFonts w:ascii="Amiri" w:hAnsi="Amiri" w:eastAsia="Amiri" w:cs="Amiri"/>
          <w:lang w:bidi="ar-SA"/>
          <w:color w:val="111111"/>
          <w:sz w:val="28"/>
          <w:szCs w:val="28"/>
          <w:rtl/>
        </w:rPr>
        <w:t xml:space="preserve">المسلّم من اعتبار القربة في العبادات بالمعنى الأخصّ أو الأعمّ هذا المقدار الّذي ذكرنا.</w:t>
      </w:r>
    </w:p>
    <w:p>
      <w:pPr>
        <w:pStyle w:val="BookText"/>
      </w:pPr>
      <w:r>
        <w:rPr>
          <w:rFonts w:ascii="IRNazanin" w:hAnsi="IRNazanin" w:eastAsia="IRNazanin" w:cs="IRNazanin"/>
          <w:lang w:bidi="fa-IR"/>
          <w:color w:val="111111"/>
          <w:sz w:val="28"/>
          <w:szCs w:val="28"/>
          <w:rtl/>
        </w:rPr>
        <w:t xml:space="preserve">ولذا تراهم</w:t>
      </w:r>
      <w:r>
        <w:rPr>
          <w:rStyle w:val="FootnoteReference"/>
        </w:rPr>
        <w:footnoteReference w:id="802"/>
      </w:r>
      <w:r>
        <w:rPr>
          <w:rFonts w:ascii="Amiri" w:hAnsi="Amiri" w:eastAsia="Amiri" w:cs="Amiri"/>
          <w:lang w:bidi="ar-SA"/>
          <w:color w:val="111111"/>
          <w:sz w:val="28"/>
          <w:szCs w:val="28"/>
          <w:rtl/>
        </w:rPr>
        <w:t xml:space="preserve">يذكرون لقصد القربة مراتب متعدّدة إحداها</w:t>
      </w:r>
      <w:r>
        <w:rPr>
          <w:rStyle w:val="FootnoteReference"/>
        </w:rPr>
        <w:footnoteReference w:id="803"/>
      </w:r>
      <w:r>
        <w:rPr>
          <w:rFonts w:ascii="IRNazanin" w:hAnsi="IRNazanin" w:eastAsia="IRNazanin" w:cs="IRNazanin"/>
          <w:lang w:bidi="fa-IR"/>
          <w:color w:val="111111"/>
          <w:sz w:val="28"/>
          <w:szCs w:val="28"/>
          <w:rtl/>
        </w:rPr>
        <w:t xml:space="preserve">قصد امتثال</w:t>
      </w:r>
      <w:r>
        <w:rPr>
          <w:rStyle w:val="FootnoteReference"/>
        </w:rPr>
        <w:footnoteReference w:id="804"/>
      </w:r>
      <w:r>
        <w:rPr>
          <w:rFonts w:ascii="Amiri" w:hAnsi="Amiri" w:eastAsia="Amiri" w:cs="Amiri"/>
          <w:lang w:bidi="ar-SA"/>
          <w:color w:val="111111"/>
          <w:sz w:val="28"/>
          <w:szCs w:val="28"/>
          <w:rtl/>
        </w:rPr>
        <w:t xml:space="preserve">الأمر، ولذا حكمنا بصحّة غسل الجمعة إذا أتى به لا بعنوان امتثال أمره بل بقصد امتثال أمر غسل الجنابة بناء على تداخل الأغسال فإنّه بالنّسبة إلى غسل الجنابة المقصودة امتثال وبالنّسبة إلى غسل الجمعة أداء لا امتثال.</w:t>
      </w:r>
    </w:p>
    <w:p>
      <w:pPr>
        <w:pStyle w:val="BookText"/>
      </w:pPr>
      <w:r>
        <w:rPr>
          <w:rFonts w:ascii="IRNazanin" w:hAnsi="IRNazanin" w:eastAsia="IRNazanin" w:cs="IRNazanin"/>
          <w:lang w:bidi="fa-IR"/>
          <w:color w:val="111111"/>
          <w:sz w:val="28"/>
          <w:szCs w:val="28"/>
          <w:rtl/>
        </w:rPr>
        <w:t xml:space="preserve">فإنّ ماهيّة غسل الجمعة هو الغسل بقصد القربة وإن لم يكن بعنوان امتثال أمره بل لأمر آخر وقد حصل في الخارج فإنّ كونه لله یکفي في تحقّق موضوعه المفروض توقّفه</w:t>
      </w:r>
      <w:r>
        <w:rPr>
          <w:rStyle w:val="FootnoteReference"/>
        </w:rPr>
        <w:footnoteReference w:id="805"/>
      </w:r>
      <w:r>
        <w:rPr>
          <w:rFonts w:ascii="Amiri" w:hAnsi="Amiri" w:eastAsia="Amiri" w:cs="Amiri"/>
          <w:lang w:bidi="ar-SA"/>
          <w:color w:val="111111"/>
          <w:sz w:val="28"/>
          <w:szCs w:val="28"/>
          <w:rtl/>
        </w:rPr>
        <w:t xml:space="preserve">على القربة.</w:t>
      </w:r>
    </w:p>
    <w:p>
      <w:pPr>
        <w:pStyle w:val="BookText"/>
      </w:pPr>
      <w:r>
        <w:rPr>
          <w:rFonts w:ascii="IRNazanin" w:hAnsi="IRNazanin" w:eastAsia="IRNazanin" w:cs="IRNazanin"/>
          <w:lang w:bidi="fa-IR"/>
          <w:color w:val="111111"/>
          <w:sz w:val="28"/>
          <w:szCs w:val="28"/>
          <w:rtl/>
        </w:rPr>
        <w:t xml:space="preserve">فهو نظير الإتیان بالتوصّليات من دون قصد الامتثال بل هو من هذه الجهة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توصّلي بل جميع التعبّديات لا يعتبر فيها سوى تحقّق موضوعها في الخارج ومعنى تعبّديّتها أنّه لا تتحقّق</w:t>
      </w:r>
      <w:r>
        <w:rPr>
          <w:rStyle w:val="FootnoteReference"/>
        </w:rPr>
        <w:footnoteReference w:id="806"/>
      </w:r>
      <w:r>
        <w:rPr>
          <w:rFonts w:ascii="Amiri" w:hAnsi="Amiri" w:eastAsia="Amiri" w:cs="Amiri"/>
          <w:lang w:bidi="ar-SA"/>
          <w:color w:val="111111"/>
          <w:sz w:val="28"/>
          <w:szCs w:val="28"/>
          <w:rtl/>
        </w:rPr>
        <w:t xml:space="preserve">إلّا بقصد الامتثال والقربة.</w:t>
      </w:r>
    </w:p>
    <w:p>
      <w:pPr>
        <w:pStyle w:val="BookText"/>
      </w:pPr>
      <w:r>
        <w:rPr>
          <w:rFonts w:ascii="Amiri" w:hAnsi="Amiri" w:eastAsia="Amiri" w:cs="Amiri"/>
          <w:lang w:bidi="ar-SA"/>
          <w:color w:val="111111"/>
          <w:sz w:val="28"/>
          <w:szCs w:val="28"/>
          <w:rtl/>
        </w:rPr>
        <w:t xml:space="preserve">فإذا صدق القصد المذكور بدون قصد خصوص الأمر فقد تحقّق</w:t>
      </w:r>
      <w:r>
        <w:rPr>
          <w:rStyle w:val="FootnoteReference"/>
        </w:rPr>
        <w:footnoteReference w:id="807"/>
      </w:r>
      <w:r>
        <w:rPr>
          <w:rFonts w:ascii="Amiri" w:hAnsi="Amiri" w:eastAsia="Amiri" w:cs="Amiri"/>
          <w:lang w:bidi="ar-SA"/>
          <w:color w:val="111111"/>
          <w:sz w:val="28"/>
          <w:szCs w:val="28"/>
          <w:rtl/>
        </w:rPr>
        <w:t xml:space="preserve">الموضوع في الخارج وهو كافٍ إلّا أن يستفاد من الدّليل خصوصاً أو عموماً اعتبار قصد القربة من الجهة المأمور بها، وهو في محلّ المنع.</w:t>
      </w:r>
    </w:p>
    <w:p>
      <w:pPr>
        <w:pStyle w:val="BookText"/>
      </w:pPr>
      <w:r>
        <w:rPr>
          <w:rFonts w:ascii="IRNazanin" w:hAnsi="IRNazanin" w:eastAsia="IRNazanin" w:cs="IRNazanin"/>
          <w:lang w:bidi="fa-IR"/>
          <w:color w:val="111111"/>
          <w:sz w:val="28"/>
          <w:szCs w:val="28"/>
          <w:rtl/>
        </w:rPr>
        <w:t xml:space="preserve">فإن قلت: إذا كان العمل غير مشروط بالقربة كالتوصّليات يكفيه الإتیان به بداعي المحبوبيّة لله تعالى ويصير عبادة بالمعنى الأعمّ بهذا القصد؛ إذ المفروض أنّه من حيث هو محبوب له تعالى وأمّا في التعبّديات فليس المحبوب ذات الفعل بل هو مقيّداً بالقربة فلا يمكن الإتیان بداعي المحبوبيّة إلّا بعد إحراز الموضوع الموقوف على قصد القربة.</w:t>
      </w:r>
    </w:p>
    <w:p>
      <w:pPr>
        <w:pStyle w:val="BookText"/>
      </w:pPr>
      <w:r>
        <w:rPr>
          <w:rFonts w:ascii="IRNazanin" w:hAnsi="IRNazanin" w:eastAsia="IRNazanin" w:cs="IRNazanin"/>
          <w:lang w:bidi="fa-IR"/>
          <w:color w:val="111111"/>
          <w:sz w:val="28"/>
          <w:szCs w:val="28"/>
          <w:rtl/>
        </w:rPr>
        <w:t xml:space="preserve">قلت: هذا الإشکال سارٍ في جميع العبادات ولا اختصاص له بالمقام وهو وارد مع فرض توجّه الأمر أیضاً والدّفع مشترك بين المقامين وله محلّ آخر.</w:t>
      </w:r>
    </w:p>
    <w:p>
      <w:pPr>
        <w:pStyle w:val="BookText"/>
      </w:pPr>
      <w:r>
        <w:rPr>
          <w:rFonts w:ascii="IRNazanin" w:hAnsi="IRNazanin" w:eastAsia="IRNazanin" w:cs="IRNazanin"/>
          <w:lang w:bidi="fa-IR"/>
          <w:color w:val="111111"/>
          <w:sz w:val="28"/>
          <w:szCs w:val="28"/>
          <w:rtl/>
        </w:rPr>
        <w:t xml:space="preserve">فإن قلت: المفروض أنّ هذا الفرد مبغوض صرف لله تعالى وليس مأمورا ًبه أصلاً، فكيف يمكن الإتیان به</w:t>
      </w:r>
      <w:r>
        <w:rPr>
          <w:rStyle w:val="FootnoteReference"/>
        </w:rPr>
        <w:footnoteReference w:id="808"/>
      </w:r>
      <w:r>
        <w:rPr>
          <w:rFonts w:ascii="Amiri" w:hAnsi="Amiri" w:eastAsia="Amiri" w:cs="Amiri"/>
          <w:lang w:bidi="ar-SA"/>
          <w:color w:val="111111"/>
          <w:sz w:val="28"/>
          <w:szCs w:val="28"/>
          <w:rtl/>
        </w:rPr>
        <w:t xml:space="preserve">بداعي المحبوبيّة؟! فلو سلّمنا كفاية هذا في قصد القربة فإنّما نسلّمه فيما لم يكن مبغوضاً بالفعل.</w:t>
      </w:r>
    </w:p>
    <w:p>
      <w:pPr>
        <w:pStyle w:val="BookText"/>
      </w:pPr>
      <w:r>
        <w:rPr>
          <w:rFonts w:ascii="IRNazanin" w:hAnsi="IRNazanin" w:eastAsia="IRNazanin" w:cs="IRNazanin"/>
          <w:lang w:bidi="fa-IR"/>
          <w:color w:val="111111"/>
          <w:sz w:val="28"/>
          <w:szCs w:val="28"/>
          <w:rtl/>
        </w:rPr>
        <w:t xml:space="preserve">قلت: كونه مبغوضاً من جهة الخصوصيّة لا ينافي كونه محبوباً من حيث إنّه واجد لمصلحة المأمور به وهذه المحبوبيّة وإن لم تكن فعليّة بل هو بالفعل مبغوض إلّا أنّ جهتها كافية في قصد القربة ويمكن معها الإتیان بداعي الله تعالى.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لو قلنا</w:t>
      </w:r>
      <w:r>
        <w:rPr>
          <w:rStyle w:val="FootnoteReference"/>
        </w:rPr>
        <w:footnoteReference w:id="809"/>
      </w:r>
      <w:r>
        <w:rPr>
          <w:rFonts w:ascii="Amiri" w:hAnsi="Amiri" w:eastAsia="Amiri" w:cs="Amiri"/>
          <w:lang w:bidi="ar-SA"/>
          <w:color w:val="111111"/>
          <w:sz w:val="28"/>
          <w:szCs w:val="28"/>
          <w:rtl/>
        </w:rPr>
        <w:t xml:space="preserve">بجواز اجتماع الأمر والنهي</w:t>
      </w:r>
      <w:r>
        <w:rPr>
          <w:rStyle w:val="FootnoteReference"/>
        </w:rPr>
        <w:footnoteReference w:id="810"/>
      </w:r>
      <w:r>
        <w:rPr>
          <w:rFonts w:ascii="IRNazanin" w:hAnsi="IRNazanin" w:eastAsia="IRNazanin" w:cs="IRNazanin"/>
          <w:lang w:bidi="fa-IR"/>
          <w:color w:val="111111"/>
          <w:sz w:val="28"/>
          <w:szCs w:val="28"/>
          <w:rtl/>
        </w:rPr>
        <w:t xml:space="preserve">فإنّ مجرّد وجود الأمر لا يرفع المبغوضیّة فكما يمكن قصد القربة بناء على القول بجواز الاجتماع ولا يضرّ به المبغوضیّة الموجودة فعلاً فكذلك يمكن بناء على القول بعدمه بملاحظة كونه مشتملاً على جهة المحبوبيّة وكونه وافياً بغرض الآمر.فتحصّل أنّ الصحّة لا تكون متفرّعة على القول بجواز الاجتماع وليست محتاجة إلى الأمر الفعلي من غير فرق بين التوصّليات والتعبّديات وبين كون المورد مباحاً فعلاً أو حراماً إذا علم من الخارج أنّه محبوب من حيث هو، وإنّ عدم ورود الطّلب عليه إنّما هو من جهة مانع عنه لا لقصور في المطلوب.</w:t>
      </w:r>
    </w:p>
    <w:p>
      <w:pPr>
        <w:pStyle w:val="BookText"/>
      </w:pPr>
      <w:r>
        <w:rPr>
          <w:rFonts w:ascii="Amiri" w:hAnsi="Amiri" w:eastAsia="Amiri" w:cs="Amiri"/>
          <w:lang w:bidi="ar-SA"/>
          <w:color w:val="111111"/>
          <w:sz w:val="28"/>
          <w:szCs w:val="28"/>
          <w:rtl/>
        </w:rPr>
        <w:t xml:space="preserve">بل أقول: لا يمكن تصحيح ما ذكروه من صحّة العمل إذا أتى به ناسياً أو جاهلاً وإنّ النّهي الواقعي لا يوجب البطلان إلّا بما ذكرنا من كفاية كون المورد واجداً</w:t>
      </w:r>
      <w:r>
        <w:rPr>
          <w:rStyle w:val="FootnoteReference"/>
        </w:rPr>
        <w:footnoteReference w:id="811"/>
      </w:r>
      <w:r>
        <w:rPr>
          <w:rFonts w:ascii="Amiri" w:hAnsi="Amiri" w:eastAsia="Amiri" w:cs="Amiri"/>
          <w:lang w:bidi="ar-SA"/>
          <w:color w:val="111111"/>
          <w:sz w:val="28"/>
          <w:szCs w:val="28"/>
          <w:rtl/>
        </w:rPr>
        <w:t xml:space="preserve">للشرائط فاقداً للموانع وأنّه لا يحتاج إلى الأمر الفعلي.</w:t>
      </w:r>
    </w:p>
    <w:p>
      <w:pPr>
        <w:pStyle w:val="BookText"/>
      </w:pPr>
      <w:r>
        <w:rPr>
          <w:rFonts w:ascii="Amiri" w:hAnsi="Amiri" w:eastAsia="Amiri" w:cs="Amiri"/>
          <w:lang w:bidi="ar-SA"/>
          <w:color w:val="111111"/>
          <w:sz w:val="28"/>
          <w:szCs w:val="28"/>
          <w:rtl/>
        </w:rPr>
        <w:t xml:space="preserve">وإلّا فلو أريد إثبات الصحّة من جهة أنّ النهي الواقعي لا ينافي</w:t>
      </w:r>
      <w:r>
        <w:rPr>
          <w:rStyle w:val="FootnoteReference"/>
        </w:rPr>
        <w:footnoteReference w:id="812"/>
      </w:r>
      <w:r>
        <w:rPr>
          <w:rFonts w:ascii="IRNazanin" w:hAnsi="IRNazanin" w:eastAsia="IRNazanin" w:cs="IRNazanin"/>
          <w:lang w:bidi="fa-IR"/>
          <w:color w:val="111111"/>
          <w:sz w:val="28"/>
          <w:szCs w:val="28"/>
          <w:rtl/>
        </w:rPr>
        <w:t xml:space="preserve">الأمر وأنّ الأمر موجود كما يظهر من بعضهم؛ يرد عليه: أنّ النّهي الواقعي وإن کان لا ينافي الأمر الظاهري إلّا أنّه ينافي الأمر الواقعي فهو في الواقع خالٍ عن الأمر بناء على منع الاجتماع ولازمه البطلان</w:t>
      </w:r>
      <w:r>
        <w:rPr>
          <w:rStyle w:val="FootnoteReference"/>
        </w:rPr>
        <w:footnoteReference w:id="813"/>
      </w:r>
      <w:r>
        <w:rPr>
          <w:rFonts w:ascii="Amiri" w:hAnsi="Amiri" w:eastAsia="Amiri" w:cs="Amiri"/>
          <w:lang w:bidi="ar-SA"/>
          <w:color w:val="111111"/>
          <w:sz w:val="28"/>
          <w:szCs w:val="28"/>
          <w:rtl/>
        </w:rPr>
        <w:t xml:space="preserve">إذا لم نقل بما ذكرنا من كفاية المحبوبيّة الذاتيّة.</w:t>
      </w:r>
    </w:p>
    <w:p>
      <w:pPr>
        <w:pStyle w:val="BookText"/>
      </w:pPr>
      <w:r>
        <w:rPr>
          <w:rFonts w:ascii="Amiri" w:hAnsi="Amiri" w:eastAsia="Amiri" w:cs="Amiri"/>
          <w:lang w:bidi="ar-SA"/>
          <w:color w:val="111111"/>
          <w:sz w:val="28"/>
          <w:szCs w:val="28"/>
          <w:rtl/>
        </w:rPr>
        <w:t xml:space="preserve">ودعوى أنّ الصحّة إنّما هي من جهة الأمر الظاهري؛</w:t>
      </w:r>
    </w:p>
    <w:p>
      <w:pPr>
        <w:pStyle w:val="BookText"/>
      </w:pPr>
      <w:r>
        <w:rPr>
          <w:rFonts w:ascii="Amiri" w:hAnsi="Amiri" w:eastAsia="Amiri" w:cs="Amiri"/>
          <w:lang w:bidi="ar-SA"/>
          <w:color w:val="111111"/>
          <w:sz w:val="28"/>
          <w:szCs w:val="28"/>
          <w:rtl/>
        </w:rPr>
        <w:t xml:space="preserve">مدفوعة بما قرّر في محلّه من أنّه لا يفيد الإجزاء إذا لم يطابق الواقع كما هو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المفروض.</w:t>
      </w:r>
    </w:p>
    <w:p>
      <w:pPr>
        <w:pStyle w:val="BookText"/>
      </w:pPr>
      <w:r>
        <w:rPr>
          <w:rFonts w:ascii="Amiri" w:hAnsi="Amiri" w:eastAsia="Amiri" w:cs="Amiri"/>
          <w:lang w:bidi="ar-SA"/>
          <w:color w:val="111111"/>
          <w:sz w:val="28"/>
          <w:szCs w:val="28"/>
          <w:rtl/>
        </w:rPr>
        <w:t xml:space="preserve">والتزام كفاية المحبوبيّة الواقعيّة مع وجود الأمر الظاهري الخيالي كما فيما ذكروه وعدم كفايتها مع عدمه كما في مفروضنا مجرّد تخرّص؛ إذ الأمر الخيالي لا ينفع شيئاً.</w:t>
      </w:r>
    </w:p>
    <w:p>
      <w:pPr>
        <w:pStyle w:val="BookText"/>
      </w:pPr>
      <w:r>
        <w:rPr>
          <w:rFonts w:ascii="IRNazanin" w:hAnsi="IRNazanin" w:eastAsia="IRNazanin" w:cs="IRNazanin"/>
          <w:lang w:bidi="fa-IR"/>
          <w:color w:val="111111"/>
          <w:sz w:val="28"/>
          <w:szCs w:val="28"/>
          <w:rtl/>
        </w:rPr>
        <w:t xml:space="preserve">نعم المبغوضیّة الفعليّة غير موجودة فيما ذكروه وقد عرفت أنّها غير منافية لقصد القربة.</w:t>
      </w:r>
    </w:p>
    <w:p>
      <w:pPr>
        <w:pStyle w:val="BookText"/>
      </w:pPr>
      <w:r>
        <w:rPr>
          <w:rFonts w:ascii="Amiri" w:hAnsi="Amiri" w:eastAsia="Amiri" w:cs="Amiri"/>
          <w:lang w:bidi="ar-SA"/>
          <w:color w:val="111111"/>
          <w:sz w:val="28"/>
          <w:szCs w:val="28"/>
          <w:rtl/>
        </w:rPr>
        <w:t xml:space="preserve">فإن قلت: سلّمنا أنّه يمكن إثبات الصحّة بدون الأمر إذا فرضنا تماميّة الفعل من جميع الجهات إلّا من حيث تعلّق الطّلب به وأنّ مورد المسألة ومفروضها ذلك إلّا أنّه يمكن أن يقال: إنّ النهي الفعلي كما أنّه مضادّ للأمر ومانع عن فعليّته</w:t>
      </w:r>
      <w:r>
        <w:rPr>
          <w:rStyle w:val="FootnoteReference"/>
        </w:rPr>
        <w:footnoteReference w:id="814"/>
      </w:r>
      <w:r>
        <w:rPr>
          <w:rFonts w:ascii="IRNazanin" w:hAnsi="IRNazanin" w:eastAsia="IRNazanin" w:cs="IRNazanin"/>
          <w:lang w:bidi="fa-IR"/>
          <w:color w:val="111111"/>
          <w:sz w:val="28"/>
          <w:szCs w:val="28"/>
          <w:rtl/>
        </w:rPr>
        <w:t xml:space="preserve">كذلكيحتمل أن يكون مانعاً عن المطلوب أیضاً.</w:t>
      </w:r>
    </w:p>
    <w:p>
      <w:pPr>
        <w:pStyle w:val="BookText"/>
      </w:pPr>
      <w:r>
        <w:rPr>
          <w:rFonts w:ascii="IRNazanin" w:hAnsi="IRNazanin" w:eastAsia="IRNazanin" w:cs="IRNazanin"/>
          <w:lang w:bidi="fa-IR"/>
          <w:color w:val="111111"/>
          <w:sz w:val="28"/>
          <w:szCs w:val="28"/>
          <w:rtl/>
        </w:rPr>
        <w:t xml:space="preserve">وبعبارة أخری: غاية ما ذكرت أنّ المطلوب تمام من جميع الجهات وأنّه لا مانع من صحّته إلّا عدم تعلّق الأمر به لمكان تعلّق النهي وأنّه غير منافٍ لها إلّا أنّه يمكن كون النهي مانعاً عن حصول المصلحة والمحبوبيّة الذاتيّة بأن يكون الفعل مقيّداً بعدم تعلّق النّهي ویكون النّهي الفعلي كسائر موانع</w:t>
      </w:r>
      <w:r>
        <w:rPr>
          <w:rStyle w:val="FootnoteReference"/>
        </w:rPr>
        <w:footnoteReference w:id="815"/>
      </w:r>
      <w:r>
        <w:rPr>
          <w:rFonts w:ascii="Amiri" w:hAnsi="Amiri" w:eastAsia="Amiri" w:cs="Amiri"/>
          <w:lang w:bidi="ar-SA"/>
          <w:color w:val="111111"/>
          <w:sz w:val="28"/>
          <w:szCs w:val="28"/>
          <w:rtl/>
        </w:rPr>
        <w:t xml:space="preserve">المأمور به مضافاً إلى كونه مانعاً عن الأمر فلايكون حصول المصلحة والوفاء بالغرض محرزاً.</w:t>
      </w:r>
    </w:p>
    <w:p>
      <w:pPr>
        <w:pStyle w:val="BookText"/>
      </w:pPr>
      <w:r>
        <w:rPr>
          <w:rFonts w:ascii="Amiri" w:hAnsi="Amiri" w:eastAsia="Amiri" w:cs="Amiri"/>
          <w:lang w:bidi="ar-SA"/>
          <w:color w:val="111111"/>
          <w:sz w:val="28"/>
          <w:szCs w:val="28"/>
          <w:rtl/>
        </w:rPr>
        <w:t xml:space="preserve">قلت: أوّلاً: يمكن دعوى العلم بعدم هذا الاحتمال وأنّ مانعيّته على فرضه منحصرة في منع توجّه الأمر وعلى فرض الاحتمال يمكن دفعه</w:t>
      </w:r>
      <w:r>
        <w:rPr>
          <w:rStyle w:val="FootnoteReference"/>
        </w:rPr>
        <w:footnoteReference w:id="816"/>
      </w:r>
      <w:r>
        <w:rPr>
          <w:rFonts w:ascii="Amiri" w:hAnsi="Amiri" w:eastAsia="Amiri" w:cs="Amiri"/>
          <w:lang w:bidi="ar-SA"/>
          <w:color w:val="111111"/>
          <w:sz w:val="28"/>
          <w:szCs w:val="28"/>
          <w:rtl/>
        </w:rPr>
        <w:t xml:space="preserve">بالأصل بناء على جريان الأصل في الشّك في المانعيّة؛ إذ لا فرق بين هذا المانع وسائر الموانع المحتملة.</w:t>
      </w:r>
    </w:p>
    <w:p>
      <w:pPr>
        <w:pStyle w:val="BookText"/>
      </w:pPr>
      <w:r>
        <w:rPr>
          <w:rFonts w:ascii="Amiri" w:hAnsi="Amiri" w:eastAsia="Amiri" w:cs="Amiri"/>
          <w:lang w:bidi="ar-SA"/>
          <w:color w:val="111111"/>
          <w:sz w:val="28"/>
          <w:szCs w:val="28"/>
          <w:rtl/>
        </w:rPr>
        <w:t xml:space="preserve">فهو مثل ما إذا احتمل مانعيّته</w:t>
      </w:r>
      <w:r>
        <w:rPr>
          <w:rStyle w:val="FootnoteReference"/>
        </w:rPr>
        <w:footnoteReference w:id="817"/>
      </w:r>
      <w:r>
        <w:rPr>
          <w:rFonts w:ascii="Amiri" w:hAnsi="Amiri" w:eastAsia="Amiri" w:cs="Amiri"/>
          <w:lang w:bidi="ar-SA"/>
          <w:color w:val="111111"/>
          <w:sz w:val="28"/>
          <w:szCs w:val="28"/>
          <w:rtl/>
        </w:rPr>
        <w:t xml:space="preserve">بناء على جواز الاجتماع فكما يدفع بالأصل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فكذا على هذا الفرض.</w:t>
      </w:r>
    </w:p>
    <w:p>
      <w:pPr>
        <w:pStyle w:val="BookText"/>
      </w:pPr>
      <w:r>
        <w:rPr>
          <w:rFonts w:ascii="IRNazanin" w:hAnsi="IRNazanin" w:eastAsia="IRNazanin" w:cs="IRNazanin"/>
          <w:lang w:bidi="fa-IR"/>
          <w:color w:val="111111"/>
          <w:sz w:val="28"/>
          <w:szCs w:val="28"/>
          <w:rtl/>
        </w:rPr>
        <w:t xml:space="preserve">ثمّ إنّ إثبات كون المورد من قبيل التزاحم مع كون توجّه النّهي معلوماً يحتاج إلى دليل خارجي من إجماع أو غيره فکلّ مورد علم ذلك كان من مسألة اجتماع الأمر والنّهي المتنازع فيه وليس علينا تشخيص الصّغريات</w:t>
      </w:r>
      <w:r>
        <w:rPr>
          <w:rStyle w:val="FootnoteReference"/>
        </w:rPr>
        <w:footnoteReference w:id="818"/>
      </w:r>
      <w:r>
        <w:rPr>
          <w:rFonts w:ascii="Amiri" w:hAnsi="Amiri" w:eastAsia="Amiri" w:cs="Amiri"/>
          <w:lang w:bidi="ar-SA"/>
          <w:color w:val="111111"/>
          <w:sz w:val="28"/>
          <w:szCs w:val="28"/>
          <w:rtl/>
        </w:rPr>
        <w:t xml:space="preserve">ولا معيار لها کلّياً.</w:t>
      </w:r>
    </w:p>
    <w:p>
      <w:pPr>
        <w:pStyle w:val="BookText"/>
      </w:pPr>
      <w:r>
        <w:rPr>
          <w:rFonts w:ascii="IRNazanin" w:hAnsi="IRNazanin" w:eastAsia="IRNazanin" w:cs="IRNazanin"/>
          <w:lang w:bidi="fa-IR"/>
          <w:color w:val="111111"/>
          <w:sz w:val="28"/>
          <w:szCs w:val="28"/>
          <w:rtl/>
        </w:rPr>
        <w:t xml:space="preserve">نعم قد يقال بإمکان استفادة ذلك من مثل قوله (صلى‌الله‌علیه‌و‌آله‌وسلم): «الصّلاة معراج المؤمن»</w:t>
      </w:r>
      <w:r>
        <w:rPr>
          <w:rStyle w:val="FootnoteReference"/>
        </w:rPr>
        <w:footnoteReference w:id="819"/>
      </w:r>
      <w:r>
        <w:rPr>
          <w:rFonts w:ascii="IRNazanin" w:hAnsi="IRNazanin" w:eastAsia="IRNazanin" w:cs="IRNazanin"/>
          <w:lang w:bidi="fa-IR"/>
          <w:color w:val="111111"/>
          <w:sz w:val="28"/>
          <w:szCs w:val="28"/>
          <w:rtl/>
        </w:rPr>
        <w:t xml:space="preserve">و«قربان کلّ تقي»</w:t>
      </w:r>
      <w:r>
        <w:rPr>
          <w:rStyle w:val="FootnoteReference"/>
        </w:rPr>
        <w:footnoteReference w:id="820"/>
      </w:r>
      <w:r>
        <w:rPr>
          <w:rFonts w:ascii="Amiri" w:hAnsi="Amiri" w:eastAsia="Amiri" w:cs="Amiri"/>
          <w:lang w:bidi="ar-SA"/>
          <w:color w:val="111111"/>
          <w:sz w:val="28"/>
          <w:szCs w:val="28"/>
          <w:rtl/>
        </w:rPr>
        <w:t xml:space="preserve">ونحوهما؛ إذ الظاهر منهما محبوبيّة ذات الصّلاة أينما وجدت، وهو كما ترى.</w:t>
      </w:r>
    </w:p>
    <w:p>
      <w:pPr>
        <w:pStyle w:val="BookText"/>
      </w:pPr>
      <w:r>
        <w:rPr>
          <w:rFonts w:ascii="IRNazanin" w:hAnsi="IRNazanin" w:eastAsia="IRNazanin" w:cs="IRNazanin"/>
          <w:lang w:bidi="fa-IR"/>
          <w:color w:val="111111"/>
          <w:sz w:val="28"/>
          <w:szCs w:val="28"/>
          <w:rtl/>
        </w:rPr>
        <w:t xml:space="preserve">وقد يتوهّم إمکان إثباته بالإطلاقات فإنّ المستفاد من مثل قوله: «صلّ» أنّالصّلاة محبوبة ومطلوبة بجميع أفرادها.</w:t>
      </w:r>
    </w:p>
    <w:p>
      <w:pPr>
        <w:pStyle w:val="BookText"/>
      </w:pPr>
      <w:r>
        <w:rPr>
          <w:rFonts w:ascii="Amiri" w:hAnsi="Amiri" w:eastAsia="Amiri" w:cs="Amiri"/>
          <w:lang w:bidi="ar-SA"/>
          <w:color w:val="111111"/>
          <w:sz w:val="28"/>
          <w:szCs w:val="28"/>
          <w:rtl/>
        </w:rPr>
        <w:t xml:space="preserve">وغاية ما يفيد قوله: «لا تغصب» بناء على القول بعدم جواز الاجتماع تقييد الطّلب بغير مورد الغصب وأمّا الدّلالة على المحبوبيّة الذاتيّة فهي باقية لا مانع عنها.</w:t>
      </w:r>
    </w:p>
    <w:p>
      <w:pPr>
        <w:pStyle w:val="BookText"/>
      </w:pPr>
      <w:r>
        <w:rPr>
          <w:rFonts w:ascii="IRNazanin" w:hAnsi="IRNazanin" w:eastAsia="IRNazanin" w:cs="IRNazanin"/>
          <w:lang w:bidi="fa-IR"/>
          <w:color w:val="111111"/>
          <w:sz w:val="28"/>
          <w:szCs w:val="28"/>
          <w:rtl/>
        </w:rPr>
        <w:t xml:space="preserve">وبعبارة أخری: النّهي مانع عن الحكم التکلیفي لا عن</w:t>
      </w:r>
      <w:r>
        <w:rPr>
          <w:rStyle w:val="FootnoteReference"/>
        </w:rPr>
        <w:footnoteReference w:id="821"/>
      </w:r>
      <w:r>
        <w:rPr>
          <w:rFonts w:ascii="Amiri" w:hAnsi="Amiri" w:eastAsia="Amiri" w:cs="Amiri"/>
          <w:lang w:bidi="ar-SA"/>
          <w:color w:val="111111"/>
          <w:sz w:val="28"/>
          <w:szCs w:val="28"/>
          <w:rtl/>
        </w:rPr>
        <w:t xml:space="preserve">لازمه الوضعي وهو المحبوبيّة والاشتمال على المصلحة.</w:t>
      </w:r>
    </w:p>
    <w:p>
      <w:pPr>
        <w:pStyle w:val="BookText"/>
      </w:pPr>
      <w:r>
        <w:rPr>
          <w:rFonts w:ascii="IRNazanin" w:hAnsi="IRNazanin" w:eastAsia="IRNazanin" w:cs="IRNazanin"/>
          <w:lang w:bidi="fa-IR"/>
          <w:color w:val="111111"/>
          <w:sz w:val="28"/>
          <w:szCs w:val="28"/>
          <w:rtl/>
        </w:rPr>
        <w:t xml:space="preserve">وفيه: أنّ استكشاف المحبوبيّة إنّما هو بالأمر وحيث لا أمر فلا يعلم ذلك وليس الدّلالة على الحكم الوضعي أو المعنى النفس الأمري دلالة مستقلّة منفكّة عن الدّلالة على المطلوبیّة.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9" w:name="pg6784_51257"/>
    <w:bookmarkEnd w:id="119"/>
    <w:p>
      <w:pPr>
        <w:pStyle w:val="BookText"/>
      </w:pPr>
      <w:r>
        <w:rPr>
          <w:rFonts w:ascii="Amiri" w:hAnsi="Amiri" w:eastAsia="Amiri" w:cs="Amiri"/>
          <w:lang w:bidi="ar-SA"/>
          <w:color w:val="111111"/>
          <w:sz w:val="28"/>
          <w:szCs w:val="28"/>
          <w:rtl/>
        </w:rPr>
        <w:t xml:space="preserve">وكيف كان فتبيّن ممّا ذكرنا عدم تماميّة الثمرة</w:t>
      </w:r>
      <w:r>
        <w:rPr>
          <w:rStyle w:val="FootnoteReference"/>
        </w:rPr>
        <w:footnoteReference w:id="822"/>
      </w:r>
      <w:r>
        <w:rPr>
          <w:rFonts w:ascii="Amiri" w:hAnsi="Amiri" w:eastAsia="Amiri" w:cs="Amiri"/>
          <w:lang w:bidi="ar-SA"/>
          <w:color w:val="111111"/>
          <w:sz w:val="28"/>
          <w:szCs w:val="28"/>
          <w:rtl/>
        </w:rPr>
        <w:t xml:space="preserve">المذكورة.</w:t>
      </w:r>
    </w:p>
    <w:p>
      <w:pPr>
        <w:pStyle w:val="Heading6"/>
      </w:pPr>
      <w:bookmarkStart w:id="525" w:name="_Toc206"/>
      <w:r>
        <w:t>[الثمرة في ترتیب آثار الامتثال وعدمه]</w:t>
      </w:r>
      <w:bookmarkEnd w:id="525"/>
    </w:p>
    <w:p>
      <w:pPr>
        <w:pStyle w:val="BookText"/>
      </w:pPr>
      <w:r>
        <w:rPr>
          <w:rFonts w:ascii="IRNazanin" w:hAnsi="IRNazanin" w:eastAsia="IRNazanin" w:cs="IRNazanin"/>
          <w:lang w:bidi="fa-IR"/>
          <w:color w:val="111111"/>
          <w:sz w:val="28"/>
          <w:szCs w:val="28"/>
          <w:rtl/>
        </w:rPr>
        <w:t xml:space="preserve">نعم يظهر الثمرة في ترتيب آثار الامتثال وعدمه فبناء على جواز الاجتماع يكون الإتیان بذلك الفرد امتثالاً وبناء على عدمه يكون أداء لا امتثالاً. فلو نذر امتثال أمر من أوامر الشارع يُبِرُّ</w:t>
      </w:r>
      <w:r>
        <w:rPr>
          <w:rStyle w:val="FootnoteReference"/>
        </w:rPr>
        <w:footnoteReference w:id="823"/>
      </w:r>
      <w:r>
        <w:rPr>
          <w:rFonts w:ascii="IRNazanin" w:hAnsi="IRNazanin" w:eastAsia="IRNazanin" w:cs="IRNazanin"/>
          <w:lang w:bidi="fa-IR"/>
          <w:color w:val="111111"/>
          <w:sz w:val="28"/>
          <w:szCs w:val="28"/>
          <w:rtl/>
        </w:rPr>
        <w:t xml:space="preserve">نذره بإتیان ذلك الفرد بناء على الجواز ولا [یبرّ بناء]</w:t>
      </w:r>
      <w:r>
        <w:rPr>
          <w:rStyle w:val="FootnoteReference"/>
        </w:rPr>
        <w:footnoteReference w:id="824"/>
      </w:r>
      <w:r>
        <w:rPr>
          <w:rFonts w:ascii="IRNazanin" w:hAnsi="IRNazanin" w:eastAsia="IRNazanin" w:cs="IRNazanin"/>
          <w:lang w:bidi="fa-IR"/>
          <w:color w:val="111111"/>
          <w:sz w:val="28"/>
          <w:szCs w:val="28"/>
          <w:rtl/>
        </w:rPr>
        <w:t xml:space="preserve">على عدمه.</w:t>
      </w:r>
    </w:p>
    <w:p>
      <w:pPr>
        <w:pStyle w:val="Heading6"/>
      </w:pPr>
      <w:bookmarkStart w:id="526" w:name="_Toc207"/>
      <w:r>
        <w:t>[تصحیح ما ذکروه من الثمرة بناء على التعارض]</w:t>
      </w:r>
      <w:bookmarkEnd w:id="526"/>
    </w:p>
    <w:p>
      <w:pPr>
        <w:pStyle w:val="Heading6"/>
      </w:pPr>
      <w:bookmarkStart w:id="527" w:name="_Toc208"/>
      <w:r>
        <w:t>اشارة</w:t>
      </w:r>
      <w:bookmarkEnd w:id="527"/>
    </w:p>
    <w:p>
      <w:pPr>
        <w:pStyle w:val="BookText"/>
      </w:pPr>
      <w:r>
        <w:rPr>
          <w:rFonts w:ascii="IRNazanin" w:hAnsi="IRNazanin" w:eastAsia="IRNazanin" w:cs="IRNazanin"/>
          <w:lang w:bidi="fa-IR"/>
          <w:color w:val="111111"/>
          <w:sz w:val="28"/>
          <w:szCs w:val="28"/>
          <w:rtl/>
        </w:rPr>
        <w:t xml:space="preserve">هذا، ويمكن تصحيح ما ذكروه من الثمرة فيما لو ورد الأمر والنّهي على العامّين من وجه مع فرض عدم العلم بكون المورد من التزاحم بأن کان يحتمل بقاء کلّ من العامّين على عمومه وتخصيص أحدهما بالآخر وفرض عدم فهم التّعارض بينهما عرفاً.</w:t>
      </w:r>
    </w:p>
    <w:p>
      <w:pPr>
        <w:pStyle w:val="Heading6"/>
      </w:pPr>
      <w:bookmarkStart w:id="528" w:name="_Toc209"/>
      <w:r>
        <w:t>[تقدیم أحد العامیّن في مورد الاجتماع بالمرجّحات على القول بالامتناع]</w:t>
      </w:r>
      <w:bookmarkEnd w:id="528"/>
    </w:p>
    <w:p>
      <w:pPr>
        <w:pStyle w:val="BookText"/>
      </w:pPr>
      <w:r>
        <w:rPr>
          <w:rFonts w:ascii="IRNazanin" w:hAnsi="IRNazanin" w:eastAsia="IRNazanin" w:cs="IRNazanin"/>
          <w:lang w:bidi="fa-IR"/>
          <w:color w:val="111111"/>
          <w:sz w:val="28"/>
          <w:szCs w:val="28"/>
          <w:rtl/>
        </w:rPr>
        <w:t xml:space="preserve">فحینئذٍ يقال: إن جوّزنا الاجتماع نبقي کلّاً منهما على حاله ونحكم في مادّة الاجتماع بالصحّة والإثم.</w:t>
      </w:r>
    </w:p>
    <w:p>
      <w:pPr>
        <w:pStyle w:val="BookText"/>
      </w:pPr>
      <w:r>
        <w:rPr>
          <w:rFonts w:ascii="IRNazanin" w:hAnsi="IRNazanin" w:eastAsia="IRNazanin" w:cs="IRNazanin"/>
          <w:lang w:bidi="fa-IR"/>
          <w:color w:val="111111"/>
          <w:sz w:val="28"/>
          <w:szCs w:val="28"/>
          <w:rtl/>
        </w:rPr>
        <w:t xml:space="preserve">وإن لم نجوّز يلزم إعمال أحكام التعارض بينهما؛ لأنّ العقل الحاكم بعدم الجواز يحكم بحصول المعارضة بينهما فيمكن تقديم کلّ منهما على حسب ما يقتضيه المرجّحات الدّلالية والخارجيّة.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0" w:name="pg6784_51258"/>
    <w:bookmarkEnd w:id="120"/>
    <w:p>
      <w:pPr>
        <w:pStyle w:val="Heading6"/>
      </w:pPr>
      <w:bookmarkStart w:id="529" w:name="_Toc210"/>
      <w:r>
        <w:t>[تخیّل تقدیم النهي بناء على التعارض من حیث الدلالة وردّه]</w:t>
      </w:r>
      <w:bookmarkEnd w:id="529"/>
    </w:p>
    <w:p>
      <w:pPr>
        <w:pStyle w:val="BookText"/>
      </w:pPr>
      <w:r>
        <w:rPr>
          <w:rFonts w:ascii="IRNazanin" w:hAnsi="IRNazanin" w:eastAsia="IRNazanin" w:cs="IRNazanin"/>
          <w:lang w:bidi="fa-IR"/>
          <w:color w:val="111111"/>
          <w:sz w:val="28"/>
          <w:szCs w:val="28"/>
          <w:rtl/>
        </w:rPr>
        <w:t xml:space="preserve">وقد يتخيّل وجوب تقديم النّهي حینئذٍ في جميع الموارد من حيث الدّلالة والمرجّح الدّلالى مقدّم على سائر</w:t>
      </w:r>
      <w:r>
        <w:rPr>
          <w:rStyle w:val="FootnoteReference"/>
        </w:rPr>
        <w:footnoteReference w:id="825"/>
      </w:r>
      <w:r>
        <w:rPr>
          <w:rFonts w:ascii="Amiri" w:hAnsi="Amiri" w:eastAsia="Amiri" w:cs="Amiri"/>
          <w:lang w:bidi="ar-SA"/>
          <w:color w:val="111111"/>
          <w:sz w:val="28"/>
          <w:szCs w:val="28"/>
          <w:rtl/>
        </w:rPr>
        <w:t xml:space="preserve">المرجّحات؛ وذلك لأنّ دلالته إنّما هي بالعموم ودلالة الأمر إنّما هي بالإطلاق فنحكم</w:t>
      </w:r>
      <w:r>
        <w:rPr>
          <w:rStyle w:val="FootnoteReference"/>
        </w:rPr>
        <w:footnoteReference w:id="826"/>
      </w:r>
      <w:r>
        <w:rPr>
          <w:rFonts w:ascii="Amiri" w:hAnsi="Amiri" w:eastAsia="Amiri" w:cs="Amiri"/>
          <w:lang w:bidi="ar-SA"/>
          <w:color w:val="111111"/>
          <w:sz w:val="28"/>
          <w:szCs w:val="28"/>
          <w:rtl/>
        </w:rPr>
        <w:t xml:space="preserve">بدخول المورد تحت النّهي.</w:t>
      </w:r>
    </w:p>
    <w:p>
      <w:pPr>
        <w:pStyle w:val="BookText"/>
      </w:pPr>
      <w:r>
        <w:rPr>
          <w:rFonts w:ascii="IRNazanin" w:hAnsi="IRNazanin" w:eastAsia="IRNazanin" w:cs="IRNazanin"/>
          <w:lang w:bidi="fa-IR"/>
          <w:color w:val="111111"/>
          <w:sz w:val="28"/>
          <w:szCs w:val="28"/>
          <w:rtl/>
        </w:rPr>
        <w:t xml:space="preserve">وفيه: أنّ قوّة العموم إنّما تسلّم إذا كان لفظيّاً كما إذا قال: «أکرم کلّ عالم» وقال: «لا تكرم الفاسق» أو بالعكس. وأمّا إذا كان بالتعليق على الطبيعة كما في المقام فلا.</w:t>
      </w:r>
    </w:p>
    <w:p>
      <w:pPr>
        <w:pStyle w:val="BookText"/>
      </w:pPr>
      <w:r>
        <w:rPr>
          <w:rFonts w:ascii="IRNazanin" w:hAnsi="IRNazanin" w:eastAsia="IRNazanin" w:cs="IRNazanin"/>
          <w:lang w:bidi="fa-IR"/>
          <w:color w:val="111111"/>
          <w:sz w:val="28"/>
          <w:szCs w:val="28"/>
          <w:rtl/>
        </w:rPr>
        <w:t xml:space="preserve">فدلالة کلّ من قوله: «صلّ» وقوله: «لا تغصب» على وجوب أو حرمة مورد الاجتماع إنّما هي بالإطلاق.</w:t>
      </w:r>
    </w:p>
    <w:p>
      <w:pPr>
        <w:pStyle w:val="BookText"/>
      </w:pPr>
      <w:r>
        <w:rPr>
          <w:rFonts w:ascii="Amiri" w:hAnsi="Amiri" w:eastAsia="Amiri" w:cs="Amiri"/>
          <w:lang w:bidi="ar-SA"/>
          <w:color w:val="111111"/>
          <w:sz w:val="28"/>
          <w:szCs w:val="28"/>
          <w:rtl/>
        </w:rPr>
        <w:t xml:space="preserve">غاية الأمر أنّه يحمل على العموم الاستغراقي في النّهي وعلى العموم البدلي في الأمر.</w:t>
      </w:r>
    </w:p>
    <w:p>
      <w:pPr>
        <w:pStyle w:val="BookText"/>
      </w:pPr>
      <w:r>
        <w:rPr>
          <w:rFonts w:ascii="Amiri" w:hAnsi="Amiri" w:eastAsia="Amiri" w:cs="Amiri"/>
          <w:lang w:bidi="ar-SA"/>
          <w:color w:val="111111"/>
          <w:sz w:val="28"/>
          <w:szCs w:val="28"/>
          <w:rtl/>
        </w:rPr>
        <w:t xml:space="preserve">وإن شئت قلت: المقام من باب تعارض العموم البدلي والاستغراقي ولا تقديم لأحدهما على الآخر.</w:t>
      </w:r>
    </w:p>
    <w:p>
      <w:pPr>
        <w:pStyle w:val="BookText"/>
      </w:pPr>
      <w:r>
        <w:rPr>
          <w:rFonts w:ascii="IRNazanin" w:hAnsi="IRNazanin" w:eastAsia="IRNazanin" w:cs="IRNazanin"/>
          <w:lang w:bidi="fa-IR"/>
          <w:color w:val="111111"/>
          <w:sz w:val="28"/>
          <w:szCs w:val="28"/>
          <w:rtl/>
        </w:rPr>
        <w:t xml:space="preserve">نعم لو جعلنا دلالة النهي على العموم لا من باب تعليق الحكم على الطّبيعة بل من باب الظهور العرفي بأن قلنا: إنّ معنى قوله: «لا تغصب» لا توجد شيئاً من أفراد الغصب - مع قطع النّظر عن سريان الطّبيعة -، أمكن تقديمه على الأمر حيث إنّ عمومه البدلي من باب السّريان قطعاً.لكنّ الإنصاف عدم التّفاوت بين المقامين وأنّ کلّاً منهما من باب التّعليق على الطّبيعة ومن باب السّريان فلا وجه لتقديم النّهي کلّياً بل قد يقدّم الأمر لقوّة دلالته أو سنده.</w:t>
      </w:r>
    </w:p>
    <w:p>
      <w:pPr>
        <w:pStyle w:val="BookText"/>
      </w:pPr>
      <w:r>
        <w:rPr>
          <w:rFonts w:ascii="Amiri" w:hAnsi="Amiri" w:eastAsia="Amiri" w:cs="Amiri"/>
          <w:lang w:bidi="ar-SA"/>
          <w:color w:val="111111"/>
          <w:sz w:val="28"/>
          <w:szCs w:val="28"/>
          <w:rtl/>
        </w:rPr>
        <w:t xml:space="preserve">مع أنّا لو سلّمنا قوّة دلالة النّهي من حيث هو أمكن أن يكون ظهور الأمر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1" w:name="pg6784_51259"/>
    <w:bookmarkEnd w:id="121"/>
    <w:p>
      <w:pPr>
        <w:pStyle w:val="BookText"/>
      </w:pPr>
      <w:r>
        <w:rPr>
          <w:rFonts w:ascii="IRNazanin" w:hAnsi="IRNazanin" w:eastAsia="IRNazanin" w:cs="IRNazanin"/>
          <w:lang w:bidi="fa-IR"/>
          <w:color w:val="111111"/>
          <w:sz w:val="28"/>
          <w:szCs w:val="28"/>
          <w:rtl/>
        </w:rPr>
        <w:t xml:space="preserve">أقوى لخصوصيّة بعض الموارد فلا يتمّ التقديم کلّياً على ذلك الفرض أیضاً.</w:t>
      </w:r>
    </w:p>
    <w:p>
      <w:pPr>
        <w:pStyle w:val="BookText"/>
      </w:pPr>
      <w:r>
        <w:rPr>
          <w:rFonts w:ascii="Amiri" w:hAnsi="Amiri" w:eastAsia="Amiri" w:cs="Amiri"/>
          <w:lang w:bidi="ar-SA"/>
          <w:color w:val="111111"/>
          <w:sz w:val="28"/>
          <w:szCs w:val="28"/>
          <w:rtl/>
        </w:rPr>
        <w:t xml:space="preserve">وما ذكرنا سابقاً من تقديم النّهي کلّياً وكونه</w:t>
      </w:r>
      <w:r>
        <w:rPr>
          <w:rStyle w:val="FootnoteReference"/>
        </w:rPr>
        <w:footnoteReference w:id="827"/>
      </w:r>
      <w:r>
        <w:rPr>
          <w:rFonts w:ascii="Amiri" w:hAnsi="Amiri" w:eastAsia="Amiri" w:cs="Amiri"/>
          <w:lang w:bidi="ar-SA"/>
          <w:color w:val="111111"/>
          <w:sz w:val="28"/>
          <w:szCs w:val="28"/>
          <w:rtl/>
        </w:rPr>
        <w:t xml:space="preserve">فعلياً دون الأمر فإنّه مبنيّ على جواز الاجتماع إنّما كان في فرض المزاحمة ومن المعلوم أنّ النهي اليقيني التعييني مقدّم</w:t>
      </w:r>
      <w:r>
        <w:rPr>
          <w:rStyle w:val="FootnoteReference"/>
        </w:rPr>
        <w:footnoteReference w:id="828"/>
      </w:r>
      <w:r>
        <w:rPr>
          <w:rFonts w:ascii="Amiri" w:hAnsi="Amiri" w:eastAsia="Amiri" w:cs="Amiri"/>
          <w:lang w:bidi="ar-SA"/>
          <w:color w:val="111111"/>
          <w:sz w:val="28"/>
          <w:szCs w:val="28"/>
          <w:rtl/>
        </w:rPr>
        <w:t xml:space="preserve">في مقام المزاحمة على الأمر التخييري لإمكان امتثال الأمر في غير هذا الفرد فلا يتوهّم التنافي بين ما ذكرنا ه-ٰهنا وهناك.</w:t>
      </w:r>
    </w:p>
    <w:p>
      <w:pPr>
        <w:pStyle w:val="Heading6"/>
      </w:pPr>
      <w:bookmarkStart w:id="530" w:name="_Toc211"/>
      <w:r>
        <w:t>[صحّة الثمرة المذکورة لو لا حکم العرف بالتعارض]</w:t>
      </w:r>
      <w:bookmarkEnd w:id="530"/>
    </w:p>
    <w:p>
      <w:pPr>
        <w:pStyle w:val="BookText"/>
      </w:pPr>
      <w:r>
        <w:rPr>
          <w:rFonts w:ascii="Amiri" w:hAnsi="Amiri" w:eastAsia="Amiri" w:cs="Amiri"/>
          <w:lang w:bidi="ar-SA"/>
          <w:color w:val="111111"/>
          <w:sz w:val="28"/>
          <w:szCs w:val="28"/>
          <w:rtl/>
        </w:rPr>
        <w:t xml:space="preserve">فتحصّل أنّ الثمرة المذكورة</w:t>
      </w:r>
      <w:r>
        <w:rPr>
          <w:rStyle w:val="FootnoteReference"/>
        </w:rPr>
        <w:footnoteReference w:id="829"/>
      </w:r>
      <w:r>
        <w:rPr>
          <w:rFonts w:ascii="IRNazanin" w:hAnsi="IRNazanin" w:eastAsia="IRNazanin" w:cs="IRNazanin"/>
          <w:lang w:bidi="fa-IR"/>
          <w:color w:val="111111"/>
          <w:sz w:val="28"/>
          <w:szCs w:val="28"/>
          <w:rtl/>
        </w:rPr>
        <w:t xml:space="preserve">من وقوع التعارض وجریان أحكامه على القول بالمنع وعدمه على القول بالجواز صحيحة في الفرض المذكور إلّا أنّه لا يخفى أنّه غير واقع؛ لأنّه إذا لم يعلم كونهما من باب المتزاحمين فيحكم العرف بينهما بالمعارضة بمجرّد ملاحظة</w:t>
      </w:r>
      <w:r>
        <w:rPr>
          <w:rStyle w:val="FootnoteReference"/>
        </w:rPr>
        <w:footnoteReference w:id="830"/>
      </w:r>
      <w:r>
        <w:rPr>
          <w:rFonts w:ascii="Amiri" w:hAnsi="Amiri" w:eastAsia="Amiri" w:cs="Amiri"/>
          <w:lang w:bidi="ar-SA"/>
          <w:color w:val="111111"/>
          <w:sz w:val="28"/>
          <w:szCs w:val="28"/>
          <w:rtl/>
        </w:rPr>
        <w:t xml:space="preserve">كون النّسبة عموماً من وجه ولا ينتظر ملاحظة العقل جواز الاجتماع أو عدمه</w:t>
      </w:r>
      <w:r>
        <w:rPr>
          <w:rStyle w:val="FootnoteReference"/>
        </w:rPr>
        <w:footnoteReference w:id="831"/>
      </w:r>
      <w:r>
        <w:rPr>
          <w:rFonts w:ascii="Amiri" w:hAnsi="Amiri" w:eastAsia="Amiri" w:cs="Amiri"/>
          <w:lang w:bidi="ar-SA"/>
          <w:color w:val="111111"/>
          <w:sz w:val="28"/>
          <w:szCs w:val="28"/>
          <w:rtl/>
        </w:rPr>
        <w:t xml:space="preserve">فلا يتوقّف جريان أحكام التعارض على القول بعدم الجواز.</w:t>
      </w:r>
      <w:r>
        <w:rPr>
          <w:rStyle w:val="FootnoteReference"/>
        </w:rPr>
        <w:footnoteReference w:id="832"/>
      </w:r>
    </w:p>
    <w:p>
      <w:pPr>
        <w:pStyle w:val="BookText"/>
      </w:pPr>
      <w:r>
        <w:rPr>
          <w:rFonts w:ascii="Amiri" w:hAnsi="Amiri" w:eastAsia="Amiri" w:cs="Amiri"/>
          <w:lang w:bidi="ar-SA"/>
          <w:color w:val="111111"/>
          <w:sz w:val="28"/>
          <w:szCs w:val="28"/>
          <w:rtl/>
        </w:rPr>
        <w:t xml:space="preserve">ومن ذلك يظهر أنّه لا ثمرة في تعميم النّزاع إلى العامّ والخاصّ المطلقين بناء على ما ذكروه؛ لأنّ التعارض بينهما وتقديم الخاصّ معلوم بلا حاجة إلى فهم هذه المسألة عقلاً.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2" w:name="pg6784_51260"/>
    <w:bookmarkEnd w:id="122"/>
    <w:p>
      <w:pPr>
        <w:pStyle w:val="Heading6"/>
      </w:pPr>
      <w:bookmarkStart w:id="531" w:name="_Toc212"/>
      <w:r>
        <w:t>[ثمرة المسألة على بناء على التزاحم]</w:t>
      </w:r>
      <w:bookmarkEnd w:id="531"/>
    </w:p>
    <w:p>
      <w:pPr>
        <w:pStyle w:val="BookText"/>
      </w:pPr>
      <w:r>
        <w:rPr>
          <w:rFonts w:ascii="IRNazanin" w:hAnsi="IRNazanin" w:eastAsia="IRNazanin" w:cs="IRNazanin"/>
          <w:lang w:bidi="fa-IR"/>
          <w:color w:val="111111"/>
          <w:sz w:val="28"/>
          <w:szCs w:val="28"/>
          <w:rtl/>
        </w:rPr>
        <w:t xml:space="preserve">وأمّا على ما ذكرنا من أنّ مورد المسألة صورة التزاحم فالثمرة ظاهرة فيهما أیضاً؛ لأنّ الحكم بالبطلان مبنيّ على عدم جواز الاجتماع لا على مجرّد تقديم النّهي؛ لأنّ المفروض فعليّته.</w:t>
      </w:r>
    </w:p>
    <w:p>
      <w:pPr>
        <w:pStyle w:val="BookText"/>
      </w:pPr>
      <w:r>
        <w:rPr>
          <w:rFonts w:ascii="IRNazanin" w:hAnsi="IRNazanin" w:eastAsia="IRNazanin" w:cs="IRNazanin"/>
          <w:lang w:bidi="fa-IR"/>
          <w:color w:val="111111"/>
          <w:sz w:val="28"/>
          <w:szCs w:val="28"/>
          <w:rtl/>
        </w:rPr>
        <w:t xml:space="preserve">نعم قد عرفت أنّ الثمرة إنّما تتمّ على ما قالوه من كون الصحّة في العبادات متفرّعة على الأمر والامتثال ولا يكفيها المحبوبيّة الذّاتيّة، وأمّا على ما قلنا فلا تتفرّع على فرض المزاحمة أیضاً.</w:t>
      </w:r>
    </w:p>
    <w:p>
      <w:pPr>
        <w:pStyle w:val="BookText"/>
      </w:pPr>
      <w:r>
        <w:rPr>
          <w:rFonts w:ascii="Amiri" w:hAnsi="Amiri" w:eastAsia="Amiri" w:cs="Amiri"/>
          <w:lang w:bidi="ar-SA"/>
          <w:color w:val="111111"/>
          <w:sz w:val="28"/>
          <w:szCs w:val="28"/>
          <w:rtl/>
        </w:rPr>
        <w:t xml:space="preserve">فظهر أنّ هذه المسألة قليلة الثمرة على مختارنا سواء العامّان من وجه والمطلق لأنّا خصصنا مورد المسألة بالمتزاحمين واكتفينا في</w:t>
      </w:r>
      <w:r>
        <w:rPr>
          <w:rStyle w:val="FootnoteReference"/>
        </w:rPr>
        <w:footnoteReference w:id="833"/>
      </w:r>
      <w:r>
        <w:rPr>
          <w:rFonts w:ascii="Amiri" w:hAnsi="Amiri" w:eastAsia="Amiri" w:cs="Amiri"/>
          <w:lang w:bidi="ar-SA"/>
          <w:color w:val="111111"/>
          <w:sz w:val="28"/>
          <w:szCs w:val="28"/>
          <w:rtl/>
        </w:rPr>
        <w:t xml:space="preserve">الصحّة</w:t>
      </w:r>
      <w:r>
        <w:rPr>
          <w:rStyle w:val="FootnoteReference"/>
        </w:rPr>
        <w:footnoteReference w:id="834"/>
      </w:r>
      <w:r>
        <w:rPr>
          <w:rFonts w:ascii="Amiri" w:hAnsi="Amiri" w:eastAsia="Amiri" w:cs="Amiri"/>
          <w:lang w:bidi="ar-SA"/>
          <w:color w:val="111111"/>
          <w:sz w:val="28"/>
          <w:szCs w:val="28"/>
          <w:rtl/>
        </w:rPr>
        <w:t xml:space="preserve">بالمحبوبيّة الذّاتيّة. فتدبّر.</w:t>
      </w:r>
    </w:p>
    <w:p>
      <w:pPr>
        <w:pStyle w:val="Heading6"/>
      </w:pPr>
      <w:bookmarkStart w:id="532" w:name="_Toc213"/>
      <w:r>
        <w:t>[وجوب طرح أو تأویل الخبر الحاکم بالصحة على القول بالمنع]</w:t>
      </w:r>
      <w:bookmarkEnd w:id="532"/>
    </w:p>
    <w:p>
      <w:pPr>
        <w:pStyle w:val="BookText"/>
      </w:pPr>
      <w:r>
        <w:rPr>
          <w:rFonts w:ascii="IRNazanin" w:hAnsi="IRNazanin" w:eastAsia="IRNazanin" w:cs="IRNazanin"/>
          <w:lang w:bidi="fa-IR"/>
          <w:color w:val="111111"/>
          <w:sz w:val="28"/>
          <w:szCs w:val="28"/>
          <w:rtl/>
        </w:rPr>
        <w:t xml:space="preserve">ومن ثمرات المسألة أنّه لو ورد خبر واحد حاكم بالصحّة في مورد الاجتماع كالصّلاة في الدار الغصبيّة فعلى القول بالجواز يؤخذ به وعلى القول بالمنع لا بدّ من الطّرح أو التأویل لمخالفته لحكم العقل.</w:t>
      </w:r>
      <w:r>
        <w:rPr>
          <w:rStyle w:val="FootnoteReference"/>
        </w:rPr>
        <w:footnoteReference w:id="835"/>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3" w:name="pg6784_51261"/>
    <w:bookmarkEnd w:id="123"/>
    <w:p>
      <w:pPr>
        <w:pStyle w:val="Heading5"/>
      </w:pPr>
      <w:bookmarkStart w:id="533" w:name="_Toc214"/>
      <w:r>
        <w:t>[المقدّمة الرابعة: في بيان الأصل في المسألة على فرض الشك]</w:t>
      </w:r>
      <w:bookmarkEnd w:id="533"/>
    </w:p>
    <w:p>
      <w:pPr>
        <w:pStyle w:val="Heading6"/>
      </w:pPr>
      <w:bookmarkStart w:id="534" w:name="_Toc215"/>
      <w:r>
        <w:t>اشارة</w:t>
      </w:r>
      <w:bookmarkEnd w:id="534"/>
    </w:p>
    <w:p>
      <w:pPr>
        <w:pStyle w:val="BookText"/>
      </w:pPr>
      <w:r>
        <w:rPr>
          <w:rFonts w:ascii="Amiri" w:hAnsi="Amiri" w:eastAsia="Amiri" w:cs="Amiri"/>
          <w:lang w:bidi="ar-SA"/>
          <w:color w:val="111111"/>
          <w:sz w:val="28"/>
          <w:szCs w:val="28"/>
          <w:rtl/>
        </w:rPr>
        <w:t xml:space="preserve">المقدّمة الرابعة: في بيان الأصل في المسألة على فرض الشكّ؛ إذ كونها عقليّة لاينافي الشكّ؛</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راجع: حاشیة فرائد الأصول، ج3، ص58 و244.</w:t>
      </w:r>
    </w:p>
    <w:p>
      <w:pPr>
        <w:pStyle w:val="BookText"/>
      </w:pPr>
      <w:r>
        <w:rPr>
          <w:rFonts w:ascii="IRNazanin" w:hAnsi="IRNazanin" w:eastAsia="IRNazanin" w:cs="IRNazanin"/>
          <w:lang w:bidi="fa-IR"/>
          <w:color w:val="111111"/>
          <w:sz w:val="28"/>
          <w:szCs w:val="28"/>
          <w:rtl/>
        </w:rPr>
        <w:t xml:space="preserve">إذ غاية الأمر أنّ العقل إذا لم ير مانعاً عن جواز الاجتماع لا يحكم بالامتناع لا أنّه يحكم بالإمکان ولا يجب أن يحكم في جميع المسائل العقليّة بأحد الطّرفين فهو إن علم بعدم المانع يحكم بالإمکان وإن فهم المانعيّة يحكم بالامتناع وإلّافيتوقّف.</w:t>
      </w:r>
    </w:p>
    <w:p>
      <w:pPr>
        <w:pStyle w:val="BookText"/>
      </w:pPr>
      <w:r>
        <w:rPr>
          <w:rFonts w:ascii="Amiri" w:hAnsi="Amiri" w:eastAsia="Amiri" w:cs="Amiri"/>
          <w:lang w:bidi="ar-SA"/>
          <w:color w:val="111111"/>
          <w:sz w:val="28"/>
          <w:szCs w:val="28"/>
          <w:rtl/>
        </w:rPr>
        <w:t xml:space="preserve">والبحث تارة في الأصل بالنّسبة</w:t>
      </w:r>
      <w:r>
        <w:rPr>
          <w:rStyle w:val="FootnoteReference"/>
        </w:rPr>
        <w:footnoteReference w:id="837"/>
      </w:r>
      <w:r>
        <w:rPr>
          <w:rFonts w:ascii="Amiri" w:hAnsi="Amiri" w:eastAsia="Amiri" w:cs="Amiri"/>
          <w:lang w:bidi="ar-SA"/>
          <w:color w:val="111111"/>
          <w:sz w:val="28"/>
          <w:szCs w:val="28"/>
          <w:rtl/>
        </w:rPr>
        <w:t xml:space="preserve">إلى أصل الجواز وعدمه أي بالنّسبة إلى المسألة الأصوليّة وتارة في الأصل بالنّسبة إلى حكم المسألة الفرعيّة.</w:t>
      </w:r>
    </w:p>
    <w:p>
      <w:pPr>
        <w:pStyle w:val="Heading6"/>
      </w:pPr>
      <w:bookmarkStart w:id="535" w:name="_Toc216"/>
      <w:r>
        <w:t>أمّا من الحيثيّة الأولى [والمسألة الأصولیّة]</w:t>
      </w:r>
      <w:bookmarkEnd w:id="535"/>
    </w:p>
    <w:p>
      <w:pPr>
        <w:pStyle w:val="BookText"/>
      </w:pPr>
      <w:r>
        <w:rPr>
          <w:rFonts w:ascii="IRNazanin" w:hAnsi="IRNazanin" w:eastAsia="IRNazanin" w:cs="IRNazanin"/>
          <w:lang w:bidi="fa-IR"/>
          <w:color w:val="111111"/>
          <w:sz w:val="28"/>
          <w:szCs w:val="28"/>
          <w:rtl/>
        </w:rPr>
        <w:t xml:space="preserve">فمن المعلوم أنّه لا أصل في البين؛ إذ الشكّ إنّما هو في الإمکان وعدمه وليس لأحدهما حالة سابقة ولا يجري أصل آخر سواء خصصنا المسألة بالإمکان العقلي أو عمّمناها إلى الشرعي أیضاً فإنّه</w:t>
      </w:r>
      <w:r>
        <w:rPr>
          <w:rStyle w:val="FootnoteReference"/>
        </w:rPr>
        <w:footnoteReference w:id="838"/>
      </w:r>
      <w:r>
        <w:rPr>
          <w:rFonts w:ascii="IRNazanin" w:hAnsi="IRNazanin" w:eastAsia="IRNazanin" w:cs="IRNazanin"/>
          <w:lang w:bidi="fa-IR"/>
          <w:color w:val="111111"/>
          <w:sz w:val="28"/>
          <w:szCs w:val="28"/>
          <w:rtl/>
        </w:rPr>
        <w:t xml:space="preserve">عند الشك في جواز الاجتماع شرعاً وعدمه بمعنى حكم الشارع کلّياً بترتيب آثار الجواز أو آثار عدمه لا أصل أیضاً؛ لأنّ الأصل عدم جعل کلا الحكمين بعد الشّك في الإمکان العقلي.</w:t>
      </w:r>
    </w:p>
    <w:p>
      <w:pPr>
        <w:pStyle w:val="BookText"/>
      </w:pPr>
      <w:r>
        <w:rPr>
          <w:rFonts w:ascii="IRNazanin" w:hAnsi="IRNazanin" w:eastAsia="IRNazanin" w:cs="IRNazanin"/>
          <w:lang w:bidi="fa-IR"/>
          <w:color w:val="111111"/>
          <w:sz w:val="28"/>
          <w:szCs w:val="28"/>
          <w:rtl/>
        </w:rPr>
        <w:t xml:space="preserve">نعم لو علمنا بالإمکان عقلاً وشككنا في تصرّف الشارع بالحكم بالمنع وعدمه، أمكن أن يقال: الأصل عدم منع الشارع فيثبت الإمکان الشرعي أیضاً.</w:t>
      </w:r>
    </w:p>
    <w:p>
      <w:pPr>
        <w:pStyle w:val="BookText"/>
      </w:pPr>
      <w:r>
        <w:rPr>
          <w:rFonts w:ascii="IRNazanin" w:hAnsi="IRNazanin" w:eastAsia="IRNazanin" w:cs="IRNazanin"/>
          <w:lang w:bidi="fa-IR"/>
          <w:color w:val="111111"/>
          <w:sz w:val="28"/>
          <w:szCs w:val="28"/>
          <w:rtl/>
        </w:rPr>
        <w:t xml:space="preserve">وقد يتخيّل جريان أصل الإمکان بمعنى البناء عليه؛ لأنّ بناء العقلاء عند الشكّ على ترتيب آثار الإمکان والحكم به.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ولذا قال الشيخ الرّئيس: کلّ ما قرع سمعك من العجائب ولم يقم عليه برهان فذره في بقعة الإمکان.</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ولأنّ الغالب في الأشياء ذاتاً صفة الإمکان فالمشكوك يلحق به وعوّلوا على هذا الأصل في جملة من المسائل كمسألة جواز إعادة المعدوم فإنّه استدلّ بعضهم على جوازها بأصالة الإمکان وكمسألة جواز التعبّد بخبر الواحد عقلاً وكمسألة إمکان</w:t>
      </w:r>
      <w:r>
        <w:rPr>
          <w:rStyle w:val="FootnoteReference"/>
        </w:rPr>
        <w:footnoteReference w:id="840"/>
      </w:r>
      <w:r>
        <w:rPr>
          <w:rFonts w:ascii="Amiri" w:hAnsi="Amiri" w:eastAsia="Amiri" w:cs="Amiri"/>
          <w:lang w:bidi="ar-SA"/>
          <w:color w:val="111111"/>
          <w:sz w:val="28"/>
          <w:szCs w:val="28"/>
          <w:rtl/>
        </w:rPr>
        <w:t xml:space="preserve">الاشتراك</w:t>
      </w:r>
      <w:r>
        <w:rPr>
          <w:rStyle w:val="FootnoteReference"/>
        </w:rPr>
        <w:footnoteReference w:id="841"/>
      </w:r>
      <w:r>
        <w:rPr>
          <w:rFonts w:ascii="Amiri" w:hAnsi="Amiri" w:eastAsia="Amiri" w:cs="Amiri"/>
          <w:lang w:bidi="ar-SA"/>
          <w:color w:val="111111"/>
          <w:sz w:val="28"/>
          <w:szCs w:val="28"/>
          <w:rtl/>
        </w:rPr>
        <w:t xml:space="preserve">إلى غير ذلك.</w:t>
      </w:r>
    </w:p>
    <w:p>
      <w:pPr>
        <w:pStyle w:val="BookText"/>
      </w:pPr>
      <w:r>
        <w:rPr>
          <w:rFonts w:ascii="Amiri" w:hAnsi="Amiri" w:eastAsia="Amiri" w:cs="Amiri"/>
          <w:lang w:bidi="ar-SA"/>
          <w:color w:val="111111"/>
          <w:sz w:val="28"/>
          <w:szCs w:val="28"/>
          <w:rtl/>
        </w:rPr>
        <w:t xml:space="preserve">ولا يخفى ما فيه؛ فإنّ</w:t>
      </w:r>
      <w:r>
        <w:rPr>
          <w:rStyle w:val="FootnoteReference"/>
        </w:rPr>
        <w:footnoteReference w:id="842"/>
      </w:r>
      <w:r>
        <w:rPr>
          <w:rFonts w:ascii="IRNazanin" w:hAnsi="IRNazanin" w:eastAsia="IRNazanin" w:cs="IRNazanin"/>
          <w:lang w:bidi="fa-IR"/>
          <w:color w:val="111111"/>
          <w:sz w:val="28"/>
          <w:szCs w:val="28"/>
          <w:rtl/>
        </w:rPr>
        <w:t xml:space="preserve">بناء العقلاء ليس على الحكم بالإمکان</w:t>
      </w:r>
      <w:r>
        <w:rPr>
          <w:rStyle w:val="FootnoteReference"/>
        </w:rPr>
        <w:footnoteReference w:id="843"/>
      </w:r>
      <w:r>
        <w:rPr>
          <w:rFonts w:ascii="IRNazanin" w:hAnsi="IRNazanin" w:eastAsia="IRNazanin" w:cs="IRNazanin"/>
          <w:lang w:bidi="fa-IR"/>
          <w:color w:val="111111"/>
          <w:sz w:val="28"/>
          <w:szCs w:val="28"/>
          <w:rtl/>
        </w:rPr>
        <w:t xml:space="preserve">الذاتي أو الوقوعي بمجرّد الشكّ بل على احتمال الإمکان كما هو لازم التوقّف عند الشّكّ، ومراد الشيخ أیضاً هذا المعنى یعني أنّه مع عدم الدّليل لا يجوز النفي والحكم بالامتناع، بل يجب التوقّف واحتمال الإمکان.</w:t>
      </w:r>
      <w:r>
        <w:rPr>
          <w:rStyle w:val="FootnoteReference"/>
        </w:rPr>
        <w:footnoteReference w:id="844"/>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فکلامه نظير ما في الأخبار من قولهم (علیهم‌السلام) </w:t>
      </w:r>
      <w:r>
        <w:rPr>
          <w:rStyle w:val="FootnoteReference"/>
        </w:rPr>
        <w:footnoteReference w:id="845"/>
      </w:r>
      <w:r>
        <w:rPr>
          <w:rFonts w:ascii="IRNazanin" w:hAnsi="IRNazanin" w:eastAsia="IRNazanin" w:cs="IRNazanin"/>
          <w:lang w:bidi="fa-IR"/>
          <w:color w:val="111111"/>
          <w:sz w:val="28"/>
          <w:szCs w:val="28"/>
          <w:rtl/>
        </w:rPr>
        <w:t xml:space="preserve">فذروه</w:t>
      </w:r>
      <w:r>
        <w:rPr>
          <w:rStyle w:val="FootnoteReference"/>
        </w:rPr>
        <w:footnoteReference w:id="846"/>
      </w:r>
      <w:r>
        <w:rPr>
          <w:rFonts w:ascii="Amiri" w:hAnsi="Amiri" w:eastAsia="Amiri" w:cs="Amiri"/>
          <w:lang w:bidi="ar-SA"/>
          <w:color w:val="111111"/>
          <w:sz w:val="28"/>
          <w:szCs w:val="28"/>
          <w:rtl/>
        </w:rPr>
        <w:t xml:space="preserve">في سنبله).</w:t>
      </w:r>
      <w:r>
        <w:rPr>
          <w:rStyle w:val="FootnoteReference"/>
        </w:rPr>
        <w:footnoteReference w:id="847"/>
      </w:r>
      <w:r>
        <w:rPr>
          <w:rFonts w:ascii="Amiri" w:hAnsi="Amiri" w:eastAsia="Amiri" w:cs="Amiri"/>
          <w:lang w:bidi="ar-SA"/>
          <w:color w:val="111111"/>
          <w:sz w:val="28"/>
          <w:szCs w:val="28"/>
          <w:rtl/>
        </w:rPr>
        <w:t xml:space="preserve">ولذا حكي</w:t>
      </w:r>
      <w:r>
        <w:rPr>
          <w:rStyle w:val="FootnoteReference"/>
        </w:rPr>
        <w:footnoteReference w:id="848"/>
      </w:r>
      <w:r>
        <w:rPr>
          <w:rFonts w:ascii="Amiri" w:hAnsi="Amiri" w:eastAsia="Amiri" w:cs="Amiri"/>
          <w:lang w:bidi="ar-SA"/>
          <w:color w:val="111111"/>
          <w:sz w:val="28"/>
          <w:szCs w:val="28"/>
          <w:rtl/>
        </w:rPr>
        <w:t xml:space="preserve">عنه أنّه قال: «إنّ من تعوّد أن يصدّق من غير دليل فقد انسلخ عن الفطرة الإنسانية».</w:t>
      </w:r>
    </w:p>
    <w:p>
      <w:pPr>
        <w:pStyle w:val="BookText"/>
      </w:pPr>
      <w:r>
        <w:rPr>
          <w:rFonts w:ascii="IRNazanin" w:hAnsi="IRNazanin" w:eastAsia="IRNazanin" w:cs="IRNazanin"/>
          <w:lang w:bidi="fa-IR"/>
          <w:color w:val="111111"/>
          <w:sz w:val="28"/>
          <w:szCs w:val="28"/>
          <w:rtl/>
        </w:rPr>
        <w:t xml:space="preserve">والفرق بين الحكم بالإمکان بحسب الظاهر واحتماله</w:t>
      </w:r>
      <w:r>
        <w:rPr>
          <w:rStyle w:val="FootnoteReference"/>
        </w:rPr>
        <w:footnoteReference w:id="849"/>
      </w:r>
      <w:r>
        <w:rPr>
          <w:rFonts w:ascii="Amiri" w:hAnsi="Amiri" w:eastAsia="Amiri" w:cs="Amiri"/>
          <w:lang w:bidi="ar-SA"/>
          <w:color w:val="111111"/>
          <w:sz w:val="28"/>
          <w:szCs w:val="28"/>
          <w:rtl/>
        </w:rPr>
        <w:t xml:space="preserve">الّذي هو مراد الشّيخ أنّه على الأوّل</w:t>
      </w:r>
      <w:r>
        <w:rPr>
          <w:rStyle w:val="FootnoteReference"/>
        </w:rPr>
        <w:footnoteReference w:id="850"/>
      </w:r>
      <w:r>
        <w:rPr>
          <w:rFonts w:ascii="Amiri" w:hAnsi="Amiri" w:eastAsia="Amiri" w:cs="Amiri"/>
          <w:lang w:bidi="ar-SA"/>
          <w:color w:val="111111"/>
          <w:sz w:val="28"/>
          <w:szCs w:val="28"/>
          <w:rtl/>
        </w:rPr>
        <w:t xml:space="preserve">يبنى عليه ويترتّب آثاره ولو لم يدلّ على الجواز دليل وعلى الثاني</w:t>
      </w:r>
      <w:r>
        <w:rPr>
          <w:rStyle w:val="FootnoteReference"/>
        </w:rPr>
        <w:footnoteReference w:id="851"/>
      </w:r>
      <w:r>
        <w:rPr>
          <w:rFonts w:ascii="Amiri" w:hAnsi="Amiri" w:eastAsia="Amiri" w:cs="Amiri"/>
          <w:lang w:bidi="ar-SA"/>
          <w:color w:val="111111"/>
          <w:sz w:val="28"/>
          <w:szCs w:val="28"/>
          <w:rtl/>
        </w:rPr>
        <w:t xml:space="preserve">لا يترتّب آثاره. نعم لو ورد ما ظاهره الجواز يُؤخذ به ولا يُطرح.</w:t>
      </w:r>
    </w:p>
    <w:p>
      <w:pPr>
        <w:pStyle w:val="BookText"/>
      </w:pPr>
      <w:r>
        <w:rPr>
          <w:rFonts w:ascii="Amiri" w:hAnsi="Amiri" w:eastAsia="Amiri" w:cs="Amiri"/>
          <w:lang w:bidi="ar-SA"/>
          <w:color w:val="111111"/>
          <w:sz w:val="28"/>
          <w:szCs w:val="28"/>
          <w:rtl/>
        </w:rPr>
        <w:t xml:space="preserve">وأمّا دعوى الغلبة فيرد عليها:</w:t>
      </w:r>
    </w:p>
    <w:p>
      <w:pPr>
        <w:pStyle w:val="BookText"/>
      </w:pPr>
      <w:r>
        <w:rPr>
          <w:rFonts w:ascii="Amiri" w:hAnsi="Amiri" w:eastAsia="Amiri" w:cs="Amiri"/>
          <w:lang w:bidi="ar-SA"/>
          <w:color w:val="111111"/>
          <w:sz w:val="28"/>
          <w:szCs w:val="28"/>
          <w:rtl/>
        </w:rPr>
        <w:t xml:space="preserve">أوّلاً: أنّ غايتها إفادة الظنّ ولا دليل على التعويل عليه.</w:t>
      </w:r>
    </w:p>
    <w:p>
      <w:pPr>
        <w:pStyle w:val="BookText"/>
      </w:pPr>
      <w:r>
        <w:rPr>
          <w:rFonts w:ascii="IRNazanin" w:hAnsi="IRNazanin" w:eastAsia="IRNazanin" w:cs="IRNazanin"/>
          <w:lang w:bidi="fa-IR"/>
          <w:color w:val="111111"/>
          <w:sz w:val="28"/>
          <w:szCs w:val="28"/>
          <w:rtl/>
        </w:rPr>
        <w:t xml:space="preserve">وثانياً: أنّها ممنوعة؛ إذ الأشياء التي رأيناها کلّها ممكنة ولعلّ الممتنعات ممّا لم نصل إليها وإلى تصوّرها إلى غير النهاية.</w:t>
      </w:r>
      <w:r>
        <w:rPr>
          <w:rStyle w:val="FootnoteReference"/>
        </w:rPr>
        <w:footnoteReference w:id="852"/>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4" w:name="pg6784_51264"/>
    <w:bookmarkEnd w:id="124"/>
    <w:p>
      <w:pPr>
        <w:pStyle w:val="Heading6"/>
      </w:pPr>
      <w:bookmarkStart w:id="536" w:name="_Toc217"/>
      <w:r>
        <w:t>وأمّا من الحيثيّة الثانية أعني من حیث المسألة الفرعیة</w:t>
      </w:r>
      <w:bookmarkEnd w:id="536"/>
    </w:p>
    <w:p>
      <w:pPr>
        <w:pStyle w:val="BookText"/>
      </w:pPr>
      <w:r>
        <w:rPr>
          <w:rFonts w:ascii="IRNazanin" w:hAnsi="IRNazanin" w:eastAsia="IRNazanin" w:cs="IRNazanin"/>
          <w:lang w:bidi="fa-IR"/>
          <w:color w:val="111111"/>
          <w:sz w:val="28"/>
          <w:szCs w:val="28"/>
          <w:rtl/>
        </w:rPr>
        <w:t xml:space="preserve">فنقول: قد يكون لکلّ من الأمر والنهي إطلاق بالنسبة إلى مورد الاجتماع بأن يكونا لفظيّين غير مجملين، وقد لا يكون كذلك، فعلى الأوّل يؤخذ بإطلاق کلّ منهما</w:t>
      </w:r>
      <w:r>
        <w:rPr>
          <w:rStyle w:val="FootnoteReference"/>
        </w:rPr>
        <w:footnoteReference w:id="853"/>
      </w:r>
      <w:r>
        <w:rPr>
          <w:rFonts w:ascii="Amiri" w:hAnsi="Amiri" w:eastAsia="Amiri" w:cs="Amiri"/>
          <w:lang w:bidi="ar-SA"/>
          <w:color w:val="111111"/>
          <w:sz w:val="28"/>
          <w:szCs w:val="28"/>
          <w:rtl/>
        </w:rPr>
        <w:t xml:space="preserve">ويحكم في مورد الاجتماع بالإثم والصحّة؛ لعدم العلم</w:t>
      </w:r>
      <w:r>
        <w:rPr>
          <w:rStyle w:val="FootnoteReference"/>
        </w:rPr>
        <w:footnoteReference w:id="854"/>
      </w:r>
      <w:r>
        <w:rPr>
          <w:rFonts w:ascii="Amiri" w:hAnsi="Amiri" w:eastAsia="Amiri" w:cs="Amiri"/>
          <w:lang w:bidi="ar-SA"/>
          <w:color w:val="111111"/>
          <w:sz w:val="28"/>
          <w:szCs w:val="28"/>
          <w:rtl/>
        </w:rPr>
        <w:t xml:space="preserve">بالمانع لتوجّه الأمر الّذي لازمه الصحّة سواء علمنا كونهما من باب التزاحم وأن النّهي فعلي أو لا، لكن إذالم يفهم التعارض بينهما عرفاً وإلّا فيجب إجراء أحكام التعارض حسبما عرفت سابقاً.</w:t>
      </w:r>
    </w:p>
    <w:p>
      <w:pPr>
        <w:pStyle w:val="BookText"/>
      </w:pPr>
      <w:r>
        <w:rPr>
          <w:rFonts w:ascii="Amiri" w:hAnsi="Amiri" w:eastAsia="Amiri" w:cs="Amiri"/>
          <w:lang w:bidi="ar-SA"/>
          <w:color w:val="111111"/>
          <w:sz w:val="28"/>
          <w:szCs w:val="28"/>
          <w:rtl/>
        </w:rPr>
        <w:t xml:space="preserve">وما قد يتخيّل من عدم الحاجة إلى الإطلاق في صورة التزاحم؛ لأنّ المقدار المفهوم من الإطلاق معلومٌ من</w:t>
      </w:r>
      <w:r>
        <w:rPr>
          <w:rStyle w:val="FootnoteReference"/>
        </w:rPr>
        <w:footnoteReference w:id="855"/>
      </w:r>
      <w:r>
        <w:rPr>
          <w:rFonts w:ascii="IRNazanin" w:hAnsi="IRNazanin" w:eastAsia="IRNazanin" w:cs="IRNazanin"/>
          <w:lang w:bidi="fa-IR"/>
          <w:color w:val="111111"/>
          <w:sz w:val="28"/>
          <w:szCs w:val="28"/>
          <w:rtl/>
        </w:rPr>
        <w:t xml:space="preserve">الخارج بفرض التزاحم بل لا يمكن التمسّك بالإطلاق حینئذٍ؛ لأنّه ليس ناظراً إلى عدم المانع العقلي والمفروض أنّ الإشکال إنّما هو من جهته فهو نظير التمسّك بالإطلاق لإثبات كون المشكوك كونه مورداً للابتلاء</w:t>
      </w:r>
      <w:r>
        <w:rPr>
          <w:rStyle w:val="FootnoteReference"/>
        </w:rPr>
        <w:footnoteReference w:id="856"/>
      </w:r>
      <w:r>
        <w:rPr>
          <w:rFonts w:ascii="IRNazanin" w:hAnsi="IRNazanin" w:eastAsia="IRNazanin" w:cs="IRNazanin"/>
          <w:lang w:bidi="fa-IR"/>
          <w:color w:val="111111"/>
          <w:sz w:val="28"/>
          <w:szCs w:val="28"/>
          <w:rtl/>
        </w:rPr>
        <w:t xml:space="preserve">من</w:t>
      </w:r>
      <w:r>
        <w:rPr>
          <w:rStyle w:val="FootnoteReference"/>
        </w:rPr>
        <w:footnoteReference w:id="857"/>
      </w:r>
      <w:r>
        <w:rPr>
          <w:rFonts w:ascii="Amiri" w:hAnsi="Amiri" w:eastAsia="Amiri" w:cs="Amiri"/>
          <w:lang w:bidi="ar-SA"/>
          <w:color w:val="111111"/>
          <w:sz w:val="28"/>
          <w:szCs w:val="28"/>
          <w:rtl/>
        </w:rPr>
        <w:t xml:space="preserve">موارده حيث إنّه لا يجوز؛ لأنّ التنجيز</w:t>
      </w:r>
      <w:r>
        <w:rPr>
          <w:rStyle w:val="FootnoteReference"/>
        </w:rPr>
        <w:footnoteReference w:id="858"/>
      </w:r>
      <w:r>
        <w:rPr>
          <w:rFonts w:ascii="Amiri" w:hAnsi="Amiri" w:eastAsia="Amiri" w:cs="Amiri"/>
          <w:lang w:bidi="ar-SA"/>
          <w:color w:val="111111"/>
          <w:sz w:val="28"/>
          <w:szCs w:val="28"/>
          <w:rtl/>
        </w:rPr>
        <w:t xml:space="preserve">ليس إلّا بيد العقل</w:t>
      </w:r>
      <w:r>
        <w:rPr>
          <w:rStyle w:val="FootnoteReference"/>
        </w:rPr>
        <w:footnoteReference w:id="859"/>
      </w:r>
      <w:r>
        <w:rPr>
          <w:rFonts w:ascii="Amiri" w:hAnsi="Amiri" w:eastAsia="Amiri" w:cs="Amiri"/>
          <w:lang w:bidi="ar-SA"/>
          <w:color w:val="111111"/>
          <w:sz w:val="28"/>
          <w:szCs w:val="28"/>
          <w:rtl/>
        </w:rPr>
        <w:t xml:space="preserve">والإطلاقات ليست ناظرة إلى إثباته؛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مدفوعٌ بأنّ الإطلاقات إذا كانت ناظرة إلى إثبات الحكم الفعلي</w:t>
      </w:r>
      <w:r>
        <w:rPr>
          <w:rStyle w:val="FootnoteReference"/>
        </w:rPr>
        <w:footnoteReference w:id="860"/>
      </w:r>
      <w:r>
        <w:rPr>
          <w:rFonts w:ascii="Amiri" w:hAnsi="Amiri" w:eastAsia="Amiri" w:cs="Amiri"/>
          <w:lang w:bidi="ar-SA"/>
          <w:color w:val="111111"/>
          <w:sz w:val="28"/>
          <w:szCs w:val="28"/>
          <w:rtl/>
        </w:rPr>
        <w:t xml:space="preserve">فيتمسّك بظهورها في نفي التقييد العقلي والمقام من هذا القبيل.</w:t>
      </w:r>
    </w:p>
    <w:p>
      <w:pPr>
        <w:pStyle w:val="BookText"/>
      </w:pPr>
      <w:r>
        <w:rPr>
          <w:rFonts w:ascii="Amiri" w:hAnsi="Amiri" w:eastAsia="Amiri" w:cs="Amiri"/>
          <w:lang w:bidi="ar-SA"/>
          <w:color w:val="111111"/>
          <w:sz w:val="28"/>
          <w:szCs w:val="28"/>
          <w:rtl/>
        </w:rPr>
        <w:t xml:space="preserve">وأمّا عدم التمسّك في مسألة التنجيز</w:t>
      </w:r>
      <w:r>
        <w:rPr>
          <w:rStyle w:val="FootnoteReference"/>
        </w:rPr>
        <w:footnoteReference w:id="861"/>
      </w:r>
      <w:r>
        <w:rPr>
          <w:rFonts w:ascii="Amiri" w:hAnsi="Amiri" w:eastAsia="Amiri" w:cs="Amiri"/>
          <w:lang w:bidi="ar-SA"/>
          <w:color w:val="111111"/>
          <w:sz w:val="28"/>
          <w:szCs w:val="28"/>
          <w:rtl/>
        </w:rPr>
        <w:t xml:space="preserve">فلأنّ الظهور غير محرز فيها فلذا لا يمكن التمسّك بالإطلاق فيها وذلك لأنّ قوله: «لا تشرب الخمر» إنّما يكون ظاهراً في وجوب الاجتناب بالنّسبة إلى من يصحّ توجيه الخطاب إليه بأن كانت الخمر حاضرة عنده، فمع الشكّ في صحّة التوجيه لا ظهور للّفظ لا أنّه ظاهر بالنسبة إلى جميع أفراد الخمر الموجودة في الدّنيا والعقل يقيّده بالنّسبة إلى غير مورد الابتلاء.</w:t>
      </w:r>
    </w:p>
    <w:p>
      <w:pPr>
        <w:pStyle w:val="BookText"/>
      </w:pPr>
      <w:r>
        <w:rPr>
          <w:rFonts w:ascii="IRNazanin" w:hAnsi="IRNazanin" w:eastAsia="IRNazanin" w:cs="IRNazanin"/>
          <w:lang w:bidi="fa-IR"/>
          <w:color w:val="111111"/>
          <w:sz w:val="28"/>
          <w:szCs w:val="28"/>
          <w:rtl/>
        </w:rPr>
        <w:t xml:space="preserve">فالظهور إنّما هو بمقدار ما يصحّحه العقل والعرف فمع الشكّ لا ظهور إلّا في الإيجاب الشرطي بخلاف المقام وأشباهه ممّا يكون العقل مانعاً عن الأخذ بالظّهور المحرز فيصحّ التمسّك بالإطلاق مع الشكّ فيه ويحتاج إليه في إثبات الصحّة؛ إذ مع عدمه غاية ما يكون معلوماً من فرض التزاحم هو وجود المقتضي والمفروض عدم كفايته في الصحّة والاحتياج إلى توجّه الأمر كما هو مذهب المشهور.وعلى الثاني فالمرجع الأصول العملية وحینئذٍ يمكن أن يقال: الأصل عدم كفايته في الامتثال للتکلیف المعلوم بالفرض وإن قلنا بأصالة البراءة في الشكّ في الشّرطيّة والجزئيّة والمانعيّة في</w:t>
      </w:r>
      <w:r>
        <w:rPr>
          <w:rStyle w:val="FootnoteReference"/>
        </w:rPr>
        <w:footnoteReference w:id="862"/>
      </w:r>
      <w:r>
        <w:rPr>
          <w:rFonts w:ascii="Amiri" w:hAnsi="Amiri" w:eastAsia="Amiri" w:cs="Amiri"/>
          <w:lang w:bidi="ar-SA"/>
          <w:color w:val="111111"/>
          <w:sz w:val="28"/>
          <w:szCs w:val="28"/>
          <w:rtl/>
        </w:rPr>
        <w:t xml:space="preserve">الدوران بين التخيير والتعيين.</w:t>
      </w:r>
    </w:p>
    <w:p>
      <w:pPr>
        <w:pStyle w:val="BookText"/>
      </w:pPr>
      <w:r>
        <w:rPr>
          <w:rFonts w:ascii="Amiri" w:hAnsi="Amiri" w:eastAsia="Amiri" w:cs="Amiri"/>
          <w:lang w:bidi="ar-SA"/>
          <w:color w:val="111111"/>
          <w:sz w:val="28"/>
          <w:szCs w:val="28"/>
          <w:rtl/>
        </w:rPr>
        <w:t xml:space="preserve">وذلك لأنّ الشكّ في المقام ليس في المانعيّة للمأمور به بل في توجّه الأمر إلى الفرد المشكوك من جهة المانع العقلي عنه وأصالة البراءة لا ترفع هذا الشكّ كما إذا كان الشكّ في طريق الامتثال فإنّه يؤخذ بقاعدة الاشتغال؛ لأنّه على فرض عدم جواز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الاجتماع لا</w:t>
      </w:r>
      <w:r>
        <w:rPr>
          <w:rStyle w:val="FootnoteReference"/>
        </w:rPr>
        <w:footnoteReference w:id="863"/>
      </w:r>
      <w:r>
        <w:rPr>
          <w:rFonts w:ascii="Amiri" w:hAnsi="Amiri" w:eastAsia="Amiri" w:cs="Amiri"/>
          <w:lang w:bidi="ar-SA"/>
          <w:color w:val="111111"/>
          <w:sz w:val="28"/>
          <w:szCs w:val="28"/>
          <w:rtl/>
        </w:rPr>
        <w:t xml:space="preserve">تقييد من قبل الشارع حتّى يقال: إنّه ضيق من قبله وهو مرفوع.</w:t>
      </w:r>
    </w:p>
    <w:p>
      <w:pPr>
        <w:pStyle w:val="BookText"/>
      </w:pPr>
      <w:r>
        <w:rPr>
          <w:rFonts w:ascii="Amiri" w:hAnsi="Amiri" w:eastAsia="Amiri" w:cs="Amiri"/>
          <w:lang w:bidi="ar-SA"/>
          <w:color w:val="111111"/>
          <w:sz w:val="28"/>
          <w:szCs w:val="28"/>
          <w:rtl/>
        </w:rPr>
        <w:t xml:space="preserve">ولكنّ الحقّ جريان البراءة بناء على جريانها في المذكورات</w:t>
      </w:r>
      <w:r>
        <w:rPr>
          <w:rStyle w:val="FootnoteReference"/>
        </w:rPr>
        <w:footnoteReference w:id="864"/>
      </w:r>
      <w:r>
        <w:rPr>
          <w:rFonts w:ascii="IRNazanin" w:hAnsi="IRNazanin" w:eastAsia="IRNazanin" w:cs="IRNazanin"/>
          <w:lang w:bidi="fa-IR"/>
          <w:color w:val="111111"/>
          <w:sz w:val="28"/>
          <w:szCs w:val="28"/>
          <w:rtl/>
        </w:rPr>
        <w:t xml:space="preserve">لأنّه يرجع إلى تقييد المأمور به بالأخرة وأنّه هل قيّد الصّلاة مثلاً بغير المكان المغصوب من جهة عدم إمکان توجّه الأمر إليها أم لا؟ وهذا ضيق من قبل عدم بيان الشارع فيما عليه البيان.</w:t>
      </w:r>
    </w:p>
    <w:p>
      <w:pPr>
        <w:pStyle w:val="BookText"/>
      </w:pPr>
      <w:r>
        <w:rPr>
          <w:rFonts w:ascii="IRNazanin" w:hAnsi="IRNazanin" w:eastAsia="IRNazanin" w:cs="IRNazanin"/>
          <w:lang w:bidi="fa-IR"/>
          <w:color w:val="111111"/>
          <w:sz w:val="28"/>
          <w:szCs w:val="28"/>
          <w:rtl/>
        </w:rPr>
        <w:t xml:space="preserve">ولذا قلنا: إنّ الشكّ في طريق الامتثال أیضاً إذا كان راجعاً إلى الشّارع مثل الشكّ في اعتباره القربة فيها يرجع فيه</w:t>
      </w:r>
      <w:r>
        <w:rPr>
          <w:rStyle w:val="FootnoteReference"/>
        </w:rPr>
        <w:footnoteReference w:id="865"/>
      </w:r>
      <w:r>
        <w:rPr>
          <w:rFonts w:ascii="IRNazanin" w:hAnsi="IRNazanin" w:eastAsia="IRNazanin" w:cs="IRNazanin"/>
          <w:lang w:bidi="fa-IR"/>
          <w:color w:val="111111"/>
          <w:sz w:val="28"/>
          <w:szCs w:val="28"/>
          <w:rtl/>
        </w:rPr>
        <w:t xml:space="preserve">إلى البراءة ولا يضرّ كون الشكّ المذكور من جهة الشكّ في توجّه الأمر؛ لأنّا نقول: القدر المعلوم من وجوب الصّلاة وجوب الإتیان بالأجزاء والشّرائط المعلومة من غير اختصاص بمكان خاصّ كما نقول في الدوران بين التعيين والتخيير.</w:t>
      </w:r>
    </w:p>
    <w:p>
      <w:pPr>
        <w:pStyle w:val="BookText"/>
      </w:pPr>
      <w:r>
        <w:rPr>
          <w:rFonts w:ascii="IRNazanin" w:hAnsi="IRNazanin" w:eastAsia="IRNazanin" w:cs="IRNazanin"/>
          <w:lang w:bidi="fa-IR"/>
          <w:color w:val="111111"/>
          <w:sz w:val="28"/>
          <w:szCs w:val="28"/>
          <w:rtl/>
        </w:rPr>
        <w:t xml:space="preserve">مع أنّ التکلیف هناك معلومٌ وإنّما الشك في كون الطرف الآخر أیضاً واجباً ومورداً للأمر حتّى يكون كافياً في مقام الامتثال أم لا؟</w:t>
      </w:r>
    </w:p>
    <w:p>
      <w:pPr>
        <w:pStyle w:val="BookText"/>
      </w:pPr>
      <w:r>
        <w:rPr>
          <w:rFonts w:ascii="IRNazanin" w:hAnsi="IRNazanin" w:eastAsia="IRNazanin" w:cs="IRNazanin"/>
          <w:lang w:bidi="fa-IR"/>
          <w:color w:val="111111"/>
          <w:sz w:val="28"/>
          <w:szCs w:val="28"/>
          <w:rtl/>
        </w:rPr>
        <w:t xml:space="preserve">بل المقام أولى منه؛ حيث إنّ الأمر تعلّق بکلّي الصّلاة والفرد المشكوك فرد منها بخلاف تلك المسألة حيث إنّ المشكوك ليس داخلاً في کلّي المأمور به اليقيني ومع ذلك نقول: القدر المعلوم من التکلیف هو الإتیان بأحد الأمرين وإن کان</w:t>
      </w:r>
      <w:r>
        <w:rPr>
          <w:rStyle w:val="FootnoteReference"/>
        </w:rPr>
        <w:footnoteReference w:id="866"/>
      </w:r>
      <w:r>
        <w:rPr>
          <w:rFonts w:ascii="IRNazanin" w:hAnsi="IRNazanin" w:eastAsia="IRNazanin" w:cs="IRNazanin"/>
          <w:lang w:bidi="fa-IR"/>
          <w:color w:val="111111"/>
          <w:sz w:val="28"/>
          <w:szCs w:val="28"/>
          <w:rtl/>
        </w:rPr>
        <w:t xml:space="preserve">تعلّق الأمر بأحدهما أعمّ من التعييني والتخييري معلوماً والشكّ يرجع إلى سقوطه عنالمکلّف بإتیان الآخر.</w:t>
      </w:r>
    </w:p>
    <w:p>
      <w:pPr>
        <w:pStyle w:val="BookText"/>
      </w:pPr>
      <w:r>
        <w:rPr>
          <w:rFonts w:ascii="IRNazanin" w:hAnsi="IRNazanin" w:eastAsia="IRNazanin" w:cs="IRNazanin"/>
          <w:lang w:bidi="fa-IR"/>
          <w:color w:val="111111"/>
          <w:sz w:val="28"/>
          <w:szCs w:val="28"/>
          <w:rtl/>
        </w:rPr>
        <w:t xml:space="preserve">وبالجملة لا إشکال في المقام من حيث النهي؛ لأنّه إذا كان من باب التزاحم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فوجوده یقینيّ وإن کان من غيره فهو مدفوع بأصالة البراءة</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وإنّما الإشکال في توجّه الأمر ولا يمكن رفع</w:t>
      </w:r>
      <w:r>
        <w:rPr>
          <w:rStyle w:val="FootnoteReference"/>
        </w:rPr>
        <w:footnoteReference w:id="868"/>
      </w:r>
      <w:r>
        <w:rPr>
          <w:rFonts w:ascii="Amiri" w:hAnsi="Amiri" w:eastAsia="Amiri" w:cs="Amiri"/>
          <w:lang w:bidi="ar-SA"/>
          <w:color w:val="111111"/>
          <w:sz w:val="28"/>
          <w:szCs w:val="28"/>
          <w:rtl/>
        </w:rPr>
        <w:t xml:space="preserve">الشّكّ من هذه الجهة لكن نرجع</w:t>
      </w:r>
      <w:r>
        <w:rPr>
          <w:rStyle w:val="FootnoteReference"/>
        </w:rPr>
        <w:footnoteReference w:id="869"/>
      </w:r>
      <w:r>
        <w:rPr>
          <w:rFonts w:ascii="Amiri" w:hAnsi="Amiri" w:eastAsia="Amiri" w:cs="Amiri"/>
          <w:lang w:bidi="ar-SA"/>
          <w:color w:val="111111"/>
          <w:sz w:val="28"/>
          <w:szCs w:val="28"/>
          <w:rtl/>
        </w:rPr>
        <w:t xml:space="preserve">إلى البراءة في مورده من حيث رجوعه إلى الشكّ في تقيّد المأمور به من جهته وعدم تقييده</w:t>
      </w:r>
      <w:r>
        <w:rPr>
          <w:rStyle w:val="FootnoteReference"/>
        </w:rPr>
        <w:footnoteReference w:id="870"/>
      </w:r>
      <w:r>
        <w:rPr>
          <w:rFonts w:ascii="IRNazanin" w:hAnsi="IRNazanin" w:eastAsia="IRNazanin" w:cs="IRNazanin"/>
          <w:lang w:bidi="fa-IR"/>
          <w:color w:val="111111"/>
          <w:sz w:val="28"/>
          <w:szCs w:val="28"/>
          <w:rtl/>
        </w:rPr>
        <w:t xml:space="preserve">ولا فرق في الرّجوع إليها في الشّك في المانعيّة بين ما كان کذلك من الأوّل أو بالمآل.</w:t>
      </w:r>
    </w:p>
    <w:p>
      <w:pPr>
        <w:pStyle w:val="BookText"/>
      </w:pPr>
      <w:r>
        <w:rPr>
          <w:rFonts w:ascii="Amiri" w:hAnsi="Amiri" w:eastAsia="Amiri" w:cs="Amiri"/>
          <w:lang w:bidi="ar-SA"/>
          <w:color w:val="111111"/>
          <w:sz w:val="28"/>
          <w:szCs w:val="28"/>
          <w:rtl/>
        </w:rPr>
        <w:t xml:space="preserve">هذا ويمكن أن يقال بصحّة العمل واقعاً لا من باب أصل البراءة بناء على ما ذهب إليه المشهور من أنّ النهي الواقعي يجتمع مع الأمر وأنّ المنع مختصّ بالنّهي الفعلي</w:t>
      </w:r>
      <w:r>
        <w:rPr>
          <w:rStyle w:val="FootnoteReference"/>
        </w:rPr>
        <w:footnoteReference w:id="871"/>
      </w:r>
    </w:p>
    <w:p>
      <w:pPr>
        <w:pStyle w:val="BookText"/>
      </w:pPr>
      <w:r>
        <w:rPr>
          <w:rFonts w:ascii="Amiri" w:hAnsi="Amiri" w:eastAsia="Amiri" w:cs="Amiri"/>
          <w:lang w:bidi="ar-SA"/>
          <w:color w:val="111111"/>
          <w:sz w:val="28"/>
          <w:szCs w:val="28"/>
          <w:rtl/>
        </w:rPr>
        <w:t xml:space="preserve">«ويرد عليه: أنّ التحقيق عدم جواز الأمر والنهي الشأنيين أيضاً على القول بعدم جواز كون الشي‌ء الواحد محبوباً و مبغوضاً في نفسه ولو لم يتنجّز التكليف به، وتمام الكلام في محلّه في مسألة اجتماع الأمر والنهي».</w:t>
      </w:r>
    </w:p>
    <w:p>
      <w:pPr>
        <w:pStyle w:val="BookText"/>
      </w:pPr>
      <w:r>
        <w:rPr>
          <w:rFonts w:ascii="Amiri" w:hAnsi="Amiri" w:eastAsia="Amiri" w:cs="Amiri"/>
          <w:lang w:bidi="ar-SA"/>
          <w:color w:val="111111"/>
          <w:sz w:val="28"/>
          <w:szCs w:val="28"/>
          <w:rtl/>
        </w:rPr>
        <w:t xml:space="preserve">فيما إذا لم يكن من باب التزاحم وكان النهي مشكوكاً حيث إنّه يدفع بأصل البراءة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وبعد الحكم بعدم الحرمة لا مانع من الأمر. لكنّ هذا في غير صورة وجود الإطلاق؛ إذ معه لا يمكن الحكم بالبراءة من الحرمة.</w:t>
      </w:r>
    </w:p>
    <w:p>
      <w:pPr>
        <w:pStyle w:val="BookText"/>
      </w:pPr>
      <w:r>
        <w:rPr>
          <w:rFonts w:ascii="Amiri" w:hAnsi="Amiri" w:eastAsia="Amiri" w:cs="Amiri"/>
          <w:lang w:bidi="ar-SA"/>
          <w:color w:val="111111"/>
          <w:sz w:val="28"/>
          <w:szCs w:val="28"/>
          <w:rtl/>
        </w:rPr>
        <w:t xml:space="preserve">والحاصل: أنّ المانع من توجّه الأمر إذا كان هو النّهي الفعلي لا الواقعي والمفروض الشكّ فيه فبعد جريان أصل البراءة بالنسبة إليه يكون المانع مرتفعاً واقعاً.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هذا لا يتمّ على مختارنا من أنّ النهي الواقعي أیضاً لا يجتمع مع الأمرالواقعي</w:t>
      </w:r>
      <w:r>
        <w:rPr>
          <w:rStyle w:val="FootnoteReference"/>
        </w:rPr>
        <w:footnoteReference w:id="872"/>
      </w:r>
      <w:r>
        <w:rPr>
          <w:rFonts w:ascii="Amiri" w:hAnsi="Amiri" w:eastAsia="Amiri" w:cs="Amiri"/>
          <w:lang w:bidi="ar-SA"/>
          <w:color w:val="111111"/>
          <w:sz w:val="28"/>
          <w:szCs w:val="28"/>
          <w:rtl/>
        </w:rPr>
        <w:t xml:space="preserve">والظاهري لا يثمر في الإجزاء.</w:t>
      </w:r>
      <w:r>
        <w:rPr>
          <w:rStyle w:val="FootnoteReference"/>
        </w:rPr>
        <w:footnoteReference w:id="873"/>
      </w:r>
    </w:p>
    <w:p>
      <w:pPr>
        <w:pStyle w:val="BookText"/>
      </w:pPr>
      <w:r>
        <w:rPr>
          <w:rFonts w:ascii="Amiri" w:hAnsi="Amiri" w:eastAsia="Amiri" w:cs="Amiri"/>
          <w:lang w:bidi="ar-SA"/>
          <w:color w:val="111111"/>
          <w:sz w:val="28"/>
          <w:szCs w:val="28"/>
          <w:rtl/>
        </w:rPr>
        <w:t xml:space="preserve">أحدهما: أن يجعل الشارع وجوب الأخذ بأحد طرفي الشك أو أحد أطرافه لكونه عسى أن يدرك به الواقع، ولا يكون في نفس المحتمل مصلحة أصلا بل المصلحة في نفس الجعل فقط.</w:t>
      </w:r>
    </w:p>
    <w:p>
      <w:pPr>
        <w:pStyle w:val="BookText"/>
      </w:pPr>
      <w:r>
        <w:rPr>
          <w:rFonts w:ascii="Amiri" w:hAnsi="Amiri" w:eastAsia="Amiri" w:cs="Amiri"/>
          <w:lang w:bidi="ar-SA"/>
          <w:color w:val="111111"/>
          <w:sz w:val="28"/>
          <w:szCs w:val="28"/>
          <w:rtl/>
        </w:rPr>
        <w:t xml:space="preserve">وثانيهما: أن يكون في المحتمل المذكور مصلحة أوجبت حكم الشارع بوجوب الأخذ به حتى لو تخلّف عن الواقع فهو واجد لتلك المصلحة ويجب الأخذ به لذلك، فإن كان على الوجه الأوّل فلايمكن القول بإفادة مثل هذا التكليف الظاهري الإجزاء؛ لأنّ المفروض أنه وجب الأخذ به على وجه الاحتياط الصرف، ويلزمه أنّه لو تخلّف عن الواقع كان لغوا محضا، غاية الأمر أنّ المكلف معذور ما دام لم ينكشف الواقع.</w:t>
      </w:r>
    </w:p>
    <w:p>
      <w:pPr>
        <w:pStyle w:val="BookText"/>
      </w:pPr>
      <w:r>
        <w:rPr>
          <w:rFonts w:ascii="Amiri" w:hAnsi="Amiri" w:eastAsia="Amiri" w:cs="Amiri"/>
          <w:lang w:bidi="ar-SA"/>
          <w:color w:val="111111"/>
          <w:sz w:val="28"/>
          <w:szCs w:val="28"/>
          <w:rtl/>
        </w:rPr>
        <w:t xml:space="preserve">وإن كان على الوجه الثاني فيمكن القول بالإجزاء، بدعوى أنّه يستفاد من وجوب الأخذ بالمحتمل كيف كان أنّه يجزي عن الواقع على تقدير التخلّف عنه وأنّه بدل عن الواقع مطلقا، ويمكن القول بعدم الإجزاء بدعوى أنّه لا يستفاد من وجوب الأخذ بالمحتمل إلّا أنّه بدل عن الواقع ما دام عدم انكشاف الواقع، فلو انكشف الواقع يترتّب عليه آثاره التي منها الإعادة والقضاء.</w:t>
      </w:r>
    </w:p>
    <w:p>
      <w:pPr>
        <w:pStyle w:val="BookText"/>
      </w:pPr>
      <w:r>
        <w:rPr>
          <w:rFonts w:ascii="Amiri" w:hAnsi="Amiri" w:eastAsia="Amiri" w:cs="Amiri"/>
          <w:lang w:bidi="ar-SA"/>
          <w:color w:val="111111"/>
          <w:sz w:val="28"/>
          <w:szCs w:val="28"/>
          <w:rtl/>
        </w:rPr>
        <w:t xml:space="preserve">أما الوجه الأوّل، فلا يساعد عليه أدلة الأصول سوى أصالة الاحتياط، وأدلّة سائر الأصول كأصل التخيير والاستصحاب وأصالة البراءة الشرعية إنّما تساعد الوجه الثاني ظاهراً».</w:t>
      </w:r>
    </w:p>
    <w:p>
      <w:pPr>
        <w:pStyle w:val="BookText"/>
      </w:pPr>
      <w:r>
        <w:rPr>
          <w:rFonts w:ascii="Amiri" w:hAnsi="Amiri" w:eastAsia="Amiri" w:cs="Amiri"/>
          <w:lang w:bidi="ar-SA"/>
          <w:color w:val="111111"/>
          <w:sz w:val="28"/>
          <w:szCs w:val="28"/>
          <w:rtl/>
        </w:rPr>
        <w:t xml:space="preserve">فعلى ما ذكرنا نحتاج إلى إجراء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أصالة البراءة.</w:t>
      </w:r>
    </w:p>
    <w:p>
      <w:pPr>
        <w:pStyle w:val="BookText"/>
      </w:pPr>
      <w:r>
        <w:rPr>
          <w:rFonts w:ascii="Amiri" w:hAnsi="Amiri" w:eastAsia="Amiri" w:cs="Amiri"/>
          <w:lang w:bidi="ar-SA"/>
          <w:color w:val="111111"/>
          <w:sz w:val="28"/>
          <w:szCs w:val="28"/>
          <w:rtl/>
        </w:rPr>
        <w:t xml:space="preserve">ثمّ إنّ ما ذكرنا من الرّجوع إلى البراءة أو الاشتغال إنّما هو على مذهب المشهور القائلين بتوقّف الصحّة على الأمر وأنّه</w:t>
      </w:r>
      <w:r>
        <w:rPr>
          <w:rStyle w:val="FootnoteReference"/>
        </w:rPr>
        <w:footnoteReference w:id="874"/>
      </w:r>
      <w:r>
        <w:rPr>
          <w:rFonts w:ascii="Amiri" w:hAnsi="Amiri" w:eastAsia="Amiri" w:cs="Amiri"/>
          <w:lang w:bidi="ar-SA"/>
          <w:color w:val="111111"/>
          <w:sz w:val="28"/>
          <w:szCs w:val="28"/>
          <w:rtl/>
        </w:rPr>
        <w:t xml:space="preserve">على فرض عدم جواز الاجتماع يكون العمل باطلاً.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على المختار من كفاية تماميّة المطلوب في حدّ نفسه وإن لم يتعلّق به الطلب لقصور فيه من جهة لزوم اجتماع الضدّين فلا حاجة إلى إجراء أصالة البراءة في صورة العلم بكونهما من باب التزاحم؛ لأنّ المفروض على هذا عدم لزوم تقييد في المطلوب ولو من جانب الطلب.</w:t>
      </w:r>
    </w:p>
    <w:p>
      <w:pPr>
        <w:pStyle w:val="BookText"/>
      </w:pPr>
      <w:r>
        <w:rPr>
          <w:rFonts w:ascii="IRNazanin" w:hAnsi="IRNazanin" w:eastAsia="IRNazanin" w:cs="IRNazanin"/>
          <w:lang w:bidi="fa-IR"/>
          <w:color w:val="111111"/>
          <w:sz w:val="28"/>
          <w:szCs w:val="28"/>
          <w:rtl/>
        </w:rPr>
        <w:t xml:space="preserve">نعم لو احتملنا كون المبغوضیّة مانعة لنفس</w:t>
      </w:r>
      <w:r>
        <w:rPr>
          <w:rStyle w:val="FootnoteReference"/>
        </w:rPr>
        <w:footnoteReference w:id="875"/>
      </w:r>
      <w:r>
        <w:rPr>
          <w:rFonts w:ascii="IRNazanin" w:hAnsi="IRNazanin" w:eastAsia="IRNazanin" w:cs="IRNazanin"/>
          <w:lang w:bidi="fa-IR"/>
          <w:color w:val="111111"/>
          <w:sz w:val="28"/>
          <w:szCs w:val="28"/>
          <w:rtl/>
        </w:rPr>
        <w:t xml:space="preserve">المطلوب أیضاً كما أنّها مانعة عنالطلب في عرض سائر الموانع نحتاج إلى الأصل من هذه الجهة حسبما</w:t>
      </w:r>
      <w:r>
        <w:rPr>
          <w:rStyle w:val="FootnoteReference"/>
        </w:rPr>
        <w:footnoteReference w:id="876"/>
      </w:r>
      <w:r>
        <w:rPr>
          <w:rFonts w:ascii="Amiri" w:hAnsi="Amiri" w:eastAsia="Amiri" w:cs="Amiri"/>
          <w:lang w:bidi="ar-SA"/>
          <w:color w:val="111111"/>
          <w:sz w:val="28"/>
          <w:szCs w:val="28"/>
          <w:rtl/>
        </w:rPr>
        <w:t xml:space="preserve">ذكرنا سابقاً.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5" w:name="pg6784_51270"/>
    <w:bookmarkEnd w:id="125"/>
    <w:p>
      <w:pPr>
        <w:pStyle w:val="Heading3"/>
      </w:pPr>
      <w:bookmarkStart w:id="537" w:name="_Toc218"/>
      <w:r>
        <w:t>أصل المسألة</w:t>
      </w:r>
      <w:bookmarkEnd w:id="537"/>
    </w:p>
    <w:p>
      <w:pPr>
        <w:pStyle w:val="Heading4"/>
      </w:pPr>
      <w:bookmarkStart w:id="538" w:name="_Toc219"/>
      <w:r>
        <w:t>اشارة</w:t>
      </w:r>
      <w:bookmarkEnd w:id="538"/>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6" w:name="pg6784_51271"/>
    <w:bookmarkEnd w:id="126"/>
    <w:p>
      <w:pPr>
        <w:pStyle w:val="Heading4"/>
      </w:pPr>
      <w:bookmarkStart w:id="539" w:name="_Toc220"/>
      <w:r>
        <w:t>[الشروع في المسألة]</w:t>
      </w:r>
      <w:bookmarkEnd w:id="539"/>
    </w:p>
    <w:p>
      <w:pPr>
        <w:pStyle w:val="BookText"/>
      </w:pPr>
      <w:r>
        <w:rPr>
          <w:rFonts w:ascii="IRNazanin" w:hAnsi="IRNazanin" w:eastAsia="IRNazanin" w:cs="IRNazanin"/>
          <w:lang w:bidi="fa-IR"/>
          <w:color w:val="111111"/>
          <w:sz w:val="28"/>
          <w:szCs w:val="28"/>
          <w:rtl/>
        </w:rPr>
        <w:t xml:space="preserve">إذا عرفت هذه المقدّمات فنقول:</w:t>
      </w:r>
    </w:p>
    <w:p>
      <w:pPr>
        <w:pStyle w:val="Heading4"/>
      </w:pPr>
      <w:bookmarkStart w:id="540" w:name="_Toc221"/>
      <w:r>
        <w:t>[نقل الأقوال واستظهارها من أهلها]</w:t>
      </w:r>
      <w:bookmarkEnd w:id="540"/>
    </w:p>
    <w:p>
      <w:pPr>
        <w:pStyle w:val="Heading5"/>
      </w:pPr>
      <w:bookmarkStart w:id="541" w:name="_Toc222"/>
      <w:r>
        <w:t>اشارة</w:t>
      </w:r>
      <w:bookmarkEnd w:id="541"/>
    </w:p>
    <w:p>
      <w:pPr>
        <w:pStyle w:val="BookText"/>
      </w:pPr>
      <w:r>
        <w:rPr>
          <w:rFonts w:ascii="Amiri" w:hAnsi="Amiri" w:eastAsia="Amiri" w:cs="Amiri"/>
          <w:lang w:bidi="ar-SA"/>
          <w:color w:val="111111"/>
          <w:sz w:val="28"/>
          <w:szCs w:val="28"/>
          <w:rtl/>
        </w:rPr>
        <w:t xml:space="preserve">اختلفوا في جواز الاجتماع</w:t>
      </w:r>
      <w:r>
        <w:rPr>
          <w:rStyle w:val="FootnoteReference"/>
        </w:rPr>
        <w:footnoteReference w:id="877"/>
      </w:r>
    </w:p>
    <w:p>
      <w:pPr>
        <w:pStyle w:val="BookText"/>
      </w:pPr>
      <w:r>
        <w:rPr>
          <w:rFonts w:ascii="Amiri" w:hAnsi="Amiri" w:eastAsia="Amiri" w:cs="Amiri"/>
          <w:lang w:bidi="ar-SA"/>
          <w:color w:val="111111"/>
          <w:sz w:val="28"/>
          <w:szCs w:val="28"/>
          <w:rtl/>
        </w:rPr>
        <w:t xml:space="preserve">لا بأس باجتماع أمر قد وجب وما هو الحرام من غير عجب‌</w:t>
      </w:r>
    </w:p>
    <w:p>
      <w:pPr>
        <w:pStyle w:val="BookText"/>
      </w:pPr>
      <w:r>
        <w:rPr>
          <w:rFonts w:ascii="Amiri" w:hAnsi="Amiri" w:eastAsia="Amiri" w:cs="Amiri"/>
          <w:lang w:bidi="ar-SA"/>
          <w:color w:val="111111"/>
          <w:sz w:val="28"/>
          <w:szCs w:val="28"/>
          <w:rtl/>
        </w:rPr>
        <w:t xml:space="preserve">وعدمه على قولين.</w:t>
      </w:r>
    </w:p>
    <w:p>
      <w:pPr>
        <w:pStyle w:val="BookText"/>
      </w:pPr>
      <w:r>
        <w:rPr>
          <w:rFonts w:ascii="Amiri" w:hAnsi="Amiri" w:eastAsia="Amiri" w:cs="Amiri"/>
          <w:lang w:bidi="ar-SA"/>
          <w:color w:val="111111"/>
          <w:sz w:val="28"/>
          <w:szCs w:val="28"/>
          <w:rtl/>
        </w:rPr>
        <w:t xml:space="preserve">وربّما يذكر ثالث وهو التفصيل بين العقل والعُرف وأنّه</w:t>
      </w:r>
      <w:r>
        <w:rPr>
          <w:rStyle w:val="FootnoteReference"/>
        </w:rPr>
        <w:footnoteReference w:id="878"/>
      </w:r>
      <w:r>
        <w:rPr>
          <w:rFonts w:ascii="Amiri" w:hAnsi="Amiri" w:eastAsia="Amiri" w:cs="Amiri"/>
          <w:lang w:bidi="ar-SA"/>
          <w:color w:val="111111"/>
          <w:sz w:val="28"/>
          <w:szCs w:val="28"/>
          <w:rtl/>
        </w:rPr>
        <w:t xml:space="preserve">يجوز عقلاً لا عرفاً وينسب إلى المحقّق الأردبيلى</w:t>
      </w:r>
      <w:r>
        <w:rPr>
          <w:rStyle w:val="FootnoteReference"/>
        </w:rPr>
        <w:footnoteReference w:id="879"/>
      </w:r>
      <w:r>
        <w:rPr>
          <w:rFonts w:ascii="Amiri" w:hAnsi="Amiri" w:eastAsia="Amiri" w:cs="Amiri"/>
          <w:lang w:bidi="ar-SA"/>
          <w:color w:val="111111"/>
          <w:sz w:val="28"/>
          <w:szCs w:val="28"/>
          <w:rtl/>
        </w:rPr>
        <w:t xml:space="preserve">وصاحب الرياض.</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ويحتمل تفصيل آخر وهو القول بعدم الجواز عقلاً والجواز عرفاً بمعنى أنّ العرف يحكم بكفاية الإتیان بالفرد المحرّم في مقام الامتثال وأنّ العبد مطيعٌ عاصٍ من الجهتين؛ إذ المدار في الإطاعة على ما يعدّ إطاعة عرفاً وعند العقلاء وإن لم تكن</w:t>
      </w:r>
      <w:r>
        <w:rPr>
          <w:rStyle w:val="FootnoteReference"/>
        </w:rPr>
        <w:footnoteReference w:id="881"/>
      </w:r>
      <w:r>
        <w:rPr>
          <w:rFonts w:ascii="Amiri" w:hAnsi="Amiri" w:eastAsia="Amiri" w:cs="Amiri"/>
          <w:lang w:bidi="ar-SA"/>
          <w:color w:val="111111"/>
          <w:sz w:val="28"/>
          <w:szCs w:val="28"/>
          <w:rtl/>
        </w:rPr>
        <w:t xml:space="preserve">صادقة بالنظر الدّقيق الفلسفي.</w:t>
      </w:r>
    </w:p>
    <w:p>
      <w:pPr>
        <w:pStyle w:val="BookText"/>
      </w:pPr>
      <w:r>
        <w:rPr>
          <w:rFonts w:ascii="IRNazanin" w:hAnsi="IRNazanin" w:eastAsia="IRNazanin" w:cs="IRNazanin"/>
          <w:lang w:bidi="fa-IR"/>
          <w:color w:val="111111"/>
          <w:sz w:val="28"/>
          <w:szCs w:val="28"/>
          <w:rtl/>
        </w:rPr>
        <w:t xml:space="preserve">فالأمر وإن لم يكن متوجّهاً إلى ذلك الفرد حقیقة إلّا أنّ العرف يجعله مأموراً به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7" w:name="pg6784_51272"/>
    <w:bookmarkEnd w:id="127"/>
    <w:p>
      <w:pPr>
        <w:pStyle w:val="BookText"/>
      </w:pPr>
      <w:r>
        <w:rPr>
          <w:rFonts w:ascii="Amiri" w:hAnsi="Amiri" w:eastAsia="Amiri" w:cs="Amiri"/>
          <w:lang w:bidi="ar-SA"/>
          <w:color w:val="111111"/>
          <w:sz w:val="28"/>
          <w:szCs w:val="28"/>
          <w:rtl/>
        </w:rPr>
        <w:t xml:space="preserve">والمفروض أنّه واجد لشرائط الصحّة مع قطع النظر عن الأمر.</w:t>
      </w:r>
    </w:p>
    <w:p>
      <w:pPr>
        <w:pStyle w:val="BookText"/>
      </w:pPr>
      <w:r>
        <w:rPr>
          <w:rFonts w:ascii="Amiri" w:hAnsi="Amiri" w:eastAsia="Amiri" w:cs="Amiri"/>
          <w:lang w:bidi="ar-SA"/>
          <w:color w:val="111111"/>
          <w:sz w:val="28"/>
          <w:szCs w:val="28"/>
          <w:rtl/>
        </w:rPr>
        <w:t xml:space="preserve">وهذا الوجه لازم من تمسّك للجواز</w:t>
      </w:r>
      <w:r>
        <w:rPr>
          <w:rStyle w:val="FootnoteReference"/>
        </w:rPr>
        <w:footnoteReference w:id="882"/>
      </w:r>
      <w:r>
        <w:rPr>
          <w:rFonts w:ascii="Amiri" w:hAnsi="Amiri" w:eastAsia="Amiri" w:cs="Amiri"/>
          <w:lang w:bidi="ar-SA"/>
          <w:color w:val="111111"/>
          <w:sz w:val="28"/>
          <w:szCs w:val="28"/>
          <w:rtl/>
        </w:rPr>
        <w:t xml:space="preserve">بحكم العرف بكونه مطيعاً عاصياً</w:t>
      </w:r>
      <w:r>
        <w:rPr>
          <w:rStyle w:val="FootnoteReference"/>
        </w:rPr>
        <w:footnoteReference w:id="883"/>
      </w:r>
      <w:r>
        <w:rPr>
          <w:rFonts w:ascii="Amiri" w:hAnsi="Amiri" w:eastAsia="Amiri" w:cs="Amiri"/>
          <w:lang w:bidi="ar-SA"/>
          <w:color w:val="111111"/>
          <w:sz w:val="28"/>
          <w:szCs w:val="28"/>
          <w:rtl/>
        </w:rPr>
        <w:t xml:space="preserve">فيمثال الخياطة في المكان المحرّم على أحد الوجهين الآتيين.</w:t>
      </w:r>
    </w:p>
    <w:p>
      <w:pPr>
        <w:pStyle w:val="Heading5"/>
      </w:pPr>
      <w:bookmarkStart w:id="542" w:name="_Toc223"/>
      <w:r>
        <w:t>[القائلین بالامتناع]</w:t>
      </w:r>
      <w:bookmarkEnd w:id="542"/>
    </w:p>
    <w:p>
      <w:pPr>
        <w:pStyle w:val="BookText"/>
      </w:pPr>
      <w:r>
        <w:rPr>
          <w:rFonts w:ascii="Amiri" w:hAnsi="Amiri" w:eastAsia="Amiri" w:cs="Amiri"/>
          <w:lang w:bidi="ar-SA"/>
          <w:color w:val="111111"/>
          <w:sz w:val="28"/>
          <w:szCs w:val="28"/>
          <w:rtl/>
        </w:rPr>
        <w:t xml:space="preserve">وكيف كان فالمشهور</w:t>
      </w:r>
      <w:r>
        <w:rPr>
          <w:rStyle w:val="FootnoteReference"/>
        </w:rPr>
        <w:footnoteReference w:id="884"/>
      </w:r>
      <w:r>
        <w:rPr>
          <w:rFonts w:ascii="Amiri" w:hAnsi="Amiri" w:eastAsia="Amiri" w:cs="Amiri"/>
          <w:lang w:bidi="ar-SA"/>
          <w:color w:val="111111"/>
          <w:sz w:val="28"/>
          <w:szCs w:val="28"/>
          <w:rtl/>
        </w:rPr>
        <w:t xml:space="preserve">بين الإماميّة</w:t>
      </w:r>
      <w:r>
        <w:rPr>
          <w:rStyle w:val="FootnoteReference"/>
        </w:rPr>
        <w:footnoteReference w:id="885"/>
      </w:r>
      <w:r>
        <w:rPr>
          <w:rFonts w:ascii="Amiri" w:hAnsi="Amiri" w:eastAsia="Amiri" w:cs="Amiri"/>
          <w:lang w:bidi="ar-SA"/>
          <w:color w:val="111111"/>
          <w:sz w:val="28"/>
          <w:szCs w:val="28"/>
          <w:rtl/>
        </w:rPr>
        <w:t xml:space="preserve">والمعتزلة</w:t>
      </w:r>
      <w:r>
        <w:rPr>
          <w:rStyle w:val="FootnoteReference"/>
        </w:rPr>
        <w:footnoteReference w:id="886"/>
      </w:r>
      <w:r>
        <w:rPr>
          <w:rFonts w:ascii="IRNazanin" w:hAnsi="IRNazanin" w:eastAsia="IRNazanin" w:cs="IRNazanin"/>
          <w:lang w:bidi="fa-IR"/>
          <w:color w:val="111111"/>
          <w:sz w:val="28"/>
          <w:szCs w:val="28"/>
          <w:rtl/>
        </w:rPr>
        <w:t xml:space="preserve">المنع.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وأسند إلى الباقلاني</w:t>
      </w:r>
      <w:r>
        <w:rPr>
          <w:rStyle w:val="FootnoteReference"/>
        </w:rPr>
        <w:footnoteReference w:id="887"/>
      </w:r>
      <w:r>
        <w:rPr>
          <w:rFonts w:ascii="Amiri" w:hAnsi="Amiri" w:eastAsia="Amiri" w:cs="Amiri"/>
          <w:lang w:bidi="ar-SA"/>
          <w:color w:val="111111"/>
          <w:sz w:val="28"/>
          <w:szCs w:val="28"/>
          <w:rtl/>
        </w:rPr>
        <w:t xml:space="preserve">والرازي</w:t>
      </w:r>
      <w:r>
        <w:rPr>
          <w:rStyle w:val="FootnoteReference"/>
        </w:rPr>
        <w:footnoteReference w:id="888"/>
      </w:r>
    </w:p>
    <w:p>
      <w:pPr>
        <w:pStyle w:val="BookText"/>
      </w:pPr>
      <w:r>
        <w:rPr>
          <w:rFonts w:ascii="Amiri" w:hAnsi="Amiri" w:eastAsia="Amiri" w:cs="Amiri"/>
          <w:lang w:bidi="ar-SA"/>
          <w:color w:val="111111"/>
          <w:sz w:val="28"/>
          <w:szCs w:val="28"/>
          <w:rtl/>
        </w:rPr>
        <w:t xml:space="preserve">ثم قال: «تنبيه: الصلاة في الدار المغصوبة وإن لم تكن مأموراً بها إلّا أنّ الفرض يسقط عندها لا بها لأنّا بيّنّا بالدليل امتناع ورود الأمر بها والسلف أجمعوا على أنّ الظلمة لا يؤمرون بقضاء الصلوات المؤداة في الدور المغصوبة ولا طريق إلى التوفيق بينهما إلّا ما ذكرناه وهو مذهب القاضي أبي بكر». ومراده القاضي الباقلاني.</w:t>
      </w:r>
    </w:p>
    <w:p>
      <w:pPr>
        <w:pStyle w:val="BookText"/>
      </w:pPr>
      <w:r>
        <w:rPr>
          <w:rFonts w:ascii="IRNazanin" w:hAnsi="IRNazanin" w:eastAsia="IRNazanin" w:cs="IRNazanin"/>
          <w:lang w:bidi="fa-IR"/>
          <w:color w:val="111111"/>
          <w:sz w:val="28"/>
          <w:szCs w:val="28"/>
          <w:rtl/>
        </w:rPr>
        <w:t xml:space="preserve">وقال الرازي في المعالم في علم أصول الفقه، ص76 و 77: «الصلاة في الدار المغصوبة غیر صحیحة عندنا خلافاً للفقهاء. ثمّ إن صحّ الإجماع على أنّ الآتي بها لا یؤمر بالقضاء قلنا: یسقط الفرض عندها لا بها. وإن لم یصحّ هذا الإجماع وهو الأصحّ أوجبنا القضاء».</w:t>
      </w:r>
    </w:p>
    <w:p>
      <w:pPr>
        <w:pStyle w:val="BookText"/>
      </w:pPr>
      <w:r>
        <w:rPr>
          <w:rFonts w:ascii="IRNazanin" w:hAnsi="IRNazanin" w:eastAsia="IRNazanin" w:cs="IRNazanin"/>
          <w:lang w:bidi="fa-IR"/>
          <w:color w:val="111111"/>
          <w:sz w:val="28"/>
          <w:szCs w:val="28"/>
          <w:rtl/>
        </w:rPr>
        <w:t xml:space="preserve">من الأشاعرة أیضاً.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يدّعى الإجماع</w:t>
      </w:r>
      <w:r>
        <w:rPr>
          <w:rStyle w:val="FootnoteReference"/>
        </w:rPr>
        <w:footnoteReference w:id="889"/>
      </w:r>
      <w:r>
        <w:rPr>
          <w:rFonts w:ascii="Amiri" w:hAnsi="Amiri" w:eastAsia="Amiri" w:cs="Amiri"/>
          <w:lang w:bidi="ar-SA"/>
          <w:color w:val="111111"/>
          <w:sz w:val="28"/>
          <w:szCs w:val="28"/>
          <w:rtl/>
        </w:rPr>
        <w:t xml:space="preserve">عليه كما نقل</w:t>
      </w:r>
      <w:r>
        <w:rPr>
          <w:rStyle w:val="FootnoteReference"/>
        </w:rPr>
        <w:footnoteReference w:id="890"/>
      </w:r>
      <w:r>
        <w:rPr>
          <w:rFonts w:ascii="Amiri" w:hAnsi="Amiri" w:eastAsia="Amiri" w:cs="Amiri"/>
          <w:lang w:bidi="ar-SA"/>
          <w:color w:val="111111"/>
          <w:sz w:val="28"/>
          <w:szCs w:val="28"/>
          <w:rtl/>
        </w:rPr>
        <w:t xml:space="preserve">عن العلّامة في المنتهى</w:t>
      </w:r>
      <w:r>
        <w:rPr>
          <w:rStyle w:val="FootnoteReference"/>
        </w:rPr>
        <w:footnoteReference w:id="891"/>
      </w:r>
      <w:r>
        <w:rPr>
          <w:rFonts w:ascii="Amiri" w:hAnsi="Amiri" w:eastAsia="Amiri" w:cs="Amiri"/>
          <w:lang w:bidi="ar-SA"/>
          <w:color w:val="111111"/>
          <w:sz w:val="28"/>
          <w:szCs w:val="28"/>
          <w:rtl/>
        </w:rPr>
        <w:t xml:space="preserve">والقاضي في إحقاق الحقّ</w:t>
      </w:r>
      <w:r>
        <w:rPr>
          <w:rStyle w:val="FootnoteReference"/>
        </w:rPr>
        <w:footnoteReference w:id="892"/>
      </w:r>
      <w:r>
        <w:rPr>
          <w:rFonts w:ascii="Amiri" w:hAnsi="Amiri" w:eastAsia="Amiri" w:cs="Amiri"/>
          <w:lang w:bidi="ar-SA"/>
          <w:color w:val="111111"/>
          <w:sz w:val="28"/>
          <w:szCs w:val="28"/>
          <w:rtl/>
        </w:rPr>
        <w:t xml:space="preserve">والسّيد العميد</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خطأ. ولکن قالوا جمع من العلماء أنّه للسیّد عمیدالدین (رحمة الله‌علیه).</w:t>
      </w:r>
    </w:p>
    <w:p>
      <w:pPr>
        <w:pStyle w:val="BookText"/>
      </w:pPr>
      <w:r>
        <w:rPr>
          <w:rFonts w:ascii="Amiri" w:hAnsi="Amiri" w:eastAsia="Amiri" w:cs="Amiri"/>
          <w:lang w:bidi="ar-SA"/>
          <w:color w:val="111111"/>
          <w:sz w:val="28"/>
          <w:szCs w:val="28"/>
          <w:rtl/>
        </w:rPr>
        <w:t xml:space="preserve">وصاحبي المعالم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والمدارك</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والنراقي</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في تجريد الأصول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بل</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8" w:name="pg6784_51275"/>
    <w:bookmarkEnd w:id="128"/>
    <w:p>
      <w:pPr>
        <w:pStyle w:val="BookText"/>
      </w:pPr>
      <w:r>
        <w:rPr>
          <w:rFonts w:ascii="Amiri" w:hAnsi="Amiri" w:eastAsia="Amiri" w:cs="Amiri"/>
          <w:lang w:bidi="ar-SA"/>
          <w:color w:val="111111"/>
          <w:sz w:val="28"/>
          <w:szCs w:val="28"/>
          <w:rtl/>
        </w:rPr>
        <w:t xml:space="preserve">ادّعى بعضهم البداهة كصاحب المدارك</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 ص118: «مقتضى الوجوب جواز الفعل ومقتضى الحرمة عدم جوازه وهما متناقضان لا یجوز اجتماعهما بالضرورة». وفي مناهج الأحکام، ص58 - بعد ذکر أدلّة الامتناع -: «ثمّ إنّ الذي أراه أنّ المطلب أوضح من أن یحتاج إلى الدلیل کما اعترف به جمع من أصحابنا». وفي تقریرات الشیخ الأعظم الشیخ مرتضی الأنصاري (رحمة الله‌علیه) في مطارح الأنظار، ج1، ص609: «بل ادّعى بعضهم الضرورة ولیس بذلك البعید». وفي قبالهم ما جاء في تقریرات درس آیة الله العظمی السیّد حسین الطباطبائي البروجردي (رحمة الله‌علیه)</w:t>
      </w:r>
    </w:p>
    <w:p>
      <w:pPr>
        <w:pStyle w:val="BookText"/>
      </w:pPr>
      <w:r>
        <w:rPr>
          <w:rFonts w:ascii="IRNazanin" w:hAnsi="IRNazanin" w:eastAsia="IRNazanin" w:cs="IRNazanin"/>
          <w:lang w:bidi="fa-IR"/>
          <w:color w:val="111111"/>
          <w:sz w:val="28"/>
          <w:szCs w:val="28"/>
          <w:rtl/>
        </w:rPr>
        <w:t xml:space="preserve">في نهایةالأصول، ص260: «ثم إنّك إذا راجعت الوجدان رأيت جواز الاجتماع من أبده البديهيات».</w:t>
      </w:r>
    </w:p>
    <w:p>
      <w:pPr>
        <w:pStyle w:val="Heading5"/>
      </w:pPr>
      <w:bookmarkStart w:id="543" w:name="_Toc224"/>
      <w:r>
        <w:t>[القائلین بالجواز]</w:t>
      </w:r>
      <w:bookmarkEnd w:id="543"/>
    </w:p>
    <w:p>
      <w:pPr>
        <w:pStyle w:val="Heading6"/>
      </w:pPr>
      <w:bookmarkStart w:id="544" w:name="_Toc225"/>
      <w:r>
        <w:t>اشارة</w:t>
      </w:r>
      <w:bookmarkEnd w:id="544"/>
    </w:p>
    <w:p>
      <w:pPr>
        <w:pStyle w:val="BookText"/>
      </w:pPr>
      <w:r>
        <w:rPr>
          <w:rFonts w:ascii="Amiri" w:hAnsi="Amiri" w:eastAsia="Amiri" w:cs="Amiri"/>
          <w:lang w:bidi="ar-SA"/>
          <w:color w:val="111111"/>
          <w:sz w:val="28"/>
          <w:szCs w:val="28"/>
          <w:rtl/>
        </w:rPr>
        <w:t xml:space="preserve">وعن جماعة من المتأخّرين القول بالجواز</w:t>
      </w:r>
      <w:r>
        <w:rPr>
          <w:rStyle w:val="FootnoteReference"/>
        </w:rPr>
        <w:footnoteReference w:id="895"/>
      </w:r>
      <w:r>
        <w:rPr>
          <w:rFonts w:ascii="Amiri" w:hAnsi="Amiri" w:eastAsia="Amiri" w:cs="Amiri"/>
          <w:lang w:bidi="ar-SA"/>
          <w:color w:val="111111"/>
          <w:sz w:val="28"/>
          <w:szCs w:val="28"/>
          <w:rtl/>
        </w:rPr>
        <w:t xml:space="preserve">، كالخوانساري في بحث تداخل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الأغسال من شرح الدّروس</w:t>
      </w:r>
      <w:r>
        <w:rPr>
          <w:rStyle w:val="FootnoteReference"/>
        </w:rPr>
        <w:footnoteReference w:id="896"/>
      </w:r>
      <w:r>
        <w:rPr>
          <w:rFonts w:ascii="Amiri" w:hAnsi="Amiri" w:eastAsia="Amiri" w:cs="Amiri"/>
          <w:lang w:bidi="ar-SA"/>
          <w:color w:val="111111"/>
          <w:sz w:val="28"/>
          <w:szCs w:val="28"/>
          <w:rtl/>
        </w:rPr>
        <w:t xml:space="preserve">والأردبيلي</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في الوضوء في المکان الغصبي: «لم يأت بالمأمور به عرفاً... نعم العقل يجوّز الصحة لو صرّح بأنّه لو فعلت في المكان الغصبى بعد نهيك عنه، لصحّ، وعوقبت بما فعلت من مخالفة الأمر في الجملة». ولکن قال الشیخ الأنصاري (رحمة الله‌علیه) في «ولعلّ موضع الاستفادة من هذا الكلام قوله: «لأنّه لم يأت بالمأمور به عرفاً، نعم العقل يجوّز الصحّة لو صرّح» وأنت خبير بما في هذه الاستفادة؛ إذ لم نجد لكلامه دلالة على المدّعى بوجه». ولتفصیل الکلام راجع: مطارح الأنظار، ج1، ص612.</w:t>
      </w:r>
    </w:p>
    <w:p>
      <w:pPr>
        <w:pStyle w:val="BookText"/>
      </w:pPr>
      <w:r>
        <w:rPr>
          <w:rFonts w:ascii="IRNazanin" w:hAnsi="IRNazanin" w:eastAsia="IRNazanin" w:cs="IRNazanin"/>
          <w:lang w:bidi="fa-IR"/>
          <w:color w:val="111111"/>
          <w:sz w:val="28"/>
          <w:szCs w:val="28"/>
          <w:rtl/>
        </w:rPr>
        <w:t xml:space="preserve">وسلطان العلماء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واختاره صاحب القوانين</w:t>
      </w:r>
      <w:r>
        <w:rPr>
          <w:rStyle w:val="FootnoteReference"/>
        </w:rPr>
        <w:footnoteReference w:id="898"/>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ينسب إلى الفضل بن</w:t>
      </w:r>
      <w:r>
        <w:rPr>
          <w:rStyle w:val="FootnoteReference"/>
        </w:rPr>
        <w:footnoteReference w:id="899"/>
      </w:r>
      <w:r>
        <w:rPr>
          <w:rFonts w:ascii="IRNazanin" w:hAnsi="IRNazanin" w:eastAsia="IRNazanin" w:cs="IRNazanin"/>
          <w:lang w:bidi="fa-IR"/>
          <w:color w:val="111111"/>
          <w:sz w:val="28"/>
          <w:szCs w:val="28"/>
          <w:rtl/>
        </w:rPr>
        <w:t xml:space="preserve">شاذان</w:t>
      </w:r>
      <w:r>
        <w:rPr>
          <w:rStyle w:val="FootnoteReference"/>
        </w:rPr>
        <w:footnoteReference w:id="900"/>
      </w:r>
      <w:r>
        <w:rPr>
          <w:rFonts w:ascii="IRNazanin" w:hAnsi="IRNazanin" w:eastAsia="IRNazanin" w:cs="IRNazanin"/>
          <w:lang w:bidi="fa-IR"/>
          <w:color w:val="111111"/>
          <w:sz w:val="28"/>
          <w:szCs w:val="28"/>
          <w:rtl/>
        </w:rPr>
        <w:t xml:space="preserve">والکليني</w:t>
      </w:r>
      <w:r>
        <w:rPr>
          <w:rStyle w:val="FootnoteReference"/>
        </w:rPr>
        <w:footnoteReference w:id="901"/>
      </w:r>
      <w:r>
        <w:rPr>
          <w:rFonts w:ascii="Amiri" w:hAnsi="Amiri" w:eastAsia="Amiri" w:cs="Amiri"/>
          <w:lang w:bidi="ar-SA"/>
          <w:color w:val="111111"/>
          <w:sz w:val="28"/>
          <w:szCs w:val="28"/>
          <w:rtl/>
        </w:rPr>
        <w:t xml:space="preserve">والسيّد في الذريعة</w:t>
      </w:r>
      <w:r>
        <w:rPr>
          <w:rStyle w:val="FootnoteReference"/>
        </w:rPr>
        <w:footnoteReference w:id="902"/>
      </w:r>
      <w:r>
        <w:rPr>
          <w:rFonts w:ascii="Amiri" w:hAnsi="Amiri" w:eastAsia="Amiri" w:cs="Amiri"/>
          <w:lang w:bidi="ar-SA"/>
          <w:color w:val="111111"/>
          <w:sz w:val="28"/>
          <w:szCs w:val="28"/>
          <w:rtl/>
        </w:rPr>
        <w:t xml:space="preserve">بل عن المجلسي</w:t>
      </w:r>
      <w:r>
        <w:rPr>
          <w:rStyle w:val="FootnoteReference"/>
        </w:rPr>
        <w:footnoteReference w:id="903"/>
      </w:r>
      <w:r>
        <w:rPr>
          <w:rFonts w:ascii="IRNazanin" w:hAnsi="IRNazanin" w:eastAsia="IRNazanin" w:cs="IRNazanin"/>
          <w:lang w:bidi="fa-IR"/>
          <w:color w:val="111111"/>
          <w:sz w:val="28"/>
          <w:szCs w:val="28"/>
          <w:rtl/>
        </w:rPr>
        <w:t xml:space="preserve">أنّه قال: إنّ الظاهر من کلام الفضل أنّ جواز الاجتماع من مسلّمات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9" w:name="pg6784_51278"/>
    <w:bookmarkEnd w:id="129"/>
    <w:p>
      <w:pPr>
        <w:pStyle w:val="BookText"/>
      </w:pPr>
      <w:r>
        <w:rPr>
          <w:rFonts w:ascii="Amiri" w:hAnsi="Amiri" w:eastAsia="Amiri" w:cs="Amiri"/>
          <w:lang w:bidi="ar-SA"/>
          <w:color w:val="111111"/>
          <w:sz w:val="28"/>
          <w:szCs w:val="28"/>
          <w:rtl/>
        </w:rPr>
        <w:t xml:space="preserve">الشيعة.</w:t>
      </w:r>
      <w:r>
        <w:rPr>
          <w:rStyle w:val="FootnoteReference"/>
        </w:rPr>
        <w:footnoteReference w:id="904"/>
      </w:r>
    </w:p>
    <w:p>
      <w:pPr>
        <w:pStyle w:val="Heading6"/>
      </w:pPr>
      <w:bookmarkStart w:id="545" w:name="_Toc226"/>
      <w:r>
        <w:t>[ما ذکر في نسبة الجواز إلى الفضل بن شاذان]</w:t>
      </w:r>
      <w:bookmarkEnd w:id="545"/>
    </w:p>
    <w:p>
      <w:pPr>
        <w:pStyle w:val="BookText"/>
      </w:pPr>
      <w:r>
        <w:rPr>
          <w:rFonts w:ascii="Amiri" w:hAnsi="Amiri" w:eastAsia="Amiri" w:cs="Amiri"/>
          <w:lang w:bidi="ar-SA"/>
          <w:color w:val="111111"/>
          <w:sz w:val="28"/>
          <w:szCs w:val="28"/>
          <w:rtl/>
        </w:rPr>
        <w:t xml:space="preserve">لكن ربما يخدش</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[1] - تجویز اجتماع الأمر والنهي؛ [2] - [أو] جعل [الکون] خارجاً عن الصلاة غیر مأمور به بالأمر بالصلاة؛ [3] - [أو] نفي جزئیته وشرطیته وجعله من ضروریات الجسم ولوازمه صرّح بذلك جمع من أصحابنا منهم المحقّق في المعتبر وشیخنا البهائي في الحبل المتین؛ [4] - أو عدم تعلّق النهي بهذا المفروض التصرّف في المغصوب وهو الذي تمسّك به السیّد؛ [5] - أو عدم تعلّق الأوامر بالأفراد وکونها مقدّمة وزعم عدم وجوب المقدّمة؛ [6] - أو زعم وجوبها مع تجویز اجتماع الواجب التوصلي خاصّة مع الحرام ومع القول بکون غیر الواجب من الأفراد مسقطاً لوجوب المقدّمة. وإذا جاز أن یکون الحکم بالصحّة لکلّ واحد من تلك الوجوه فمن أین یحکم بأنّ حُکم الفضل للأوّل؟! مع أنّ کلامه ظاهر في أنّه للثاني».</w:t>
      </w:r>
    </w:p>
    <w:p>
      <w:pPr>
        <w:pStyle w:val="BookText"/>
      </w:pPr>
      <w:r>
        <w:rPr>
          <w:rFonts w:ascii="IRNazanin" w:hAnsi="IRNazanin" w:eastAsia="IRNazanin" w:cs="IRNazanin"/>
          <w:lang w:bidi="fa-IR"/>
          <w:color w:val="111111"/>
          <w:sz w:val="28"/>
          <w:szCs w:val="28"/>
          <w:rtl/>
        </w:rPr>
        <w:t xml:space="preserve">في النّسبة إلى بعض من ذكر؛ فإنّ وجه النسبة إلى الفضل(رحمة الله‌علیه) أنّه ذكر في مقام الردّ على العامّة القائلين بعدم صحّة العدّة من المرأة إذا خرجت من بيتها قياساً على عدم صحّة الطلاق في حال الحيض بجامع كون کلّ منهما منهيّاً عنه بأنّه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فرق بينهما، فإنّ الطلاق في حال الحيض خالٍ عن شرط الصحّة وهو كونه في الطّهر بخلاف الخروج عن البيت فإنّ البقاء فيه ليس شرطاً للعدّة فالأوّل نظير الصّلاة بلا طهارة من حيث إنّها فاقدة للشرط والثاني نظير الصّلاة في الدّار الغصبيّة حيث إنّ عدم الغصب ليس من شرط الصّلاة وإنّما الغصب محرّم في حال الصّلاة كالخروج في حال العدّة.</w:t>
      </w:r>
    </w:p>
    <w:p>
      <w:pPr>
        <w:pStyle w:val="BookText"/>
      </w:pPr>
      <w:r>
        <w:rPr>
          <w:rFonts w:ascii="Amiri" w:hAnsi="Amiri" w:eastAsia="Amiri" w:cs="Amiri"/>
          <w:lang w:bidi="ar-SA"/>
          <w:color w:val="111111"/>
          <w:sz w:val="28"/>
          <w:szCs w:val="28"/>
          <w:rtl/>
        </w:rPr>
        <w:t xml:space="preserve">ويمكن أن يكون هذا منه إلزاماً على العامّة بمقتضى مذهبهم كما احتمله في المدارك</w:t>
      </w:r>
      <w:r>
        <w:rPr>
          <w:rStyle w:val="FootnoteReference"/>
        </w:rPr>
        <w:footnoteReference w:id="906"/>
      </w:r>
      <w:r>
        <w:rPr>
          <w:rFonts w:ascii="Amiri" w:hAnsi="Amiri" w:eastAsia="Amiri" w:cs="Amiri"/>
          <w:lang w:bidi="ar-SA"/>
          <w:color w:val="111111"/>
          <w:sz w:val="28"/>
          <w:szCs w:val="28"/>
          <w:rtl/>
        </w:rPr>
        <w:t xml:space="preserve">والرّياض</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ويمكن أن يكون من جهة أنّ الغصب عنده خارج عن حقیقة الصلاة في الخارج بمعنى عدم اتّحادهما بل كونهما من باب الاجتماع الموردي كما أنّ مثال العدّة كذلك حيث إنّ الخروج محرّم مقارن للعدّة لا متّحد معها فيكون ناظراً إلى ما ذكره المحقّق (رحمة‌الله) في المعتبر</w:t>
      </w:r>
      <w:r>
        <w:rPr>
          <w:rStyle w:val="FootnoteReference"/>
        </w:rPr>
        <w:footnoteReference w:id="908"/>
      </w:r>
      <w:r>
        <w:rPr>
          <w:rFonts w:ascii="Amiri" w:hAnsi="Amiri" w:eastAsia="Amiri" w:cs="Amiri"/>
          <w:lang w:bidi="ar-SA"/>
          <w:color w:val="111111"/>
          <w:sz w:val="28"/>
          <w:szCs w:val="28"/>
          <w:rtl/>
        </w:rPr>
        <w:t xml:space="preserve">وشيخنا البهائي (رحمة‌الله) في الحبلالمتين</w:t>
      </w:r>
      <w:r>
        <w:rPr>
          <w:rStyle w:val="FootnoteReference"/>
        </w:rPr>
        <w:footnoteReference w:id="909"/>
      </w:r>
      <w:r>
        <w:rPr>
          <w:rFonts w:ascii="Amiri" w:hAnsi="Amiri" w:eastAsia="Amiri" w:cs="Amiri"/>
          <w:lang w:bidi="ar-SA"/>
          <w:color w:val="111111"/>
          <w:sz w:val="28"/>
          <w:szCs w:val="28"/>
          <w:rtl/>
        </w:rPr>
        <w:t xml:space="preserve">من أنّ الكون المحرّم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جزءاً</w:t>
      </w:r>
      <w:r>
        <w:rPr>
          <w:rStyle w:val="FootnoteReference"/>
        </w:rPr>
        <w:footnoteReference w:id="910"/>
      </w:r>
      <w:r>
        <w:rPr>
          <w:rFonts w:ascii="IRNazanin" w:hAnsi="IRNazanin" w:eastAsia="IRNazanin" w:cs="IRNazanin"/>
          <w:lang w:bidi="fa-IR"/>
          <w:color w:val="111111"/>
          <w:sz w:val="28"/>
          <w:szCs w:val="28"/>
          <w:rtl/>
        </w:rPr>
        <w:t xml:space="preserve">من الصّلاة وهو وإن کان في محلّ المنع إلّا أنّه يكفي احتماله في کلام الفضل (رحمة الله‌علیه).</w:t>
      </w:r>
    </w:p>
    <w:p>
      <w:pPr>
        <w:pStyle w:val="BookText"/>
      </w:pPr>
      <w:r>
        <w:rPr>
          <w:rFonts w:ascii="IRNazanin" w:hAnsi="IRNazanin" w:eastAsia="IRNazanin" w:cs="IRNazanin"/>
          <w:lang w:bidi="fa-IR"/>
          <w:color w:val="111111"/>
          <w:sz w:val="28"/>
          <w:szCs w:val="28"/>
          <w:rtl/>
        </w:rPr>
        <w:t xml:space="preserve">ويمكن أن يكون ذلك من جهة أنّ الصلاة عنده من التوصّليّات وأنّ وجوب القربة فيها مستقلّ لا على وجه الاشتراط فيكون الصحّة من باب الإسقاط كما ربما يستظهر من السّيّد أیضاً حيث إنّه حكم بعدم بطلان الصّلاة بالرّيا</w:t>
      </w:r>
      <w:r>
        <w:rPr>
          <w:rStyle w:val="FootnoteReference"/>
        </w:rPr>
        <w:footnoteReference w:id="911"/>
      </w:r>
      <w:r>
        <w:rPr>
          <w:rFonts w:ascii="Amiri" w:hAnsi="Amiri" w:eastAsia="Amiri" w:cs="Amiri"/>
          <w:lang w:bidi="ar-SA"/>
          <w:color w:val="111111"/>
          <w:sz w:val="28"/>
          <w:szCs w:val="28"/>
          <w:rtl/>
        </w:rPr>
        <w:t xml:space="preserve">فإنّه لا يتمّ إلّا إذا قلنا: إنّ القربة واجبة مستقلّاً لا شرطاً في الصّلاة</w:t>
      </w:r>
      <w:r>
        <w:rPr>
          <w:rStyle w:val="FootnoteReference"/>
        </w:rPr>
        <w:footnoteReference w:id="912"/>
      </w:r>
    </w:p>
    <w:p>
      <w:pPr>
        <w:pStyle w:val="BookText"/>
      </w:pPr>
      <w:r>
        <w:rPr>
          <w:rFonts w:ascii="Amiri" w:hAnsi="Amiri" w:eastAsia="Amiri" w:cs="Amiri"/>
          <w:lang w:bidi="ar-SA"/>
          <w:color w:val="111111"/>
          <w:sz w:val="28"/>
          <w:szCs w:val="28"/>
          <w:rtl/>
        </w:rPr>
        <w:t xml:space="preserve">ويمكن أن يكون من جهة ما ذكرنا سابقاً من عدم الحاجة إلى الأمر في الحكم بها بل يكفيها اشتمال الفعل على سائر الأجزاء والشرائط إلى غير ذلك.</w:t>
      </w:r>
    </w:p>
    <w:p>
      <w:pPr>
        <w:pStyle w:val="BookText"/>
      </w:pPr>
      <w:r>
        <w:rPr>
          <w:rFonts w:ascii="IRNazanin" w:hAnsi="IRNazanin" w:eastAsia="IRNazanin" w:cs="IRNazanin"/>
          <w:lang w:bidi="fa-IR"/>
          <w:color w:val="111111"/>
          <w:sz w:val="28"/>
          <w:szCs w:val="28"/>
          <w:rtl/>
        </w:rPr>
        <w:t xml:space="preserve">وربما يحمل کلامه على أنّ الصّلاة في الدّار الغصبيّة مأذون فيها بالإذن الفحوائي فالصحّة من هذه الجهة، أو لأنّ للنّاس حقّاً في جميع الأراضي من حيث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0" w:name="pg6784_51281"/>
    <w:bookmarkEnd w:id="130"/>
    <w:p>
      <w:pPr>
        <w:pStyle w:val="BookText"/>
      </w:pPr>
      <w:r>
        <w:rPr>
          <w:rFonts w:ascii="Amiri" w:hAnsi="Amiri" w:eastAsia="Amiri" w:cs="Amiri"/>
          <w:lang w:bidi="ar-SA"/>
          <w:color w:val="111111"/>
          <w:sz w:val="28"/>
          <w:szCs w:val="28"/>
          <w:rtl/>
        </w:rPr>
        <w:t xml:space="preserve">الصّلاة كما قد يدّعى.</w:t>
      </w:r>
    </w:p>
    <w:p>
      <w:pPr>
        <w:pStyle w:val="BookText"/>
      </w:pPr>
      <w:r>
        <w:rPr>
          <w:rFonts w:ascii="IRNazanin" w:hAnsi="IRNazanin" w:eastAsia="IRNazanin" w:cs="IRNazanin"/>
          <w:lang w:bidi="fa-IR"/>
          <w:color w:val="111111"/>
          <w:sz w:val="28"/>
          <w:szCs w:val="28"/>
          <w:rtl/>
        </w:rPr>
        <w:t xml:space="preserve">وأنت خبير بأنّ کلامه ظاهر في الحكم بالصحّة مع الاعتراف بالحرمة فلا يناسبه هذان التوجيهان.</w:t>
      </w:r>
    </w:p>
    <w:p>
      <w:pPr>
        <w:pStyle w:val="BookText"/>
      </w:pPr>
      <w:r>
        <w:rPr>
          <w:rFonts w:ascii="IRNazanin" w:hAnsi="IRNazanin" w:eastAsia="IRNazanin" w:cs="IRNazanin"/>
          <w:lang w:bidi="fa-IR"/>
          <w:color w:val="111111"/>
          <w:sz w:val="28"/>
          <w:szCs w:val="28"/>
          <w:rtl/>
        </w:rPr>
        <w:t xml:space="preserve">وكيف كان فبعد الاحتمالات المذكورة لا وجه للنسبة إليه ولا إلى الکليني؛لأنّه أیضاً لم يصنع</w:t>
      </w:r>
      <w:r>
        <w:rPr>
          <w:rStyle w:val="FootnoteReference"/>
        </w:rPr>
        <w:footnoteReference w:id="913"/>
      </w:r>
      <w:r>
        <w:rPr>
          <w:rFonts w:ascii="IRNazanin" w:hAnsi="IRNazanin" w:eastAsia="IRNazanin" w:cs="IRNazanin"/>
          <w:lang w:bidi="fa-IR"/>
          <w:color w:val="111111"/>
          <w:sz w:val="28"/>
          <w:szCs w:val="28"/>
          <w:rtl/>
        </w:rPr>
        <w:t xml:space="preserve">شيئاً إلّا أنّه نقل عن الفضل کلامه ولم يورد عليه ولا وجه لما ذكره المجلسي (رحمة الله‌علیه) أیضاً.</w:t>
      </w:r>
    </w:p>
    <w:p>
      <w:pPr>
        <w:pStyle w:val="BookText"/>
      </w:pPr>
      <w:r>
        <w:rPr>
          <w:rFonts w:ascii="IRNazanin" w:hAnsi="IRNazanin" w:eastAsia="IRNazanin" w:cs="IRNazanin"/>
          <w:lang w:bidi="fa-IR"/>
          <w:color w:val="111111"/>
          <w:sz w:val="28"/>
          <w:szCs w:val="28"/>
          <w:rtl/>
        </w:rPr>
        <w:t xml:space="preserve">لكنّ الإنصاف ظهور کلامه</w:t>
      </w:r>
      <w:r>
        <w:rPr>
          <w:rStyle w:val="FootnoteReference"/>
        </w:rPr>
        <w:footnoteReference w:id="914"/>
      </w:r>
      <w:r>
        <w:rPr>
          <w:rFonts w:ascii="Amiri" w:hAnsi="Amiri" w:eastAsia="Amiri" w:cs="Amiri"/>
          <w:lang w:bidi="ar-SA"/>
          <w:color w:val="111111"/>
          <w:sz w:val="28"/>
          <w:szCs w:val="28"/>
          <w:rtl/>
        </w:rPr>
        <w:t xml:space="preserve">فيما نسب إليه.</w:t>
      </w:r>
    </w:p>
    <w:p>
      <w:pPr>
        <w:pStyle w:val="Heading6"/>
      </w:pPr>
      <w:bookmarkStart w:id="546" w:name="_Toc227"/>
      <w:r>
        <w:t>[لا وجه لنسبة الجواز إلى السیّد المرتضی]</w:t>
      </w:r>
      <w:bookmarkEnd w:id="546"/>
    </w:p>
    <w:p>
      <w:pPr>
        <w:pStyle w:val="BookText"/>
      </w:pPr>
      <w:r>
        <w:rPr>
          <w:rFonts w:ascii="Amiri" w:hAnsi="Amiri" w:eastAsia="Amiri" w:cs="Amiri"/>
          <w:lang w:bidi="ar-SA"/>
          <w:color w:val="111111"/>
          <w:sz w:val="28"/>
          <w:szCs w:val="28"/>
          <w:rtl/>
        </w:rPr>
        <w:t xml:space="preserve">نعم لا وجه لنسبة الجواز إلى السّيّد</w:t>
      </w:r>
      <w:r>
        <w:rPr>
          <w:rStyle w:val="FootnoteReference"/>
        </w:rPr>
        <w:footnoteReference w:id="915"/>
      </w:r>
      <w:r>
        <w:rPr>
          <w:rFonts w:ascii="IRNazanin" w:hAnsi="IRNazanin" w:eastAsia="IRNazanin" w:cs="IRNazanin"/>
          <w:lang w:bidi="fa-IR"/>
          <w:color w:val="111111"/>
          <w:sz w:val="28"/>
          <w:szCs w:val="28"/>
          <w:rtl/>
        </w:rPr>
        <w:t xml:space="preserve">فإنّ کلامه المتوهّم منه ذلك أجنبيّ عن المقام حيث قال: «وقد يصحّ أن يقبح من المکلّف جميع أفعاله على وجه ويحسن على وجه آخر وعلى هذا الوجه يصحّ القول بأنّ من دخل زرع غيره على سبيل الغصب أنّ له الخروج بنيّة التخلّص وليس له التصرّف بنيّة الفساد وكذلك من قعد على صدر حيّ إذا كان انفصاله يؤلمه کعقوده</w:t>
      </w:r>
      <w:r>
        <w:rPr>
          <w:rStyle w:val="FootnoteReference"/>
        </w:rPr>
        <w:footnoteReference w:id="916"/>
      </w:r>
      <w:r>
        <w:rPr>
          <w:rFonts w:ascii="Amiri" w:hAnsi="Amiri" w:eastAsia="Amiri" w:cs="Amiri"/>
          <w:lang w:bidi="ar-SA"/>
          <w:color w:val="111111"/>
          <w:sz w:val="28"/>
          <w:szCs w:val="28"/>
          <w:rtl/>
        </w:rPr>
        <w:t xml:space="preserve">وكذلك المجامع زانياً له الحركة بنيّة التخلّص وليس له الحركة على وجه آخر».</w:t>
      </w:r>
      <w:r>
        <w:rPr>
          <w:rStyle w:val="FootnoteReference"/>
        </w:rPr>
        <w:footnoteReference w:id="917"/>
      </w:r>
      <w:r>
        <w:rPr>
          <w:rFonts w:ascii="IRNazanin" w:hAnsi="IRNazanin" w:eastAsia="IRNazanin" w:cs="IRNazanin"/>
          <w:lang w:bidi="fa-IR"/>
          <w:color w:val="111111"/>
          <w:sz w:val="28"/>
          <w:szCs w:val="28"/>
          <w:rtl/>
        </w:rPr>
        <w:t xml:space="preserve">انتهى.</w:t>
      </w:r>
    </w:p>
    <w:p>
      <w:pPr>
        <w:pStyle w:val="BookText"/>
      </w:pPr>
      <w:r>
        <w:rPr>
          <w:rFonts w:ascii="IRNazanin" w:hAnsi="IRNazanin" w:eastAsia="IRNazanin" w:cs="IRNazanin"/>
          <w:lang w:bidi="fa-IR"/>
          <w:color w:val="111111"/>
          <w:sz w:val="28"/>
          <w:szCs w:val="28"/>
          <w:rtl/>
        </w:rPr>
        <w:t xml:space="preserve">ومن المعلوم أنّ مراده اختلاف فعل واحد باختلاف العنوان وأنّه قد يكون حراماً وقد يكون مباحاً، لا أنّه في زمان واحد یتّصف بالحكمين.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يمكن أن يقال: إنّه من المانعين حيث إنّه قال في موضع آخر: «فأمّا الضيعة المغصوبة فالصلاة فيها مجزية؛ لأنّ العادة جرت بأنّ صاحبها لا يحظر على أحد الصّلاة فيها والتعارف يجري مجرى الإذن».</w:t>
      </w:r>
      <w:r>
        <w:rPr>
          <w:rStyle w:val="FootnoteReference"/>
        </w:rPr>
        <w:footnoteReference w:id="918"/>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فإنّ تعليل الإجزاء بعدم المنع ظاهر في أنّها غير مجزية مع المنع وإلّا كان الأولى استناده إلى عدم مانعيّة الحرمة كما لا يخفى.</w:t>
      </w:r>
    </w:p>
    <w:p>
      <w:pPr>
        <w:pStyle w:val="BookText"/>
      </w:pPr>
      <w:r>
        <w:rPr>
          <w:rFonts w:ascii="IRNazanin" w:hAnsi="IRNazanin" w:eastAsia="IRNazanin" w:cs="IRNazanin"/>
          <w:lang w:bidi="fa-IR"/>
          <w:color w:val="111111"/>
          <w:sz w:val="28"/>
          <w:szCs w:val="28"/>
          <w:rtl/>
        </w:rPr>
        <w:t xml:space="preserve">وكذلك لا وجه للنّسبة إلى الأردبيلي فإنّ کلامه في شرح الإرشاد كالصريحفي خلافه حيث إنّه بعد ما حكم ببطلان صلاة</w:t>
      </w:r>
      <w:r>
        <w:rPr>
          <w:rStyle w:val="FootnoteReference"/>
        </w:rPr>
        <w:footnoteReference w:id="919"/>
      </w:r>
      <w:r>
        <w:rPr>
          <w:rFonts w:ascii="Amiri" w:hAnsi="Amiri" w:eastAsia="Amiri" w:cs="Amiri"/>
          <w:lang w:bidi="ar-SA"/>
          <w:color w:val="111111"/>
          <w:sz w:val="28"/>
          <w:szCs w:val="28"/>
          <w:rtl/>
        </w:rPr>
        <w:t xml:space="preserve">الضيف لو علم عدم</w:t>
      </w:r>
      <w:r>
        <w:rPr>
          <w:rStyle w:val="FootnoteReference"/>
        </w:rPr>
        <w:footnoteReference w:id="920"/>
      </w:r>
      <w:r>
        <w:rPr>
          <w:rFonts w:ascii="IRNazanin" w:hAnsi="IRNazanin" w:eastAsia="IRNazanin" w:cs="IRNazanin"/>
          <w:lang w:bidi="fa-IR"/>
          <w:color w:val="111111"/>
          <w:sz w:val="28"/>
          <w:szCs w:val="28"/>
          <w:rtl/>
        </w:rPr>
        <w:t xml:space="preserve">إذن المضيف وبصحّتها في کلّ موضع علم الإذن ونفيه الاستبعاد عن كون الصلاة في المغصوب من قبيل ذلك وأنّ العلم حاصل برضا صاحبه بالصّلاة، قال ما خلاصته على ما حكي عنه:</w:t>
      </w:r>
    </w:p>
    <w:p>
      <w:pPr>
        <w:pStyle w:val="BookText"/>
      </w:pPr>
      <w:r>
        <w:rPr>
          <w:rFonts w:ascii="Amiri" w:hAnsi="Amiri" w:eastAsia="Amiri" w:cs="Amiri"/>
          <w:lang w:bidi="ar-SA"/>
          <w:color w:val="111111"/>
          <w:sz w:val="28"/>
          <w:szCs w:val="28"/>
          <w:rtl/>
        </w:rPr>
        <w:t xml:space="preserve">واعلم أنّ سبب بطلان الصلاة في الدار الغصبيّة هو النهي عنها من جهة عدم جواز التصرّف في مال الغير فلا يبطل صلاة المضطرّ والناسي والجاهل لعدم النّهي - إلى أن قال -: وإذا تحقّقت أنّ سبب بطلانها لزوم اتّحاد</w:t>
      </w:r>
      <w:r>
        <w:rPr>
          <w:rStyle w:val="FootnoteReference"/>
        </w:rPr>
        <w:footnoteReference w:id="921"/>
      </w:r>
      <w:r>
        <w:rPr>
          <w:rFonts w:ascii="Amiri" w:hAnsi="Amiri" w:eastAsia="Amiri" w:cs="Amiri"/>
          <w:lang w:bidi="ar-SA"/>
          <w:color w:val="111111"/>
          <w:sz w:val="28"/>
          <w:szCs w:val="28"/>
          <w:rtl/>
        </w:rPr>
        <w:t xml:space="preserve">المأمور به مع المنهي عنه، تحقّق</w:t>
      </w:r>
      <w:r>
        <w:rPr>
          <w:rStyle w:val="FootnoteReference"/>
        </w:rPr>
        <w:footnoteReference w:id="922"/>
      </w:r>
      <w:r>
        <w:rPr>
          <w:rFonts w:ascii="Amiri" w:hAnsi="Amiri" w:eastAsia="Amiri" w:cs="Amiri"/>
          <w:lang w:bidi="ar-SA"/>
          <w:color w:val="111111"/>
          <w:sz w:val="28"/>
          <w:szCs w:val="28"/>
          <w:rtl/>
        </w:rPr>
        <w:t xml:space="preserve">عدم بطلان ما لم يتّحد أو ما لم يكن عبادة مثل</w:t>
      </w:r>
      <w:r>
        <w:rPr>
          <w:rStyle w:val="FootnoteReference"/>
        </w:rPr>
        <w:footnoteReference w:id="923"/>
      </w:r>
      <w:r>
        <w:rPr>
          <w:rFonts w:ascii="Amiri" w:hAnsi="Amiri" w:eastAsia="Amiri" w:cs="Amiri"/>
          <w:lang w:bidi="ar-SA"/>
          <w:color w:val="111111"/>
          <w:sz w:val="28"/>
          <w:szCs w:val="28"/>
          <w:rtl/>
        </w:rPr>
        <w:t xml:space="preserve">الصّوم</w:t>
      </w:r>
      <w:r>
        <w:rPr>
          <w:rStyle w:val="FootnoteReference"/>
        </w:rPr>
        <w:footnoteReference w:id="924"/>
      </w:r>
      <w:r>
        <w:rPr>
          <w:rFonts w:ascii="Amiri" w:hAnsi="Amiri" w:eastAsia="Amiri" w:cs="Amiri"/>
          <w:lang w:bidi="ar-SA"/>
          <w:color w:val="111111"/>
          <w:sz w:val="28"/>
          <w:szCs w:val="28"/>
          <w:rtl/>
        </w:rPr>
        <w:t xml:space="preserve">والزكاة. نعم يلزم بطلان الأخذ والإعطاء والكيل والوزن لو كان عبادة.</w:t>
      </w:r>
      <w:r>
        <w:rPr>
          <w:rStyle w:val="FootnoteReference"/>
        </w:rPr>
        <w:footnoteReference w:id="925"/>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«وأمّا الطهارة في المغصوب فإن قلنا إنّ إجراء الماء على العضو تصرّف في فضاء ملك الغير فلا تصحّ وإلّا صحّت».</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ثمّ قال: «ويمكن مجي‌ء البطلان من جهة الأمر بالخروج المقتضي للنهي عن الوضوء ويمكن أن يقال: لا شكّ أنّه مأمور بالوضوء في المكان المباح؛ إذ الشارع لا يجوّز الوضوء في المكان الغصبي وهو ظاهر والمفهوم عُرفاً ولغةً من مثل هذا الکلام عَدَمُ الرّضا بالوضوء وبطلانه ولأنّه لم يأت بالمأمور به عرفاً.</w:t>
      </w:r>
    </w:p>
    <w:p>
      <w:pPr>
        <w:pStyle w:val="BookText"/>
      </w:pPr>
      <w:r>
        <w:rPr>
          <w:rFonts w:ascii="Amiri" w:hAnsi="Amiri" w:eastAsia="Amiri" w:cs="Amiri"/>
          <w:lang w:bidi="ar-SA"/>
          <w:color w:val="111111"/>
          <w:sz w:val="28"/>
          <w:szCs w:val="28"/>
          <w:rtl/>
        </w:rPr>
        <w:t xml:space="preserve">نعم العقل يجوّز الصحّة لو صرّح بأنّه: لو فعلتَ في المكان الغصبي بعد ما نهيتُك عنه لصحّ وعوقبتَ بما فعلتَ، وبمثله ويمكن القول بالبطلان في كثير من العبادات بل بعض المعاملات والمناكحات».</w:t>
      </w:r>
      <w:r>
        <w:rPr>
          <w:rStyle w:val="FootnoteReference"/>
        </w:rPr>
        <w:footnoteReference w:id="927"/>
      </w:r>
      <w:r>
        <w:rPr>
          <w:rFonts w:ascii="IRNazanin" w:hAnsi="IRNazanin" w:eastAsia="IRNazanin" w:cs="IRNazanin"/>
          <w:lang w:bidi="fa-IR"/>
          <w:color w:val="111111"/>
          <w:sz w:val="28"/>
          <w:szCs w:val="28"/>
          <w:rtl/>
        </w:rPr>
        <w:t xml:space="preserve">انتهى.</w:t>
      </w:r>
    </w:p>
    <w:p>
      <w:pPr>
        <w:pStyle w:val="BookText"/>
      </w:pPr>
      <w:r>
        <w:rPr>
          <w:rFonts w:ascii="IRNazanin" w:hAnsi="IRNazanin" w:eastAsia="IRNazanin" w:cs="IRNazanin"/>
          <w:lang w:bidi="fa-IR"/>
          <w:color w:val="111111"/>
          <w:sz w:val="28"/>
          <w:szCs w:val="28"/>
          <w:rtl/>
        </w:rPr>
        <w:t xml:space="preserve">فإنّ أوّل کلامه كالصّريح في عدم الجواز. نعم ربما يتوهّم من قوله: «نعم العقليجوّز» إلى آخره، الجواز إلّا أنّ الظاهر أنّ مراده هو الجواز في مثل الطهارة ممّا لم يتّحد مع المنهي عنه مع الإغماض عن كون الإجراء تصرّفاً في الفضاء كما هو ظاهر کلامه؛ حيث إنّه أراد ذكر وجه آخر للبطلان غير ذلك.</w:t>
      </w:r>
    </w:p>
    <w:p>
      <w:pPr>
        <w:pStyle w:val="BookText"/>
      </w:pPr>
      <w:r>
        <w:rPr>
          <w:rFonts w:ascii="IRNazanin" w:hAnsi="IRNazanin" w:eastAsia="IRNazanin" w:cs="IRNazanin"/>
          <w:lang w:bidi="fa-IR"/>
          <w:color w:val="111111"/>
          <w:sz w:val="28"/>
          <w:szCs w:val="28"/>
          <w:rtl/>
        </w:rPr>
        <w:t xml:space="preserve">فملخّص مطلبه أنّ في صورة الاتّحاد العمل باطل بحكم العقل وفي صورة عدم الاتّحاد والمقارنة للحرام أیضاً يمكن الحكم بالبطلان من جهة اقتضاء الأمر بالشي‌ء النهي</w:t>
      </w:r>
      <w:r>
        <w:rPr>
          <w:rStyle w:val="FootnoteReference"/>
        </w:rPr>
        <w:footnoteReference w:id="928"/>
      </w:r>
      <w:r>
        <w:rPr>
          <w:rFonts w:ascii="Amiri" w:hAnsi="Amiri" w:eastAsia="Amiri" w:cs="Amiri"/>
          <w:lang w:bidi="ar-SA"/>
          <w:color w:val="111111"/>
          <w:sz w:val="28"/>
          <w:szCs w:val="28"/>
          <w:rtl/>
        </w:rPr>
        <w:t xml:space="preserve">عن الضدّ أو من جهة فهم العرف التقييد وإن لم يحكم به العقل.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1" w:name="pg6784_51284"/>
    <w:bookmarkEnd w:id="131"/>
    <w:p>
      <w:pPr>
        <w:pStyle w:val="Heading5"/>
      </w:pPr>
      <w:bookmarkStart w:id="547" w:name="_Toc228"/>
      <w:r>
        <w:t>[القول بالتفصیل]</w:t>
      </w:r>
      <w:bookmarkEnd w:id="547"/>
    </w:p>
    <w:p>
      <w:pPr>
        <w:pStyle w:val="Heading6"/>
      </w:pPr>
      <w:bookmarkStart w:id="548" w:name="_Toc229"/>
      <w:r>
        <w:t>[عدم صحّة إسناد القول بالتفصیل إلى المحقّق الأردبیلي]</w:t>
      </w:r>
      <w:bookmarkEnd w:id="548"/>
    </w:p>
    <w:p>
      <w:pPr>
        <w:pStyle w:val="BookText"/>
      </w:pPr>
      <w:r>
        <w:rPr>
          <w:rFonts w:ascii="IRNazanin" w:hAnsi="IRNazanin" w:eastAsia="IRNazanin" w:cs="IRNazanin"/>
          <w:lang w:bidi="fa-IR"/>
          <w:color w:val="111111"/>
          <w:sz w:val="28"/>
          <w:szCs w:val="28"/>
          <w:rtl/>
        </w:rPr>
        <w:t xml:space="preserve">ومن ذلك ظهر أنّه لا وجه لإسناد التفصيل بين العقل والعرف إليه أیضاً حيث إنّه على الظاهر من قبيل هذه العبارة ومن المعلوم كونها أجنبيّة عن ذلك لما عرفت من أنّه ناظر إلى غير مورد الاتّحاد والاجتماع الّذي هو محلّ النزاع</w:t>
      </w:r>
      <w:r>
        <w:rPr>
          <w:rStyle w:val="FootnoteReference"/>
        </w:rPr>
        <w:footnoteReference w:id="929"/>
      </w:r>
      <w:r>
        <w:rPr>
          <w:rFonts w:ascii="Amiri" w:hAnsi="Amiri" w:eastAsia="Amiri" w:cs="Amiri"/>
          <w:lang w:bidi="ar-SA"/>
          <w:color w:val="111111"/>
          <w:sz w:val="28"/>
          <w:szCs w:val="28"/>
          <w:rtl/>
        </w:rPr>
        <w:t xml:space="preserve">وعلى فرض كونه ناظراً إلى المقام يكون من المجوّزين لا من المفصّلين في المسألة فإنّ رجوعه إلى العرف إنّما هو بعد الفراغ عن الجواز من حيث العقل على الاحتمال المذكور</w:t>
      </w:r>
      <w:r>
        <w:rPr>
          <w:rStyle w:val="FootnoteReference"/>
        </w:rPr>
        <w:footnoteReference w:id="930"/>
      </w:r>
      <w:r>
        <w:rPr>
          <w:rFonts w:ascii="IRNazanin" w:hAnsi="IRNazanin" w:eastAsia="IRNazanin" w:cs="IRNazanin"/>
          <w:lang w:bidi="fa-IR"/>
          <w:color w:val="111111"/>
          <w:sz w:val="28"/>
          <w:szCs w:val="28"/>
          <w:rtl/>
        </w:rPr>
        <w:t xml:space="preserve">ومجرّد التفصيل بين العقل والعرف في حكم المسألة الفرعيّة لا يقتضي كونه مفصِّلاً في هذه المسألة الأصولية فلايجوز نسبة التفصيل إلیه</w:t>
      </w:r>
      <w:r>
        <w:rPr>
          <w:rStyle w:val="FootnoteReference"/>
        </w:rPr>
        <w:footnoteReference w:id="931"/>
      </w:r>
      <w:r>
        <w:rPr>
          <w:rFonts w:ascii="IRNazanin" w:hAnsi="IRNazanin" w:eastAsia="IRNazanin" w:cs="IRNazanin"/>
          <w:lang w:bidi="fa-IR"/>
          <w:color w:val="111111"/>
          <w:sz w:val="28"/>
          <w:szCs w:val="28"/>
          <w:rtl/>
        </w:rPr>
        <w:t xml:space="preserve">في هذه المسألة؛ إذ کلّ من يقول بالجواز أو بعدمه</w:t>
      </w:r>
      <w:r>
        <w:rPr>
          <w:rStyle w:val="FootnoteReference"/>
        </w:rPr>
        <w:footnoteReference w:id="932"/>
      </w:r>
      <w:r>
        <w:rPr>
          <w:rFonts w:ascii="IRNazanin" w:hAnsi="IRNazanin" w:eastAsia="IRNazanin" w:cs="IRNazanin"/>
          <w:lang w:bidi="fa-IR"/>
          <w:color w:val="111111"/>
          <w:sz w:val="28"/>
          <w:szCs w:val="28"/>
          <w:rtl/>
        </w:rPr>
        <w:t xml:space="preserve">عقلاً يرجع في المسألة الفرعيّة إلى سائر الأدلّة أیضاً</w:t>
      </w:r>
      <w:r>
        <w:rPr>
          <w:rStyle w:val="FootnoteReference"/>
        </w:rPr>
        <w:footnoteReference w:id="933"/>
      </w:r>
      <w:r>
        <w:rPr>
          <w:rFonts w:ascii="Amiri" w:hAnsi="Amiri" w:eastAsia="Amiri" w:cs="Amiri"/>
          <w:lang w:bidi="ar-SA"/>
          <w:color w:val="111111"/>
          <w:sz w:val="28"/>
          <w:szCs w:val="28"/>
          <w:rtl/>
        </w:rPr>
        <w:t xml:space="preserve">من فهم العرف وغيره.</w:t>
      </w:r>
    </w:p>
    <w:p>
      <w:pPr>
        <w:pStyle w:val="BookText"/>
      </w:pPr>
      <w:r>
        <w:rPr>
          <w:rFonts w:ascii="Amiri" w:hAnsi="Amiri" w:eastAsia="Amiri" w:cs="Amiri"/>
          <w:lang w:bidi="ar-SA"/>
          <w:color w:val="111111"/>
          <w:sz w:val="28"/>
          <w:szCs w:val="28"/>
          <w:rtl/>
        </w:rPr>
        <w:t xml:space="preserve">فعدّه من المفصِّلين إنّما يصحّ إذا كان في مقام تعداد الأقوال في المسألة الأصوليّة قائلاً بالتفصيل وهذا واضح.</w:t>
      </w:r>
    </w:p>
    <w:p>
      <w:pPr>
        <w:pStyle w:val="Heading6"/>
      </w:pPr>
      <w:bookmarkStart w:id="549" w:name="_Toc230"/>
      <w:r>
        <w:t>[التردّد في نسبة التفصیل إلى صاحب الریاض]</w:t>
      </w:r>
      <w:bookmarkEnd w:id="549"/>
    </w:p>
    <w:p>
      <w:pPr>
        <w:pStyle w:val="BookText"/>
      </w:pPr>
      <w:r>
        <w:rPr>
          <w:rFonts w:ascii="Amiri" w:hAnsi="Amiri" w:eastAsia="Amiri" w:cs="Amiri"/>
          <w:lang w:bidi="ar-SA"/>
          <w:color w:val="111111"/>
          <w:sz w:val="28"/>
          <w:szCs w:val="28"/>
          <w:rtl/>
        </w:rPr>
        <w:t xml:space="preserve">وأمّا نسبة التفصيل إلى سيّد الرياض</w:t>
      </w:r>
      <w:r>
        <w:rPr>
          <w:rStyle w:val="FootnoteReference"/>
        </w:rPr>
        <w:footnoteReference w:id="934"/>
      </w:r>
      <w:r>
        <w:rPr>
          <w:rFonts w:ascii="IRNazanin" w:hAnsi="IRNazanin" w:eastAsia="IRNazanin" w:cs="IRNazanin"/>
          <w:lang w:bidi="fa-IR"/>
          <w:color w:val="111111"/>
          <w:sz w:val="28"/>
          <w:szCs w:val="28"/>
          <w:rtl/>
        </w:rPr>
        <w:t xml:space="preserve">فهي مخالفة لما يظهر من کلماته في الصّلاة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32" w:name="pg6784_51285"/>
    <w:bookmarkEnd w:id="132"/>
    <w:p>
      <w:pPr>
        <w:pStyle w:val="BookText"/>
      </w:pPr>
      <w:r>
        <w:rPr>
          <w:rFonts w:ascii="Amiri" w:hAnsi="Amiri" w:eastAsia="Amiri" w:cs="Amiri"/>
          <w:lang w:bidi="ar-SA"/>
          <w:color w:val="111111"/>
          <w:sz w:val="28"/>
          <w:szCs w:val="28"/>
          <w:rtl/>
        </w:rPr>
        <w:t xml:space="preserve">في المكان</w:t>
      </w:r>
      <w:r>
        <w:rPr>
          <w:rStyle w:val="FootnoteReference"/>
        </w:rPr>
        <w:footnoteReference w:id="935"/>
      </w:r>
      <w:r>
        <w:rPr>
          <w:rFonts w:ascii="IRNazanin" w:hAnsi="IRNazanin" w:eastAsia="IRNazanin" w:cs="IRNazanin"/>
          <w:lang w:bidi="fa-IR"/>
          <w:color w:val="111111"/>
          <w:sz w:val="28"/>
          <w:szCs w:val="28"/>
          <w:rtl/>
        </w:rPr>
        <w:t xml:space="preserve">واللباس</w:t>
      </w:r>
      <w:r>
        <w:rPr>
          <w:rStyle w:val="FootnoteReference"/>
        </w:rPr>
        <w:footnoteReference w:id="936"/>
      </w:r>
      <w:r>
        <w:rPr>
          <w:rFonts w:ascii="Amiri" w:hAnsi="Amiri" w:eastAsia="Amiri" w:cs="Amiri"/>
          <w:lang w:bidi="ar-SA"/>
          <w:color w:val="111111"/>
          <w:sz w:val="28"/>
          <w:szCs w:val="28"/>
          <w:rtl/>
        </w:rPr>
        <w:t xml:space="preserve">الغصبيين إلّا أن تكون سماعاً منه مشافهة</w:t>
      </w:r>
      <w:r>
        <w:rPr>
          <w:rStyle w:val="FootnoteReference"/>
        </w:rPr>
        <w:footnoteReference w:id="937"/>
      </w:r>
      <w:r>
        <w:rPr>
          <w:rFonts w:ascii="IRNazanin" w:hAnsi="IRNazanin" w:eastAsia="IRNazanin" w:cs="IRNazanin"/>
          <w:lang w:bidi="fa-IR"/>
          <w:color w:val="111111"/>
          <w:sz w:val="28"/>
          <w:szCs w:val="28"/>
          <w:rtl/>
        </w:rPr>
        <w:t xml:space="preserve">مع أنّك قد عرفت أنّه لا معنى لهذا التفصيل في هذه المسألة الّتي یكون التکلّم فيها بملاحظة حكم العقل إلّا أن يوجّه بأحد التوجیهین المتقدمين.</w:t>
      </w:r>
    </w:p>
    <w:p>
      <w:pPr>
        <w:pStyle w:val="BookText"/>
      </w:pPr>
      <w:r>
        <w:rPr>
          <w:rFonts w:ascii="IRNazanin" w:hAnsi="IRNazanin" w:eastAsia="IRNazanin" w:cs="IRNazanin"/>
          <w:lang w:bidi="fa-IR"/>
          <w:color w:val="111111"/>
          <w:sz w:val="28"/>
          <w:szCs w:val="28"/>
          <w:rtl/>
        </w:rPr>
        <w:t xml:space="preserve">فعلى تقدير صدق النّسبة لا بدّ إمّا من جعله النزاع في الحکم</w:t>
      </w:r>
      <w:r>
        <w:rPr>
          <w:rStyle w:val="FootnoteReference"/>
        </w:rPr>
        <w:footnoteReference w:id="938"/>
      </w:r>
      <w:r>
        <w:rPr>
          <w:rFonts w:ascii="IRNazanin" w:hAnsi="IRNazanin" w:eastAsia="IRNazanin" w:cs="IRNazanin"/>
          <w:lang w:bidi="fa-IR"/>
          <w:color w:val="111111"/>
          <w:sz w:val="28"/>
          <w:szCs w:val="28"/>
          <w:rtl/>
        </w:rPr>
        <w:t xml:space="preserve">الأعمّ من حكم العقل والشرع والعرف، وإمّا من أحد التوجيهين، وربما يوجّه بتوجيه آخر وهو أنّ العقل وإن کان لا يحكم بالامتناع بملاحظة أنّ متعلّق الأحکام هو الطّبائع إلّا أنّه بعد حكم العرف بأنّ المتعلّق في الحقيقة هو الفرد يحكم العقل بالامتناع فكون عدم الجواز من باب فهم العرف إنّما</w:t>
      </w:r>
      <w:r>
        <w:rPr>
          <w:rStyle w:val="FootnoteReference"/>
        </w:rPr>
        <w:footnoteReference w:id="939"/>
      </w:r>
      <w:r>
        <w:rPr>
          <w:rFonts w:ascii="Amiri" w:hAnsi="Amiri" w:eastAsia="Amiri" w:cs="Amiri"/>
          <w:lang w:bidi="ar-SA"/>
          <w:color w:val="111111"/>
          <w:sz w:val="28"/>
          <w:szCs w:val="28"/>
          <w:rtl/>
        </w:rPr>
        <w:t xml:space="preserve">من جهة تشخيصه الصّغرى وإلّا فالحاكم بالامتناع هو العقل.</w:t>
      </w:r>
    </w:p>
    <w:p>
      <w:pPr>
        <w:pStyle w:val="Heading5"/>
      </w:pPr>
      <w:bookmarkStart w:id="550" w:name="_Toc231"/>
      <w:r>
        <w:t>[في تحقیق الحق في المسألة]</w:t>
      </w:r>
      <w:bookmarkEnd w:id="550"/>
    </w:p>
    <w:p>
      <w:pPr>
        <w:pStyle w:val="BookText"/>
      </w:pPr>
      <w:r>
        <w:rPr>
          <w:rFonts w:ascii="Amiri" w:hAnsi="Amiri" w:eastAsia="Amiri" w:cs="Amiri"/>
          <w:lang w:bidi="ar-SA"/>
          <w:color w:val="111111"/>
          <w:sz w:val="28"/>
          <w:szCs w:val="28"/>
          <w:rtl/>
        </w:rPr>
        <w:t xml:space="preserve">على أيّ حال والحقّ هوالقول بالجواز.</w:t>
      </w:r>
      <w:r>
        <w:rPr>
          <w:rStyle w:val="FootnoteReference"/>
        </w:rPr>
        <w:footnoteReference w:id="940"/>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3" w:name="pg6784_51286"/>
    <w:bookmarkEnd w:id="133"/>
    <w:p>
      <w:pPr>
        <w:pStyle w:val="Heading4"/>
      </w:pPr>
      <w:bookmarkStart w:id="551" w:name="_Toc232"/>
      <w:r>
        <w:t>[في أدلّة جواز الاجتماع]</w:t>
      </w:r>
      <w:bookmarkEnd w:id="551"/>
    </w:p>
    <w:p>
      <w:pPr>
        <w:pStyle w:val="Heading5"/>
      </w:pPr>
      <w:bookmarkStart w:id="552" w:name="_Toc233"/>
      <w:r>
        <w:t>اشارة</w:t>
      </w:r>
      <w:bookmarkEnd w:id="552"/>
    </w:p>
    <w:p>
      <w:pPr>
        <w:pStyle w:val="BookText"/>
      </w:pPr>
      <w:r>
        <w:rPr>
          <w:rFonts w:ascii="IRNazanin" w:hAnsi="IRNazanin" w:eastAsia="IRNazanin" w:cs="IRNazanin"/>
          <w:lang w:bidi="fa-IR"/>
          <w:color w:val="111111"/>
          <w:sz w:val="28"/>
          <w:szCs w:val="28"/>
          <w:rtl/>
        </w:rPr>
        <w:t xml:space="preserve">لنا وجوه:</w:t>
      </w:r>
    </w:p>
    <w:p>
      <w:pPr>
        <w:pStyle w:val="Heading5"/>
      </w:pPr>
      <w:bookmarkStart w:id="553" w:name="_Toc234"/>
      <w:r>
        <w:t>[الدليل الأوّل: الاستدلال على الجواز بتعلّق الأحکام بالطبائع]</w:t>
      </w:r>
      <w:bookmarkEnd w:id="553"/>
    </w:p>
    <w:p>
      <w:pPr>
        <w:pStyle w:val="Heading6"/>
      </w:pPr>
      <w:bookmarkStart w:id="554" w:name="_Toc235"/>
      <w:r>
        <w:t>[التقریر الأوّل للدلیل الأوّل بناء على تعلّق الأحکام بالطبائع]</w:t>
      </w:r>
      <w:bookmarkEnd w:id="554"/>
    </w:p>
    <w:p>
      <w:pPr>
        <w:pStyle w:val="Heading6"/>
      </w:pPr>
      <w:bookmarkStart w:id="555" w:name="_Toc236"/>
      <w:r>
        <w:t>اشارة</w:t>
      </w:r>
      <w:bookmarkEnd w:id="555"/>
    </w:p>
    <w:p>
      <w:pPr>
        <w:pStyle w:val="BookText"/>
      </w:pPr>
      <w:r>
        <w:rPr>
          <w:rFonts w:ascii="IRNazanin" w:hAnsi="IRNazanin" w:eastAsia="IRNazanin" w:cs="IRNazanin"/>
          <w:lang w:bidi="fa-IR"/>
          <w:color w:val="111111"/>
          <w:sz w:val="28"/>
          <w:szCs w:val="28"/>
          <w:rtl/>
        </w:rPr>
        <w:t xml:space="preserve">الأوّل: أنّك قد عرفت في المقدّمات أنّ متعلّق الأحکام هو الطبائع من حيث هي وأنّ اعتبار الوجود إنّما هو في حاقّ الطلب ومعه يرتفع جميع ما يتصوّر مانعاً من</w:t>
      </w:r>
    </w:p>
    <w:p>
      <w:pPr>
        <w:pStyle w:val="BookText"/>
      </w:pPr>
      <w:r>
        <w:rPr>
          <w:rFonts w:ascii="Amiri" w:hAnsi="Amiri" w:eastAsia="Amiri" w:cs="Amiri"/>
          <w:lang w:bidi="ar-SA"/>
          <w:color w:val="111111"/>
          <w:sz w:val="28"/>
          <w:szCs w:val="28"/>
          <w:rtl/>
        </w:rPr>
        <w:t xml:space="preserve">اجتماع الضدّين من حيث الطلبين أو الإرادتين</w:t>
      </w:r>
      <w:r>
        <w:rPr>
          <w:rStyle w:val="FootnoteReference"/>
        </w:rPr>
        <w:footnoteReference w:id="941"/>
      </w:r>
      <w:r>
        <w:rPr>
          <w:rFonts w:ascii="IRNazanin" w:hAnsi="IRNazanin" w:eastAsia="IRNazanin" w:cs="IRNazanin"/>
          <w:lang w:bidi="fa-IR"/>
          <w:color w:val="111111"/>
          <w:sz w:val="28"/>
          <w:szCs w:val="28"/>
          <w:rtl/>
        </w:rPr>
        <w:t xml:space="preserve">أو المحبوبيّة والمبغوضیّة أو المصلحة والمفسدة ومن التکلیف المحال أو</w:t>
      </w:r>
      <w:r>
        <w:rPr>
          <w:rStyle w:val="FootnoteReference"/>
        </w:rPr>
        <w:footnoteReference w:id="942"/>
      </w:r>
      <w:r>
        <w:rPr>
          <w:rFonts w:ascii="IRNazanin" w:hAnsi="IRNazanin" w:eastAsia="IRNazanin" w:cs="IRNazanin"/>
          <w:lang w:bidi="fa-IR"/>
          <w:color w:val="111111"/>
          <w:sz w:val="28"/>
          <w:szCs w:val="28"/>
          <w:rtl/>
        </w:rPr>
        <w:t xml:space="preserve">التکلیف بالمحال وذلك لأنّ المتعلّق</w:t>
      </w:r>
    </w:p>
    <w:p>
      <w:pPr>
        <w:pStyle w:val="BookText"/>
      </w:pPr>
      <w:r>
        <w:rPr>
          <w:rFonts w:ascii="IRNazanin" w:hAnsi="IRNazanin" w:eastAsia="IRNazanin" w:cs="IRNazanin"/>
          <w:lang w:bidi="fa-IR"/>
          <w:color w:val="111111"/>
          <w:sz w:val="28"/>
          <w:szCs w:val="28"/>
          <w:rtl/>
        </w:rPr>
        <w:t xml:space="preserve">مختلف على هذا ولا دخل لأحدهما بالآخر.</w:t>
      </w:r>
    </w:p>
    <w:p>
      <w:pPr>
        <w:pStyle w:val="BookText"/>
      </w:pPr>
      <w:r>
        <w:rPr>
          <w:rFonts w:ascii="IRNazanin" w:hAnsi="IRNazanin" w:eastAsia="IRNazanin" w:cs="IRNazanin"/>
          <w:lang w:bidi="fa-IR"/>
          <w:color w:val="111111"/>
          <w:sz w:val="28"/>
          <w:szCs w:val="28"/>
          <w:rtl/>
        </w:rPr>
        <w:t xml:space="preserve">غاية الأمر أنّ المکلّف بسوء اختياره جمعهما في مصداق واحد وهذا لا يضرّ بعد عدم نظر الشارع إلى هذا الفرد أصلاً وبالمرّة</w:t>
      </w:r>
      <w:r>
        <w:rPr>
          <w:rStyle w:val="FootnoteReference"/>
        </w:rPr>
        <w:footnoteReference w:id="943"/>
      </w:r>
      <w:r>
        <w:rPr>
          <w:rFonts w:ascii="Amiri" w:hAnsi="Amiri" w:eastAsia="Amiri" w:cs="Amiri"/>
          <w:lang w:bidi="ar-SA"/>
          <w:color w:val="111111"/>
          <w:sz w:val="28"/>
          <w:szCs w:val="28"/>
          <w:rtl/>
        </w:rPr>
        <w:t xml:space="preserve">فإنّ هذا مقتضى التعلّق</w:t>
      </w:r>
      <w:r>
        <w:rPr>
          <w:rStyle w:val="FootnoteReference"/>
        </w:rPr>
        <w:footnoteReference w:id="944"/>
      </w:r>
      <w:r>
        <w:rPr>
          <w:rFonts w:ascii="IRNazanin" w:hAnsi="IRNazanin" w:eastAsia="IRNazanin" w:cs="IRNazanin"/>
          <w:lang w:bidi="fa-IR"/>
          <w:color w:val="111111"/>
          <w:sz w:val="28"/>
          <w:szCs w:val="28"/>
          <w:rtl/>
        </w:rPr>
        <w:t xml:space="preserve">بالطبيعة سواء كانت الأفراد مباحة أو محرّمة فإنّ الإتیان بها ليس من حيث إنّها مطلوبة بل من حيث انطباقها على المطلوب بحكم العقل وحكمه بالانطباق وكفايته من هذه الحيثيّة لايتفاوت بكونه محرّماً أو مباحاً.</w:t>
      </w:r>
    </w:p>
    <w:p>
      <w:pPr>
        <w:pStyle w:val="BookText"/>
      </w:pPr>
      <w:r>
        <w:rPr>
          <w:rFonts w:ascii="IRNazanin" w:hAnsi="IRNazanin" w:eastAsia="IRNazanin" w:cs="IRNazanin"/>
          <w:lang w:bidi="fa-IR"/>
          <w:color w:val="111111"/>
          <w:sz w:val="28"/>
          <w:szCs w:val="28"/>
          <w:rtl/>
        </w:rPr>
        <w:t xml:space="preserve">بل</w:t>
      </w:r>
      <w:r>
        <w:rPr>
          <w:rStyle w:val="FootnoteReference"/>
        </w:rPr>
        <w:footnoteReference w:id="945"/>
      </w:r>
      <w:r>
        <w:rPr>
          <w:rFonts w:ascii="Amiri" w:hAnsi="Amiri" w:eastAsia="Amiri" w:cs="Amiri"/>
          <w:lang w:bidi="ar-SA"/>
          <w:color w:val="111111"/>
          <w:sz w:val="28"/>
          <w:szCs w:val="28"/>
          <w:rtl/>
        </w:rPr>
        <w:t xml:space="preserve">وكذلك لو قلنا بأنّ</w:t>
      </w:r>
      <w:r>
        <w:rPr>
          <w:rStyle w:val="FootnoteReference"/>
        </w:rPr>
        <w:footnoteReference w:id="946"/>
      </w:r>
      <w:r>
        <w:rPr>
          <w:rFonts w:ascii="Amiri" w:hAnsi="Amiri" w:eastAsia="Amiri" w:cs="Amiri"/>
          <w:lang w:bidi="ar-SA"/>
          <w:color w:val="111111"/>
          <w:sz w:val="28"/>
          <w:szCs w:val="28"/>
          <w:rtl/>
        </w:rPr>
        <w:t xml:space="preserve">الطلب متعلّق بالطّبيعة من حيث الوجود أو بالطّبائع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4" w:name="pg6784_51287"/>
    <w:bookmarkEnd w:id="134"/>
    <w:p>
      <w:pPr>
        <w:pStyle w:val="BookText"/>
      </w:pPr>
      <w:r>
        <w:rPr>
          <w:rFonts w:ascii="IRNazanin" w:hAnsi="IRNazanin" w:eastAsia="IRNazanin" w:cs="IRNazanin"/>
          <w:lang w:bidi="fa-IR"/>
          <w:color w:val="111111"/>
          <w:sz w:val="28"/>
          <w:szCs w:val="28"/>
          <w:rtl/>
        </w:rPr>
        <w:t xml:space="preserve">المأخوذة بلحاظ الوجود؛ وذلك لأنّ الوجود مأخوذ على الوجه الکلّي بمقدار يخرج الطّبيعة من حيث هي مع قطع النظر عن الوجودين أو بلحاظ الوجود الذّهني وإلّا فلا نظر إلى الأفراد أصلاً وإلّا رجع إلى التعلّق بالأفراد إمّا أوّلاً أو بالمآل وقد عرفت أنّه خلاف التحقیق.</w:t>
      </w:r>
    </w:p>
    <w:p>
      <w:pPr>
        <w:pStyle w:val="Heading6"/>
      </w:pPr>
      <w:bookmarkStart w:id="556" w:name="_Toc237"/>
      <w:r>
        <w:t>[الإشکال الأوّل بناء على تعلّق الأحکام بالأفراد تبعاً وجوابه]</w:t>
      </w:r>
      <w:bookmarkEnd w:id="556"/>
    </w:p>
    <w:p>
      <w:pPr>
        <w:pStyle w:val="BookText"/>
      </w:pPr>
      <w:r>
        <w:rPr>
          <w:rFonts w:ascii="Amiri" w:hAnsi="Amiri" w:eastAsia="Amiri" w:cs="Amiri"/>
          <w:lang w:bidi="ar-SA"/>
          <w:color w:val="111111"/>
          <w:sz w:val="28"/>
          <w:szCs w:val="28"/>
          <w:rtl/>
        </w:rPr>
        <w:t xml:space="preserve">فإن قلت: سلّمنا أنّ الأمر الشرعي لم يتعلّق بالأفراد أوّلاً وبالأصالة إلّا أنّه متعلّق بها تبعاً من حيث انطباقها على الطبيعة</w:t>
      </w:r>
      <w:r>
        <w:rPr>
          <w:rStyle w:val="FootnoteReference"/>
        </w:rPr>
        <w:footnoteReference w:id="947"/>
      </w:r>
      <w:r>
        <w:rPr>
          <w:rFonts w:ascii="Amiri" w:hAnsi="Amiri" w:eastAsia="Amiri" w:cs="Amiri"/>
          <w:lang w:bidi="ar-SA"/>
          <w:color w:val="111111"/>
          <w:sz w:val="28"/>
          <w:szCs w:val="28"/>
          <w:rtl/>
        </w:rPr>
        <w:t xml:space="preserve">كما هو المختار من كونها عينها أو من حيث كونها مقدّمة لها</w:t>
      </w:r>
      <w:r>
        <w:rPr>
          <w:rStyle w:val="FootnoteReference"/>
        </w:rPr>
        <w:footnoteReference w:id="948"/>
      </w:r>
      <w:r>
        <w:rPr>
          <w:rFonts w:ascii="Amiri" w:hAnsi="Amiri" w:eastAsia="Amiri" w:cs="Amiri"/>
          <w:lang w:bidi="ar-SA"/>
          <w:color w:val="111111"/>
          <w:sz w:val="28"/>
          <w:szCs w:val="28"/>
          <w:rtl/>
        </w:rPr>
        <w:t xml:space="preserve">كما يقوله المحقّق القمي</w:t>
      </w:r>
      <w:r>
        <w:rPr>
          <w:rStyle w:val="FootnoteReference"/>
        </w:rPr>
        <w:footnoteReference w:id="949"/>
      </w:r>
      <w:r>
        <w:rPr>
          <w:rFonts w:ascii="IRNazanin" w:hAnsi="IRNazanin" w:eastAsia="IRNazanin" w:cs="IRNazanin"/>
          <w:lang w:bidi="fa-IR"/>
          <w:color w:val="111111"/>
          <w:sz w:val="28"/>
          <w:szCs w:val="28"/>
          <w:rtl/>
        </w:rPr>
        <w:t xml:space="preserve">; فيلزم اجتماع الطلب الشرعي مع النهي في مورد واحد ويعود الإشکال.</w:t>
      </w:r>
    </w:p>
    <w:p>
      <w:pPr>
        <w:pStyle w:val="BookText"/>
      </w:pPr>
      <w:r>
        <w:rPr>
          <w:rFonts w:ascii="IRNazanin" w:hAnsi="IRNazanin" w:eastAsia="IRNazanin" w:cs="IRNazanin"/>
          <w:lang w:bidi="fa-IR"/>
          <w:color w:val="111111"/>
          <w:sz w:val="28"/>
          <w:szCs w:val="28"/>
          <w:rtl/>
        </w:rPr>
        <w:t xml:space="preserve">قلت: أمّا على المختار من العينية فنقول: إنّ الطلب التبعي ليس طلباً حقیقة. كيف وإلّا لكان المتعلّق هوالطبيعة والفرد معاً فيلزم تعدّد الطلب الحقيقي وهو واضح الفساد،</w:t>
      </w:r>
      <w:r>
        <w:rPr>
          <w:rStyle w:val="FootnoteReference"/>
        </w:rPr>
        <w:footnoteReference w:id="950"/>
      </w:r>
      <w:r>
        <w:rPr>
          <w:rFonts w:ascii="Amiri" w:hAnsi="Amiri" w:eastAsia="Amiri" w:cs="Amiri"/>
          <w:lang w:bidi="ar-SA"/>
          <w:color w:val="111111"/>
          <w:sz w:val="28"/>
          <w:szCs w:val="28"/>
          <w:rtl/>
        </w:rPr>
        <w:t xml:space="preserve">فمعنى الطلب التبعي هو أنّ العقل يحكم بأنّ ما أمر به الشارع كأنّه هذا فيورد عليه الطلب على</w:t>
      </w:r>
      <w:r>
        <w:rPr>
          <w:rStyle w:val="FootnoteReference"/>
        </w:rPr>
        <w:footnoteReference w:id="951"/>
      </w:r>
      <w:r>
        <w:rPr>
          <w:rFonts w:ascii="IRNazanin" w:hAnsi="IRNazanin" w:eastAsia="IRNazanin" w:cs="IRNazanin"/>
          <w:lang w:bidi="fa-IR"/>
          <w:color w:val="111111"/>
          <w:sz w:val="28"/>
          <w:szCs w:val="28"/>
          <w:rtl/>
        </w:rPr>
        <w:t xml:space="preserve">هذا</w:t>
      </w:r>
      <w:r>
        <w:rPr>
          <w:rStyle w:val="FootnoteReference"/>
        </w:rPr>
        <w:footnoteReference w:id="952"/>
      </w:r>
      <w:r>
        <w:rPr>
          <w:rFonts w:ascii="Amiri" w:hAnsi="Amiri" w:eastAsia="Amiri" w:cs="Amiri"/>
          <w:lang w:bidi="ar-SA"/>
          <w:color w:val="111111"/>
          <w:sz w:val="28"/>
          <w:szCs w:val="28"/>
          <w:rtl/>
        </w:rPr>
        <w:t xml:space="preserve">الوجه من حيث كونه منطبقاً عليها</w:t>
      </w:r>
      <w:r>
        <w:rPr>
          <w:rStyle w:val="FootnoteReference"/>
        </w:rPr>
        <w:footnoteReference w:id="953"/>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5" w:name="pg6784_51288"/>
    <w:bookmarkEnd w:id="135"/>
    <w:p>
      <w:pPr>
        <w:pStyle w:val="BookText"/>
      </w:pPr>
      <w:r>
        <w:rPr>
          <w:rFonts w:ascii="Amiri" w:hAnsi="Amiri" w:eastAsia="Amiri" w:cs="Amiri"/>
          <w:lang w:bidi="ar-SA"/>
          <w:color w:val="111111"/>
          <w:sz w:val="28"/>
          <w:szCs w:val="28"/>
          <w:rtl/>
        </w:rPr>
        <w:t xml:space="preserve">وأمّا</w:t>
      </w:r>
      <w:r>
        <w:rPr>
          <w:rStyle w:val="FootnoteReference"/>
        </w:rPr>
        <w:footnoteReference w:id="954"/>
      </w:r>
      <w:r>
        <w:rPr>
          <w:rFonts w:ascii="IRNazanin" w:hAnsi="IRNazanin" w:eastAsia="IRNazanin" w:cs="IRNazanin"/>
          <w:lang w:bidi="fa-IR"/>
          <w:color w:val="111111"/>
          <w:sz w:val="28"/>
          <w:szCs w:val="28"/>
          <w:rtl/>
        </w:rPr>
        <w:t xml:space="preserve">على ما ذكره المحقّق القمي (رحمة‌الله): من أنّ الفرد مقدّمة فبناء على وجوب المقدّمة وإن کان هناك طلب آخر شرعي مستكشف من حكم العقل إلّا أنّ هذا الطلب إنّما يتعلّق بالأفراد المباحة دون المحرّمة، فالفرد من هذه الحيثيّة حرام صرف كما أنّه لو أريد على الأوّل حكم العقل بوجوب الإتیان بالفرد من حيث إنّه منطبق على الطبيعة بناء على حكومة العقل بذلك نقول: إنّه لا يحكم بالوجوب في الفرد المحرّم وهذا لا ينافي بقاء حكمه</w:t>
      </w:r>
      <w:r>
        <w:rPr>
          <w:rStyle w:val="FootnoteReference"/>
        </w:rPr>
        <w:footnoteReference w:id="955"/>
      </w:r>
      <w:r>
        <w:rPr>
          <w:rFonts w:ascii="Amiri" w:hAnsi="Amiri" w:eastAsia="Amiri" w:cs="Amiri"/>
          <w:lang w:bidi="ar-SA"/>
          <w:color w:val="111111"/>
          <w:sz w:val="28"/>
          <w:szCs w:val="28"/>
          <w:rtl/>
        </w:rPr>
        <w:t xml:space="preserve">بالانطباق والوجوب الانطباقي.فللعقل في المقام حكمان:</w:t>
      </w:r>
    </w:p>
    <w:p>
      <w:pPr>
        <w:pStyle w:val="BookText"/>
      </w:pPr>
      <w:r>
        <w:rPr>
          <w:rFonts w:ascii="IRNazanin" w:hAnsi="IRNazanin" w:eastAsia="IRNazanin" w:cs="IRNazanin"/>
          <w:lang w:bidi="fa-IR"/>
          <w:color w:val="111111"/>
          <w:sz w:val="28"/>
          <w:szCs w:val="28"/>
          <w:rtl/>
        </w:rPr>
        <w:t xml:space="preserve">أحدهما: حكمه بأنّ الفرد منطبق على الطّبيعة المطلوبة من حيث هي وأنّه لو أتى به كفى من حيث إنّه إتیان للطبيعة وهذا أشبه شي‌ء بالحكم الوضعي.</w:t>
      </w:r>
    </w:p>
    <w:p>
      <w:pPr>
        <w:pStyle w:val="BookText"/>
      </w:pPr>
      <w:r>
        <w:rPr>
          <w:rFonts w:ascii="IRNazanin" w:hAnsi="IRNazanin" w:eastAsia="IRNazanin" w:cs="IRNazanin"/>
          <w:lang w:bidi="fa-IR"/>
          <w:color w:val="111111"/>
          <w:sz w:val="28"/>
          <w:szCs w:val="28"/>
          <w:rtl/>
        </w:rPr>
        <w:t xml:space="preserve">والثاني: أمره وإلزامه بإتیانه لأنّه مقدّمة أو لأنّه عين الطبيعة.</w:t>
      </w:r>
    </w:p>
    <w:p>
      <w:pPr>
        <w:pStyle w:val="BookText"/>
      </w:pPr>
      <w:r>
        <w:rPr>
          <w:rFonts w:ascii="IRNazanin" w:hAnsi="IRNazanin" w:eastAsia="IRNazanin" w:cs="IRNazanin"/>
          <w:lang w:bidi="fa-IR"/>
          <w:color w:val="111111"/>
          <w:sz w:val="28"/>
          <w:szCs w:val="28"/>
          <w:rtl/>
        </w:rPr>
        <w:t xml:space="preserve">والحكم الأوّل لا يختلف فيه الأفراد المباحة والمحرّمة. وأمّا الحكم الثاني فهو مقصور على المباحة ولا إشکال، فيكون الحال كما لو قلنا بعدم وجوب المقدّمة أو بعدم حكومة العقل أصلاً وأنّ أحكامه إرشاديّة محضة فكما لا يرد إشکال على هذا التقدير فكذا على القول بالوجوب في سائر المقامات وعدمه في المقام من جهة المانع الّذي هو الحرمة.</w:t>
      </w:r>
    </w:p>
    <w:p>
      <w:pPr>
        <w:pStyle w:val="Heading6"/>
      </w:pPr>
      <w:bookmarkStart w:id="557" w:name="_Toc238"/>
      <w:r>
        <w:t>[الإشکال الثاني بناء على لزوم قصد القربة وجوابه]</w:t>
      </w:r>
      <w:bookmarkEnd w:id="557"/>
    </w:p>
    <w:p>
      <w:pPr>
        <w:pStyle w:val="BookText"/>
      </w:pPr>
      <w:r>
        <w:rPr>
          <w:rFonts w:ascii="Amiri" w:hAnsi="Amiri" w:eastAsia="Amiri" w:cs="Amiri"/>
          <w:lang w:bidi="ar-SA"/>
          <w:color w:val="111111"/>
          <w:sz w:val="28"/>
          <w:szCs w:val="28"/>
          <w:rtl/>
        </w:rPr>
        <w:t xml:space="preserve">فإن قلت: إذا كان الفرد حراماً صرفاً كما اعترفت به فمن أين يقصد القربة على فرض كونه موقوفاً على الأمر وعدم كفاية ما ذكر سابقاً من اشتماله على المصلحة ووفائه بغرض الآمر؟!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6" w:name="pg6784_51289"/>
    <w:bookmarkEnd w:id="136"/>
    <w:p>
      <w:pPr>
        <w:pStyle w:val="BookText"/>
      </w:pPr>
      <w:r>
        <w:rPr>
          <w:rFonts w:ascii="IRNazanin" w:hAnsi="IRNazanin" w:eastAsia="IRNazanin" w:cs="IRNazanin"/>
          <w:lang w:bidi="fa-IR"/>
          <w:color w:val="111111"/>
          <w:sz w:val="28"/>
          <w:szCs w:val="28"/>
          <w:rtl/>
        </w:rPr>
        <w:t xml:space="preserve">قلت: يمكن قصدها بملاحظة إتیان الطبيعة المأمور بها بإتیانه فإنّ إتیانه عين إتیانها وهو حرام من حيث إنّه فرد لكن بإتیان الطبيعة يمكن قصد القربة كما أنّه إذا لم يكن حراماً يكون قصد القربة بملاحظة كونه عين الطّبيعة وإلّا فهو من حيث إنّه فرد مباح ولا يمكن قصد القربة بالمباح والمفروض أنّه في صورة الإباحة أیضاً لا يتعلّق به أمر وإنّما الامتثال من حيث انطباق المأمور به عليه وهذا واضح.</w:t>
      </w:r>
    </w:p>
    <w:p>
      <w:pPr>
        <w:pStyle w:val="Heading6"/>
      </w:pPr>
      <w:bookmarkStart w:id="558" w:name="_Toc239"/>
      <w:r>
        <w:t>[الإشکال الثالث بناء على تقیّد الأوامر بالأفراد غیر المحرّمة وجوابه]</w:t>
      </w:r>
      <w:bookmarkEnd w:id="558"/>
    </w:p>
    <w:p>
      <w:pPr>
        <w:pStyle w:val="BookText"/>
      </w:pPr>
      <w:r>
        <w:rPr>
          <w:rFonts w:ascii="IRNazanin" w:hAnsi="IRNazanin" w:eastAsia="IRNazanin" w:cs="IRNazanin"/>
          <w:lang w:bidi="fa-IR"/>
          <w:color w:val="111111"/>
          <w:sz w:val="28"/>
          <w:szCs w:val="28"/>
          <w:rtl/>
        </w:rPr>
        <w:t xml:space="preserve">فإن قلت: إذا فرضت حرمة الفرد من حيث هو فيكون الأمر بالطبيعة مقيّداً بغيره لعدم إمکان سراية الأمر منها إليه فكأنّه قال: «ايت بالطّبيعة في غير هذا الفرد» فلايكون صحيحاً ولا يمكن معه قصد القربة، فالأمر وإن تعلّق بالطّبيعة إلّا أنّه لايمكن إبقاؤها</w:t>
      </w:r>
      <w:r>
        <w:rPr>
          <w:rStyle w:val="FootnoteReference"/>
        </w:rPr>
        <w:footnoteReference w:id="956"/>
      </w:r>
      <w:r>
        <w:rPr>
          <w:rFonts w:ascii="Amiri" w:hAnsi="Amiri" w:eastAsia="Amiri" w:cs="Amiri"/>
          <w:lang w:bidi="ar-SA"/>
          <w:color w:val="111111"/>
          <w:sz w:val="28"/>
          <w:szCs w:val="28"/>
          <w:rtl/>
        </w:rPr>
        <w:t xml:space="preserve">على إطلاقها بل تكون مقيّدة بحكم العقل بغير الفرد المحرّم فيكون نظير سائرالتقييدات.</w:t>
      </w:r>
    </w:p>
    <w:p>
      <w:pPr>
        <w:pStyle w:val="BookText"/>
      </w:pPr>
      <w:r>
        <w:rPr>
          <w:rFonts w:ascii="Amiri" w:hAnsi="Amiri" w:eastAsia="Amiri" w:cs="Amiri"/>
          <w:lang w:bidi="ar-SA"/>
          <w:color w:val="111111"/>
          <w:sz w:val="28"/>
          <w:szCs w:val="28"/>
          <w:rtl/>
        </w:rPr>
        <w:t xml:space="preserve">قلت: سلّمنا أنّ الأمر لا يسري إلى هذا الفرد ولا يمكن إسراؤه</w:t>
      </w:r>
      <w:r>
        <w:rPr>
          <w:rStyle w:val="FootnoteReference"/>
        </w:rPr>
        <w:footnoteReference w:id="957"/>
      </w:r>
      <w:r>
        <w:rPr>
          <w:rFonts w:ascii="Amiri" w:hAnsi="Amiri" w:eastAsia="Amiri" w:cs="Amiri"/>
          <w:lang w:bidi="ar-SA"/>
          <w:color w:val="111111"/>
          <w:sz w:val="28"/>
          <w:szCs w:val="28"/>
          <w:rtl/>
        </w:rPr>
        <w:t xml:space="preserve">إليه إلّا أنّه لا حاجة إلى هذا الإسراء فإنّ الصحّة إنّما جاءت</w:t>
      </w:r>
      <w:r>
        <w:rPr>
          <w:rStyle w:val="FootnoteReference"/>
        </w:rPr>
        <w:footnoteReference w:id="958"/>
      </w:r>
      <w:r>
        <w:rPr>
          <w:rFonts w:ascii="Amiri" w:hAnsi="Amiri" w:eastAsia="Amiri" w:cs="Amiri"/>
          <w:lang w:bidi="ar-SA"/>
          <w:color w:val="111111"/>
          <w:sz w:val="28"/>
          <w:szCs w:val="28"/>
          <w:rtl/>
        </w:rPr>
        <w:t xml:space="preserve">من قبل الانطباق ولو لم يكن أمر والتّقييد اللّازم من جهة العقل</w:t>
      </w:r>
      <w:r>
        <w:rPr>
          <w:rStyle w:val="FootnoteReference"/>
        </w:rPr>
        <w:footnoteReference w:id="959"/>
      </w:r>
      <w:r>
        <w:rPr>
          <w:rFonts w:ascii="Amiri" w:hAnsi="Amiri" w:eastAsia="Amiri" w:cs="Amiri"/>
          <w:lang w:bidi="ar-SA"/>
          <w:color w:val="111111"/>
          <w:sz w:val="28"/>
          <w:szCs w:val="28"/>
          <w:rtl/>
        </w:rPr>
        <w:t xml:space="preserve">إنّما هو في نفس الطّلب بمعنى أنّه لا يمكن تعلّقه بهذا الفرد لا في مقام الانطباق، فكان ه-ٰهنا حكم وضعي ومن حيثيّته</w:t>
      </w:r>
      <w:r>
        <w:rPr>
          <w:rStyle w:val="FootnoteReference"/>
        </w:rPr>
        <w:footnoteReference w:id="960"/>
      </w:r>
      <w:r>
        <w:rPr>
          <w:rFonts w:ascii="IRNazanin" w:hAnsi="IRNazanin" w:eastAsia="IRNazanin" w:cs="IRNazanin"/>
          <w:lang w:bidi="fa-IR"/>
          <w:color w:val="111111"/>
          <w:sz w:val="28"/>
          <w:szCs w:val="28"/>
          <w:rtl/>
        </w:rPr>
        <w:t xml:space="preserve">لا تقييد، وحكم تکلیفي والتقييد إنّما هو من جهته فلا</w:t>
      </w:r>
      <w:r>
        <w:rPr>
          <w:rStyle w:val="FootnoteReference"/>
        </w:rPr>
        <w:footnoteReference w:id="961"/>
      </w:r>
      <w:r>
        <w:rPr>
          <w:rFonts w:ascii="Amiri" w:hAnsi="Amiri" w:eastAsia="Amiri" w:cs="Amiri"/>
          <w:lang w:bidi="ar-SA"/>
          <w:color w:val="111111"/>
          <w:sz w:val="28"/>
          <w:szCs w:val="28"/>
          <w:rtl/>
        </w:rPr>
        <w:t xml:space="preserve">يضرّ في الحكم الوضعي.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فالتقييد العقلي إنّما هو بالنسبة إلى الطلب فقط ومعناه عدم رخصة الشارع في إتیان هذا الفرد أو</w:t>
      </w:r>
      <w:r>
        <w:rPr>
          <w:rStyle w:val="FootnoteReference"/>
        </w:rPr>
        <w:footnoteReference w:id="962"/>
      </w:r>
      <w:r>
        <w:rPr>
          <w:rFonts w:ascii="Amiri" w:hAnsi="Amiri" w:eastAsia="Amiri" w:cs="Amiri"/>
          <w:lang w:bidi="ar-SA"/>
          <w:color w:val="111111"/>
          <w:sz w:val="28"/>
          <w:szCs w:val="28"/>
          <w:rtl/>
        </w:rPr>
        <w:t xml:space="preserve">نهيه عنه لا</w:t>
      </w:r>
      <w:r>
        <w:rPr>
          <w:rStyle w:val="FootnoteReference"/>
        </w:rPr>
        <w:footnoteReference w:id="963"/>
      </w:r>
      <w:r>
        <w:rPr>
          <w:rFonts w:ascii="Amiri" w:hAnsi="Amiri" w:eastAsia="Amiri" w:cs="Amiri"/>
          <w:lang w:bidi="ar-SA"/>
          <w:color w:val="111111"/>
          <w:sz w:val="28"/>
          <w:szCs w:val="28"/>
          <w:rtl/>
        </w:rPr>
        <w:t xml:space="preserve">بالنّسبة إلى مقام الكفاية</w:t>
      </w:r>
      <w:r>
        <w:rPr>
          <w:rStyle w:val="FootnoteReference"/>
        </w:rPr>
        <w:footnoteReference w:id="964"/>
      </w:r>
      <w:r>
        <w:rPr>
          <w:rFonts w:ascii="Amiri" w:hAnsi="Amiri" w:eastAsia="Amiri" w:cs="Amiri"/>
          <w:lang w:bidi="ar-SA"/>
          <w:color w:val="111111"/>
          <w:sz w:val="28"/>
          <w:szCs w:val="28"/>
          <w:rtl/>
        </w:rPr>
        <w:t xml:space="preserve">الّذي هو لازم الانطباق القهري. فليس التقييد في المقام نظير سائر التقييدات.</w:t>
      </w:r>
    </w:p>
    <w:p>
      <w:pPr>
        <w:pStyle w:val="BookText"/>
      </w:pPr>
      <w:r>
        <w:rPr>
          <w:rFonts w:ascii="Amiri" w:hAnsi="Amiri" w:eastAsia="Amiri" w:cs="Amiri"/>
          <w:lang w:bidi="ar-SA"/>
          <w:color w:val="111111"/>
          <w:sz w:val="28"/>
          <w:szCs w:val="28"/>
          <w:rtl/>
        </w:rPr>
        <w:t xml:space="preserve">وإن شئت المثال لنظيره نقول: هو من قبيل ما لو نذر أن يأتي بصلاة ظهره</w:t>
      </w:r>
      <w:r>
        <w:rPr>
          <w:rStyle w:val="FootnoteReference"/>
        </w:rPr>
        <w:footnoteReference w:id="965"/>
      </w:r>
      <w:r>
        <w:rPr>
          <w:rFonts w:ascii="Amiri" w:hAnsi="Amiri" w:eastAsia="Amiri" w:cs="Amiri"/>
          <w:lang w:bidi="ar-SA"/>
          <w:color w:val="111111"/>
          <w:sz w:val="28"/>
          <w:szCs w:val="28"/>
          <w:rtl/>
        </w:rPr>
        <w:t xml:space="preserve">في اليوم الفلاني في المسجد فإنّه يجب عليه أن ياتي بها</w:t>
      </w:r>
      <w:r>
        <w:rPr>
          <w:rStyle w:val="FootnoteReference"/>
        </w:rPr>
        <w:footnoteReference w:id="966"/>
      </w:r>
      <w:r>
        <w:rPr>
          <w:rFonts w:ascii="IRNazanin" w:hAnsi="IRNazanin" w:eastAsia="IRNazanin" w:cs="IRNazanin"/>
          <w:lang w:bidi="fa-IR"/>
          <w:color w:val="111111"/>
          <w:sz w:val="28"/>
          <w:szCs w:val="28"/>
          <w:rtl/>
        </w:rPr>
        <w:t xml:space="preserve">فيه وليس مرخَّصاً في إتیانها في غيره، لكن لو أتى بها في الغير تكون</w:t>
      </w:r>
      <w:r>
        <w:rPr>
          <w:rStyle w:val="FootnoteReference"/>
        </w:rPr>
        <w:footnoteReference w:id="967"/>
      </w:r>
      <w:r>
        <w:rPr>
          <w:rFonts w:ascii="Amiri" w:hAnsi="Amiri" w:eastAsia="Amiri" w:cs="Amiri"/>
          <w:lang w:bidi="ar-SA"/>
          <w:color w:val="111111"/>
          <w:sz w:val="28"/>
          <w:szCs w:val="28"/>
          <w:rtl/>
        </w:rPr>
        <w:t xml:space="preserve">صحيحة لعدم التقييد إلّا في مقام الطلب بمعنى أنّ الشارع إذا أوجب الوفاء بالنذر فلا يمكنه إيراد الطلب على الصّلاة في غير المسجد بل يتقيّد طلبه به قطعاً، لكنّ الترخيص الوضعي وهو الكفاية لو أتى بها في غير المسجد بحاله.</w:t>
      </w:r>
    </w:p>
    <w:p>
      <w:pPr>
        <w:pStyle w:val="BookText"/>
      </w:pPr>
      <w:r>
        <w:rPr>
          <w:rFonts w:ascii="IRNazanin" w:hAnsi="IRNazanin" w:eastAsia="IRNazanin" w:cs="IRNazanin"/>
          <w:lang w:bidi="fa-IR"/>
          <w:color w:val="111111"/>
          <w:sz w:val="28"/>
          <w:szCs w:val="28"/>
          <w:rtl/>
        </w:rPr>
        <w:t xml:space="preserve">والسرّ فيه: أنّه من قبيل التکلیف في التکلیف ومن قبيل تعدّد المطلوب بخلاف سائر التقييدات فإنّها راجعة إلى تقييد أصل المطلوب بمعنى تضييق دائرته مع وحدتهوالمقام أیضاً كذلك حيث إنّ النهي تکلیف مستقلّ وارد على الصّلاة ولا يكون مبيّناً لمقدار المطلوب بالنسبة إلى أصل الصّلاة ولازمه أنّه لو عصى في أحد التکلیفين دون الآخر بقي الامتثال بحاله بالنّسبة إليه وإن لم يمكن</w:t>
      </w:r>
      <w:r>
        <w:rPr>
          <w:rStyle w:val="FootnoteReference"/>
        </w:rPr>
        <w:footnoteReference w:id="968"/>
      </w:r>
      <w:r>
        <w:rPr>
          <w:rFonts w:ascii="Amiri" w:hAnsi="Amiri" w:eastAsia="Amiri" w:cs="Amiri"/>
          <w:lang w:bidi="ar-SA"/>
          <w:color w:val="111111"/>
          <w:sz w:val="28"/>
          <w:szCs w:val="28"/>
          <w:rtl/>
        </w:rPr>
        <w:t xml:space="preserve">توجيه الأمر إلى خصوص ذلك المأتي؛ لأنّ المفروض أنّه لا حاجة إليه بعد كون المتعلّق هو الطّبيعة.</w:t>
      </w:r>
    </w:p>
    <w:p>
      <w:pPr>
        <w:pStyle w:val="BookText"/>
      </w:pPr>
      <w:r>
        <w:rPr>
          <w:rFonts w:ascii="IRNazanin" w:hAnsi="IRNazanin" w:eastAsia="IRNazanin" w:cs="IRNazanin"/>
          <w:lang w:bidi="fa-IR"/>
          <w:color w:val="111111"/>
          <w:sz w:val="28"/>
          <w:szCs w:val="28"/>
          <w:rtl/>
        </w:rPr>
        <w:t xml:space="preserve">والحاصل: أنّ النّهي الخالي عن لحاظ الإرشاد الوارد لبيان صرف التکلیف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7" w:name="pg6784_51291"/>
    <w:bookmarkEnd w:id="137"/>
    <w:p>
      <w:pPr>
        <w:pStyle w:val="BookText"/>
      </w:pPr>
      <w:r>
        <w:rPr>
          <w:rFonts w:ascii="IRNazanin" w:hAnsi="IRNazanin" w:eastAsia="IRNazanin" w:cs="IRNazanin"/>
          <w:lang w:bidi="fa-IR"/>
          <w:color w:val="111111"/>
          <w:sz w:val="28"/>
          <w:szCs w:val="28"/>
          <w:rtl/>
        </w:rPr>
        <w:t xml:space="preserve">لايوجب تقييداً بل هو من قبيل إيراد تکلیف على تکلیف آخر كما أنّ الأمر المولوي أیضاً كذلك ولازمه بقاء التکلیف الأوّلي على سعة دائرته من حيث هو وأنّ تقييد الطلب والتکلیف بلحاظ التکلیف الطاري.</w:t>
      </w:r>
    </w:p>
    <w:p>
      <w:pPr>
        <w:pStyle w:val="BookText"/>
      </w:pPr>
      <w:r>
        <w:rPr>
          <w:rFonts w:ascii="Amiri" w:hAnsi="Amiri" w:eastAsia="Amiri" w:cs="Amiri"/>
          <w:lang w:bidi="ar-SA"/>
          <w:color w:val="111111"/>
          <w:sz w:val="28"/>
          <w:szCs w:val="28"/>
          <w:rtl/>
        </w:rPr>
        <w:t xml:space="preserve">ولعمري إنّ هذا من أوضح الشواهد على جواز الاجتماع بالمعنى الّذي ذكرنا.</w:t>
      </w:r>
    </w:p>
    <w:p>
      <w:pPr>
        <w:pStyle w:val="Heading6"/>
      </w:pPr>
      <w:bookmarkStart w:id="559" w:name="_Toc240"/>
      <w:r>
        <w:t>[الإشکال الرابع: أنّ دلیلکم اعتراف بمذهب الخصم وجوابه]</w:t>
      </w:r>
      <w:bookmarkEnd w:id="559"/>
    </w:p>
    <w:p>
      <w:pPr>
        <w:pStyle w:val="Heading6"/>
      </w:pPr>
      <w:bookmarkStart w:id="560" w:name="_Toc241"/>
      <w:r>
        <w:t>اشارة</w:t>
      </w:r>
      <w:bookmarkEnd w:id="560"/>
    </w:p>
    <w:p>
      <w:pPr>
        <w:pStyle w:val="BookText"/>
      </w:pPr>
      <w:r>
        <w:rPr>
          <w:rFonts w:ascii="IRNazanin" w:hAnsi="IRNazanin" w:eastAsia="IRNazanin" w:cs="IRNazanin"/>
          <w:lang w:bidi="fa-IR"/>
          <w:color w:val="111111"/>
          <w:sz w:val="28"/>
          <w:szCs w:val="28"/>
          <w:rtl/>
        </w:rPr>
        <w:t xml:space="preserve">فإن قلت: إنّ ما ذكرت اعتراف بمذهب الخصم حيث إنّك أیضاً تقول: لا يجوز توارد الأمر والنّهي على موضع واحد. غاية الأمر أنّه اجتمع المأمور به والمنهي عنه.</w:t>
      </w:r>
    </w:p>
    <w:p>
      <w:pPr>
        <w:pStyle w:val="BookText"/>
      </w:pPr>
      <w:r>
        <w:rPr>
          <w:rFonts w:ascii="IRNazanin" w:hAnsi="IRNazanin" w:eastAsia="IRNazanin" w:cs="IRNazanin"/>
          <w:lang w:bidi="fa-IR"/>
          <w:color w:val="111111"/>
          <w:sz w:val="28"/>
          <w:szCs w:val="28"/>
          <w:rtl/>
        </w:rPr>
        <w:t xml:space="preserve">وبعبارة أخری: اجتمع متعلّق الأمر والنهي والکلام في اجتماعهما لا في اجتماع متعلّقهما</w:t>
      </w:r>
      <w:r>
        <w:rPr>
          <w:rStyle w:val="FootnoteReference"/>
        </w:rPr>
        <w:footnoteReference w:id="969"/>
      </w:r>
    </w:p>
    <w:p>
      <w:pPr>
        <w:pStyle w:val="BookText"/>
      </w:pPr>
      <w:r>
        <w:rPr>
          <w:rFonts w:ascii="Amiri" w:hAnsi="Amiri" w:eastAsia="Amiri" w:cs="Amiri"/>
          <w:lang w:bidi="ar-SA"/>
          <w:color w:val="111111"/>
          <w:sz w:val="28"/>
          <w:szCs w:val="28"/>
          <w:rtl/>
        </w:rPr>
        <w:t xml:space="preserve">قلت: مرادنا من جواز الاجتماع هذا المعنى وليس خارجاً عن محلّ</w:t>
      </w:r>
      <w:r>
        <w:rPr>
          <w:rStyle w:val="FootnoteReference"/>
        </w:rPr>
        <w:footnoteReference w:id="970"/>
      </w:r>
      <w:r>
        <w:rPr>
          <w:rFonts w:ascii="Amiri" w:hAnsi="Amiri" w:eastAsia="Amiri" w:cs="Amiri"/>
          <w:lang w:bidi="ar-SA"/>
          <w:color w:val="111111"/>
          <w:sz w:val="28"/>
          <w:szCs w:val="28"/>
          <w:rtl/>
        </w:rPr>
        <w:t xml:space="preserve">النزاع كما قد عرفت سابقاً حيث قلنا: إنّ النزاع في الأعمّ من جواز اجتماع</w:t>
      </w:r>
      <w:r>
        <w:rPr>
          <w:rStyle w:val="FootnoteReference"/>
        </w:rPr>
        <w:footnoteReference w:id="971"/>
      </w:r>
      <w:r>
        <w:rPr>
          <w:rFonts w:ascii="IRNazanin" w:hAnsi="IRNazanin" w:eastAsia="IRNazanin" w:cs="IRNazanin"/>
          <w:lang w:bidi="fa-IR"/>
          <w:color w:val="111111"/>
          <w:sz w:val="28"/>
          <w:szCs w:val="28"/>
          <w:rtl/>
        </w:rPr>
        <w:t xml:space="preserve">المتعلّقين واجتماع الطلبين حيث إنّ الأوّل أیضاً اجتماع للطلبين بالمعنى الّذي عرفت.</w:t>
      </w:r>
    </w:p>
    <w:p>
      <w:pPr>
        <w:pStyle w:val="Heading6"/>
      </w:pPr>
      <w:bookmarkStart w:id="561" w:name="_Toc242"/>
      <w:r>
        <w:t>[کلام صاحب المناهج (رحمة الله‌علیه) ونقده]</w:t>
      </w:r>
      <w:bookmarkEnd w:id="561"/>
    </w:p>
    <w:p>
      <w:pPr>
        <w:pStyle w:val="BookText"/>
      </w:pPr>
      <w:r>
        <w:rPr>
          <w:rFonts w:ascii="Amiri" w:hAnsi="Amiri" w:eastAsia="Amiri" w:cs="Amiri"/>
          <w:lang w:bidi="ar-SA"/>
          <w:color w:val="111111"/>
          <w:sz w:val="28"/>
          <w:szCs w:val="28"/>
          <w:rtl/>
        </w:rPr>
        <w:t xml:space="preserve">فلا وجه لما في المناهج</w:t>
      </w:r>
      <w:r>
        <w:rPr>
          <w:rStyle w:val="FootnoteReference"/>
        </w:rPr>
        <w:footnoteReference w:id="972"/>
      </w:r>
      <w:r>
        <w:rPr>
          <w:rFonts w:ascii="Amiri" w:hAnsi="Amiri" w:eastAsia="Amiri" w:cs="Amiri"/>
          <w:lang w:bidi="ar-SA"/>
          <w:color w:val="111111"/>
          <w:sz w:val="28"/>
          <w:szCs w:val="28"/>
          <w:rtl/>
        </w:rPr>
        <w:t xml:space="preserve">من أنّ القول بأنّ المتعلّق هو الطبيعة وتسليم امتناع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الاجتماع مع التعلّق بالفرد ليس إلّا تسليم المطلب.</w:t>
      </w:r>
    </w:p>
    <w:p>
      <w:pPr>
        <w:pStyle w:val="BookText"/>
      </w:pPr>
      <w:r>
        <w:rPr>
          <w:rFonts w:ascii="IRNazanin" w:hAnsi="IRNazanin" w:eastAsia="IRNazanin" w:cs="IRNazanin"/>
          <w:lang w:bidi="fa-IR"/>
          <w:color w:val="111111"/>
          <w:sz w:val="28"/>
          <w:szCs w:val="28"/>
          <w:rtl/>
        </w:rPr>
        <w:t xml:space="preserve">والعجب من بعضهم أنّه قال بجواز الاجتماع تمسّکاً بتعلّق الأوامر بالطبائع فإنّه على هذا القول أين الواحد الّذي هو واجب وحرام معاً؟! إذ ليس أمر واحد سوى الفرد والظاهر أنّ الغفلة إنّما نشأت</w:t>
      </w:r>
      <w:r>
        <w:rPr>
          <w:rStyle w:val="FootnoteReference"/>
        </w:rPr>
        <w:footnoteReference w:id="973"/>
      </w:r>
      <w:r>
        <w:rPr>
          <w:rFonts w:ascii="Amiri" w:hAnsi="Amiri" w:eastAsia="Amiri" w:cs="Amiri"/>
          <w:lang w:bidi="ar-SA"/>
          <w:color w:val="111111"/>
          <w:sz w:val="28"/>
          <w:szCs w:val="28"/>
          <w:rtl/>
        </w:rPr>
        <w:t xml:space="preserve">من تمثيل القوم بالصّلاة في الدّار المغصوبة ولم يتفطّن بأنّه مبتنٍ على تعلّق الأمر بالفرد أو وجوب المقدّمة. انتهى.</w:t>
      </w:r>
    </w:p>
    <w:p>
      <w:pPr>
        <w:pStyle w:val="BookText"/>
      </w:pPr>
      <w:r>
        <w:rPr>
          <w:rFonts w:ascii="IRNazanin" w:hAnsi="IRNazanin" w:eastAsia="IRNazanin" w:cs="IRNazanin"/>
          <w:lang w:bidi="fa-IR"/>
          <w:color w:val="111111"/>
          <w:sz w:val="28"/>
          <w:szCs w:val="28"/>
          <w:rtl/>
        </w:rPr>
        <w:t xml:space="preserve">وذلك لأنّ المراد بالواحد، المصداق الّذي هو منطبق على کلتا الطّبيعتين</w:t>
      </w:r>
      <w:r>
        <w:rPr>
          <w:rStyle w:val="FootnoteReference"/>
        </w:rPr>
        <w:footnoteReference w:id="974"/>
      </w:r>
      <w:r>
        <w:rPr>
          <w:rFonts w:ascii="IRNazanin" w:hAnsi="IRNazanin" w:eastAsia="IRNazanin" w:cs="IRNazanin"/>
          <w:lang w:bidi="fa-IR"/>
          <w:color w:val="111111"/>
          <w:sz w:val="28"/>
          <w:szCs w:val="28"/>
          <w:rtl/>
        </w:rPr>
        <w:t xml:space="preserve">ولايلزم أن يكون الأمر بخصوص الفرد؛ لأنّ المانع يمنع عن مثل هذا الاجتماع أیضاً ويقول بتقييد متعلّق الأمر بغير هذا الفرد من حيث إنّ المطلوب هو الطّبيعة من حيث الإيجاد حسبما عرفت وستعرف.</w:t>
      </w:r>
    </w:p>
    <w:p>
      <w:pPr>
        <w:pStyle w:val="BookText"/>
      </w:pPr>
      <w:r>
        <w:rPr>
          <w:rFonts w:ascii="Amiri" w:hAnsi="Amiri" w:eastAsia="Amiri" w:cs="Amiri"/>
          <w:lang w:bidi="ar-SA"/>
          <w:color w:val="111111"/>
          <w:sz w:val="28"/>
          <w:szCs w:val="28"/>
          <w:rtl/>
        </w:rPr>
        <w:t xml:space="preserve">ومن ذلك يظهر أنّ النزاع لا يرجع إلى اللّفظي كما تخيّله حيث قال: لو أريد اجتماع متعلّقي الطّلبين من جهة التعلّق بالطّبيعة يوجب رجوع النّزاع إلى اللّفظي؛ لأنّه ليس مراد القوم وتمثيلهم بالصّلاة في الدار المغصوبة إمّا لأجل اختيارهم تعلّق الأوامر بالأفراد أو باعتبار وجوب المقدّمة. انتهى.</w:t>
      </w:r>
    </w:p>
    <w:p>
      <w:pPr>
        <w:pStyle w:val="BookText"/>
      </w:pPr>
      <w:r>
        <w:rPr>
          <w:rFonts w:ascii="Amiri" w:hAnsi="Amiri" w:eastAsia="Amiri" w:cs="Amiri"/>
          <w:lang w:bidi="ar-SA"/>
          <w:color w:val="111111"/>
          <w:sz w:val="28"/>
          <w:szCs w:val="28"/>
          <w:rtl/>
        </w:rPr>
        <w:t xml:space="preserve">مع أنّك قد عرفت أنّ وجوب المقدّمة لا يقتضي الاجتماع؛ إذ نختار أنّ الواجب</w:t>
      </w:r>
      <w:r>
        <w:rPr>
          <w:rStyle w:val="FootnoteReference"/>
        </w:rPr>
        <w:footnoteReference w:id="975"/>
      </w:r>
      <w:r>
        <w:rPr>
          <w:rFonts w:ascii="IRNazanin" w:hAnsi="IRNazanin" w:eastAsia="IRNazanin" w:cs="IRNazanin"/>
          <w:lang w:bidi="fa-IR"/>
          <w:color w:val="111111"/>
          <w:sz w:val="28"/>
          <w:szCs w:val="28"/>
          <w:rtl/>
        </w:rPr>
        <w:t xml:space="preserve">غير هذه المقدّمة ولا إشکال؛ إذ</w:t>
      </w:r>
      <w:r>
        <w:rPr>
          <w:rStyle w:val="FootnoteReference"/>
        </w:rPr>
        <w:footnoteReference w:id="976"/>
      </w:r>
      <w:r>
        <w:rPr>
          <w:rFonts w:ascii="Amiri" w:hAnsi="Amiri" w:eastAsia="Amiri" w:cs="Amiri"/>
          <w:lang w:bidi="ar-SA"/>
          <w:color w:val="111111"/>
          <w:sz w:val="28"/>
          <w:szCs w:val="28"/>
          <w:rtl/>
        </w:rPr>
        <w:t xml:space="preserve">يمكن معه الحكم بالصحّة</w:t>
      </w:r>
      <w:r>
        <w:rPr>
          <w:rStyle w:val="FootnoteReference"/>
        </w:rPr>
        <w:footnoteReference w:id="977"/>
      </w:r>
      <w:r>
        <w:rPr>
          <w:rFonts w:ascii="Amiri" w:hAnsi="Amiri" w:eastAsia="Amiri" w:cs="Amiri"/>
          <w:lang w:bidi="ar-SA"/>
          <w:color w:val="111111"/>
          <w:sz w:val="28"/>
          <w:szCs w:val="28"/>
          <w:rtl/>
        </w:rPr>
        <w:t xml:space="preserve">، مع أنّك قد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38" w:name="pg6784_51293"/>
    <w:bookmarkEnd w:id="138"/>
    <w:p>
      <w:pPr>
        <w:pStyle w:val="BookText"/>
      </w:pPr>
      <w:r>
        <w:rPr>
          <w:rFonts w:ascii="Amiri" w:hAnsi="Amiri" w:eastAsia="Amiri" w:cs="Amiri"/>
          <w:lang w:bidi="ar-SA"/>
          <w:color w:val="111111"/>
          <w:sz w:val="28"/>
          <w:szCs w:val="28"/>
          <w:rtl/>
        </w:rPr>
        <w:t xml:space="preserve">عرفت أنّ الفرد ليس مقدّمة.</w:t>
      </w:r>
    </w:p>
    <w:p>
      <w:pPr>
        <w:pStyle w:val="BookText"/>
      </w:pPr>
      <w:r>
        <w:rPr>
          <w:rFonts w:ascii="IRNazanin" w:hAnsi="IRNazanin" w:eastAsia="IRNazanin" w:cs="IRNazanin"/>
          <w:lang w:bidi="fa-IR"/>
          <w:color w:val="111111"/>
          <w:sz w:val="28"/>
          <w:szCs w:val="28"/>
          <w:rtl/>
        </w:rPr>
        <w:t xml:space="preserve">والحاصل: أنّ الاجتماع بالمعنى الّذي ذكرنا أیضاً محلّ النزاع ولا يكونالنزاع لفظياً؛ إذ المانع يمنع عن هذا أیضاً ولو قال بالتعلّق بالطبيعة والقائل بالفرد أیضاً لا يلزم أن يكون مانِعاً بل يمكنه القول بالجواز كما سيأتي.</w:t>
      </w:r>
    </w:p>
    <w:p>
      <w:pPr>
        <w:pStyle w:val="Heading6"/>
      </w:pPr>
      <w:bookmarkStart w:id="562" w:name="_Toc243"/>
      <w:r>
        <w:t>[عدم الفرق بین أن یکون بین المتعلقین عموم من وجه أو بین متعلّقي المتعلّقین]</w:t>
      </w:r>
      <w:bookmarkEnd w:id="562"/>
    </w:p>
    <w:p>
      <w:pPr>
        <w:pStyle w:val="BookText"/>
      </w:pPr>
      <w:r>
        <w:rPr>
          <w:rFonts w:ascii="IRNazanin" w:hAnsi="IRNazanin" w:eastAsia="IRNazanin" w:cs="IRNazanin"/>
          <w:lang w:bidi="fa-IR"/>
          <w:color w:val="111111"/>
          <w:sz w:val="28"/>
          <w:szCs w:val="28"/>
          <w:rtl/>
        </w:rPr>
        <w:t xml:space="preserve">ثمّ لا يخفى أنّه لا فرق بمقتضى هذا الدليل بين ما إذا كان المقام من قبيل قوله: «صلّ ولا تغصب» ممّا يكون بين المتعلّقين عموم من وجه وما كان من قبيل قوله: «أکرم العالم ولا تكرم الفاسق»</w:t>
      </w:r>
      <w:r>
        <w:rPr>
          <w:rStyle w:val="FootnoteReference"/>
        </w:rPr>
        <w:footnoteReference w:id="978"/>
      </w:r>
    </w:p>
    <w:p>
      <w:pPr>
        <w:pStyle w:val="BookText"/>
      </w:pPr>
      <w:r>
        <w:rPr>
          <w:rFonts w:ascii="Amiri" w:hAnsi="Amiri" w:eastAsia="Amiri" w:cs="Amiri"/>
          <w:lang w:bidi="ar-SA"/>
          <w:color w:val="111111"/>
          <w:sz w:val="28"/>
          <w:szCs w:val="28"/>
          <w:rtl/>
        </w:rPr>
        <w:t xml:space="preserve">وقال: «وبعد هذا لا ينبغي الشبهة في جواز اجتماع الأمر والنّهى، وعدم لزوم تعلّق الأمر بعين ما تعلّق به النّهى وبذلك يمتاز باب اجتماع الأمر والنّهى عن باب التّعارض بالعموم من وجه، حيث إنّ اجتماع العنوانين في باب التّعارض يكون على وجه التّركيب الاتّحادي، كالعالم والفاسق، وفي باب اجتماع الأمر والنّهى على وجه التّركيب الانضمامي. وبين البابين بون بعيد».</w:t>
      </w:r>
    </w:p>
    <w:p>
      <w:pPr>
        <w:pStyle w:val="BookText"/>
      </w:pPr>
      <w:r>
        <w:rPr>
          <w:rFonts w:ascii="IRNazanin" w:hAnsi="IRNazanin" w:eastAsia="IRNazanin" w:cs="IRNazanin"/>
          <w:lang w:bidi="fa-IR"/>
          <w:color w:val="111111"/>
          <w:sz w:val="28"/>
          <w:szCs w:val="28"/>
          <w:rtl/>
        </w:rPr>
        <w:t xml:space="preserve">وخالفه السیّد الإمام الخمیني (رحمة‌الله) في مبنى الجواز حیث قال في مناهج الأصول، ج2، ص127: «إنّ قضيّة التركيب الانضماميّ والاتّحاديّ أجنبيّة عن مسألة اجتماع الأمر والنهي، ولا يبتني الجواز على التركيب الانضماميّ».</w:t>
      </w:r>
    </w:p>
    <w:p>
      <w:pPr>
        <w:pStyle w:val="BookText"/>
      </w:pPr>
      <w:r>
        <w:rPr>
          <w:rFonts w:ascii="IRNazanin" w:hAnsi="IRNazanin" w:eastAsia="IRNazanin" w:cs="IRNazanin"/>
          <w:lang w:bidi="fa-IR"/>
          <w:color w:val="111111"/>
          <w:sz w:val="28"/>
          <w:szCs w:val="28"/>
          <w:rtl/>
        </w:rPr>
        <w:t xml:space="preserve">وخالف المحقّق النائیني بعض الأعلام في مثال «أکرم العالم ولاتکرم الفاسق» فقال في عمدة الأصول، ج3، ص263: «ولا يخفى عليك أنّ المتراءى من جماعة هو التعامل مع مثل «أكرم العلماء» و «لا تكرم الفسّاق» معاملة التعارض لا التزاحم وهو محلّ منع مع وجود المقتضي في كل واحد منهما، فمقتضى القاعدة في مثله هو التزاحم لا التعارض». وکذا راجع: تقریر شیخنا الأستاذ آیة الله العظمى الشیخ لطف الله الصافي الگلپایگاني عن درس أستاذه آیة الله العظمى السیّد حسین الطباطبائي البروجردي أعني کتاب بیان الأصول، ج1، ص458، حیث قال: «باب التزاحم، كما إذا قال: أكرم العلماء ولا تكرم الفساق».</w:t>
      </w:r>
    </w:p>
    <w:p>
      <w:pPr>
        <w:pStyle w:val="BookText"/>
      </w:pPr>
      <w:r>
        <w:rPr>
          <w:rFonts w:ascii="IRNazanin" w:hAnsi="IRNazanin" w:eastAsia="IRNazanin" w:cs="IRNazanin"/>
          <w:lang w:bidi="fa-IR"/>
          <w:color w:val="111111"/>
          <w:sz w:val="28"/>
          <w:szCs w:val="28"/>
          <w:rtl/>
        </w:rPr>
        <w:t xml:space="preserve">قسم من کتاب بیان الأصول تقریر وقسم منه تألیف شیخنا الأستاذ. قال شیخنا الأستاذ في مقدّمة الکتاب، ج1، ص8: «واعلم یا أخي أنّ ما کتبته واستفدته من إفاداته في الأصول إنّما هو من بحث المشتقّ إلى مبحث البراءة». والمثال المذکور في بحث العامّ والخاصّ وهو من التقریر لا من التألیف.</w:t>
      </w:r>
    </w:p>
    <w:p>
      <w:pPr>
        <w:pStyle w:val="BookText"/>
      </w:pPr>
      <w:r>
        <w:rPr>
          <w:rFonts w:ascii="Amiri" w:hAnsi="Amiri" w:eastAsia="Amiri" w:cs="Amiri"/>
          <w:lang w:bidi="ar-SA"/>
          <w:color w:val="111111"/>
          <w:sz w:val="28"/>
          <w:szCs w:val="28"/>
          <w:rtl/>
        </w:rPr>
        <w:t xml:space="preserve">ممّا يكون النسبة بين متعلّقي المتعلّقين عموماً من وجه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9" w:name="pg6784_51294"/>
    <w:bookmarkEnd w:id="139"/>
    <w:p>
      <w:pPr>
        <w:pStyle w:val="BookText"/>
      </w:pPr>
      <w:r>
        <w:rPr>
          <w:rFonts w:ascii="IRNazanin" w:hAnsi="IRNazanin" w:eastAsia="IRNazanin" w:cs="IRNazanin"/>
          <w:lang w:bidi="fa-IR"/>
          <w:color w:val="111111"/>
          <w:sz w:val="28"/>
          <w:szCs w:val="28"/>
          <w:rtl/>
        </w:rPr>
        <w:t xml:space="preserve">فإنّ المتعلّق وإن کان طبيعة واحدة وهو الإکرام إلّا أنّه مختلف باعتبار الإضافة إلى طبيعة العالم وطبيعة الفاسق.</w:t>
      </w:r>
    </w:p>
    <w:p>
      <w:pPr>
        <w:pStyle w:val="BookText"/>
      </w:pPr>
      <w:r>
        <w:rPr>
          <w:rFonts w:ascii="Amiri" w:hAnsi="Amiri" w:eastAsia="Amiri" w:cs="Amiri"/>
          <w:lang w:bidi="ar-SA"/>
          <w:color w:val="111111"/>
          <w:sz w:val="28"/>
          <w:szCs w:val="28"/>
          <w:rtl/>
        </w:rPr>
        <w:t xml:space="preserve">فما قد يتخيّل من الفرق وأنّ الثاني داخل في مسألة التعادل والترجيح في غيرمحلّه.</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وقد عرفت سابقاً: أنّ هذا الباب من التزاحم وباب التعادل والترجيح من التعارض وهذا هو الفارق بينهما لا ما ذكر من أنّ الکلام في المقام فيما كان من قبيل الأوّل وفي ذلك المقام فيما كان من قبيل الثاني.</w:t>
      </w:r>
    </w:p>
    <w:p>
      <w:pPr>
        <w:pStyle w:val="Heading6"/>
      </w:pPr>
      <w:bookmarkStart w:id="563" w:name="_Toc244"/>
      <w:r>
        <w:t>[عدم الفرق بین أن یکون العنوان المنهي عنه وصفاً مفارقاً أو وصفاً لازماً]</w:t>
      </w:r>
      <w:bookmarkEnd w:id="563"/>
    </w:p>
    <w:p>
      <w:pPr>
        <w:pStyle w:val="BookText"/>
      </w:pPr>
      <w:r>
        <w:rPr>
          <w:rFonts w:ascii="Amiri" w:hAnsi="Amiri" w:eastAsia="Amiri" w:cs="Amiri"/>
          <w:lang w:bidi="ar-SA"/>
          <w:color w:val="111111"/>
          <w:sz w:val="28"/>
          <w:szCs w:val="28"/>
          <w:rtl/>
        </w:rPr>
        <w:t xml:space="preserve">وكذا لا فرق بين ما إذا كان العنوان المنهي عنه من قبيل الوصف المفارق لبعض أفراد المأمور به كالغصب بالنّسبة إلى الصّلاة حيث إنّ الغصبيّة ليست من مشخّصات الصّلاة بل من أوصافها المفارقة وإن كانت متّحدة معها في الوجود الخارجي.</w:t>
      </w:r>
    </w:p>
    <w:p>
      <w:pPr>
        <w:pStyle w:val="BookText"/>
      </w:pPr>
      <w:r>
        <w:rPr>
          <w:rFonts w:ascii="Amiri" w:hAnsi="Amiri" w:eastAsia="Amiri" w:cs="Amiri"/>
          <w:lang w:bidi="ar-SA"/>
          <w:color w:val="111111"/>
          <w:sz w:val="28"/>
          <w:szCs w:val="28"/>
          <w:rtl/>
        </w:rPr>
        <w:t xml:space="preserve">وما إذا كان من قبيل الوصف اللازم أي المشخّص للفرد والمقوّم له كما إذا قال: «اغتسل ولا ترتمس في الماء» أو قال: «اقرء ولا تجهر بصوتك»؛ حيث إنّ الارتماس نوع من الغسل ومقوّم لبعض أفراده وكذا الجهر والإخفات.</w:t>
      </w:r>
    </w:p>
    <w:p>
      <w:pPr>
        <w:pStyle w:val="BookText"/>
      </w:pPr>
      <w:r>
        <w:rPr>
          <w:rFonts w:ascii="Amiri" w:hAnsi="Amiri" w:eastAsia="Amiri" w:cs="Amiri"/>
          <w:lang w:bidi="ar-SA"/>
          <w:color w:val="111111"/>
          <w:sz w:val="28"/>
          <w:szCs w:val="28"/>
          <w:rtl/>
        </w:rPr>
        <w:t xml:space="preserve">وقد يتخيّل عدم الجواز في الثاني وعدم جريان الدّليل المذكور؛ حيث إنّ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40" w:name="pg6784_51295"/>
    <w:bookmarkEnd w:id="140"/>
    <w:p>
      <w:pPr>
        <w:pStyle w:val="BookText"/>
      </w:pPr>
      <w:r>
        <w:rPr>
          <w:rFonts w:ascii="Amiri" w:hAnsi="Amiri" w:eastAsia="Amiri" w:cs="Amiri"/>
          <w:lang w:bidi="ar-SA"/>
          <w:color w:val="111111"/>
          <w:sz w:val="28"/>
          <w:szCs w:val="28"/>
          <w:rtl/>
        </w:rPr>
        <w:t xml:space="preserve">الخصوصيّة إذا كانت داخلة في فرديّة الفرد فلا يمكن إبقاء الطبيعة المأمور بها على حالها من الإطلاق مع كون بعض الأفراد محرّماً من حيث إنّه فرد؛ إذ يرجع إلى تعلّق الأمر والنهي بشي‌ء واحد.</w:t>
      </w:r>
    </w:p>
    <w:p>
      <w:pPr>
        <w:pStyle w:val="BookText"/>
      </w:pPr>
      <w:r>
        <w:rPr>
          <w:rFonts w:ascii="Amiri" w:hAnsi="Amiri" w:eastAsia="Amiri" w:cs="Amiri"/>
          <w:lang w:bidi="ar-SA"/>
          <w:color w:val="111111"/>
          <w:sz w:val="28"/>
          <w:szCs w:val="28"/>
          <w:rtl/>
        </w:rPr>
        <w:t xml:space="preserve">فإنّ الغسل إذا كان مأموراً به من حيث هو فيكون محبوباً بجميع أفراده ولا يمكن أن يكون بعض أفراده بوصف أنّه فرد مبغوضاً وإذا كان الوصف لازماً فاللازم ذلك.</w:t>
      </w:r>
    </w:p>
    <w:p>
      <w:pPr>
        <w:pStyle w:val="BookText"/>
      </w:pPr>
      <w:r>
        <w:rPr>
          <w:rFonts w:ascii="Amiri" w:hAnsi="Amiri" w:eastAsia="Amiri" w:cs="Amiri"/>
          <w:lang w:bidi="ar-SA"/>
          <w:color w:val="111111"/>
          <w:sz w:val="28"/>
          <w:szCs w:val="28"/>
          <w:rtl/>
        </w:rPr>
        <w:t xml:space="preserve">وفيه: أنّا نمنع أنّ النهي راجع إلى الفرد من حيث إنّه فرد بل من حيث إنّه فرد خاصّ أو فرد لطبيعة أخرى لا من حيث إنّه فرد لهذه الطبيعة.مع أنّه يمكن أن يكون المحبوب الطبيعة بجنسها لا بخصوصيّاتها فالمحبوب الغسل من حيث إنّه</w:t>
      </w:r>
      <w:r>
        <w:rPr>
          <w:rStyle w:val="FootnoteReference"/>
        </w:rPr>
        <w:footnoteReference w:id="980"/>
      </w:r>
      <w:r>
        <w:rPr>
          <w:rFonts w:ascii="Amiri" w:hAnsi="Amiri" w:eastAsia="Amiri" w:cs="Amiri"/>
          <w:lang w:bidi="ar-SA"/>
          <w:color w:val="111111"/>
          <w:sz w:val="28"/>
          <w:szCs w:val="28"/>
          <w:rtl/>
        </w:rPr>
        <w:t xml:space="preserve">غسل مع قطع النظر عن كونه ارتماسيّاً أو ترتيبيّاً.</w:t>
      </w:r>
    </w:p>
    <w:p>
      <w:pPr>
        <w:pStyle w:val="Heading6"/>
      </w:pPr>
      <w:bookmarkStart w:id="564" w:name="_Toc245"/>
      <w:r>
        <w:t>[جریان الدلیل المذکور فیما إذا کان بین المتعلّقین عموم وخصوص مطلق]</w:t>
      </w:r>
      <w:bookmarkEnd w:id="564"/>
    </w:p>
    <w:p>
      <w:pPr>
        <w:pStyle w:val="BookText"/>
      </w:pPr>
      <w:r>
        <w:rPr>
          <w:rFonts w:ascii="IRNazanin" w:hAnsi="IRNazanin" w:eastAsia="IRNazanin" w:cs="IRNazanin"/>
          <w:lang w:bidi="fa-IR"/>
          <w:color w:val="111111"/>
          <w:sz w:val="28"/>
          <w:szCs w:val="28"/>
          <w:rtl/>
        </w:rPr>
        <w:t xml:space="preserve">ومن ذلك يظهر ضعف ما قد يتخيّل أیضاً: من عدم جريان الدليل المذكور فيما إذا كان بين المتعلّقين عموم وخصوص مطلق مثل قوله: «صلّ ولا تصلّ في الدار الغصبيّة»، فإنّه - مضافاً إلى أنّ العرف يفهم التخصيص فلا ثمرة للبحث من حيث حكم العقل - لا يعقل فيه الاجتماع؛ إذ النهي إذا تعلّق بخصوص الصّلاة في الدار الغصبيّة لا يعقل بقاء طبيعة الصّلاة على المطلوبیّة من حيث هي؛ إذ المفروض أنّ بعض أفرادها من حيث إنّه صلاة خاصّة منهي عنه.</w:t>
      </w:r>
    </w:p>
    <w:p>
      <w:pPr>
        <w:pStyle w:val="BookText"/>
      </w:pPr>
      <w:r>
        <w:rPr>
          <w:rFonts w:ascii="IRNazanin" w:hAnsi="IRNazanin" w:eastAsia="IRNazanin" w:cs="IRNazanin"/>
          <w:lang w:bidi="fa-IR"/>
          <w:color w:val="111111"/>
          <w:sz w:val="28"/>
          <w:szCs w:val="28"/>
          <w:rtl/>
        </w:rPr>
        <w:t xml:space="preserve">وجه الضعف: أنّ النهي ليس عن الصلاة من حيث إنّها صلاة بل عن الخصوصيّة وإن کان متعلّقاً في لسان المولى بالصّلاة الخاصّة فإنّه في الحقيقة راجع إلى نفس الخصوصيّة فكأنّه نهى عن طبيعة الغصب مطلقاً أو في حال الصّلاة ولا فرق في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1" w:name="pg6784_51296"/>
    <w:bookmarkEnd w:id="141"/>
    <w:p>
      <w:pPr>
        <w:pStyle w:val="BookText"/>
      </w:pPr>
      <w:r>
        <w:rPr>
          <w:rFonts w:ascii="Amiri" w:hAnsi="Amiri" w:eastAsia="Amiri" w:cs="Amiri"/>
          <w:lang w:bidi="ar-SA"/>
          <w:color w:val="111111"/>
          <w:sz w:val="28"/>
          <w:szCs w:val="28"/>
          <w:rtl/>
        </w:rPr>
        <w:t xml:space="preserve">ذلك بين كون المكان من المشخّصات والمقوّمات للفرد أو لا.</w:t>
      </w:r>
    </w:p>
    <w:p>
      <w:pPr>
        <w:pStyle w:val="BookText"/>
      </w:pPr>
      <w:r>
        <w:rPr>
          <w:rFonts w:ascii="Amiri" w:hAnsi="Amiri" w:eastAsia="Amiri" w:cs="Amiri"/>
          <w:lang w:bidi="ar-SA"/>
          <w:color w:val="111111"/>
          <w:sz w:val="28"/>
          <w:szCs w:val="28"/>
          <w:rtl/>
        </w:rPr>
        <w:t xml:space="preserve">أمّا على الثاني فواضح، وأمّا على الأوّل فلأنّه لا يرجع النهي إلى حيثيّة كونها صلاة بل إلى حيثيّة الغصبيّة وطبيعة الصلاة محبوبة بما هي طبيعة لا بلحاظ أفرادها حتّى يقال: إنّ الخصوصيّة المشخّصة إذا كانت مبغوضة فلا يمكن بقاء الطبيعة على إطلاقها، فما قد يقال من الفرق لا وجه له.</w:t>
      </w:r>
    </w:p>
    <w:p>
      <w:pPr>
        <w:pStyle w:val="Heading6"/>
      </w:pPr>
      <w:bookmarkStart w:id="565" w:name="_Toc246"/>
      <w:r>
        <w:t>[عدم الفرق بین أن یکون النهي بلحاظ المکان أو سائر الخصوصیات]</w:t>
      </w:r>
      <w:bookmarkEnd w:id="565"/>
    </w:p>
    <w:p>
      <w:pPr>
        <w:pStyle w:val="BookText"/>
      </w:pPr>
      <w:r>
        <w:rPr>
          <w:rFonts w:ascii="Amiri" w:hAnsi="Amiri" w:eastAsia="Amiri" w:cs="Amiri"/>
          <w:lang w:bidi="ar-SA"/>
          <w:color w:val="111111"/>
          <w:sz w:val="28"/>
          <w:szCs w:val="28"/>
          <w:rtl/>
        </w:rPr>
        <w:t xml:space="preserve">وكذا لا فرق بين أن يكون النهي بلحاظ كونها في المكان المغصوب أو بلحاظ الخصوصيّات المقارنة لهذه الكيفيّة.</w:t>
      </w:r>
    </w:p>
    <w:p>
      <w:pPr>
        <w:pStyle w:val="BookText"/>
      </w:pPr>
      <w:r>
        <w:rPr>
          <w:rFonts w:ascii="IRNazanin" w:hAnsi="IRNazanin" w:eastAsia="IRNazanin" w:cs="IRNazanin"/>
          <w:lang w:bidi="fa-IR"/>
          <w:color w:val="111111"/>
          <w:sz w:val="28"/>
          <w:szCs w:val="28"/>
          <w:rtl/>
        </w:rPr>
        <w:t xml:space="preserve">وبعبارة أخری: لا يتفاوت الحال بين كون المبغوض عنوان المكان الخاصّ أو خصوصيّة أخرى في هذا الفرد ويكون كونها في هذا المكان معرِّفا لتلك الخصوصيّة؛ إذ على التقديرين لا يرجع النهي إلى الصّلاة الخاصّة من حيث إنّها صلاة خاصّة بلإلى خصوصيّتها سواء كانت هو المكان أو خصوصيّة أخرى معرَّفة به ومقارنة معه فلا ينافي كون الطّبيعة الصّلاتية</w:t>
      </w:r>
      <w:r>
        <w:rPr>
          <w:rStyle w:val="FootnoteReference"/>
        </w:rPr>
        <w:footnoteReference w:id="981"/>
      </w:r>
      <w:r>
        <w:rPr>
          <w:rFonts w:ascii="Amiri" w:hAnsi="Amiri" w:eastAsia="Amiri" w:cs="Amiri"/>
          <w:lang w:bidi="ar-SA"/>
          <w:color w:val="111111"/>
          <w:sz w:val="28"/>
          <w:szCs w:val="28"/>
          <w:rtl/>
        </w:rPr>
        <w:t xml:space="preserve">من حيث كونها صلاة محبوبة على إطلاقها.</w:t>
      </w:r>
    </w:p>
    <w:p>
      <w:pPr>
        <w:pStyle w:val="Heading6"/>
      </w:pPr>
      <w:bookmarkStart w:id="566" w:name="_Toc247"/>
      <w:r>
        <w:t>[منع فهم العرف التخصیص فیما إذا کان النهي مولویّاً]</w:t>
      </w:r>
      <w:bookmarkEnd w:id="566"/>
    </w:p>
    <w:p>
      <w:pPr>
        <w:pStyle w:val="BookText"/>
      </w:pPr>
      <w:r>
        <w:rPr>
          <w:rFonts w:ascii="IRNazanin" w:hAnsi="IRNazanin" w:eastAsia="IRNazanin" w:cs="IRNazanin"/>
          <w:lang w:bidi="fa-IR"/>
          <w:color w:val="111111"/>
          <w:sz w:val="28"/>
          <w:szCs w:val="28"/>
          <w:rtl/>
        </w:rPr>
        <w:t xml:space="preserve">ثمّ في مفروض المسألة ممّا كان النهي عن بعض الأفراد معلوماً كونه للمبغوضیّة النفسيّة نمنع فهم العرف التخصيص أیضاً؛ إذ هو إنّما يكون فيما لم يعلم كونه مولوياً وإلّا فلا يفهم منه المانعيّة والتّخصيص؛ لأنّه إنّما يكون إذا كان للإرشاد ولا يمكن الجمع بين الطّلب والإرشاد لكونهما متباينين</w:t>
      </w:r>
      <w:r>
        <w:rPr>
          <w:rStyle w:val="FootnoteReference"/>
        </w:rPr>
        <w:footnoteReference w:id="982"/>
      </w:r>
      <w:r>
        <w:rPr>
          <w:rFonts w:ascii="IRNazanin" w:hAnsi="IRNazanin" w:eastAsia="IRNazanin" w:cs="IRNazanin"/>
          <w:lang w:bidi="fa-IR"/>
          <w:color w:val="111111"/>
          <w:sz w:val="28"/>
          <w:szCs w:val="28"/>
          <w:rtl/>
        </w:rPr>
        <w:t xml:space="preserve">،</w:t>
      </w:r>
      <w:r>
        <w:rPr>
          <w:rStyle w:val="FootnoteReference"/>
        </w:rPr>
        <w:footnoteReference w:id="983"/>
      </w:r>
      <w:r>
        <w:rPr>
          <w:rFonts w:ascii="Amiri" w:hAnsi="Amiri" w:eastAsia="Amiri" w:cs="Amiri"/>
          <w:lang w:bidi="ar-SA"/>
          <w:color w:val="111111"/>
          <w:sz w:val="28"/>
          <w:szCs w:val="28"/>
          <w:rtl/>
        </w:rPr>
        <w:t xml:space="preserve">فما يكون للتحريم النّفسي المستلزم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42" w:name="pg6784_51297"/>
    <w:bookmarkEnd w:id="142"/>
    <w:p>
      <w:pPr>
        <w:pStyle w:val="BookText"/>
      </w:pPr>
      <w:r>
        <w:rPr>
          <w:rFonts w:ascii="Amiri" w:hAnsi="Amiri" w:eastAsia="Amiri" w:cs="Amiri"/>
          <w:lang w:bidi="ar-SA"/>
          <w:color w:val="111111"/>
          <w:sz w:val="28"/>
          <w:szCs w:val="28"/>
          <w:rtl/>
        </w:rPr>
        <w:t xml:space="preserve">للعقاب على مخالفته لا يمكن أن يكون للإرشاد إلى البطلان.</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بل يكون من قبيل التکلیف في التکلیف كما في العامّين من وجه بالنّسبة إلى مورد الاجتماع، بل مع قطع النّظر عن هذا القول ليس المقام ممّا يفهم العرف فيه التخصيص لأنّ النزاع</w:t>
      </w:r>
      <w:r>
        <w:rPr>
          <w:rStyle w:val="FootnoteReference"/>
        </w:rPr>
        <w:footnoteReference w:id="985"/>
      </w:r>
      <w:r>
        <w:rPr>
          <w:rFonts w:ascii="Amiri" w:hAnsi="Amiri" w:eastAsia="Amiri" w:cs="Amiri"/>
          <w:lang w:bidi="ar-SA"/>
          <w:color w:val="111111"/>
          <w:sz w:val="28"/>
          <w:szCs w:val="28"/>
          <w:rtl/>
        </w:rPr>
        <w:t xml:space="preserve">فيما كان من باب التزاحم لا التعارض فلا وجه لما ذكره</w:t>
      </w:r>
      <w:r>
        <w:rPr>
          <w:rStyle w:val="FootnoteReference"/>
        </w:rPr>
        <w:footnoteReference w:id="986"/>
      </w:r>
      <w:r>
        <w:rPr>
          <w:rFonts w:ascii="Amiri" w:hAnsi="Amiri" w:eastAsia="Amiri" w:cs="Amiri"/>
          <w:lang w:bidi="ar-SA"/>
          <w:color w:val="111111"/>
          <w:sz w:val="28"/>
          <w:szCs w:val="28"/>
          <w:rtl/>
        </w:rPr>
        <w:t xml:space="preserve">من أنّ العرف يفهم التخصيص فلا ثمرة في البحث العقلي.</w:t>
      </w:r>
    </w:p>
    <w:p>
      <w:pPr>
        <w:pStyle w:val="BookText"/>
      </w:pPr>
      <w:r>
        <w:rPr>
          <w:rFonts w:ascii="Amiri" w:hAnsi="Amiri" w:eastAsia="Amiri" w:cs="Amiri"/>
          <w:lang w:bidi="ar-SA"/>
          <w:color w:val="111111"/>
          <w:sz w:val="28"/>
          <w:szCs w:val="28"/>
          <w:rtl/>
        </w:rPr>
        <w:t xml:space="preserve">فلا فرق بين العامّين من وجه والعامّ والخاصّ المطلقين في كونهما متساويي</w:t>
      </w:r>
      <w:r>
        <w:rPr>
          <w:rStyle w:val="FootnoteReference"/>
        </w:rPr>
        <w:footnoteReference w:id="987"/>
      </w:r>
      <w:r>
        <w:rPr>
          <w:rFonts w:ascii="Amiri" w:hAnsi="Amiri" w:eastAsia="Amiri" w:cs="Amiri"/>
          <w:lang w:bidi="ar-SA"/>
          <w:color w:val="111111"/>
          <w:sz w:val="28"/>
          <w:szCs w:val="28"/>
          <w:rtl/>
        </w:rPr>
        <w:t xml:space="preserve">النسبة بالنسبة إلى هذه المسألة ومسألة التعارض، فالعرف يفهم التخصيص إذا كانا من قبيل المتعارضين.</w:t>
      </w:r>
    </w:p>
    <w:p>
      <w:pPr>
        <w:pStyle w:val="BookText"/>
      </w:pPr>
      <w:r>
        <w:rPr>
          <w:rFonts w:ascii="Amiri" w:hAnsi="Amiri" w:eastAsia="Amiri" w:cs="Amiri"/>
          <w:lang w:bidi="ar-SA"/>
          <w:color w:val="111111"/>
          <w:sz w:val="28"/>
          <w:szCs w:val="28"/>
          <w:rtl/>
        </w:rPr>
        <w:t xml:space="preserve">غاية الأمر أنّه</w:t>
      </w:r>
      <w:r>
        <w:rPr>
          <w:rStyle w:val="FootnoteReference"/>
        </w:rPr>
        <w:footnoteReference w:id="988"/>
      </w:r>
      <w:r>
        <w:rPr>
          <w:rFonts w:ascii="Amiri" w:hAnsi="Amiri" w:eastAsia="Amiri" w:cs="Amiri"/>
          <w:lang w:bidi="ar-SA"/>
          <w:color w:val="111111"/>
          <w:sz w:val="28"/>
          <w:szCs w:val="28"/>
          <w:rtl/>
        </w:rPr>
        <w:t xml:space="preserve">في العامّين من وجه يفهم أنّ أحدهما لا بعينه مخصّص ولا دخل للتخصيص العرفي إذا</w:t>
      </w:r>
      <w:r>
        <w:rPr>
          <w:rStyle w:val="FootnoteReference"/>
        </w:rPr>
        <w:footnoteReference w:id="989"/>
      </w:r>
      <w:r>
        <w:rPr>
          <w:rFonts w:ascii="IRNazanin" w:hAnsi="IRNazanin" w:eastAsia="IRNazanin" w:cs="IRNazanin"/>
          <w:lang w:bidi="fa-IR"/>
          <w:color w:val="111111"/>
          <w:sz w:val="28"/>
          <w:szCs w:val="28"/>
          <w:rtl/>
        </w:rPr>
        <w:t xml:space="preserve">كانا من قبيل المتزاحمين؛ لأنّ المفروض أنّ کلّ واحد من التکلیفين في حدّ نفسه متعلّق بالمکلّف، وإنّما الإشکال في عدم إمکان الجمعبينهما أو إمکانه.</w:t>
      </w:r>
    </w:p>
    <w:p>
      <w:pPr>
        <w:pStyle w:val="BookText"/>
      </w:pPr>
      <w:r>
        <w:rPr>
          <w:rFonts w:ascii="IRNazanin" w:hAnsi="IRNazanin" w:eastAsia="IRNazanin" w:cs="IRNazanin"/>
          <w:lang w:bidi="fa-IR"/>
          <w:color w:val="111111"/>
          <w:sz w:val="28"/>
          <w:szCs w:val="28"/>
          <w:rtl/>
        </w:rPr>
        <w:t xml:space="preserve">ثمّ هذا کلّه بناء على المختار من تعلّق الأحکام بالطبائع.</w:t>
      </w:r>
    </w:p>
    <w:p>
      <w:pPr>
        <w:pStyle w:val="Heading6"/>
      </w:pPr>
      <w:bookmarkStart w:id="567" w:name="_Toc248"/>
      <w:r>
        <w:t>[جریان الدلیل المذکور بناء على تعلّق الأحکام بالأفراد وعدم جریانه]</w:t>
      </w:r>
      <w:bookmarkEnd w:id="567"/>
    </w:p>
    <w:p>
      <w:pPr>
        <w:pStyle w:val="BookText"/>
      </w:pPr>
      <w:r>
        <w:rPr>
          <w:rFonts w:ascii="Amiri" w:hAnsi="Amiri" w:eastAsia="Amiri" w:cs="Amiri"/>
          <w:lang w:bidi="ar-SA"/>
          <w:color w:val="111111"/>
          <w:sz w:val="28"/>
          <w:szCs w:val="28"/>
          <w:rtl/>
        </w:rPr>
        <w:t xml:space="preserve">وأمّا على القول الآخر أو على المختار فيما كان المتعلّق في ظاهر الدليل هو الأفراد فهل يمكن إجراء مثل الدليل المذكور أو لا؟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أمّا إذا قلنا إنّ المتعلّق هو کلّي الفرد لا خصوص الأشخاص بمعنى أنّ المأمور به مثلاً الصّلاة المقيّدة بتشخّص من التشخّصات بحيث أخذ التشخّص في متعلّق الطلب على الوجه الکلّي من باب ضمّ کلّي إلى کلّي بناء على أنّ العرف يفهم من الأوامر والنواهي ذلك لا من باب عدم وجود</w:t>
      </w:r>
      <w:r>
        <w:rPr>
          <w:rStyle w:val="FootnoteReference"/>
        </w:rPr>
        <w:footnoteReference w:id="990"/>
      </w:r>
      <w:r>
        <w:rPr>
          <w:rFonts w:ascii="IRNazanin" w:hAnsi="IRNazanin" w:eastAsia="IRNazanin" w:cs="IRNazanin"/>
          <w:lang w:bidi="fa-IR"/>
          <w:color w:val="111111"/>
          <w:sz w:val="28"/>
          <w:szCs w:val="28"/>
          <w:rtl/>
        </w:rPr>
        <w:t xml:space="preserve">الکلّي الطبيعى؛ إذ بناءً عليه كما لا يكون المتعلّق طبيعة الصّلاة مع قطع النظر عن التشخّص كذا لا يكون مع التقييد</w:t>
      </w:r>
      <w:r>
        <w:rPr>
          <w:rStyle w:val="FootnoteReference"/>
        </w:rPr>
        <w:footnoteReference w:id="991"/>
      </w:r>
      <w:r>
        <w:rPr>
          <w:rFonts w:ascii="IRNazanin" w:hAnsi="IRNazanin" w:eastAsia="IRNazanin" w:cs="IRNazanin"/>
          <w:lang w:bidi="fa-IR"/>
          <w:color w:val="111111"/>
          <w:sz w:val="28"/>
          <w:szCs w:val="28"/>
          <w:rtl/>
        </w:rPr>
        <w:t xml:space="preserve">بالتشخّص على الوجه الکلّي؛ إذ المانع على هذا التقدير الکلّيّة المشتركة بين الصّورتين.</w:t>
      </w:r>
    </w:p>
    <w:p>
      <w:pPr>
        <w:pStyle w:val="BookText"/>
      </w:pPr>
      <w:r>
        <w:rPr>
          <w:rFonts w:ascii="IRNazanin" w:hAnsi="IRNazanin" w:eastAsia="IRNazanin" w:cs="IRNazanin"/>
          <w:lang w:bidi="fa-IR"/>
          <w:color w:val="111111"/>
          <w:sz w:val="28"/>
          <w:szCs w:val="28"/>
          <w:rtl/>
        </w:rPr>
        <w:t xml:space="preserve">فنقول: يمكن إجراء الدّليل المذكور؛ إذ أخذ التشخّص على الوجه الکلّي لايوجب كون کلّ فرد متعلّقاً للأمر بخصوصه حتّى يلزم الاتّحاد في مورد الطلبين شرعاً.</w:t>
      </w:r>
    </w:p>
    <w:p>
      <w:pPr>
        <w:pStyle w:val="BookText"/>
      </w:pPr>
      <w:r>
        <w:rPr>
          <w:rFonts w:ascii="IRNazanin" w:hAnsi="IRNazanin" w:eastAsia="IRNazanin" w:cs="IRNazanin"/>
          <w:lang w:bidi="fa-IR"/>
          <w:color w:val="111111"/>
          <w:sz w:val="28"/>
          <w:szCs w:val="28"/>
          <w:rtl/>
        </w:rPr>
        <w:t xml:space="preserve">بل يكون وجوب کلّ فرد من باب الانطباق على الطّبيعة المطلوبة فيجري ما ذكرنا کلّه حرفاً بحرف.</w:t>
      </w:r>
    </w:p>
    <w:p>
      <w:pPr>
        <w:pStyle w:val="BookText"/>
      </w:pPr>
      <w:r>
        <w:rPr>
          <w:rFonts w:ascii="IRNazanin" w:hAnsi="IRNazanin" w:eastAsia="IRNazanin" w:cs="IRNazanin"/>
          <w:lang w:bidi="fa-IR"/>
          <w:color w:val="111111"/>
          <w:sz w:val="28"/>
          <w:szCs w:val="28"/>
          <w:rtl/>
        </w:rPr>
        <w:t xml:space="preserve">وأمّا إذا قلنا: «إنّ المتعلّق هو مصداق فردٍ ما أي المصداق اللابعينه أو جميع الأفراد على وجه البدليّة والتخيير»، فلا يجري الدّليل المذكور؛ لأنّ الاجتماع حینئذٍ شرعي لا تطبیقي إلّا أن يقال: وإن کان المتعلّق للأمر کلّ واحد من الأفراد إلّا أنّ الملحوظ لیس</w:t>
      </w:r>
      <w:r>
        <w:rPr>
          <w:rStyle w:val="FootnoteReference"/>
        </w:rPr>
        <w:footnoteReference w:id="992"/>
      </w:r>
      <w:r>
        <w:rPr>
          <w:rFonts w:ascii="Amiri" w:hAnsi="Amiri" w:eastAsia="Amiri" w:cs="Amiri"/>
          <w:lang w:bidi="ar-SA"/>
          <w:color w:val="111111"/>
          <w:sz w:val="28"/>
          <w:szCs w:val="28"/>
          <w:rtl/>
        </w:rPr>
        <w:t xml:space="preserve">هو الخصوصيّة الفرديّة بل الطبيعة الموجودة في ضمنه.</w:t>
      </w:r>
    </w:p>
    <w:p>
      <w:pPr>
        <w:pStyle w:val="BookText"/>
      </w:pPr>
      <w:r>
        <w:rPr>
          <w:rFonts w:ascii="IRNazanin" w:hAnsi="IRNazanin" w:eastAsia="IRNazanin" w:cs="IRNazanin"/>
          <w:lang w:bidi="fa-IR"/>
          <w:color w:val="111111"/>
          <w:sz w:val="28"/>
          <w:szCs w:val="28"/>
          <w:rtl/>
        </w:rPr>
        <w:t xml:space="preserve">فاعتبار الخصوصيّة إنّما هو من جهة عدم إمکان تعليق الحكم على الطّبيعة لالأنّ الفرد بخصوصيّة الفرديّة مورد للمصلحة والمفسدة فكأنّ الطلب تعلّق بالطّبيعة فیكون للفرد جهتان تعلّق بإحداهما الأمر وبالأخرى النهي في اللّبّ فيكون كما إذا تعلّق بالطّبيعة فالمانع من الاجتماع التعلّق بالفرد من حيث إنّه هو لا التعلّق به من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إنّه فرد من</w:t>
      </w:r>
      <w:r>
        <w:rPr>
          <w:rStyle w:val="FootnoteReference"/>
        </w:rPr>
        <w:footnoteReference w:id="993"/>
      </w:r>
      <w:r>
        <w:rPr>
          <w:rFonts w:ascii="Amiri" w:hAnsi="Amiri" w:eastAsia="Amiri" w:cs="Amiri"/>
          <w:lang w:bidi="ar-SA"/>
          <w:color w:val="111111"/>
          <w:sz w:val="28"/>
          <w:szCs w:val="28"/>
          <w:rtl/>
        </w:rPr>
        <w:t xml:space="preserve">الطبيعة</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والحسن والمصلحة إنّما يكونان فيها لا فيه، فإنّه على هذا التقدير كأنّ الطّلب متعلّق بها وإن لم يكن كذلك من جهة عدم إمکان التعلّق</w:t>
      </w:r>
      <w:r>
        <w:rPr>
          <w:rStyle w:val="FootnoteReference"/>
        </w:rPr>
        <w:footnoteReference w:id="995"/>
      </w:r>
      <w:r>
        <w:rPr>
          <w:rFonts w:ascii="Amiri" w:hAnsi="Amiri" w:eastAsia="Amiri" w:cs="Amiri"/>
          <w:lang w:bidi="ar-SA"/>
          <w:color w:val="111111"/>
          <w:sz w:val="28"/>
          <w:szCs w:val="28"/>
          <w:rtl/>
        </w:rPr>
        <w:t xml:space="preserve">بها وهذا عكس ما نقلناه سابقاً عن بعض المحقّقين من أنّ الطّلب متعلّق بالطبيعة أوّلاً وبالفرد بالمآل.</w:t>
      </w:r>
      <w:r>
        <w:rPr>
          <w:rStyle w:val="FootnoteReference"/>
        </w:rPr>
        <w:footnoteReference w:id="996"/>
      </w:r>
      <w:r>
        <w:rPr>
          <w:rFonts w:ascii="IRNazanin" w:hAnsi="IRNazanin" w:eastAsia="IRNazanin" w:cs="IRNazanin"/>
          <w:lang w:bidi="fa-IR"/>
          <w:color w:val="111111"/>
          <w:sz w:val="28"/>
          <w:szCs w:val="28"/>
          <w:rtl/>
        </w:rPr>
        <w:t xml:space="preserve">فإنّا نقول: إنّ الطلب متعلّق بالفرد أوّلاً وبالطبيعة بالمآل یعني في لبّ الواقع. فتدبّر.</w:t>
      </w:r>
    </w:p>
    <w:p>
      <w:pPr>
        <w:pStyle w:val="BookText"/>
      </w:pPr>
      <w:r>
        <w:rPr>
          <w:rFonts w:ascii="IRNazanin" w:hAnsi="IRNazanin" w:eastAsia="IRNazanin" w:cs="IRNazanin"/>
          <w:lang w:bidi="fa-IR"/>
          <w:color w:val="111111"/>
          <w:sz w:val="28"/>
          <w:szCs w:val="28"/>
          <w:rtl/>
        </w:rPr>
        <w:t xml:space="preserve">ولعلّه لذا ذهب بعضهم إلى جواز الاجتماع مع قوله بعدم وجود الکلّي الطبيعي وتعلّق الأحکام بالأفراد كما حكي</w:t>
      </w:r>
      <w:r>
        <w:rPr>
          <w:rStyle w:val="FootnoteReference"/>
        </w:rPr>
        <w:footnoteReference w:id="997"/>
      </w:r>
      <w:r>
        <w:rPr>
          <w:rFonts w:ascii="Amiri" w:hAnsi="Amiri" w:eastAsia="Amiri" w:cs="Amiri"/>
          <w:lang w:bidi="ar-SA"/>
          <w:color w:val="111111"/>
          <w:sz w:val="28"/>
          <w:szCs w:val="28"/>
          <w:rtl/>
        </w:rPr>
        <w:t xml:space="preserve">عن الحاجبي حيث إنّه أجاز الاجتماع واحتجّ عليه بأنّ مورد الأمر والنهي متغايران</w:t>
      </w:r>
      <w:r>
        <w:rPr>
          <w:rStyle w:val="FootnoteReference"/>
        </w:rPr>
        <w:footnoteReference w:id="998"/>
      </w:r>
      <w:r>
        <w:rPr>
          <w:rFonts w:ascii="Amiri" w:hAnsi="Amiri" w:eastAsia="Amiri" w:cs="Amiri"/>
          <w:lang w:bidi="ar-SA"/>
          <w:color w:val="111111"/>
          <w:sz w:val="28"/>
          <w:szCs w:val="28"/>
          <w:rtl/>
        </w:rPr>
        <w:t xml:space="preserve">مع مصيره إلى أنّ الأوامر تتعلّق</w:t>
      </w:r>
      <w:r>
        <w:rPr>
          <w:rStyle w:val="FootnoteReference"/>
        </w:rPr>
        <w:footnoteReference w:id="999"/>
      </w:r>
      <w:r>
        <w:rPr>
          <w:rFonts w:ascii="IRNazanin" w:hAnsi="IRNazanin" w:eastAsia="IRNazanin" w:cs="IRNazanin"/>
          <w:lang w:bidi="fa-IR"/>
          <w:color w:val="111111"/>
          <w:sz w:val="28"/>
          <w:szCs w:val="28"/>
          <w:rtl/>
        </w:rPr>
        <w:t xml:space="preserve">بالأفراد دون الطبائع معلّلاً</w:t>
      </w:r>
      <w:r>
        <w:rPr>
          <w:rStyle w:val="FootnoteReference"/>
        </w:rPr>
        <w:footnoteReference w:id="1000"/>
      </w:r>
      <w:r>
        <w:rPr>
          <w:rFonts w:ascii="Amiri" w:hAnsi="Amiri" w:eastAsia="Amiri" w:cs="Amiri"/>
          <w:lang w:bidi="ar-SA"/>
          <w:color w:val="111111"/>
          <w:sz w:val="28"/>
          <w:szCs w:val="28"/>
          <w:rtl/>
        </w:rPr>
        <w:t xml:space="preserve">بامتناع تحقّقها في الخارج.</w:t>
      </w:r>
      <w:r>
        <w:rPr>
          <w:rStyle w:val="FootnoteReference"/>
        </w:rPr>
        <w:footnoteReference w:id="1001"/>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3" w:name="pg6784_51300"/>
    <w:bookmarkEnd w:id="143"/>
    <w:p>
      <w:pPr>
        <w:pStyle w:val="BookText"/>
      </w:pPr>
      <w:r>
        <w:rPr>
          <w:rFonts w:ascii="IRNazanin" w:hAnsi="IRNazanin" w:eastAsia="IRNazanin" w:cs="IRNazanin"/>
          <w:lang w:bidi="fa-IR"/>
          <w:color w:val="111111"/>
          <w:sz w:val="28"/>
          <w:szCs w:val="28"/>
          <w:rtl/>
        </w:rPr>
        <w:t xml:space="preserve">وظاهر الإشارات أیضاً جواز الاجتماع بناءً على التعلّق</w:t>
      </w:r>
      <w:r>
        <w:rPr>
          <w:rStyle w:val="FootnoteReference"/>
        </w:rPr>
        <w:footnoteReference w:id="1002"/>
      </w:r>
      <w:r>
        <w:rPr>
          <w:rFonts w:ascii="IRNazanin" w:hAnsi="IRNazanin" w:eastAsia="IRNazanin" w:cs="IRNazanin"/>
          <w:lang w:bidi="fa-IR"/>
          <w:color w:val="111111"/>
          <w:sz w:val="28"/>
          <w:szCs w:val="28"/>
          <w:rtl/>
        </w:rPr>
        <w:t xml:space="preserve">بالأفراد أیضاً حيث إنّه بعد ما حكم بالجواز ووضوحه بناءً على التعلّق بالطبيعة قال: «نعم لو كان خفاء فهو على تقدير كون متعلّق الحكمين الفرد وعليه نقول: لا ريب أنّ المتعلّق في طرف النهي کلّ الأفراد وفي طرف الأمر ليس فرداً شخصيّاً ولا کلّ فرد بل المطلوب فيه أحد الأفراد فالوجوب لم يتعلّق بشخص معيّن من الأفراد حتّى يجتمع الوجوب والحرمة في شي‌ء واحد فلا إشکال».</w:t>
      </w:r>
      <w:r>
        <w:rPr>
          <w:rStyle w:val="FootnoteReference"/>
        </w:rPr>
        <w:footnoteReference w:id="1003"/>
      </w:r>
      <w:r>
        <w:rPr>
          <w:rFonts w:ascii="IRNazanin" w:hAnsi="IRNazanin" w:eastAsia="IRNazanin" w:cs="IRNazanin"/>
          <w:lang w:bidi="fa-IR"/>
          <w:color w:val="111111"/>
          <w:sz w:val="28"/>
          <w:szCs w:val="28"/>
          <w:rtl/>
        </w:rPr>
        <w:t xml:space="preserve">انتهى.</w:t>
      </w:r>
    </w:p>
    <w:p>
      <w:pPr>
        <w:pStyle w:val="Heading6"/>
      </w:pPr>
      <w:bookmarkStart w:id="568" w:name="_Toc249"/>
      <w:r>
        <w:t>[الإشکال الخامس بناء على عدم جواز اجتماع الأمر التخییري الشرعي والنهي العیني وجوابه]</w:t>
      </w:r>
      <w:bookmarkEnd w:id="568"/>
    </w:p>
    <w:p>
      <w:pPr>
        <w:pStyle w:val="BookText"/>
      </w:pPr>
      <w:r>
        <w:rPr>
          <w:rFonts w:ascii="Amiri" w:hAnsi="Amiri" w:eastAsia="Amiri" w:cs="Amiri"/>
          <w:lang w:bidi="ar-SA"/>
          <w:color w:val="111111"/>
          <w:sz w:val="28"/>
          <w:szCs w:val="28"/>
          <w:rtl/>
        </w:rPr>
        <w:t xml:space="preserve">فإن قلت: لازم ما ذكرت جواز اجتماع الأمر التخييري الشرعي مع النهي العيني مع أنّك لا تقول به فإنّه اجتماع آمري.</w:t>
      </w:r>
    </w:p>
    <w:p>
      <w:pPr>
        <w:pStyle w:val="BookText"/>
      </w:pPr>
      <w:r>
        <w:rPr>
          <w:rFonts w:ascii="IRNazanin" w:hAnsi="IRNazanin" w:eastAsia="IRNazanin" w:cs="IRNazanin"/>
          <w:lang w:bidi="fa-IR"/>
          <w:color w:val="111111"/>
          <w:sz w:val="28"/>
          <w:szCs w:val="28"/>
          <w:rtl/>
        </w:rPr>
        <w:t xml:space="preserve">قلت: فرق بين المقامين حيث إنّ کلّ واحد من أفراد التخيير الشّرعي</w:t>
      </w:r>
      <w:r>
        <w:rPr>
          <w:rStyle w:val="FootnoteReference"/>
        </w:rPr>
        <w:footnoteReference w:id="1004"/>
      </w:r>
      <w:r>
        <w:rPr>
          <w:rFonts w:ascii="Amiri" w:hAnsi="Amiri" w:eastAsia="Amiri" w:cs="Amiri"/>
          <w:lang w:bidi="ar-SA"/>
          <w:color w:val="111111"/>
          <w:sz w:val="28"/>
          <w:szCs w:val="28"/>
          <w:rtl/>
        </w:rPr>
        <w:t xml:space="preserve">مطلوب ومأمور به من حيث هو شي‌ء خاصّ بمعنى أنّ الخصوصيّة منظورة فيه وفي الواجب العيني ولو قلنا إنّ المتعلّق هو الأفراد لا يكون الواجب هو الفرد من حيث خصوصيّته</w:t>
      </w:r>
      <w:r>
        <w:rPr>
          <w:rStyle w:val="FootnoteReference"/>
        </w:rPr>
        <w:footnoteReference w:id="1005"/>
      </w:r>
      <w:r>
        <w:rPr>
          <w:rFonts w:ascii="IRNazanin" w:hAnsi="IRNazanin" w:eastAsia="IRNazanin" w:cs="IRNazanin"/>
          <w:lang w:bidi="fa-IR"/>
          <w:color w:val="111111"/>
          <w:sz w:val="28"/>
          <w:szCs w:val="28"/>
          <w:rtl/>
        </w:rPr>
        <w:t xml:space="preserve">بل بلحاظ وجود</w:t>
      </w:r>
      <w:r>
        <w:rPr>
          <w:rStyle w:val="FootnoteReference"/>
        </w:rPr>
        <w:footnoteReference w:id="1006"/>
      </w:r>
      <w:r>
        <w:rPr>
          <w:rFonts w:ascii="IRNazanin" w:hAnsi="IRNazanin" w:eastAsia="IRNazanin" w:cs="IRNazanin"/>
          <w:lang w:bidi="fa-IR"/>
          <w:color w:val="111111"/>
          <w:sz w:val="28"/>
          <w:szCs w:val="28"/>
          <w:rtl/>
        </w:rPr>
        <w:t xml:space="preserve">الکلّي في ضمنه كما عرفت.</w:t>
      </w:r>
    </w:p>
    <w:p>
      <w:pPr>
        <w:pStyle w:val="BookText"/>
      </w:pPr>
      <w:r>
        <w:rPr>
          <w:rFonts w:ascii="IRNazanin" w:hAnsi="IRNazanin" w:eastAsia="IRNazanin" w:cs="IRNazanin"/>
          <w:lang w:bidi="fa-IR"/>
          <w:color w:val="111111"/>
          <w:sz w:val="28"/>
          <w:szCs w:val="28"/>
          <w:rtl/>
        </w:rPr>
        <w:t xml:space="preserve">فيمكن أن يقال فيه: كأنّ الطّلب متعلّق بالکلّي وفي الواجب التخييري لايمكن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4" w:name="pg6784_51301"/>
    <w:bookmarkEnd w:id="144"/>
    <w:p>
      <w:pPr>
        <w:pStyle w:val="BookText"/>
      </w:pPr>
      <w:r>
        <w:rPr>
          <w:rFonts w:ascii="Amiri" w:hAnsi="Amiri" w:eastAsia="Amiri" w:cs="Amiri"/>
          <w:lang w:bidi="ar-SA"/>
          <w:color w:val="111111"/>
          <w:sz w:val="28"/>
          <w:szCs w:val="28"/>
          <w:rtl/>
        </w:rPr>
        <w:t xml:space="preserve">ذلك ومن ذلك يظهر فرق آخر بين الوجوب العيني والتخييري بناء على التعلّق بالأفراد مضافاً إلى ما عرفت سابقاً، فلا تغفل</w:t>
      </w:r>
      <w:r>
        <w:rPr>
          <w:rStyle w:val="FootnoteReference"/>
        </w:rPr>
        <w:footnoteReference w:id="1007"/>
      </w:r>
    </w:p>
    <w:p>
      <w:pPr>
        <w:pStyle w:val="Heading6"/>
      </w:pPr>
      <w:bookmarkStart w:id="569" w:name="_Toc250"/>
      <w:r>
        <w:t>[التقریر الثاني للدلیل الأوّل]</w:t>
      </w:r>
      <w:bookmarkEnd w:id="569"/>
    </w:p>
    <w:p>
      <w:pPr>
        <w:pStyle w:val="Heading6"/>
      </w:pPr>
      <w:bookmarkStart w:id="570" w:name="_Toc251"/>
      <w:r>
        <w:t>اشارة</w:t>
      </w:r>
      <w:bookmarkEnd w:id="570"/>
    </w:p>
    <w:p>
      <w:pPr>
        <w:pStyle w:val="BookText"/>
      </w:pPr>
      <w:r>
        <w:rPr>
          <w:rFonts w:ascii="IRNazanin" w:hAnsi="IRNazanin" w:eastAsia="IRNazanin" w:cs="IRNazanin"/>
          <w:lang w:bidi="fa-IR"/>
          <w:color w:val="111111"/>
          <w:sz w:val="28"/>
          <w:szCs w:val="28"/>
          <w:rtl/>
        </w:rPr>
        <w:t xml:space="preserve">هذا، وقد يقرّر الدّليل بوجه آخر وهو أنّ الکلّيين المتعلّقين للأمر والنّهيلايجتمعان في الوجود الخارجي أیضاً حتّى يلزم الاجتماع بل هما كما أنّهما متعدّدان في حدّ نفسهما كذلك متعدّدان في المصداق والوجود الخارجي أیضاً. نعم هما متّحدان في الوجود بنحو من الاتّحاد العرضي من حیث اتّحاد منشأِ انتزاعهما.</w:t>
      </w:r>
    </w:p>
    <w:p>
      <w:pPr>
        <w:pStyle w:val="BookText"/>
      </w:pPr>
      <w:r>
        <w:rPr>
          <w:rFonts w:ascii="Amiri" w:hAnsi="Amiri" w:eastAsia="Amiri" w:cs="Amiri"/>
          <w:lang w:bidi="ar-SA"/>
          <w:color w:val="111111"/>
          <w:sz w:val="28"/>
          <w:szCs w:val="28"/>
          <w:rtl/>
        </w:rPr>
        <w:t xml:space="preserve">والوجه في ذلك أنّ المفروض كون النسبة بينهما هو العموم من وجه ولا يعقل الاتّحاد في الطبيعتين كذلك</w:t>
      </w:r>
      <w:r>
        <w:rPr>
          <w:rStyle w:val="FootnoteReference"/>
        </w:rPr>
        <w:footnoteReference w:id="1008"/>
      </w:r>
      <w:r>
        <w:rPr>
          <w:rFonts w:ascii="Amiri" w:hAnsi="Amiri" w:eastAsia="Amiri" w:cs="Amiri"/>
          <w:lang w:bidi="ar-SA"/>
          <w:color w:val="111111"/>
          <w:sz w:val="28"/>
          <w:szCs w:val="28"/>
          <w:rtl/>
        </w:rPr>
        <w:t xml:space="preserve">إذ لا بدّ في الاتّحاد من كون أحد الکلّيين أعمّ</w:t>
      </w:r>
      <w:r>
        <w:rPr>
          <w:rStyle w:val="FootnoteReference"/>
        </w:rPr>
        <w:footnoteReference w:id="1009"/>
      </w:r>
      <w:r>
        <w:rPr>
          <w:rFonts w:ascii="Amiri" w:hAnsi="Amiri" w:eastAsia="Amiri" w:cs="Amiri"/>
          <w:lang w:bidi="ar-SA"/>
          <w:color w:val="111111"/>
          <w:sz w:val="28"/>
          <w:szCs w:val="28"/>
          <w:rtl/>
        </w:rPr>
        <w:t xml:space="preserve">والآخر أخصّ</w:t>
      </w:r>
      <w:r>
        <w:rPr>
          <w:rStyle w:val="FootnoteReference"/>
        </w:rPr>
        <w:footnoteReference w:id="1010"/>
      </w:r>
      <w:r>
        <w:rPr>
          <w:rFonts w:ascii="Amiri" w:hAnsi="Amiri" w:eastAsia="Amiri" w:cs="Amiri"/>
          <w:lang w:bidi="ar-SA"/>
          <w:color w:val="111111"/>
          <w:sz w:val="28"/>
          <w:szCs w:val="28"/>
          <w:rtl/>
        </w:rPr>
        <w:t xml:space="preserve">حتّى يكون الأوّل جنساً والآخر فصلاً.</w:t>
      </w:r>
    </w:p>
    <w:p>
      <w:pPr>
        <w:pStyle w:val="BookText"/>
      </w:pPr>
      <w:r>
        <w:rPr>
          <w:rFonts w:ascii="Amiri" w:hAnsi="Amiri" w:eastAsia="Amiri" w:cs="Amiri"/>
          <w:lang w:bidi="ar-SA"/>
          <w:color w:val="111111"/>
          <w:sz w:val="28"/>
          <w:szCs w:val="28"/>
          <w:rtl/>
        </w:rPr>
        <w:t xml:space="preserve">وقد تقرّر في محلّه: أنّه</w:t>
      </w:r>
      <w:r>
        <w:rPr>
          <w:rStyle w:val="FootnoteReference"/>
        </w:rPr>
        <w:footnoteReference w:id="1011"/>
      </w:r>
      <w:r>
        <w:rPr>
          <w:rFonts w:ascii="Amiri" w:hAnsi="Amiri" w:eastAsia="Amiri" w:cs="Amiri"/>
          <w:lang w:bidi="ar-SA"/>
          <w:color w:val="111111"/>
          <w:sz w:val="28"/>
          <w:szCs w:val="28"/>
          <w:rtl/>
        </w:rPr>
        <w:t xml:space="preserve">لا اتّحاد في غيرهما</w:t>
      </w:r>
      <w:r>
        <w:rPr>
          <w:rStyle w:val="FootnoteReference"/>
        </w:rPr>
        <w:footnoteReference w:id="1012"/>
      </w:r>
      <w:r>
        <w:rPr>
          <w:rFonts w:ascii="Amiri" w:hAnsi="Amiri" w:eastAsia="Amiri" w:cs="Amiri"/>
          <w:lang w:bidi="ar-SA"/>
          <w:color w:val="111111"/>
          <w:sz w:val="28"/>
          <w:szCs w:val="28"/>
          <w:rtl/>
        </w:rPr>
        <w:t xml:space="preserve">والفصل لا يمكن أن يكون أعمّ</w:t>
      </w:r>
      <w:r>
        <w:rPr>
          <w:rStyle w:val="FootnoteReference"/>
        </w:rPr>
        <w:footnoteReference w:id="1013"/>
      </w:r>
      <w:r>
        <w:rPr>
          <w:rFonts w:ascii="IRNazanin" w:hAnsi="IRNazanin" w:eastAsia="IRNazanin" w:cs="IRNazanin"/>
          <w:lang w:bidi="fa-IR"/>
          <w:color w:val="111111"/>
          <w:sz w:val="28"/>
          <w:szCs w:val="28"/>
          <w:rtl/>
        </w:rPr>
        <w:t xml:space="preserve">من وجه</w:t>
      </w:r>
      <w:r>
        <w:rPr>
          <w:rStyle w:val="FootnoteReference"/>
        </w:rPr>
        <w:footnoteReference w:id="1014"/>
      </w:r>
      <w:r>
        <w:rPr>
          <w:rFonts w:ascii="IRNazanin" w:hAnsi="IRNazanin" w:eastAsia="IRNazanin" w:cs="IRNazanin"/>
          <w:lang w:bidi="fa-IR"/>
          <w:color w:val="111111"/>
          <w:sz w:val="28"/>
          <w:szCs w:val="28"/>
          <w:rtl/>
        </w:rPr>
        <w:t xml:space="preserve">من الجنس ففي التقرير السّابق سلّم اتّحادهما في الوجود الخارجي حقیقة.</w:t>
      </w:r>
    </w:p>
    <w:p>
      <w:pPr>
        <w:pStyle w:val="BookText"/>
      </w:pPr>
      <w:r>
        <w:rPr>
          <w:rFonts w:ascii="Amiri" w:hAnsi="Amiri" w:eastAsia="Amiri" w:cs="Amiri"/>
          <w:lang w:bidi="ar-SA"/>
          <w:color w:val="111111"/>
          <w:sz w:val="28"/>
          <w:szCs w:val="28"/>
          <w:rtl/>
        </w:rPr>
        <w:t xml:space="preserve">لكن قيل: إنّه لا يضرّ بعد كون الحكم وارداً على الطبيعة وفي هذا التقرير يدّعى عدم الاتّحاد فيه فلو قلنا إنّ الاتّحاد في الوجود يضرّ في جواز الاجتماع لا يتمّ الدليل بالتقرير السّابق ويتمّ بهذا التقرير ولازم هذا التقرير كما ترى أنّ كون النسبة عموماً من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5" w:name="pg6784_51302"/>
    <w:bookmarkEnd w:id="145"/>
    <w:p>
      <w:pPr>
        <w:pStyle w:val="BookText"/>
      </w:pPr>
      <w:r>
        <w:rPr>
          <w:rFonts w:ascii="Amiri" w:hAnsi="Amiri" w:eastAsia="Amiri" w:cs="Amiri"/>
          <w:lang w:bidi="ar-SA"/>
          <w:color w:val="111111"/>
          <w:sz w:val="28"/>
          <w:szCs w:val="28"/>
          <w:rtl/>
        </w:rPr>
        <w:t xml:space="preserve">وجه إنّما هو بلحاظ المورد لا المصداق، فبالنسبة إلى المصداق متباينان وبالنسبة إلى المورد بينهما عموم من وجه.</w:t>
      </w:r>
    </w:p>
    <w:p>
      <w:pPr>
        <w:pStyle w:val="Heading6"/>
      </w:pPr>
      <w:bookmarkStart w:id="571" w:name="_Toc252"/>
      <w:r>
        <w:t>[إیراد على هذا التقریر]</w:t>
      </w:r>
      <w:bookmarkEnd w:id="571"/>
    </w:p>
    <w:p>
      <w:pPr>
        <w:pStyle w:val="BookText"/>
      </w:pPr>
      <w:r>
        <w:rPr>
          <w:rFonts w:ascii="IRNazanin" w:hAnsi="IRNazanin" w:eastAsia="IRNazanin" w:cs="IRNazanin"/>
          <w:lang w:bidi="fa-IR"/>
          <w:color w:val="111111"/>
          <w:sz w:val="28"/>
          <w:szCs w:val="28"/>
          <w:rtl/>
        </w:rPr>
        <w:t xml:space="preserve">هذا ولكنّ التحقیق عدم صحّة هذا التقرير وذلك لأنّ ما ذكروه من عدم الاتّحاد إلّا في الأعمّ والأخصّ أي الجنس والفصل، مرادهم الاتّحاد بحسب الذات لا الوجود الخارجي؛ إذ الاتّحاد فيه معلوم بالوجدان فإنّ الحيوان الأبيض مصداق للأبيض والحيوان قطعاً وليس ه-ٰهنا مصداقان ووجودان في الخارج ولذا يصحّ حمل أحدهما على الآخر ومن المعلوم أنّ المناط فيه الاتّحاد في الوجود الخارجي.وأمّا الاتّحاد بحسب الذات فلا بدّ فيه من كون أحد الشيئين جنساً والآخر فصلاً ولا يكفيه مجرّد الأعمّيّة والأخصّيّة ولذا لا يكون النّوع أو</w:t>
      </w:r>
      <w:r>
        <w:rPr>
          <w:rStyle w:val="FootnoteReference"/>
        </w:rPr>
        <w:footnoteReference w:id="1015"/>
      </w:r>
      <w:r>
        <w:rPr>
          <w:rFonts w:ascii="IRNazanin" w:hAnsi="IRNazanin" w:eastAsia="IRNazanin" w:cs="IRNazanin"/>
          <w:lang w:bidi="fa-IR"/>
          <w:color w:val="111111"/>
          <w:sz w:val="28"/>
          <w:szCs w:val="28"/>
          <w:rtl/>
        </w:rPr>
        <w:t xml:space="preserve">الجنس</w:t>
      </w:r>
      <w:r>
        <w:rPr>
          <w:rStyle w:val="FootnoteReference"/>
        </w:rPr>
        <w:footnoteReference w:id="1016"/>
      </w:r>
      <w:r>
        <w:rPr>
          <w:rFonts w:ascii="IRNazanin" w:hAnsi="IRNazanin" w:eastAsia="IRNazanin" w:cs="IRNazanin"/>
          <w:lang w:bidi="fa-IR"/>
          <w:color w:val="111111"/>
          <w:sz w:val="28"/>
          <w:szCs w:val="28"/>
          <w:rtl/>
        </w:rPr>
        <w:t xml:space="preserve">متّحداً مع العرض الخاصّ بحسب الذّات بل بحسب الوجود فقط.</w:t>
      </w:r>
    </w:p>
    <w:p>
      <w:pPr>
        <w:pStyle w:val="BookText"/>
      </w:pPr>
      <w:r>
        <w:rPr>
          <w:rFonts w:ascii="Amiri" w:hAnsi="Amiri" w:eastAsia="Amiri" w:cs="Amiri"/>
          <w:lang w:bidi="ar-SA"/>
          <w:color w:val="111111"/>
          <w:sz w:val="28"/>
          <w:szCs w:val="28"/>
          <w:rtl/>
        </w:rPr>
        <w:t xml:space="preserve">والسرّ في ذلك أنّ الاتّحاد الذاتي لا بدّ أن يكون بين اللامتحصّل والمتحصّل حتّى يكون الأوّل فانياً في الثاني كالجنس والفصل والهيولى والصّورة.</w:t>
      </w:r>
    </w:p>
    <w:p>
      <w:pPr>
        <w:pStyle w:val="BookText"/>
      </w:pPr>
      <w:r>
        <w:rPr>
          <w:rFonts w:ascii="IRNazanin" w:hAnsi="IRNazanin" w:eastAsia="IRNazanin" w:cs="IRNazanin"/>
          <w:lang w:bidi="fa-IR"/>
          <w:color w:val="111111"/>
          <w:sz w:val="28"/>
          <w:szCs w:val="28"/>
          <w:rtl/>
        </w:rPr>
        <w:t xml:space="preserve">وأمّا العامّان من وجه فيكون کلّ منهما متحصّلاً في حدّ نفسه فلا يمكن الاتّحاد بينهما لعدم إمکان فناء أحدهما في الآخر بحسب الذّات، وكذا بالنّسبة إلى النوع والجنس والعرض الخاصّ؛ لأنّ النّوع متحصّل فلا يتّحد مع العرض وليس داخلاً في ذاته أیضاً، والجنس وإن کان لا متحصّلاً</w:t>
      </w:r>
      <w:r>
        <w:rPr>
          <w:rStyle w:val="FootnoteReference"/>
        </w:rPr>
        <w:footnoteReference w:id="1017"/>
      </w:r>
      <w:r>
        <w:rPr>
          <w:rFonts w:ascii="Amiri" w:hAnsi="Amiri" w:eastAsia="Amiri" w:cs="Amiri"/>
          <w:lang w:bidi="ar-SA"/>
          <w:color w:val="111111"/>
          <w:sz w:val="28"/>
          <w:szCs w:val="28"/>
          <w:rtl/>
        </w:rPr>
        <w:t xml:space="preserve">إلّا أنّ تحصّله ليس بالعرض بل بالفصل، فاتّحاد الأنواع والأجناس والفصول مع الأعراض الخاصّة والعامّة إنّما هو في الوجود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6" w:name="pg6784_51303"/>
    <w:bookmarkEnd w:id="146"/>
    <w:p>
      <w:pPr>
        <w:pStyle w:val="BookText"/>
      </w:pPr>
      <w:r>
        <w:rPr>
          <w:rFonts w:ascii="IRNazanin" w:hAnsi="IRNazanin" w:eastAsia="IRNazanin" w:cs="IRNazanin"/>
          <w:lang w:bidi="fa-IR"/>
          <w:color w:val="111111"/>
          <w:sz w:val="28"/>
          <w:szCs w:val="28"/>
          <w:rtl/>
        </w:rPr>
        <w:t xml:space="preserve">فقط، والکلّي الّذي بينه وبين الآخر عموم من وجه يكون عرضاً عامّاً</w:t>
      </w:r>
      <w:r>
        <w:rPr>
          <w:rStyle w:val="FootnoteReference"/>
        </w:rPr>
        <w:footnoteReference w:id="1018"/>
      </w:r>
      <w:r>
        <w:rPr>
          <w:rFonts w:ascii="Amiri" w:hAnsi="Amiri" w:eastAsia="Amiri" w:cs="Amiri"/>
          <w:lang w:bidi="ar-SA"/>
          <w:color w:val="111111"/>
          <w:sz w:val="28"/>
          <w:szCs w:val="28"/>
          <w:rtl/>
        </w:rPr>
        <w:t xml:space="preserve">بالنّسبة إليه لا محالة.</w:t>
      </w:r>
    </w:p>
    <w:p>
      <w:pPr>
        <w:pStyle w:val="BookText"/>
      </w:pPr>
      <w:r>
        <w:rPr>
          <w:rFonts w:ascii="Amiri" w:hAnsi="Amiri" w:eastAsia="Amiri" w:cs="Amiri"/>
          <w:lang w:bidi="ar-SA"/>
          <w:color w:val="111111"/>
          <w:sz w:val="28"/>
          <w:szCs w:val="28"/>
          <w:rtl/>
        </w:rPr>
        <w:t xml:space="preserve">فتبيّن أنّ دعوى التغاير بحسب المصداق والوجود الخارجي في العامّين من وجه في غير محلّه فلو لم نكتف في جواز الاجتماع بما ذكرنا في التقرير الأوّل وقلنا بكون الاتّحاد في الوجود مضرّاً لا يمكن إتمام الدليل.</w:t>
      </w:r>
    </w:p>
    <w:p>
      <w:pPr>
        <w:pStyle w:val="Heading6"/>
      </w:pPr>
      <w:bookmarkStart w:id="572" w:name="_Toc253"/>
      <w:r>
        <w:t>[استدراك في خروج بعض الموارد عن الإیراد]</w:t>
      </w:r>
      <w:bookmarkEnd w:id="572"/>
    </w:p>
    <w:p>
      <w:pPr>
        <w:pStyle w:val="BookText"/>
      </w:pPr>
      <w:r>
        <w:rPr>
          <w:rFonts w:ascii="Amiri" w:hAnsi="Amiri" w:eastAsia="Amiri" w:cs="Amiri"/>
          <w:lang w:bidi="ar-SA"/>
          <w:color w:val="111111"/>
          <w:sz w:val="28"/>
          <w:szCs w:val="28"/>
          <w:rtl/>
        </w:rPr>
        <w:t xml:space="preserve">نعم لو كان العامّان</w:t>
      </w:r>
      <w:r>
        <w:rPr>
          <w:rStyle w:val="FootnoteReference"/>
        </w:rPr>
        <w:footnoteReference w:id="1019"/>
      </w:r>
      <w:r>
        <w:rPr>
          <w:rFonts w:ascii="Amiri" w:hAnsi="Amiri" w:eastAsia="Amiri" w:cs="Amiri"/>
          <w:lang w:bidi="ar-SA"/>
          <w:color w:val="111111"/>
          <w:sz w:val="28"/>
          <w:szCs w:val="28"/>
          <w:rtl/>
        </w:rPr>
        <w:t xml:space="preserve">من العناوين الثانوية والأفعال التوليديّة كالتأديب والتعظيم والظّلم والإيذاء ونحوها كما إذا قال: «أدّب زيداً ولا تؤذه» فيما لو أمكن التأديب بغير الضرب فأدّبه بالضّرب يمكن أن يقال: إنّهما موجودان في الخارج بوجودين متغايرين وذلك لأنّ وجود هذه العناوين إنّما هو بنحو من الاعتبار وليست متّحدة مع العناوينالأوّلية بل هي منشأ</w:t>
      </w:r>
      <w:r>
        <w:rPr>
          <w:rStyle w:val="FootnoteReference"/>
        </w:rPr>
        <w:footnoteReference w:id="1020"/>
      </w:r>
      <w:r>
        <w:rPr>
          <w:rFonts w:ascii="Amiri" w:hAnsi="Amiri" w:eastAsia="Amiri" w:cs="Amiri"/>
          <w:lang w:bidi="ar-SA"/>
          <w:color w:val="111111"/>
          <w:sz w:val="28"/>
          <w:szCs w:val="28"/>
          <w:rtl/>
        </w:rPr>
        <w:t xml:space="preserve">انتزاعها واعتبارها فبالضّرب الّذي هو العنوان الأوّلي يتحقّق التّأديب وهو أمر آخر غير الضّرب بل متولّد منه وكذا الإحراق والإلقاء في النّار.</w:t>
      </w:r>
    </w:p>
    <w:p>
      <w:pPr>
        <w:pStyle w:val="BookText"/>
      </w:pPr>
      <w:r>
        <w:rPr>
          <w:rFonts w:ascii="Amiri" w:hAnsi="Amiri" w:eastAsia="Amiri" w:cs="Amiri"/>
          <w:lang w:bidi="ar-SA"/>
          <w:color w:val="111111"/>
          <w:sz w:val="28"/>
          <w:szCs w:val="28"/>
          <w:rtl/>
        </w:rPr>
        <w:t xml:space="preserve">ودعوى أنّ وجود الإحراق عين وجود الإلقاء وهكذا، كما ترى؛ إذ من المعلوم أنّ العلّة غير متّحدة في الخارج مع المعلول ولا يلزم أن يكون الفعل الخارجي من قبيل الحركة والسّكون حتّى يقال: ليس في الخارج وراء الإلقاء أو الضرب أو نحو ذلك حركة وسكون، كيف ولازم ذلك إنكار كون العناوين الثانوية من أفعال</w:t>
      </w:r>
      <w:r>
        <w:rPr>
          <w:rStyle w:val="FootnoteReference"/>
        </w:rPr>
        <w:footnoteReference w:id="1021"/>
      </w:r>
      <w:r>
        <w:rPr>
          <w:rFonts w:ascii="IRNazanin" w:hAnsi="IRNazanin" w:eastAsia="IRNazanin" w:cs="IRNazanin"/>
          <w:lang w:bidi="fa-IR"/>
          <w:color w:val="111111"/>
          <w:sz w:val="28"/>
          <w:szCs w:val="28"/>
          <w:rtl/>
        </w:rPr>
        <w:t xml:space="preserve">المکلّفين وجعلها من آثار الأفعال وهو خلاف التحقیق.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لها نحو آخر من الوجود وهو الاعتبار المنتزع من الأفعال الأوّليّة وحينئذٍ فنقول: اعتبار التأديب غير اعتبار الإيذاء في الخارج وإن كانا منتزعين من فعل واحد وهو الضرب فإن أريد من التقرير المذكور هذا المقدار في</w:t>
      </w:r>
      <w:r>
        <w:rPr>
          <w:rStyle w:val="FootnoteReference"/>
        </w:rPr>
        <w:footnoteReference w:id="1022"/>
      </w:r>
      <w:r>
        <w:rPr>
          <w:rFonts w:ascii="IRNazanin" w:hAnsi="IRNazanin" w:eastAsia="IRNazanin" w:cs="IRNazanin"/>
          <w:lang w:bidi="fa-IR"/>
          <w:color w:val="111111"/>
          <w:sz w:val="28"/>
          <w:szCs w:val="28"/>
          <w:rtl/>
        </w:rPr>
        <w:t xml:space="preserve">هذا القسم من الأفعال فهو صحيح، وان أراد الکلّية فلا نسلّم</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ثمّ إنّ الصّلاة والغصب ليسا من العناوين الانتزاعيّة الثانوية بل الصّلاة عبارة عن نفس الأفعال الخارجيّة فهي نظير السكنجبين المركّب من الخَلّ والدِبْس مركّبة من الأفعال المعهودة ولو كانت عنواناً منتزعاً من هذه الأفعال وكانت هذه الأفعال محقّقة لها لزم عدم جريان أصل البراءة عند الشّك في الشرطيّة والجزئيّة؛ لأنّ الشكّ حينئذٍ يرجع إلى المحقّق لذلك العنوان البسيط نظير الشّكّ في جزئيّة شي‌ء للوضوء ولا يجري الأصل حینئذٍ كما قرّر في محلّه؛ إذ لا يمكن على هذا الفرض أن يقال: إنّ القدر المعلوم من التکلیف ما عدا الجزء أو الشرط المشكوكين.</w:t>
      </w:r>
    </w:p>
    <w:p>
      <w:pPr>
        <w:pStyle w:val="BookText"/>
      </w:pPr>
      <w:r>
        <w:rPr>
          <w:rFonts w:ascii="Amiri" w:hAnsi="Amiri" w:eastAsia="Amiri" w:cs="Amiri"/>
          <w:lang w:bidi="ar-SA"/>
          <w:color w:val="111111"/>
          <w:sz w:val="28"/>
          <w:szCs w:val="28"/>
          <w:rtl/>
        </w:rPr>
        <w:t xml:space="preserve">وذلك لأنّ الواجب حينئذٍ هو ذلك العنوان فيجب تحصيله كما أنّ الواجب في الوضوء هو الطهارة ولا بدّ من تحصيلها ومقتضاه عدم جريان الأصل في الشكّ في جزئيّة شي‌ء للوضوء.</w:t>
      </w:r>
    </w:p>
    <w:p>
      <w:pPr>
        <w:pStyle w:val="BookText"/>
      </w:pPr>
      <w:r>
        <w:rPr>
          <w:rFonts w:ascii="Amiri" w:hAnsi="Amiri" w:eastAsia="Amiri" w:cs="Amiri"/>
          <w:lang w:bidi="ar-SA"/>
          <w:color w:val="111111"/>
          <w:sz w:val="28"/>
          <w:szCs w:val="28"/>
          <w:rtl/>
        </w:rPr>
        <w:t xml:space="preserve">والحاصل: أنّ من المعلوم أنّ الصلاة اسم لهذه الأفعال الخارجيّة وكذاالغصب عبارة عن التصرّف في مال الغير فالصّلاة في الدار الغصبيّة مصداق للتصرّف والأفعال</w:t>
      </w:r>
      <w:r>
        <w:rPr>
          <w:rStyle w:val="FootnoteReference"/>
        </w:rPr>
        <w:footnoteReference w:id="1024"/>
      </w:r>
      <w:r>
        <w:rPr>
          <w:rFonts w:ascii="Amiri" w:hAnsi="Amiri" w:eastAsia="Amiri" w:cs="Amiri"/>
          <w:lang w:bidi="ar-SA"/>
          <w:color w:val="111111"/>
          <w:sz w:val="28"/>
          <w:szCs w:val="28"/>
          <w:rtl/>
        </w:rPr>
        <w:t xml:space="preserve">المعهودة وهذا بخلاف التأديب والإيذاء كما عرفت فإنّ الاتّحاد الخارجي بينهما إنّما هو بالنّسبة إلى منشأِ انتزاعهما وهو الضرب.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47" w:name="pg6784_51305"/>
    <w:bookmarkEnd w:id="147"/>
    <w:p>
      <w:pPr>
        <w:pStyle w:val="Heading6"/>
      </w:pPr>
      <w:bookmarkStart w:id="573" w:name="_Toc254"/>
      <w:r>
        <w:t>[إیرادات صاحب هدایة المسترشدین (رحمة الله‌علیه) على التقریر الثاني وأجوبتها]</w:t>
      </w:r>
      <w:bookmarkEnd w:id="573"/>
    </w:p>
    <w:p>
      <w:pPr>
        <w:pStyle w:val="Heading6"/>
      </w:pPr>
      <w:bookmarkStart w:id="574" w:name="_Toc255"/>
      <w:r>
        <w:t>اشارة</w:t>
      </w:r>
      <w:bookmarkEnd w:id="574"/>
    </w:p>
    <w:p>
      <w:pPr>
        <w:pStyle w:val="BookText"/>
      </w:pPr>
      <w:r>
        <w:rPr>
          <w:rFonts w:ascii="Amiri" w:hAnsi="Amiri" w:eastAsia="Amiri" w:cs="Amiri"/>
          <w:lang w:bidi="ar-SA"/>
          <w:color w:val="111111"/>
          <w:sz w:val="28"/>
          <w:szCs w:val="28"/>
          <w:rtl/>
        </w:rPr>
        <w:t xml:space="preserve">وممّا ذكرنا من صحّة التقرير المذكور في بعض الموارد وعدمها في البعض</w:t>
      </w:r>
      <w:r>
        <w:rPr>
          <w:rStyle w:val="FootnoteReference"/>
        </w:rPr>
        <w:footnoteReference w:id="1025"/>
      </w:r>
      <w:r>
        <w:rPr>
          <w:rFonts w:ascii="Amiri" w:hAnsi="Amiri" w:eastAsia="Amiri" w:cs="Amiri"/>
          <w:lang w:bidi="ar-SA"/>
          <w:color w:val="111111"/>
          <w:sz w:val="28"/>
          <w:szCs w:val="28"/>
          <w:rtl/>
        </w:rPr>
        <w:t xml:space="preserve">الآخر ظهر النظر فيما ذكره في الحاشية</w:t>
      </w:r>
      <w:r>
        <w:rPr>
          <w:rStyle w:val="FootnoteReference"/>
        </w:rPr>
        <w:footnoteReference w:id="1026"/>
      </w:r>
      <w:r>
        <w:rPr>
          <w:rFonts w:ascii="Amiri" w:hAnsi="Amiri" w:eastAsia="Amiri" w:cs="Amiri"/>
          <w:lang w:bidi="ar-SA"/>
          <w:color w:val="111111"/>
          <w:sz w:val="28"/>
          <w:szCs w:val="28"/>
          <w:rtl/>
        </w:rPr>
        <w:t xml:space="preserve">جواباً عنه من الوجوه الّتي:</w:t>
      </w:r>
    </w:p>
    <w:p>
      <w:pPr>
        <w:pStyle w:val="Heading6"/>
      </w:pPr>
      <w:bookmarkStart w:id="575" w:name="_Toc256"/>
      <w:r>
        <w:t>[إیراد الأوّل]</w:t>
      </w:r>
      <w:bookmarkEnd w:id="575"/>
    </w:p>
    <w:p>
      <w:pPr>
        <w:pStyle w:val="BookText"/>
      </w:pPr>
      <w:r>
        <w:rPr>
          <w:rFonts w:ascii="Amiri" w:hAnsi="Amiri" w:eastAsia="Amiri" w:cs="Amiri"/>
          <w:lang w:bidi="ar-SA"/>
          <w:color w:val="111111"/>
          <w:sz w:val="28"/>
          <w:szCs w:val="28"/>
          <w:rtl/>
        </w:rPr>
        <w:t xml:space="preserve">محصّل أوّلها: أنّ الطبائع المقرّرة في الشّريعة كالصّلاة والغصب من الأمور الاعتباريّة بحسب الخارج لا وجود لها إلّا بوجود منشأ انتزاعها وهو متّحد في الخارج فإنّ الكون في المكان موجود واحد ينتزع منه الصّلاة والغصب وهما وإن كانا متغايرين في وجودهما الاعتباري إلّا أنّه لا وجود لشيء منهما استقلالاً بل بتبعيّة وجود منشأ انتزاعهما.</w:t>
      </w:r>
    </w:p>
    <w:p>
      <w:pPr>
        <w:pStyle w:val="BookText"/>
      </w:pPr>
      <w:r>
        <w:rPr>
          <w:rFonts w:ascii="Amiri" w:hAnsi="Amiri" w:eastAsia="Amiri" w:cs="Amiri"/>
          <w:lang w:bidi="ar-SA"/>
          <w:color w:val="111111"/>
          <w:sz w:val="28"/>
          <w:szCs w:val="28"/>
          <w:rtl/>
        </w:rPr>
        <w:t xml:space="preserve">فالطلب المتعلّق بهما يتعلّق بهما بلحاظ وجود منشأ انتزاعهما بمعنى أنّ الطلب متعلّق بهما إلّا أنّ الغرض منه</w:t>
      </w:r>
      <w:r>
        <w:rPr>
          <w:rStyle w:val="FootnoteReference"/>
        </w:rPr>
        <w:footnoteReference w:id="1027"/>
      </w:r>
      <w:r>
        <w:rPr>
          <w:rFonts w:ascii="Amiri" w:hAnsi="Amiri" w:eastAsia="Amiri" w:cs="Amiri"/>
          <w:lang w:bidi="ar-SA"/>
          <w:color w:val="111111"/>
          <w:sz w:val="28"/>
          <w:szCs w:val="28"/>
          <w:rtl/>
        </w:rPr>
        <w:t xml:space="preserve">إيجادهما بإيجاد المنشأ لا بلحاظ نفسهما فلا يثمر</w:t>
      </w:r>
      <w:r>
        <w:rPr>
          <w:rStyle w:val="FootnoteReference"/>
        </w:rPr>
        <w:footnoteReference w:id="1028"/>
      </w:r>
      <w:r>
        <w:rPr>
          <w:rFonts w:ascii="Amiri" w:hAnsi="Amiri" w:eastAsia="Amiri" w:cs="Amiri"/>
          <w:lang w:bidi="ar-SA"/>
          <w:color w:val="111111"/>
          <w:sz w:val="28"/>
          <w:szCs w:val="28"/>
          <w:rtl/>
        </w:rPr>
        <w:t xml:space="preserve">التغاير بينهما في حدّ نفسهما بوجودهما الاعتباري.</w:t>
      </w:r>
      <w:r>
        <w:rPr>
          <w:rStyle w:val="FootnoteReference"/>
        </w:rPr>
        <w:footnoteReference w:id="1029"/>
      </w:r>
    </w:p>
    <w:p>
      <w:pPr>
        <w:pStyle w:val="Heading6"/>
      </w:pPr>
      <w:bookmarkStart w:id="576" w:name="_Toc257"/>
      <w:r>
        <w:t>[الجواب عن الإیراد الأوّل]</w:t>
      </w:r>
      <w:bookmarkEnd w:id="576"/>
    </w:p>
    <w:p>
      <w:pPr>
        <w:pStyle w:val="BookText"/>
      </w:pPr>
      <w:r>
        <w:rPr>
          <w:rFonts w:ascii="Amiri" w:hAnsi="Amiri" w:eastAsia="Amiri" w:cs="Amiri"/>
          <w:lang w:bidi="ar-SA"/>
          <w:color w:val="111111"/>
          <w:sz w:val="28"/>
          <w:szCs w:val="28"/>
          <w:rtl/>
        </w:rPr>
        <w:t xml:space="preserve">وفيه: أوّلاً: ما اعترف به من أنّه إذا كان لهما نحو من الوجود الاعتباري والمفروض تعلّق الطلب بهما فلا وجه لصرفه إلى منشأ انتزاعهما؛ لأنّ متعلّق المصلحةوالمفسدة هو ذلك الوجود الاعتباري.</w:t>
      </w:r>
    </w:p>
    <w:p>
      <w:pPr>
        <w:pStyle w:val="BookText"/>
      </w:pPr>
      <w:r>
        <w:rPr>
          <w:rFonts w:ascii="Amiri" w:hAnsi="Amiri" w:eastAsia="Amiri" w:cs="Amiri"/>
          <w:lang w:bidi="ar-SA"/>
          <w:color w:val="111111"/>
          <w:sz w:val="28"/>
          <w:szCs w:val="28"/>
          <w:rtl/>
        </w:rPr>
        <w:t xml:space="preserve">وثانياً: أنّا نمنع كون الطبائع المقرّرة من الأمور الاعتباريّة مطلقاً فمثل الصّلاة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8" w:name="pg6784_51306"/>
    <w:bookmarkEnd w:id="148"/>
    <w:p>
      <w:pPr>
        <w:pStyle w:val="BookText"/>
      </w:pPr>
      <w:r>
        <w:rPr>
          <w:rFonts w:ascii="Amiri" w:hAnsi="Amiri" w:eastAsia="Amiri" w:cs="Amiri"/>
          <w:lang w:bidi="ar-SA"/>
          <w:color w:val="111111"/>
          <w:sz w:val="28"/>
          <w:szCs w:val="28"/>
          <w:rtl/>
        </w:rPr>
        <w:t xml:space="preserve">والغصب من الأفعال الخارجيّة كما عرفت.</w:t>
      </w:r>
    </w:p>
    <w:p>
      <w:pPr>
        <w:pStyle w:val="Heading6"/>
      </w:pPr>
      <w:bookmarkStart w:id="577" w:name="_Toc258"/>
      <w:r>
        <w:t>[الإیراد الثاني]</w:t>
      </w:r>
      <w:bookmarkEnd w:id="577"/>
    </w:p>
    <w:p>
      <w:pPr>
        <w:pStyle w:val="BookText"/>
      </w:pPr>
      <w:r>
        <w:rPr>
          <w:rFonts w:ascii="IRNazanin" w:hAnsi="IRNazanin" w:eastAsia="IRNazanin" w:cs="IRNazanin"/>
          <w:lang w:bidi="fa-IR"/>
          <w:color w:val="111111"/>
          <w:sz w:val="28"/>
          <w:szCs w:val="28"/>
          <w:rtl/>
        </w:rPr>
        <w:t xml:space="preserve">ومحصّل ثانيها: أنّ التكاليف المتعلّقة بها إنّما تتوجّه إلى الأفعال الخارجيّة فالصّلاة وإن كانت من الأمور الاعتباريّة المنتزعة من الأفعال الخارجيّة من الحركات والسّكنات وتعلّق الطلب بها في الشريعة إلّا أنّه يرد حقیقة على تلك الأفعال وهي متّحدة مع الحركات الغصبيّة في الخارج.</w:t>
      </w:r>
    </w:p>
    <w:p>
      <w:pPr>
        <w:pStyle w:val="BookText"/>
      </w:pPr>
      <w:r>
        <w:rPr>
          <w:rFonts w:ascii="Amiri" w:hAnsi="Amiri" w:eastAsia="Amiri" w:cs="Amiri"/>
          <w:lang w:bidi="ar-SA"/>
          <w:color w:val="111111"/>
          <w:sz w:val="28"/>
          <w:szCs w:val="28"/>
          <w:rtl/>
        </w:rPr>
        <w:t xml:space="preserve">والفرق بين هذا الوجه والسّابق أنّه سلّم في السّابق تعلّق الأمر بتلك الأمور الاعتباريّة إلّا أنّه قال: إنّ معنى إيجادها إيجادها بإيجاد منشأ انتزاعها</w:t>
      </w:r>
      <w:r>
        <w:rPr>
          <w:rStyle w:val="FootnoteReference"/>
        </w:rPr>
        <w:footnoteReference w:id="1030"/>
      </w:r>
      <w:r>
        <w:rPr>
          <w:rFonts w:ascii="Amiri" w:hAnsi="Amiri" w:eastAsia="Amiri" w:cs="Amiri"/>
          <w:lang w:bidi="ar-SA"/>
          <w:color w:val="111111"/>
          <w:sz w:val="28"/>
          <w:szCs w:val="28"/>
          <w:rtl/>
        </w:rPr>
        <w:t xml:space="preserve">وفي هذا الوجه يقول: إنّ</w:t>
      </w:r>
      <w:r>
        <w:rPr>
          <w:rStyle w:val="FootnoteReference"/>
        </w:rPr>
        <w:footnoteReference w:id="1031"/>
      </w:r>
      <w:r>
        <w:rPr>
          <w:rFonts w:ascii="IRNazanin" w:hAnsi="IRNazanin" w:eastAsia="IRNazanin" w:cs="IRNazanin"/>
          <w:lang w:bidi="fa-IR"/>
          <w:color w:val="111111"/>
          <w:sz w:val="28"/>
          <w:szCs w:val="28"/>
          <w:rtl/>
        </w:rPr>
        <w:t xml:space="preserve">التکلیف من الأوّل يرد على المنشأ.</w:t>
      </w:r>
      <w:r>
        <w:rPr>
          <w:rStyle w:val="FootnoteReference"/>
        </w:rPr>
        <w:footnoteReference w:id="1032"/>
      </w:r>
    </w:p>
    <w:p>
      <w:pPr>
        <w:pStyle w:val="Heading6"/>
      </w:pPr>
      <w:bookmarkStart w:id="578" w:name="_Toc259"/>
      <w:r>
        <w:t>[الجواب عن الإیراد الثاني]</w:t>
      </w:r>
      <w:bookmarkEnd w:id="578"/>
    </w:p>
    <w:p>
      <w:pPr>
        <w:pStyle w:val="BookText"/>
      </w:pPr>
      <w:r>
        <w:rPr>
          <w:rFonts w:ascii="IRNazanin" w:hAnsi="IRNazanin" w:eastAsia="IRNazanin" w:cs="IRNazanin"/>
          <w:lang w:bidi="fa-IR"/>
          <w:color w:val="111111"/>
          <w:sz w:val="28"/>
          <w:szCs w:val="28"/>
          <w:rtl/>
        </w:rPr>
        <w:t xml:space="preserve">وفيه: منع ذلك فإنّ الأفعال التوليديّة متعلّقة للطلب حقیقة دون عللها.</w:t>
      </w:r>
    </w:p>
    <w:p>
      <w:pPr>
        <w:pStyle w:val="BookText"/>
      </w:pPr>
      <w:r>
        <w:rPr>
          <w:rFonts w:ascii="Amiri" w:hAnsi="Amiri" w:eastAsia="Amiri" w:cs="Amiri"/>
          <w:lang w:bidi="ar-SA"/>
          <w:color w:val="111111"/>
          <w:sz w:val="28"/>
          <w:szCs w:val="28"/>
          <w:rtl/>
        </w:rPr>
        <w:t xml:space="preserve">ودعوى أنّها غير مقدورة؛ مدفوعة بكفاية القدرة بالواسطة.</w:t>
      </w:r>
    </w:p>
    <w:p>
      <w:pPr>
        <w:pStyle w:val="BookText"/>
      </w:pPr>
      <w:r>
        <w:rPr>
          <w:rFonts w:ascii="Amiri" w:hAnsi="Amiri" w:eastAsia="Amiri" w:cs="Amiri"/>
          <w:lang w:bidi="ar-SA"/>
          <w:color w:val="111111"/>
          <w:sz w:val="28"/>
          <w:szCs w:val="28"/>
          <w:rtl/>
        </w:rPr>
        <w:t xml:space="preserve">ودعوى أنّها من الآثار للأفعال ولا يتعلّق القدرة</w:t>
      </w:r>
      <w:r>
        <w:rPr>
          <w:rStyle w:val="FootnoteReference"/>
        </w:rPr>
        <w:footnoteReference w:id="1033"/>
      </w:r>
      <w:r>
        <w:rPr>
          <w:rFonts w:ascii="IRNazanin" w:hAnsi="IRNazanin" w:eastAsia="IRNazanin" w:cs="IRNazanin"/>
          <w:lang w:bidi="fa-IR"/>
          <w:color w:val="111111"/>
          <w:sz w:val="28"/>
          <w:szCs w:val="28"/>
          <w:rtl/>
        </w:rPr>
        <w:t xml:space="preserve">إلّا بالفعل؛</w:t>
      </w:r>
    </w:p>
    <w:p>
      <w:pPr>
        <w:pStyle w:val="BookText"/>
      </w:pPr>
      <w:r>
        <w:rPr>
          <w:rFonts w:ascii="IRNazanin" w:hAnsi="IRNazanin" w:eastAsia="IRNazanin" w:cs="IRNazanin"/>
          <w:lang w:bidi="fa-IR"/>
          <w:color w:val="111111"/>
          <w:sz w:val="28"/>
          <w:szCs w:val="28"/>
          <w:rtl/>
        </w:rPr>
        <w:t xml:space="preserve">مدفوعة بخروجه عن الفرض، فإنّ المفروض أنّها أفعال للمکلّف كما لا يخفى.</w:t>
      </w:r>
    </w:p>
    <w:p>
      <w:pPr>
        <w:pStyle w:val="BookText"/>
      </w:pPr>
      <w:r>
        <w:rPr>
          <w:rFonts w:ascii="IRNazanin" w:hAnsi="IRNazanin" w:eastAsia="IRNazanin" w:cs="IRNazanin"/>
          <w:lang w:bidi="fa-IR"/>
          <w:color w:val="111111"/>
          <w:sz w:val="28"/>
          <w:szCs w:val="28"/>
          <w:rtl/>
        </w:rPr>
        <w:t xml:space="preserve">ودعوى أنّ الأمر بها أمر بعللها في نظر العرف، خلاف الواقع، فإذا فرضنا أنّ المصلحة في الإحراق وكونه مقدوراً بالواسطة يكون الطلب الوارد عليه متعلّقاً به حقیقة دون الإلقاء.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9" w:name="pg6784_51307"/>
    <w:bookmarkEnd w:id="149"/>
    <w:p>
      <w:pPr>
        <w:pStyle w:val="BookText"/>
      </w:pPr>
      <w:r>
        <w:rPr>
          <w:rFonts w:ascii="Amiri" w:hAnsi="Amiri" w:eastAsia="Amiri" w:cs="Amiri"/>
          <w:lang w:bidi="ar-SA"/>
          <w:color w:val="111111"/>
          <w:sz w:val="28"/>
          <w:szCs w:val="28"/>
          <w:rtl/>
        </w:rPr>
        <w:t xml:space="preserve">نعم يجب الإلقاء من باب المقدّمة بناء على القول بوجوبها.</w:t>
      </w:r>
    </w:p>
    <w:p>
      <w:pPr>
        <w:pStyle w:val="Heading6"/>
      </w:pPr>
      <w:bookmarkStart w:id="579" w:name="_Toc260"/>
      <w:r>
        <w:t>[الإیراد الثالث]</w:t>
      </w:r>
      <w:bookmarkEnd w:id="579"/>
    </w:p>
    <w:p>
      <w:pPr>
        <w:pStyle w:val="BookText"/>
      </w:pPr>
      <w:r>
        <w:rPr>
          <w:rFonts w:ascii="Amiri" w:hAnsi="Amiri" w:eastAsia="Amiri" w:cs="Amiri"/>
          <w:lang w:bidi="ar-SA"/>
          <w:color w:val="111111"/>
          <w:sz w:val="28"/>
          <w:szCs w:val="28"/>
          <w:rtl/>
        </w:rPr>
        <w:t xml:space="preserve">ومحصّل ثالثها: أنّ المفروض كون النّسبة بين الطبيعتين هي</w:t>
      </w:r>
      <w:r>
        <w:rPr>
          <w:rStyle w:val="FootnoteReference"/>
        </w:rPr>
        <w:footnoteReference w:id="1034"/>
      </w:r>
      <w:r>
        <w:rPr>
          <w:rFonts w:ascii="IRNazanin" w:hAnsi="IRNazanin" w:eastAsia="IRNazanin" w:cs="IRNazanin"/>
          <w:lang w:bidi="fa-IR"/>
          <w:color w:val="111111"/>
          <w:sz w:val="28"/>
          <w:szCs w:val="28"/>
          <w:rtl/>
        </w:rPr>
        <w:t xml:space="preserve">العموم</w:t>
      </w:r>
      <w:r>
        <w:rPr>
          <w:rStyle w:val="FootnoteReference"/>
        </w:rPr>
        <w:footnoteReference w:id="1035"/>
      </w:r>
      <w:r>
        <w:rPr>
          <w:rFonts w:ascii="Amiri" w:hAnsi="Amiri" w:eastAsia="Amiri" w:cs="Amiri"/>
          <w:lang w:bidi="ar-SA"/>
          <w:color w:val="111111"/>
          <w:sz w:val="28"/>
          <w:szCs w:val="28"/>
          <w:rtl/>
        </w:rPr>
        <w:t xml:space="preserve">من وجه ولا بدّ في مثلهما من الاتّحاد من جهة والمغايرة من أخرى فهما متّحدان بحسب المصداق في الخارج ومتغايران في وجودهما بحسب الذات في الخارج.</w:t>
      </w:r>
    </w:p>
    <w:p>
      <w:pPr>
        <w:pStyle w:val="BookText"/>
      </w:pPr>
      <w:r>
        <w:rPr>
          <w:rFonts w:ascii="Amiri" w:hAnsi="Amiri" w:eastAsia="Amiri" w:cs="Amiri"/>
          <w:lang w:bidi="ar-SA"/>
          <w:color w:val="111111"/>
          <w:sz w:val="28"/>
          <w:szCs w:val="28"/>
          <w:rtl/>
        </w:rPr>
        <w:t xml:space="preserve">ألا ترى أنّ الحيوان والأسود يصدقان على شي‌ء واحد ويحملان عليه مع أنّ مفاد الحمل هو الاتّحاد في الوجود ولا ينافيه كون وجود ذلك المصداق في نفسه مغايراً لوجود السّواد في نفسه أعني الأسود بما هو أسود. فهناك جهة اتّحاد وجهة مغايرة.</w:t>
      </w:r>
    </w:p>
    <w:p>
      <w:pPr>
        <w:pStyle w:val="BookText"/>
      </w:pPr>
      <w:r>
        <w:rPr>
          <w:rFonts w:ascii="IRNazanin" w:hAnsi="IRNazanin" w:eastAsia="IRNazanin" w:cs="IRNazanin"/>
          <w:lang w:bidi="fa-IR"/>
          <w:color w:val="111111"/>
          <w:sz w:val="28"/>
          <w:szCs w:val="28"/>
          <w:rtl/>
        </w:rPr>
        <w:t xml:space="preserve">وإنّما يصحّ الحمل بملاحظة الأولى دون الثانية ولذا لا يصحّ حمل السّواد على الجسم ويصحّ حمل الأسود عليه وتعلّق الأمر والنهي بهما إنّما هو من الجهة الأولی؛ إذ المفروض كون النّسبة هو العموم من وجه.</w:t>
      </w:r>
    </w:p>
    <w:p>
      <w:pPr>
        <w:pStyle w:val="BookText"/>
      </w:pPr>
      <w:r>
        <w:rPr>
          <w:rFonts w:ascii="Amiri" w:hAnsi="Amiri" w:eastAsia="Amiri" w:cs="Amiri"/>
          <w:lang w:bidi="ar-SA"/>
          <w:color w:val="111111"/>
          <w:sz w:val="28"/>
          <w:szCs w:val="28"/>
          <w:rtl/>
        </w:rPr>
        <w:t xml:space="preserve">ولو كان من الجهة الثانية كان بينهما المباينة في المصداق؛ إذ لا شي‌ء من حيثيّة الصلاة مثلاً بغصب ولا من حيثيّة الغصب</w:t>
      </w:r>
      <w:r>
        <w:rPr>
          <w:rStyle w:val="FootnoteReference"/>
        </w:rPr>
        <w:footnoteReference w:id="1036"/>
      </w:r>
      <w:r>
        <w:rPr>
          <w:rFonts w:ascii="Amiri" w:hAnsi="Amiri" w:eastAsia="Amiri" w:cs="Amiri"/>
          <w:lang w:bidi="ar-SA"/>
          <w:color w:val="111111"/>
          <w:sz w:val="28"/>
          <w:szCs w:val="28"/>
          <w:rtl/>
        </w:rPr>
        <w:t xml:space="preserve">بصلاة فيلزم توارد الأمر والنهي على شي‌ء واحد.</w:t>
      </w:r>
      <w:r>
        <w:rPr>
          <w:rStyle w:val="FootnoteReference"/>
        </w:rPr>
        <w:footnoteReference w:id="1037"/>
      </w:r>
    </w:p>
    <w:p>
      <w:pPr>
        <w:pStyle w:val="Heading6"/>
      </w:pPr>
      <w:bookmarkStart w:id="580" w:name="_Toc261"/>
      <w:r>
        <w:t>[الجواب عن الإیراد الثالث]</w:t>
      </w:r>
      <w:bookmarkEnd w:id="580"/>
    </w:p>
    <w:p>
      <w:pPr>
        <w:pStyle w:val="BookText"/>
      </w:pPr>
      <w:r>
        <w:rPr>
          <w:rFonts w:ascii="Amiri" w:hAnsi="Amiri" w:eastAsia="Amiri" w:cs="Amiri"/>
          <w:lang w:bidi="ar-SA"/>
          <w:color w:val="111111"/>
          <w:sz w:val="28"/>
          <w:szCs w:val="28"/>
          <w:rtl/>
        </w:rPr>
        <w:t xml:space="preserve">وفيه:أنّه إذا اعترف بمغايرتهما في الوجود الخارجي بحسب الذات فلا يبقى مجال لدعوى الاتّحاد في المصداق؛ إذ ليس الوجود الخارجي إلّا بوجود المصداق فمع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كون الوجود الخارجي في أحدهما مغايراً للوجود الخارجي للآخر يلزم المغايرة في المصداق أیضاً.</w:t>
      </w:r>
    </w:p>
    <w:p>
      <w:pPr>
        <w:pStyle w:val="BookText"/>
      </w:pPr>
      <w:r>
        <w:rPr>
          <w:rFonts w:ascii="IRNazanin" w:hAnsi="IRNazanin" w:eastAsia="IRNazanin" w:cs="IRNazanin"/>
          <w:lang w:bidi="fa-IR"/>
          <w:color w:val="111111"/>
          <w:sz w:val="28"/>
          <w:szCs w:val="28"/>
          <w:rtl/>
        </w:rPr>
        <w:t xml:space="preserve">والتحقیق في مثل الحيوان والأبيض أنّهما متغايران بحسب</w:t>
      </w:r>
      <w:r>
        <w:rPr>
          <w:rStyle w:val="FootnoteReference"/>
        </w:rPr>
        <w:footnoteReference w:id="1038"/>
      </w:r>
      <w:r>
        <w:rPr>
          <w:rFonts w:ascii="Amiri" w:hAnsi="Amiri" w:eastAsia="Amiri" w:cs="Amiri"/>
          <w:lang w:bidi="ar-SA"/>
          <w:color w:val="111111"/>
          <w:sz w:val="28"/>
          <w:szCs w:val="28"/>
          <w:rtl/>
        </w:rPr>
        <w:t xml:space="preserve">الذّات</w:t>
      </w:r>
      <w:r>
        <w:rPr>
          <w:rStyle w:val="FootnoteReference"/>
        </w:rPr>
        <w:footnoteReference w:id="1039"/>
      </w:r>
      <w:r>
        <w:rPr>
          <w:rFonts w:ascii="Amiri" w:hAnsi="Amiri" w:eastAsia="Amiri" w:cs="Amiri"/>
          <w:lang w:bidi="ar-SA"/>
          <w:color w:val="111111"/>
          <w:sz w:val="28"/>
          <w:szCs w:val="28"/>
          <w:rtl/>
        </w:rPr>
        <w:t xml:space="preserve">لا فيالوجود الخارجي بحسب الذّات ومتّحدان بحسب الوجود الخارجي أي في المصداق ولا يلزم من كونهما متّحدين بحسب الوجود الخارجي</w:t>
      </w:r>
      <w:r>
        <w:rPr>
          <w:rStyle w:val="FootnoteReference"/>
        </w:rPr>
        <w:footnoteReference w:id="1040"/>
      </w:r>
      <w:r>
        <w:rPr>
          <w:rFonts w:ascii="Amiri" w:hAnsi="Amiri" w:eastAsia="Amiri" w:cs="Amiri"/>
          <w:lang w:bidi="ar-SA"/>
          <w:color w:val="111111"/>
          <w:sz w:val="28"/>
          <w:szCs w:val="28"/>
          <w:rtl/>
        </w:rPr>
        <w:t xml:space="preserve">أن يكون السواد هو الجسم وإنّما يلزم ذلك لو كانا متّحدين بحسب الذات أي في الذاتيات.</w:t>
      </w:r>
    </w:p>
    <w:p>
      <w:pPr>
        <w:pStyle w:val="BookText"/>
      </w:pPr>
      <w:r>
        <w:rPr>
          <w:rFonts w:ascii="Amiri" w:hAnsi="Amiri" w:eastAsia="Amiri" w:cs="Amiri"/>
          <w:lang w:bidi="ar-SA"/>
          <w:color w:val="111111"/>
          <w:sz w:val="28"/>
          <w:szCs w:val="28"/>
          <w:rtl/>
        </w:rPr>
        <w:t xml:space="preserve">ألا ترى أنّه</w:t>
      </w:r>
      <w:r>
        <w:rPr>
          <w:rStyle w:val="FootnoteReference"/>
        </w:rPr>
        <w:footnoteReference w:id="1041"/>
      </w:r>
      <w:r>
        <w:rPr>
          <w:rFonts w:ascii="IRNazanin" w:hAnsi="IRNazanin" w:eastAsia="IRNazanin" w:cs="IRNazanin"/>
          <w:lang w:bidi="fa-IR"/>
          <w:color w:val="111111"/>
          <w:sz w:val="28"/>
          <w:szCs w:val="28"/>
          <w:rtl/>
        </w:rPr>
        <w:t xml:space="preserve">في العموم المطلق أیضاً إذا كان أحدهما عَرَضيّاً بالنّسبة إلى الآخر لا يصحّ الحمل بحسب الذّات بل يصحّ بحسب الوجود والمصداق فقط.</w:t>
      </w:r>
    </w:p>
    <w:p>
      <w:pPr>
        <w:pStyle w:val="BookText"/>
      </w:pPr>
      <w:r>
        <w:rPr>
          <w:rFonts w:ascii="Amiri" w:hAnsi="Amiri" w:eastAsia="Amiri" w:cs="Amiri"/>
          <w:lang w:bidi="ar-SA"/>
          <w:color w:val="111111"/>
          <w:sz w:val="28"/>
          <w:szCs w:val="28"/>
          <w:rtl/>
        </w:rPr>
        <w:t xml:space="preserve">ثمّ لو سلّمنا مغايرتهما في الوجود الخارجي واتّحادهما في المصداق حسبما زعمه لانسلّم أنّ الأمر والنهي يتعلّق بهما بملاحظة اتّحادهما؛ إذ غاية الأمر أنّهما يتعلّقان بهما بملاحظة وجودهما الخارجي والمفروض مغايرتهما فيه، فأين وحدة المتعلّق؟</w:t>
      </w:r>
    </w:p>
    <w:p>
      <w:pPr>
        <w:pStyle w:val="BookText"/>
      </w:pPr>
      <w:r>
        <w:rPr>
          <w:rFonts w:ascii="IRNazanin" w:hAnsi="IRNazanin" w:eastAsia="IRNazanin" w:cs="IRNazanin"/>
          <w:lang w:bidi="fa-IR"/>
          <w:color w:val="111111"/>
          <w:sz w:val="28"/>
          <w:szCs w:val="28"/>
          <w:rtl/>
        </w:rPr>
        <w:t xml:space="preserve">وكون المفروض أنّ النسبة بين المأمور به والمنهي عنه العموم من وجه لا يقتضي أن يكون التکلیف بلحاظ وحدتهما في المصداق؛ إذ لم يقل أحد إنّه لا بدّ أن يكون الأمر والنهي باللّحاظ الّذي بينهما العموم من وجه.</w:t>
      </w:r>
    </w:p>
    <w:p>
      <w:pPr>
        <w:pStyle w:val="BookText"/>
      </w:pPr>
      <w:r>
        <w:rPr>
          <w:rFonts w:ascii="IRNazanin" w:hAnsi="IRNazanin" w:eastAsia="IRNazanin" w:cs="IRNazanin"/>
          <w:lang w:bidi="fa-IR"/>
          <w:color w:val="111111"/>
          <w:sz w:val="28"/>
          <w:szCs w:val="28"/>
          <w:rtl/>
        </w:rPr>
        <w:t xml:space="preserve">بل غاية الأمر أنّ النزاع في العامّين من وجه ولا يأبى هذا من أن يكونا بلحاظ وجود کلّ منهما الّذي هو جهة مغايرتهما على البناء المذكور.</w:t>
      </w:r>
      <w:r>
        <w:rPr>
          <w:rStyle w:val="FootnoteReference"/>
        </w:rPr>
        <w:footnoteReference w:id="1042"/>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50" w:name="pg6784_51309"/>
    <w:bookmarkEnd w:id="150"/>
    <w:p>
      <w:pPr>
        <w:pStyle w:val="Heading6"/>
      </w:pPr>
      <w:bookmarkStart w:id="581" w:name="_Toc262"/>
      <w:r>
        <w:t>[وجوه أخرى من الإیراد على التقرير المذكور في کلام صاحب الحاشیة (رحمة الله‌علیه)]</w:t>
      </w:r>
      <w:bookmarkEnd w:id="581"/>
    </w:p>
    <w:p>
      <w:pPr>
        <w:pStyle w:val="BookText"/>
      </w:pPr>
      <w:r>
        <w:rPr>
          <w:rFonts w:ascii="Amiri" w:hAnsi="Amiri" w:eastAsia="Amiri" w:cs="Amiri"/>
          <w:lang w:bidi="ar-SA"/>
          <w:color w:val="111111"/>
          <w:sz w:val="28"/>
          <w:szCs w:val="28"/>
          <w:rtl/>
        </w:rPr>
        <w:t xml:space="preserve">ثمّ إنّه ذكر وجوه</w:t>
      </w:r>
      <w:r>
        <w:rPr>
          <w:rStyle w:val="FootnoteReference"/>
        </w:rPr>
        <w:footnoteReference w:id="1043"/>
      </w:r>
      <w:r>
        <w:rPr>
          <w:rFonts w:ascii="Amiri" w:hAnsi="Amiri" w:eastAsia="Amiri" w:cs="Amiri"/>
          <w:lang w:bidi="ar-SA"/>
          <w:color w:val="111111"/>
          <w:sz w:val="28"/>
          <w:szCs w:val="28"/>
          <w:rtl/>
        </w:rPr>
        <w:t xml:space="preserve">أخرى من الجواب عن التقرير المذكور حاصلها أنّا وإن سلّمنا مغايرة</w:t>
      </w:r>
      <w:r>
        <w:rPr>
          <w:rStyle w:val="FootnoteReference"/>
        </w:rPr>
        <w:footnoteReference w:id="1044"/>
      </w:r>
      <w:r>
        <w:rPr>
          <w:rFonts w:ascii="IRNazanin" w:hAnsi="IRNazanin" w:eastAsia="IRNazanin" w:cs="IRNazanin"/>
          <w:lang w:bidi="fa-IR"/>
          <w:color w:val="111111"/>
          <w:sz w:val="28"/>
          <w:szCs w:val="28"/>
          <w:rtl/>
        </w:rPr>
        <w:t xml:space="preserve">الطّبيعتين من حيث الوجود الخارجي والاستراحة من هذه الحيثيّة إلّا أنّه يلزم محذور الاجتماع في الفرد حيث إنّه حرام قطعاً وواجب أیضاً:</w:t>
      </w:r>
    </w:p>
    <w:p>
      <w:pPr>
        <w:pStyle w:val="BookText"/>
      </w:pPr>
      <w:r>
        <w:rPr>
          <w:rFonts w:ascii="IRNazanin" w:hAnsi="IRNazanin" w:eastAsia="IRNazanin" w:cs="IRNazanin"/>
          <w:lang w:bidi="fa-IR"/>
          <w:color w:val="111111"/>
          <w:sz w:val="28"/>
          <w:szCs w:val="28"/>
          <w:rtl/>
        </w:rPr>
        <w:t xml:space="preserve">إمّا لانطباقه على الطّبيعة المطلوبة فيكون واجباً بوجوبها حيث إنّها واسطة في ثبوت الوجوب له بالجهة التعلیليّة لا بالجهة التّقييدية لا بأن يكون هناك وجوبانأحدهما متعلّق بالطّبيعة والآخر بالفرد حتّى يقال: إنّه خلاف الواقع؛ إذ من المعلوم أنّ الوجوب الشرعي واحد. بل</w:t>
      </w:r>
      <w:r>
        <w:rPr>
          <w:rStyle w:val="FootnoteReference"/>
        </w:rPr>
        <w:footnoteReference w:id="1045"/>
      </w:r>
      <w:r>
        <w:rPr>
          <w:rFonts w:ascii="Amiri" w:hAnsi="Amiri" w:eastAsia="Amiri" w:cs="Amiri"/>
          <w:lang w:bidi="ar-SA"/>
          <w:color w:val="111111"/>
          <w:sz w:val="28"/>
          <w:szCs w:val="28"/>
          <w:rtl/>
        </w:rPr>
        <w:t xml:space="preserve">لأنّ الطّبيعة إذا كانت مطلوبة من حيث الإيجاد فيكون الطلب بالمآل وارداً على الفرد والطّبيعة ملحوظة عنواناً للأفراد فيلزم المحذور المذكور.</w:t>
      </w:r>
    </w:p>
    <w:p>
      <w:pPr>
        <w:pStyle w:val="BookText"/>
      </w:pPr>
      <w:r>
        <w:rPr>
          <w:rFonts w:ascii="IRNazanin" w:hAnsi="IRNazanin" w:eastAsia="IRNazanin" w:cs="IRNazanin"/>
          <w:lang w:bidi="fa-IR"/>
          <w:color w:val="111111"/>
          <w:sz w:val="28"/>
          <w:szCs w:val="28"/>
          <w:rtl/>
        </w:rPr>
        <w:t xml:space="preserve">وإمّا لأنّ الخصوصيّة الفرديّة مقدّمة لإيجاد الطّبيعة المطلوبة فهى أیضاً مطلوبة ولا يمكن الالتزام بجواز الاجتماع في الواجب الغيري كما قد يتخيّل؛ إذ لا فرق بين أفراد الواجبات ولا يمكن الالتزام بحرمتها محضة ودعوى الإسقاط؛ إذ هو إنّما يتصوّر في مقدّمة مغايرة مع ذيها في الخارج لا مثل المقام حيث إنّها متّحدة مع ذيها من جهة وإن كانت مغايرة</w:t>
      </w:r>
      <w:r>
        <w:rPr>
          <w:rStyle w:val="FootnoteReference"/>
        </w:rPr>
        <w:footnoteReference w:id="1046"/>
      </w:r>
      <w:r>
        <w:rPr>
          <w:rFonts w:ascii="IRNazanin" w:hAnsi="IRNazanin" w:eastAsia="IRNazanin" w:cs="IRNazanin"/>
          <w:lang w:bidi="fa-IR"/>
          <w:color w:val="111111"/>
          <w:sz w:val="28"/>
          <w:szCs w:val="28"/>
          <w:rtl/>
        </w:rPr>
        <w:t xml:space="preserve">معه من</w:t>
      </w:r>
      <w:r>
        <w:rPr>
          <w:rStyle w:val="FootnoteReference"/>
        </w:rPr>
        <w:footnoteReference w:id="1047"/>
      </w:r>
      <w:r>
        <w:rPr>
          <w:rFonts w:ascii="IRNazanin" w:hAnsi="IRNazanin" w:eastAsia="IRNazanin" w:cs="IRNazanin"/>
          <w:lang w:bidi="fa-IR"/>
          <w:color w:val="111111"/>
          <w:sz w:val="28"/>
          <w:szCs w:val="28"/>
          <w:rtl/>
        </w:rPr>
        <w:t xml:space="preserve">أخرى.</w:t>
      </w:r>
    </w:p>
    <w:p>
      <w:pPr>
        <w:pStyle w:val="BookText"/>
      </w:pPr>
      <w:r>
        <w:rPr>
          <w:rFonts w:ascii="Amiri" w:hAnsi="Amiri" w:eastAsia="Amiri" w:cs="Amiri"/>
          <w:lang w:bidi="ar-SA"/>
          <w:color w:val="111111"/>
          <w:sz w:val="28"/>
          <w:szCs w:val="28"/>
          <w:rtl/>
        </w:rPr>
        <w:t xml:space="preserve">ففي مثله لا يمكن كونها محرّمة صرفة ومسقطة؛ إذ حرمتها تستلزم</w:t>
      </w:r>
      <w:r>
        <w:rPr>
          <w:rStyle w:val="FootnoteReference"/>
        </w:rPr>
        <w:footnoteReference w:id="1048"/>
      </w:r>
      <w:r>
        <w:rPr>
          <w:rFonts w:ascii="IRNazanin" w:hAnsi="IRNazanin" w:eastAsia="IRNazanin" w:cs="IRNazanin"/>
          <w:lang w:bidi="fa-IR"/>
          <w:color w:val="111111"/>
          <w:sz w:val="28"/>
          <w:szCs w:val="28"/>
          <w:rtl/>
        </w:rPr>
        <w:t xml:space="preserve">تقييد مطلوبیّة ذيها بغيرها فلا تكون مسقطة.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قيل: نمنع كون</w:t>
      </w:r>
      <w:r>
        <w:rPr>
          <w:rStyle w:val="FootnoteReference"/>
        </w:rPr>
        <w:footnoteReference w:id="1049"/>
      </w:r>
      <w:r>
        <w:rPr>
          <w:rFonts w:ascii="Amiri" w:hAnsi="Amiri" w:eastAsia="Amiri" w:cs="Amiri"/>
          <w:lang w:bidi="ar-SA"/>
          <w:color w:val="111111"/>
          <w:sz w:val="28"/>
          <w:szCs w:val="28"/>
          <w:rtl/>
        </w:rPr>
        <w:t xml:space="preserve">الخصوصيّة مقدّمة لإيجاد الطبيعة؛</w:t>
      </w:r>
    </w:p>
    <w:p>
      <w:pPr>
        <w:pStyle w:val="BookText"/>
      </w:pPr>
      <w:r>
        <w:rPr>
          <w:rFonts w:ascii="IRNazanin" w:hAnsi="IRNazanin" w:eastAsia="IRNazanin" w:cs="IRNazanin"/>
          <w:lang w:bidi="fa-IR"/>
          <w:color w:val="111111"/>
          <w:sz w:val="28"/>
          <w:szCs w:val="28"/>
          <w:rtl/>
        </w:rPr>
        <w:t xml:space="preserve">قلنا: إن جعلت لازمة لها فيلزم المحذور حيث إنّ تحريم اللّازم يستلزم تحريم الملزوم وهو الطّبيعة مع أنّها واجبة أیضاً وإن جعلت ملازمة معها نقول: وجوب الطّبيعة يستلزم وجوب علّتها وحرمةُ المعلول الآخر وهو الخصوصيّة مستلزمة لحرمة تلك العلّة فيلزم المحذور في تلك العلّة.</w:t>
      </w:r>
    </w:p>
    <w:p>
      <w:pPr>
        <w:pStyle w:val="BookText"/>
      </w:pPr>
      <w:r>
        <w:rPr>
          <w:rFonts w:ascii="Amiri" w:hAnsi="Amiri" w:eastAsia="Amiri" w:cs="Amiri"/>
          <w:lang w:bidi="ar-SA"/>
          <w:color w:val="111111"/>
          <w:sz w:val="28"/>
          <w:szCs w:val="28"/>
          <w:rtl/>
        </w:rPr>
        <w:t xml:space="preserve">وإن قيل: إنّا نقول: إنّ تلك العلّة محرّمة صرفة ومسقطة؛</w:t>
      </w:r>
    </w:p>
    <w:p>
      <w:pPr>
        <w:pStyle w:val="BookText"/>
      </w:pPr>
      <w:r>
        <w:rPr>
          <w:rFonts w:ascii="Amiri" w:hAnsi="Amiri" w:eastAsia="Amiri" w:cs="Amiri"/>
          <w:lang w:bidi="ar-SA"/>
          <w:color w:val="111111"/>
          <w:sz w:val="28"/>
          <w:szCs w:val="28"/>
          <w:rtl/>
        </w:rPr>
        <w:t xml:space="preserve">نقول: حصول الطبيعة بالخصوصيّة المفروضة غير حصولها بخصوصيّة أخرى. فإن كانت الطبيعة مطلوبة على إطلاقها بحيث تشمل</w:t>
      </w:r>
      <w:r>
        <w:rPr>
          <w:rStyle w:val="FootnoteReference"/>
        </w:rPr>
        <w:footnoteReference w:id="1050"/>
      </w:r>
      <w:r>
        <w:rPr>
          <w:rFonts w:ascii="IRNazanin" w:hAnsi="IRNazanin" w:eastAsia="IRNazanin" w:cs="IRNazanin"/>
          <w:lang w:bidi="fa-IR"/>
          <w:color w:val="111111"/>
          <w:sz w:val="28"/>
          <w:szCs w:val="28"/>
          <w:rtl/>
        </w:rPr>
        <w:t xml:space="preserve">جميع الخصوصيّات لزم محذور الاجتماع فيها وإن قيّدت الطبيعة بغيرها من سائر الخصوصيّات فلا يكون الإتیان بهاواجباً فلا يحصل</w:t>
      </w:r>
      <w:r>
        <w:rPr>
          <w:rStyle w:val="FootnoteReference"/>
        </w:rPr>
        <w:footnoteReference w:id="1051"/>
      </w:r>
      <w:r>
        <w:rPr>
          <w:rFonts w:ascii="IRNazanin" w:hAnsi="IRNazanin" w:eastAsia="IRNazanin" w:cs="IRNazanin"/>
          <w:lang w:bidi="fa-IR"/>
          <w:color w:val="111111"/>
          <w:sz w:val="28"/>
          <w:szCs w:val="28"/>
          <w:rtl/>
        </w:rPr>
        <w:t xml:space="preserve">الامتثال.</w:t>
      </w:r>
    </w:p>
    <w:p>
      <w:pPr>
        <w:pStyle w:val="BookText"/>
      </w:pPr>
      <w:r>
        <w:rPr>
          <w:rFonts w:ascii="Amiri" w:hAnsi="Amiri" w:eastAsia="Amiri" w:cs="Amiri"/>
          <w:lang w:bidi="ar-SA"/>
          <w:color w:val="111111"/>
          <w:sz w:val="28"/>
          <w:szCs w:val="28"/>
          <w:rtl/>
        </w:rPr>
        <w:t xml:space="preserve">وإمّا لأنّ الفرد محلّ وجود</w:t>
      </w:r>
      <w:r>
        <w:rPr>
          <w:rStyle w:val="FootnoteReference"/>
        </w:rPr>
        <w:footnoteReference w:id="1052"/>
      </w:r>
      <w:r>
        <w:rPr>
          <w:rFonts w:ascii="Amiri" w:hAnsi="Amiri" w:eastAsia="Amiri" w:cs="Amiri"/>
          <w:lang w:bidi="ar-SA"/>
          <w:color w:val="111111"/>
          <w:sz w:val="28"/>
          <w:szCs w:val="28"/>
          <w:rtl/>
        </w:rPr>
        <w:t xml:space="preserve">الطّبيعتين؛ إذ هما خلافان لا ضدّان فيمكن قيامهما بمحلّ واحد فالوجوب والحرمة اللاحقان لهما لاحقان لمحلّهما وهو الفرد بتوسّطهما فيلزم فيه اجتماع الضدّين وهما الوجوب والحرمة بتوسّط الخلافين وهما الطبيعتان القائمتان به</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r>
        <w:rPr>
          <w:rStyle w:val="FootnoteReference"/>
        </w:rPr>
        <w:footnoteReference w:id="1054"/>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51" w:name="pg6784_51311"/>
    <w:bookmarkEnd w:id="151"/>
    <w:p>
      <w:pPr>
        <w:pStyle w:val="Heading6"/>
      </w:pPr>
      <w:bookmarkStart w:id="582" w:name="_Toc263"/>
      <w:r>
        <w:t>[الجواب عن إیراد صاحب الهدایة (رحمة الله‌علیه)]</w:t>
      </w:r>
      <w:bookmarkEnd w:id="582"/>
    </w:p>
    <w:p>
      <w:pPr>
        <w:pStyle w:val="BookText"/>
      </w:pPr>
      <w:r>
        <w:rPr>
          <w:rFonts w:ascii="IRNazanin" w:hAnsi="IRNazanin" w:eastAsia="IRNazanin" w:cs="IRNazanin"/>
          <w:lang w:bidi="fa-IR"/>
          <w:color w:val="111111"/>
          <w:sz w:val="28"/>
          <w:szCs w:val="28"/>
          <w:rtl/>
        </w:rPr>
        <w:t xml:space="preserve">قلت يرد عليه: أوّلاً: أنّ ما ذكره في الوجه الأوّل من هذه الوجوه مبنيّ على القول بتعلّق الأحکام بالأفراد ولو بالمآل وهو خلاف التحقیق وخلاف مبنى الاستدلال.</w:t>
      </w:r>
    </w:p>
    <w:p>
      <w:pPr>
        <w:pStyle w:val="BookText"/>
      </w:pPr>
      <w:r>
        <w:rPr>
          <w:rFonts w:ascii="IRNazanin" w:hAnsi="IRNazanin" w:eastAsia="IRNazanin" w:cs="IRNazanin"/>
          <w:lang w:bidi="fa-IR"/>
          <w:color w:val="111111"/>
          <w:sz w:val="28"/>
          <w:szCs w:val="28"/>
          <w:rtl/>
        </w:rPr>
        <w:t xml:space="preserve">فعلى ما هو التحقیق نمنع كون الطبيعة واسطة في ثبوت الوجوب للفرد حتّى تكون الجهة تعلیليّة بل هي واسطة في العروض والفرد واجب بالعرض والمجاز فلا يرد إشکال.</w:t>
      </w:r>
    </w:p>
    <w:p>
      <w:pPr>
        <w:pStyle w:val="BookText"/>
      </w:pPr>
      <w:r>
        <w:rPr>
          <w:rFonts w:ascii="Amiri" w:hAnsi="Amiri" w:eastAsia="Amiri" w:cs="Amiri"/>
          <w:lang w:bidi="ar-SA"/>
          <w:color w:val="111111"/>
          <w:sz w:val="28"/>
          <w:szCs w:val="28"/>
          <w:rtl/>
        </w:rPr>
        <w:t xml:space="preserve">وكذا ما ذكره في الوجه الثالث بل هو في الحقيقة راجع إلى الوجه الأوّل.</w:t>
      </w:r>
    </w:p>
    <w:p>
      <w:pPr>
        <w:pStyle w:val="BookText"/>
      </w:pPr>
      <w:r>
        <w:rPr>
          <w:rFonts w:ascii="Amiri" w:hAnsi="Amiri" w:eastAsia="Amiri" w:cs="Amiri"/>
          <w:lang w:bidi="ar-SA"/>
          <w:color w:val="111111"/>
          <w:sz w:val="28"/>
          <w:szCs w:val="28"/>
          <w:rtl/>
        </w:rPr>
        <w:t xml:space="preserve">ومن الغريب أنّه أورد على هذا الوجه: بأنّ الطبيعتين واسطتان في العروض لا في الثبوت، مع أنّه دفع هذا الإيراد عن الوجه الأوّل وهما كما ترى واحد وعلى فرض التعدّد فالدفع مشترك كالإيراد.</w:t>
      </w:r>
    </w:p>
    <w:p>
      <w:pPr>
        <w:pStyle w:val="BookText"/>
      </w:pPr>
      <w:r>
        <w:rPr>
          <w:rFonts w:ascii="Amiri" w:hAnsi="Amiri" w:eastAsia="Amiri" w:cs="Amiri"/>
          <w:lang w:bidi="ar-SA"/>
          <w:color w:val="111111"/>
          <w:sz w:val="28"/>
          <w:szCs w:val="28"/>
          <w:rtl/>
        </w:rPr>
        <w:t xml:space="preserve">ويرد على ما ذكره في الوجه الثاني: أنّا نمنع كون الخصوصيّة مقدّمة لإيجاد الطبيعة بل هما متلازمان</w:t>
      </w:r>
      <w:r>
        <w:rPr>
          <w:rStyle w:val="FootnoteReference"/>
        </w:rPr>
        <w:footnoteReference w:id="1055"/>
      </w:r>
      <w:r>
        <w:rPr>
          <w:rFonts w:ascii="IRNazanin" w:hAnsi="IRNazanin" w:eastAsia="IRNazanin" w:cs="IRNazanin"/>
          <w:lang w:bidi="fa-IR"/>
          <w:color w:val="111111"/>
          <w:sz w:val="28"/>
          <w:szCs w:val="28"/>
          <w:rtl/>
        </w:rPr>
        <w:t xml:space="preserve">ولا يضرّ اختلافهما في الحكم ولا يرد الإشکال في علّتهما؛ إذ نختار أنّها محرّمة صرفة والتقييد الّذي ذكره ممنوع كما عرفت سابقاً.</w:t>
      </w:r>
    </w:p>
    <w:p>
      <w:pPr>
        <w:pStyle w:val="BookText"/>
      </w:pPr>
      <w:r>
        <w:rPr>
          <w:rFonts w:ascii="Amiri" w:hAnsi="Amiri" w:eastAsia="Amiri" w:cs="Amiri"/>
          <w:lang w:bidi="ar-SA"/>
          <w:color w:val="111111"/>
          <w:sz w:val="28"/>
          <w:szCs w:val="28"/>
          <w:rtl/>
        </w:rPr>
        <w:t xml:space="preserve">فيمكن كون الطبيعة مطلوبة على إطلاقها وإن كانت الخصوصيّة محرّمة؛ إذ ليس معنى إطلاقها إيجاب الخصوصيّة بل الطبيعة من حيث هي أينما وجدت، وعلى فرض تسليم المقدّميّة نمنع ورود المحذور؛ لأنّ الاتّحاد المذكور ممنوع على هذاالفرض، وعلى فرضه غير مضرّ كما قلنا على القول بالعينيّة.</w:t>
      </w:r>
    </w:p>
    <w:p>
      <w:pPr>
        <w:pStyle w:val="BookText"/>
      </w:pPr>
      <w:r>
        <w:rPr>
          <w:rFonts w:ascii="Amiri" w:hAnsi="Amiri" w:eastAsia="Amiri" w:cs="Amiri"/>
          <w:lang w:bidi="ar-SA"/>
          <w:color w:val="111111"/>
          <w:sz w:val="28"/>
          <w:szCs w:val="28"/>
          <w:rtl/>
        </w:rPr>
        <w:t xml:space="preserve">فإنّ الحكم الوارد على هذا الموجود إنّما هو بلحاظ كونه طبيعة لا بلحاظ كونه فرداً فالخصوصيّة من حيث هي لا حكم لها من حيث الوجوب كما إذا كانت مباحة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فلايضرّ كونها محرّمة مع</w:t>
      </w:r>
      <w:r>
        <w:rPr>
          <w:rStyle w:val="FootnoteReference"/>
        </w:rPr>
        <w:footnoteReference w:id="1056"/>
      </w:r>
      <w:r>
        <w:rPr>
          <w:rFonts w:ascii="Amiri" w:hAnsi="Amiri" w:eastAsia="Amiri" w:cs="Amiri"/>
          <w:lang w:bidi="ar-SA"/>
          <w:color w:val="111111"/>
          <w:sz w:val="28"/>
          <w:szCs w:val="28"/>
          <w:rtl/>
        </w:rPr>
        <w:t xml:space="preserve">كونها واجبة من حيث انطباقها على الطبيعة، فإنّ هذا الوجوب ليس على الحقيقة بل عرضي مجازي وفي الحقيقة الواجب هو الطبيعة فكونها متّحدة مع الطّبيعة من إحدى الجهتين لا يضرّ فهي على القول بالمقدّميّة كالمقدّمات المغايرة في الوجود صرفة.</w:t>
      </w:r>
    </w:p>
    <w:p>
      <w:pPr>
        <w:pStyle w:val="BookText"/>
      </w:pPr>
      <w:r>
        <w:rPr>
          <w:rFonts w:ascii="IRNazanin" w:hAnsi="IRNazanin" w:eastAsia="IRNazanin" w:cs="IRNazanin"/>
          <w:lang w:bidi="fa-IR"/>
          <w:color w:val="111111"/>
          <w:sz w:val="28"/>
          <w:szCs w:val="28"/>
          <w:rtl/>
        </w:rPr>
        <w:t xml:space="preserve">وثانياً نقول: جميع هذه الوجوه إنّما هي بعد تسليم مغايرة الطّبيعتين من حيث الوجود ومعه لا وجه للحكم باتّحادهما في المصداق وكون الفرد منطبقاً على کلتیهما؛ إذ هو فرع اتّحادهما في الوجود.</w:t>
      </w:r>
    </w:p>
    <w:p>
      <w:pPr>
        <w:pStyle w:val="BookText"/>
      </w:pPr>
      <w:r>
        <w:rPr>
          <w:rFonts w:ascii="IRNazanin" w:hAnsi="IRNazanin" w:eastAsia="IRNazanin" w:cs="IRNazanin"/>
          <w:lang w:bidi="fa-IR"/>
          <w:color w:val="111111"/>
          <w:sz w:val="28"/>
          <w:szCs w:val="28"/>
          <w:rtl/>
        </w:rPr>
        <w:t xml:space="preserve">وكذا لا وجه لدعوى اتّحاد الخصوصيّة مع الطبيعة من جهة على فرض كونها مقدّمة فلا وجه لإيراد الإشکال بالنسبة إلى الفرد بشي‌ء من هذه الوجوه، بل على التسليم المذكور يكون الفرد محقّقاً ومحصّلاً لکلّ من الطبيعتين ولا يضرّ حرمته في وجوب ما يتحقّق به نظير حرمة الإلقاء في النار ووجوب الإحراق إذا لم يكن منحصراً في الإلقاء.</w:t>
      </w:r>
    </w:p>
    <w:p>
      <w:pPr>
        <w:pStyle w:val="BookText"/>
      </w:pPr>
      <w:r>
        <w:rPr>
          <w:rFonts w:ascii="IRNazanin" w:hAnsi="IRNazanin" w:eastAsia="IRNazanin" w:cs="IRNazanin"/>
          <w:lang w:bidi="fa-IR"/>
          <w:color w:val="111111"/>
          <w:sz w:val="28"/>
          <w:szCs w:val="28"/>
          <w:rtl/>
        </w:rPr>
        <w:t xml:space="preserve">وما يقال: من عدم إمکان حرمة العلّة مع وجوب المعلول، ممنوع على إطلاقه.</w:t>
      </w:r>
    </w:p>
    <w:p>
      <w:pPr>
        <w:pStyle w:val="BookText"/>
      </w:pPr>
      <w:r>
        <w:rPr>
          <w:rFonts w:ascii="Amiri" w:hAnsi="Amiri" w:eastAsia="Amiri" w:cs="Amiri"/>
          <w:lang w:bidi="ar-SA"/>
          <w:color w:val="111111"/>
          <w:sz w:val="28"/>
          <w:szCs w:val="28"/>
          <w:rtl/>
        </w:rPr>
        <w:t xml:space="preserve">بل هو إنّما يسلّم فيما إذا كانت العلّة منحصرة لا مثل المقام.</w:t>
      </w:r>
    </w:p>
    <w:p>
      <w:pPr>
        <w:pStyle w:val="BookText"/>
      </w:pPr>
      <w:r>
        <w:rPr>
          <w:rFonts w:ascii="IRNazanin" w:hAnsi="IRNazanin" w:eastAsia="IRNazanin" w:cs="IRNazanin"/>
          <w:lang w:bidi="fa-IR"/>
          <w:color w:val="111111"/>
          <w:sz w:val="28"/>
          <w:szCs w:val="28"/>
          <w:rtl/>
        </w:rPr>
        <w:t xml:space="preserve">وبالجملة فعلى فرض تسليم المغايرة في الوجود يصير المقام نظير ما إذا قال: «أکرم العالم ولا تكرم الفاسق» وفرض كون إکرام زيد العالم ملازماً لإکرام عمرو الفاسق في أنّ المتعلّق فيهما مختلف، غاية الأمر تلازمهما في الوجود فلا إشکال إذا كان للمکلّف مندوحة بأن أمكنه اختيار فرد من الإکرام غير ملازم.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52" w:name="pg6784_51313"/>
    <w:bookmarkEnd w:id="152"/>
    <w:p>
      <w:pPr>
        <w:pStyle w:val="Heading5"/>
      </w:pPr>
      <w:bookmarkStart w:id="583" w:name="_Toc264"/>
      <w:r>
        <w:t>[الدلیل الثاني: الاستدلال على الجواز بالطبیعة]</w:t>
      </w:r>
      <w:bookmarkEnd w:id="583"/>
    </w:p>
    <w:p>
      <w:pPr>
        <w:pStyle w:val="BookText"/>
      </w:pPr>
      <w:r>
        <w:rPr>
          <w:rFonts w:ascii="Amiri" w:hAnsi="Amiri" w:eastAsia="Amiri" w:cs="Amiri"/>
          <w:lang w:bidi="ar-SA"/>
          <w:color w:val="111111"/>
          <w:sz w:val="28"/>
          <w:szCs w:val="28"/>
          <w:rtl/>
        </w:rPr>
        <w:t xml:space="preserve">الثاني</w:t>
      </w:r>
      <w:r>
        <w:rPr>
          <w:rStyle w:val="FootnoteReference"/>
        </w:rPr>
        <w:footnoteReference w:id="1057"/>
      </w:r>
      <w:r>
        <w:rPr>
          <w:rFonts w:ascii="IRNazanin" w:hAnsi="IRNazanin" w:eastAsia="IRNazanin" w:cs="IRNazanin"/>
          <w:lang w:bidi="fa-IR"/>
          <w:color w:val="111111"/>
          <w:sz w:val="28"/>
          <w:szCs w:val="28"/>
          <w:rtl/>
        </w:rPr>
        <w:t xml:space="preserve">: لا إشکال في أنّه يمكن أن يكون طبيعة ذات مصلحة بجميع أفرادهاوطبيعة أخرى ذات مفسدة كذلك بحيث لا يكون مقولتا المصلحة والمفسدة واحدة حتّى يحصل الكسر والانكسار في الفرد المجمع بأن يكون سنخاهما متغايرين مثل زيادة الرّطوبة وإزالة الصّفراء مثلاً فيكون الفرد المجمع واجداً لکلتيهما.</w:t>
      </w:r>
    </w:p>
    <w:p>
      <w:pPr>
        <w:pStyle w:val="BookText"/>
      </w:pPr>
      <w:r>
        <w:rPr>
          <w:rFonts w:ascii="IRNazanin" w:hAnsi="IRNazanin" w:eastAsia="IRNazanin" w:cs="IRNazanin"/>
          <w:lang w:bidi="fa-IR"/>
          <w:color w:val="111111"/>
          <w:sz w:val="28"/>
          <w:szCs w:val="28"/>
          <w:rtl/>
        </w:rPr>
        <w:t xml:space="preserve">ومن المعلوم أنّ الأحکام تابعة للمصالح والمفاسد وإذا كانتا في الطّبيعتين من غير خصوصيّة وتقيّد فلازمه تعلّق الحكم بهما كذلك.</w:t>
      </w:r>
    </w:p>
    <w:p>
      <w:pPr>
        <w:pStyle w:val="BookText"/>
      </w:pPr>
      <w:r>
        <w:rPr>
          <w:rFonts w:ascii="IRNazanin" w:hAnsi="IRNazanin" w:eastAsia="IRNazanin" w:cs="IRNazanin"/>
          <w:lang w:bidi="fa-IR"/>
          <w:color w:val="111111"/>
          <w:sz w:val="28"/>
          <w:szCs w:val="28"/>
          <w:rtl/>
        </w:rPr>
        <w:t xml:space="preserve">فيكون الفرد المجمع منطبقاً على کلتيهما وواجباً وحراماً بهذه الملاحظة أي بمعنى عدم تقيّد الطبيعة المأمور بها بغيرها</w:t>
      </w:r>
      <w:r>
        <w:rPr>
          <w:rStyle w:val="FootnoteReference"/>
        </w:rPr>
        <w:footnoteReference w:id="1058"/>
      </w:r>
      <w:r>
        <w:rPr>
          <w:rFonts w:ascii="IRNazanin" w:hAnsi="IRNazanin" w:eastAsia="IRNazanin" w:cs="IRNazanin"/>
          <w:lang w:bidi="fa-IR"/>
          <w:color w:val="111111"/>
          <w:sz w:val="28"/>
          <w:szCs w:val="28"/>
          <w:rtl/>
        </w:rPr>
        <w:t xml:space="preserve">وعدم ملاحظة الكسر والانكسار في المصلحة والمفسدة الموجودتین</w:t>
      </w:r>
      <w:r>
        <w:rPr>
          <w:rStyle w:val="FootnoteReference"/>
        </w:rPr>
        <w:footnoteReference w:id="1059"/>
      </w:r>
      <w:r>
        <w:rPr>
          <w:rFonts w:ascii="Amiri" w:hAnsi="Amiri" w:eastAsia="Amiri" w:cs="Amiri"/>
          <w:lang w:bidi="ar-SA"/>
          <w:color w:val="111111"/>
          <w:sz w:val="28"/>
          <w:szCs w:val="28"/>
          <w:rtl/>
        </w:rPr>
        <w:t xml:space="preserve">فيه.</w:t>
      </w:r>
    </w:p>
    <w:p>
      <w:pPr>
        <w:pStyle w:val="BookText"/>
      </w:pPr>
      <w:r>
        <w:rPr>
          <w:rFonts w:ascii="Amiri" w:hAnsi="Amiri" w:eastAsia="Amiri" w:cs="Amiri"/>
          <w:lang w:bidi="ar-SA"/>
          <w:color w:val="111111"/>
          <w:sz w:val="28"/>
          <w:szCs w:val="28"/>
          <w:rtl/>
        </w:rPr>
        <w:t xml:space="preserve">فإن قلت: سلّمنا ذلك وأنّه لا يحصل الكسر والانكسار إلّا أنّ الحكم تابع لما هو أهمّ منهما كما في الواجبين المتزاحمين.</w:t>
      </w:r>
    </w:p>
    <w:p>
      <w:pPr>
        <w:pStyle w:val="BookText"/>
      </w:pPr>
      <w:r>
        <w:rPr>
          <w:rFonts w:ascii="Amiri" w:hAnsi="Amiri" w:eastAsia="Amiri" w:cs="Amiri"/>
          <w:lang w:bidi="ar-SA"/>
          <w:color w:val="111111"/>
          <w:sz w:val="28"/>
          <w:szCs w:val="28"/>
          <w:rtl/>
        </w:rPr>
        <w:t xml:space="preserve">قلت: إنّ ذلك إنّما هو إذا أريد إيراد الحكم على الفرد وأمّا إذا أورد</w:t>
      </w:r>
      <w:r>
        <w:rPr>
          <w:rStyle w:val="FootnoteReference"/>
        </w:rPr>
        <w:footnoteReference w:id="1060"/>
      </w:r>
      <w:r>
        <w:rPr>
          <w:rFonts w:ascii="IRNazanin" w:hAnsi="IRNazanin" w:eastAsia="IRNazanin" w:cs="IRNazanin"/>
          <w:lang w:bidi="fa-IR"/>
          <w:color w:val="111111"/>
          <w:sz w:val="28"/>
          <w:szCs w:val="28"/>
          <w:rtl/>
        </w:rPr>
        <w:t xml:space="preserve">على الطبيعة فلا. ومن ذلك يظهر عدم ورود النقض بأنّ مقتضى هذا البيان جواز الأمر والنّهي على تقدير التعلّق بالأفراد بأن يقال: إنّ الفرد إذا كان واجداً للمصلحة والمفسدة من غير كسر وانكسار والمفروض أنّ الحكم تابع لهما فلازمه جواز الاجتماع بناء عليه أیضاً.</w:t>
      </w:r>
    </w:p>
    <w:p>
      <w:pPr>
        <w:pStyle w:val="BookText"/>
      </w:pPr>
      <w:r>
        <w:rPr>
          <w:rFonts w:ascii="IRNazanin" w:hAnsi="IRNazanin" w:eastAsia="IRNazanin" w:cs="IRNazanin"/>
          <w:lang w:bidi="fa-IR"/>
          <w:color w:val="111111"/>
          <w:sz w:val="28"/>
          <w:szCs w:val="28"/>
          <w:rtl/>
        </w:rPr>
        <w:t xml:space="preserve">وذلك لأنّا نقول: سلّمنا ذلك إذا كان الحكم وارداً على جهتي الفرد بأن یكون الجهتان تقييديّتين وأمّا إذا لوحظتا تعلیليّتين بحيث يكون الفرد مورداً للحكم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53" w:name="pg6784_51314"/>
    <w:bookmarkEnd w:id="153"/>
    <w:p>
      <w:pPr>
        <w:pStyle w:val="BookText"/>
      </w:pPr>
      <w:r>
        <w:rPr>
          <w:rFonts w:ascii="Amiri" w:hAnsi="Amiri" w:eastAsia="Amiri" w:cs="Amiri"/>
          <w:lang w:bidi="ar-SA"/>
          <w:color w:val="111111"/>
          <w:sz w:val="28"/>
          <w:szCs w:val="28"/>
          <w:rtl/>
        </w:rPr>
        <w:t xml:space="preserve">فلا نسلّم ذلك بل يلاحظ أنّ أيّاً من المصلحة والمفسدة أهمّ ويجعل الحكم الفعلي تابعاً له وعلى تقدير كونهما تقييديّتين فيرجع إلى التعلّق بالطبيعتين ويخرج عن الفرض.</w:t>
      </w:r>
    </w:p>
    <w:p>
      <w:pPr>
        <w:pStyle w:val="Heading5"/>
      </w:pPr>
      <w:bookmarkStart w:id="584" w:name="_Toc265"/>
      <w:r>
        <w:t>[الدليل الثالث: الاستدلال على الجواز بالمراجعة إلى الوجدان]</w:t>
      </w:r>
      <w:bookmarkEnd w:id="584"/>
    </w:p>
    <w:p>
      <w:pPr>
        <w:pStyle w:val="BookText"/>
      </w:pPr>
      <w:r>
        <w:rPr>
          <w:rFonts w:ascii="IRNazanin" w:hAnsi="IRNazanin" w:eastAsia="IRNazanin" w:cs="IRNazanin"/>
          <w:lang w:bidi="fa-IR"/>
          <w:color w:val="111111"/>
          <w:sz w:val="28"/>
          <w:szCs w:val="28"/>
          <w:rtl/>
        </w:rPr>
        <w:t xml:space="preserve">الثالث: أنّا نراجع وجداننا نجد أنّه مع قطع النظر عن المصلحة والمفسدة أیضاً لا مانع من أن يقول: «صلّ ولا تغصب، ولو أتيت بالصّلاة في المكان المغصوب فقد أتيت بمطلوبي من الصّلاة ولكن أعاقبك بمخالفتي في نهيي»، ومنع ذلك مكابرة كدعوى أنّ ذلك من جهة الوفاء بغرضه لا من جهة الإتیان بمطلوبه من حيث إنّه مطلوبه ومن المعلوم أنّ التمسّك بهذا الوجه إنّما يصحّ لمن لم يحكم عقله بامتناع الاجتماع وإلّا فلا يجوز الأخذ باللّوازم مع القطع بعدم الملزوم كما هو واضح.</w:t>
      </w:r>
    </w:p>
    <w:p>
      <w:pPr>
        <w:pStyle w:val="BookText"/>
      </w:pPr>
      <w:r>
        <w:rPr>
          <w:rFonts w:ascii="IRNazanin" w:hAnsi="IRNazanin" w:eastAsia="IRNazanin" w:cs="IRNazanin"/>
          <w:lang w:bidi="fa-IR"/>
          <w:color w:val="111111"/>
          <w:sz w:val="28"/>
          <w:szCs w:val="28"/>
          <w:rtl/>
        </w:rPr>
        <w:t xml:space="preserve">والغرض الاستدلال به على هذا الفرض</w:t>
      </w:r>
      <w:r>
        <w:rPr>
          <w:rStyle w:val="FootnoteReference"/>
        </w:rPr>
        <w:footnoteReference w:id="1061"/>
      </w:r>
      <w:r>
        <w:rPr>
          <w:rFonts w:ascii="Amiri" w:hAnsi="Amiri" w:eastAsia="Amiri" w:cs="Amiri"/>
          <w:lang w:bidi="ar-SA"/>
          <w:color w:val="111111"/>
          <w:sz w:val="28"/>
          <w:szCs w:val="28"/>
          <w:rtl/>
        </w:rPr>
        <w:t xml:space="preserve">فلا وقع لما في المناهج</w:t>
      </w:r>
      <w:r>
        <w:rPr>
          <w:rStyle w:val="FootnoteReference"/>
        </w:rPr>
        <w:footnoteReference w:id="1062"/>
      </w:r>
      <w:r>
        <w:rPr>
          <w:rFonts w:ascii="Amiri" w:hAnsi="Amiri" w:eastAsia="Amiri" w:cs="Amiri"/>
          <w:lang w:bidi="ar-SA"/>
          <w:color w:val="111111"/>
          <w:sz w:val="28"/>
          <w:szCs w:val="28"/>
          <w:rtl/>
        </w:rPr>
        <w:t xml:space="preserve">من الإيراد عليه بأنّه من باب الاستدلال الإنّي</w:t>
      </w:r>
      <w:r>
        <w:rPr>
          <w:rStyle w:val="FootnoteReference"/>
        </w:rPr>
        <w:footnoteReference w:id="1063"/>
      </w:r>
      <w:r>
        <w:rPr>
          <w:rFonts w:ascii="Amiri" w:hAnsi="Amiri" w:eastAsia="Amiri" w:cs="Amiri"/>
          <w:lang w:bidi="ar-SA"/>
          <w:color w:val="111111"/>
          <w:sz w:val="28"/>
          <w:szCs w:val="28"/>
          <w:rtl/>
        </w:rPr>
        <w:t xml:space="preserve">وإثبات الملزوم بإثبات اللّازم ولا بدّ أن يلاحظ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54" w:name="pg6784_51315"/>
    <w:bookmarkEnd w:id="154"/>
    <w:p>
      <w:pPr>
        <w:pStyle w:val="BookText"/>
      </w:pPr>
      <w:r>
        <w:rPr>
          <w:rFonts w:ascii="Amiri" w:hAnsi="Amiri" w:eastAsia="Amiri" w:cs="Amiri"/>
          <w:lang w:bidi="ar-SA"/>
          <w:color w:val="111111"/>
          <w:sz w:val="28"/>
          <w:szCs w:val="28"/>
          <w:rtl/>
        </w:rPr>
        <w:t xml:space="preserve">أوّلاً</w:t>
      </w:r>
      <w:r>
        <w:rPr>
          <w:rStyle w:val="FootnoteReference"/>
        </w:rPr>
        <w:footnoteReference w:id="1064"/>
      </w:r>
      <w:r>
        <w:rPr>
          <w:rFonts w:ascii="Amiri" w:hAnsi="Amiri" w:eastAsia="Amiri" w:cs="Amiri"/>
          <w:lang w:bidi="ar-SA"/>
          <w:color w:val="111111"/>
          <w:sz w:val="28"/>
          <w:szCs w:val="28"/>
          <w:rtl/>
        </w:rPr>
        <w:t xml:space="preserve">هل يجوز التصريح بالأمر والنهي أم لا؟ فإن شكّ فيه يجوز التمسّك بجواز التصريح بالصحّة والعقاب.هذا وأمّا</w:t>
      </w:r>
      <w:r>
        <w:rPr>
          <w:rStyle w:val="FootnoteReference"/>
        </w:rPr>
        <w:footnoteReference w:id="1065"/>
      </w:r>
      <w:r>
        <w:rPr>
          <w:rFonts w:ascii="IRNazanin" w:hAnsi="IRNazanin" w:eastAsia="IRNazanin" w:cs="IRNazanin"/>
          <w:lang w:bidi="fa-IR"/>
          <w:color w:val="111111"/>
          <w:sz w:val="28"/>
          <w:szCs w:val="28"/>
          <w:rtl/>
        </w:rPr>
        <w:t xml:space="preserve">ما يقال من أنّه على فرض التّصريح المذكور يعلم أنّ مقصوده ومطلوبه الطّبيعة أينما وجدت وليس الکلام فيه؛ إذ الإشکال إنّما هو في صورة عدم التّصريح بإرادة الطبيعة أينما وجدت فواضح الفساد؛ إذ الکلام في جواز الاجتماع عقلاً لا في الفهم العرفي التخصيص.</w:t>
      </w:r>
    </w:p>
    <w:p>
      <w:pPr>
        <w:pStyle w:val="BookText"/>
      </w:pPr>
      <w:r>
        <w:rPr>
          <w:rFonts w:ascii="Amiri" w:hAnsi="Amiri" w:eastAsia="Amiri" w:cs="Amiri"/>
          <w:lang w:bidi="ar-SA"/>
          <w:color w:val="111111"/>
          <w:sz w:val="28"/>
          <w:szCs w:val="28"/>
          <w:rtl/>
        </w:rPr>
        <w:t xml:space="preserve">والفرق بين التصريح وعدمه إنّما يصحّ بالنّسبة إلى الفهم العرفي وأمّا في الحكم العقلي إذا ثبت جواز إرادة الطّبيعة أينما وجدت ثبت المطلوب.</w:t>
      </w:r>
    </w:p>
    <w:p>
      <w:pPr>
        <w:pStyle w:val="Heading5"/>
      </w:pPr>
      <w:bookmarkStart w:id="585" w:name="_Toc266"/>
      <w:r>
        <w:t>[الدليل الرابع: الاستدلال على الجواز بالمراجعة إلى العرف والعقلاء]</w:t>
      </w:r>
      <w:bookmarkEnd w:id="585"/>
    </w:p>
    <w:p>
      <w:pPr>
        <w:pStyle w:val="Heading6"/>
      </w:pPr>
      <w:bookmarkStart w:id="586" w:name="_Toc267"/>
      <w:r>
        <w:t>[التقریر الأوّل للدلیل الرابع]</w:t>
      </w:r>
      <w:bookmarkEnd w:id="586"/>
    </w:p>
    <w:p>
      <w:pPr>
        <w:pStyle w:val="BookText"/>
      </w:pPr>
      <w:r>
        <w:rPr>
          <w:rFonts w:ascii="Amiri" w:hAnsi="Amiri" w:eastAsia="Amiri" w:cs="Amiri"/>
          <w:lang w:bidi="ar-SA"/>
          <w:color w:val="111111"/>
          <w:sz w:val="28"/>
          <w:szCs w:val="28"/>
          <w:rtl/>
        </w:rPr>
        <w:t xml:space="preserve">الرابع: أنّا نراجع العرف نجد حكمهم بالطّاعة والعصيان فيما إذا أمر المولى بطبيعة</w:t>
      </w:r>
      <w:r>
        <w:rPr>
          <w:rStyle w:val="FootnoteReference"/>
        </w:rPr>
        <w:footnoteReference w:id="1066"/>
      </w:r>
      <w:r>
        <w:rPr>
          <w:rFonts w:ascii="IRNazanin" w:hAnsi="IRNazanin" w:eastAsia="IRNazanin" w:cs="IRNazanin"/>
          <w:lang w:bidi="fa-IR"/>
          <w:color w:val="111111"/>
          <w:sz w:val="28"/>
          <w:szCs w:val="28"/>
          <w:rtl/>
        </w:rPr>
        <w:t xml:space="preserve">ونهى عن أخرى بينهما عموم من وجه مع إتیان العبد بالفرد المجمع، كما إذا قال: «امش کلّ يوم خمسين خطوة ولا تتحرك في جوانب الدار الفلاني» فمشى الخمسين فيها،</w:t>
      </w:r>
      <w:r>
        <w:rPr>
          <w:rStyle w:val="FootnoteReference"/>
        </w:rPr>
        <w:footnoteReference w:id="1067"/>
      </w:r>
    </w:p>
    <w:p>
      <w:pPr>
        <w:pStyle w:val="BookText"/>
      </w:pPr>
      <w:r>
        <w:rPr>
          <w:rFonts w:ascii="Amiri" w:hAnsi="Amiri" w:eastAsia="Amiri" w:cs="Amiri"/>
          <w:lang w:bidi="ar-SA"/>
          <w:color w:val="111111"/>
          <w:sz w:val="28"/>
          <w:szCs w:val="28"/>
          <w:rtl/>
        </w:rPr>
        <w:t xml:space="preserve">وفيه: منع كونه مطيعاً والحال هذه، ودعوى حصول القطع بذلك في حيّز المنع».</w:t>
      </w:r>
    </w:p>
    <w:p>
      <w:pPr>
        <w:pStyle w:val="BookText"/>
      </w:pPr>
      <w:r>
        <w:rPr>
          <w:rFonts w:ascii="Amiri" w:hAnsi="Amiri" w:eastAsia="Amiri" w:cs="Amiri"/>
          <w:lang w:bidi="ar-SA"/>
          <w:color w:val="111111"/>
          <w:sz w:val="28"/>
          <w:szCs w:val="28"/>
          <w:rtl/>
        </w:rPr>
        <w:t xml:space="preserve">أو قال: «خط هذا الثوب ولا تتصرّف في المكان المغصوب» فخاطه فيه.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5" w:name="pg6784_51316"/>
    <w:bookmarkEnd w:id="155"/>
    <w:p>
      <w:pPr>
        <w:pStyle w:val="BookText"/>
      </w:pPr>
      <w:r>
        <w:rPr>
          <w:rFonts w:ascii="Amiri" w:hAnsi="Amiri" w:eastAsia="Amiri" w:cs="Amiri"/>
          <w:lang w:bidi="ar-SA"/>
          <w:color w:val="111111"/>
          <w:sz w:val="28"/>
          <w:szCs w:val="28"/>
          <w:rtl/>
        </w:rPr>
        <w:t xml:space="preserve">وأمّا التمثيل بالأمر بالخياطة والنّهي عن الكون في المكان الفلاني ففي غير محلّه؛ لأنّ المتعلّق فيه مختلف كما لا يخفى.</w:t>
      </w:r>
    </w:p>
    <w:p>
      <w:pPr>
        <w:pStyle w:val="BookText"/>
      </w:pPr>
      <w:r>
        <w:rPr>
          <w:rFonts w:ascii="Amiri" w:hAnsi="Amiri" w:eastAsia="Amiri" w:cs="Amiri"/>
          <w:lang w:bidi="ar-SA"/>
          <w:color w:val="111111"/>
          <w:sz w:val="28"/>
          <w:szCs w:val="28"/>
          <w:rtl/>
        </w:rPr>
        <w:t xml:space="preserve">وتقريب الاستدلال أنّ العرف والعقلاء إذا حكموا بما هم عقلاء بالإطاعة والعصيان في الفرض المذكور كشف ذلك عن جواز الاجتماع عقلاً فهذا حكم عقلي إجمالي فلا يرد أنّ التمسّك بالعرف في المسألة العقليّة لا</w:t>
      </w:r>
      <w:r>
        <w:rPr>
          <w:rStyle w:val="FootnoteReference"/>
        </w:rPr>
        <w:footnoteReference w:id="1068"/>
      </w:r>
      <w:r>
        <w:rPr>
          <w:rFonts w:ascii="IRNazanin" w:hAnsi="IRNazanin" w:eastAsia="IRNazanin" w:cs="IRNazanin"/>
          <w:lang w:bidi="fa-IR"/>
          <w:color w:val="111111"/>
          <w:sz w:val="28"/>
          <w:szCs w:val="28"/>
          <w:rtl/>
        </w:rPr>
        <w:t xml:space="preserve">وجه له.</w:t>
      </w:r>
    </w:p>
    <w:p>
      <w:pPr>
        <w:pStyle w:val="Heading6"/>
      </w:pPr>
      <w:bookmarkStart w:id="587" w:name="_Toc268"/>
      <w:r>
        <w:t>[التقریر الثاني للدلیل الرابع]</w:t>
      </w:r>
      <w:bookmarkEnd w:id="587"/>
    </w:p>
    <w:p>
      <w:pPr>
        <w:pStyle w:val="BookText"/>
      </w:pPr>
      <w:r>
        <w:rPr>
          <w:rFonts w:ascii="IRNazanin" w:hAnsi="IRNazanin" w:eastAsia="IRNazanin" w:cs="IRNazanin"/>
          <w:lang w:bidi="fa-IR"/>
          <w:color w:val="111111"/>
          <w:sz w:val="28"/>
          <w:szCs w:val="28"/>
          <w:rtl/>
        </w:rPr>
        <w:t xml:space="preserve">ويمكن أن يقرّر على وجه آخر وهو أنّ العرف إذا حكموا بالطّاعة والعصيان فيفهم منه جواز الاجتماع شرعاً وإن لم يكشف عن حكم العقل ويكفينا الجواز الشرعي؛ إذ النّزاع في جواز الاجتماع واقعاً وإن کان الدليل عليه ما يكون حجّة شرعیّة</w:t>
      </w:r>
      <w:r>
        <w:rPr>
          <w:rStyle w:val="FootnoteReference"/>
        </w:rPr>
        <w:footnoteReference w:id="1069"/>
      </w:r>
      <w:r>
        <w:rPr>
          <w:rFonts w:ascii="IRNazanin" w:hAnsi="IRNazanin" w:eastAsia="IRNazanin" w:cs="IRNazanin"/>
          <w:lang w:bidi="fa-IR"/>
          <w:color w:val="111111"/>
          <w:sz w:val="28"/>
          <w:szCs w:val="28"/>
          <w:rtl/>
        </w:rPr>
        <w:t xml:space="preserve">فهو وإن کان لا يفيد الجواز العقلي لكن يفيد الجواز الواقعي فإنّا إذا لم يحكم عقولنا بجواز الاجتماع ولا بعدمه يجوز لنا مراجعة العرف في طريقتهم</w:t>
      </w:r>
      <w:r>
        <w:rPr>
          <w:rStyle w:val="FootnoteReference"/>
        </w:rPr>
        <w:footnoteReference w:id="1070"/>
      </w:r>
      <w:r>
        <w:rPr>
          <w:rFonts w:ascii="IRNazanin" w:hAnsi="IRNazanin" w:eastAsia="IRNazanin" w:cs="IRNazanin"/>
          <w:lang w:bidi="fa-IR"/>
          <w:color w:val="111111"/>
          <w:sz w:val="28"/>
          <w:szCs w:val="28"/>
          <w:rtl/>
        </w:rPr>
        <w:t xml:space="preserve">في مقام الامتثال وإذا وجدناهم يكتفون في مقام الامتثال بالفرد المحرّم نقول بكفايته؛ لأنّ طريقة امتثال الأوامر والنّواهي ليست إلّا ما بید العقلاء.</w:t>
      </w:r>
    </w:p>
    <w:p>
      <w:pPr>
        <w:pStyle w:val="BookText"/>
      </w:pPr>
      <w:r>
        <w:rPr>
          <w:rFonts w:ascii="Amiri" w:hAnsi="Amiri" w:eastAsia="Amiri" w:cs="Amiri"/>
          <w:lang w:bidi="ar-SA"/>
          <w:color w:val="111111"/>
          <w:sz w:val="28"/>
          <w:szCs w:val="28"/>
          <w:rtl/>
        </w:rPr>
        <w:t xml:space="preserve">والحاصل: أنّهم لا يحكمون بتقييد</w:t>
      </w:r>
      <w:r>
        <w:rPr>
          <w:rStyle w:val="FootnoteReference"/>
        </w:rPr>
        <w:footnoteReference w:id="1071"/>
      </w:r>
      <w:r>
        <w:rPr>
          <w:rFonts w:ascii="Amiri" w:hAnsi="Amiri" w:eastAsia="Amiri" w:cs="Amiri"/>
          <w:lang w:bidi="ar-SA"/>
          <w:color w:val="111111"/>
          <w:sz w:val="28"/>
          <w:szCs w:val="28"/>
          <w:rtl/>
        </w:rPr>
        <w:t xml:space="preserve">الطّبيعة المأمور بها بغير الفرد المحرّم فمع الشكّ في جواز الاجتماع يؤخذ بحكمهم ويحكم بحصول الامتثال.</w:t>
      </w:r>
    </w:p>
    <w:p>
      <w:pPr>
        <w:pStyle w:val="BookText"/>
      </w:pPr>
      <w:r>
        <w:rPr>
          <w:rFonts w:ascii="IRNazanin" w:hAnsi="IRNazanin" w:eastAsia="IRNazanin" w:cs="IRNazanin"/>
          <w:lang w:bidi="fa-IR"/>
          <w:color w:val="111111"/>
          <w:sz w:val="28"/>
          <w:szCs w:val="28"/>
          <w:rtl/>
        </w:rPr>
        <w:t xml:space="preserve">بل يمكن أن يقال: مع القطع بعدم جواز الاجتماع عقلاً أیضاً يجوز المراجعة إليهم في ذلك؛ لأنّ الأحکام الشرعیّة تابعة للأفهام العرفيّة؛ إذ يستكشف من ذلك أنّ الشارع اكتفى في مطلوبه بمثل ذلك الفرد وإن لم يمكن عقلاً إبقاء الطّبيعة على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56" w:name="pg6784_51317"/>
    <w:bookmarkEnd w:id="156"/>
    <w:p>
      <w:pPr>
        <w:pStyle w:val="BookText"/>
      </w:pPr>
      <w:r>
        <w:rPr>
          <w:rFonts w:ascii="IRNazanin" w:hAnsi="IRNazanin" w:eastAsia="IRNazanin" w:cs="IRNazanin"/>
          <w:lang w:bidi="fa-IR"/>
          <w:color w:val="111111"/>
          <w:sz w:val="28"/>
          <w:szCs w:val="28"/>
          <w:rtl/>
        </w:rPr>
        <w:t xml:space="preserve">إطلاقها وإرسالها. فتأمّل.</w:t>
      </w:r>
      <w:r>
        <w:rPr>
          <w:rStyle w:val="FootnoteReference"/>
        </w:rPr>
        <w:footnoteReference w:id="1072"/>
      </w:r>
    </w:p>
    <w:p>
      <w:pPr>
        <w:pStyle w:val="Heading6"/>
      </w:pPr>
      <w:bookmarkStart w:id="588" w:name="_Toc269"/>
      <w:r>
        <w:t>[التقریر الثالث للدلیل الرابع]</w:t>
      </w:r>
      <w:bookmarkEnd w:id="588"/>
    </w:p>
    <w:p>
      <w:pPr>
        <w:pStyle w:val="BookText"/>
      </w:pPr>
      <w:r>
        <w:rPr>
          <w:rFonts w:ascii="Amiri" w:hAnsi="Amiri" w:eastAsia="Amiri" w:cs="Amiri"/>
          <w:lang w:bidi="ar-SA"/>
          <w:color w:val="111111"/>
          <w:sz w:val="28"/>
          <w:szCs w:val="28"/>
          <w:rtl/>
        </w:rPr>
        <w:t xml:space="preserve">ويمكن أن يقرّر على وجه ثالث وهو أنّا نراجع العرف نجدهم يجوّزون إبقاء الطّبيعة المأمور بها على إطلاقها ولا يقيّدونها بغير الفرد المحرّم في أوامرهم العرفيّة فيجوز عندهم الأمر بالخياطة بأيّ وجه اتّفقت.</w:t>
      </w:r>
    </w:p>
    <w:p>
      <w:pPr>
        <w:pStyle w:val="BookText"/>
      </w:pPr>
      <w:r>
        <w:rPr>
          <w:rFonts w:ascii="IRNazanin" w:hAnsi="IRNazanin" w:eastAsia="IRNazanin" w:cs="IRNazanin"/>
          <w:lang w:bidi="fa-IR"/>
          <w:color w:val="111111"/>
          <w:sz w:val="28"/>
          <w:szCs w:val="28"/>
          <w:rtl/>
        </w:rPr>
        <w:t xml:space="preserve">وبعبارة أخری: يجوّزون اجتماع الأمر والنّهي في أوامرهم ونواهيهم ولا فرق في ذلك بين الأوامر الشرعیّة والعرفيّة فإذا جاز في الثانية فيجوز في الأوّل أیضاً.</w:t>
      </w:r>
    </w:p>
    <w:p>
      <w:pPr>
        <w:pStyle w:val="Heading6"/>
      </w:pPr>
      <w:bookmarkStart w:id="589" w:name="_Toc270"/>
      <w:r>
        <w:t>[إیراد على التقریر الثالث]</w:t>
      </w:r>
      <w:bookmarkEnd w:id="589"/>
    </w:p>
    <w:p>
      <w:pPr>
        <w:pStyle w:val="BookText"/>
      </w:pPr>
      <w:r>
        <w:rPr>
          <w:rFonts w:ascii="Amiri" w:hAnsi="Amiri" w:eastAsia="Amiri" w:cs="Amiri"/>
          <w:lang w:bidi="ar-SA"/>
          <w:color w:val="111111"/>
          <w:sz w:val="28"/>
          <w:szCs w:val="28"/>
          <w:rtl/>
        </w:rPr>
        <w:t xml:space="preserve">ويمكن أن يورد على الدّليل بالتقرير الأخير بأنّ محلّ النزاع إنّما هو الجواز بالنّسبة إلى أمر الحكيم ونهيه وإلّا فجواز الاجتماع في الجملة ممّا لا مجال لإنكاره؛ إذ لا يصل جميع الأفهام إلى معرفة امتناعه.</w:t>
      </w:r>
    </w:p>
    <w:p>
      <w:pPr>
        <w:pStyle w:val="BookText"/>
      </w:pPr>
      <w:r>
        <w:rPr>
          <w:rFonts w:ascii="IRNazanin" w:hAnsi="IRNazanin" w:eastAsia="IRNazanin" w:cs="IRNazanin"/>
          <w:lang w:bidi="fa-IR"/>
          <w:color w:val="111111"/>
          <w:sz w:val="28"/>
          <w:szCs w:val="28"/>
          <w:rtl/>
        </w:rPr>
        <w:t xml:space="preserve">كيف ومن البيّن: أنّ القائلين بجواز الاجتماع يجوز منهم صدور التکلیف على الوجه المذكور غير أنّه لا يترتّب على أمرهم إلّا الوجوب والتحريم الإنشائيين دون الواقعيين.</w:t>
      </w:r>
    </w:p>
    <w:p>
      <w:pPr>
        <w:pStyle w:val="BookText"/>
      </w:pPr>
      <w:r>
        <w:rPr>
          <w:rFonts w:ascii="IRNazanin" w:hAnsi="IRNazanin" w:eastAsia="IRNazanin" w:cs="IRNazanin"/>
          <w:lang w:bidi="fa-IR"/>
          <w:color w:val="111111"/>
          <w:sz w:val="28"/>
          <w:szCs w:val="28"/>
          <w:rtl/>
        </w:rPr>
        <w:t xml:space="preserve">فجواز الاجتماع في الأوامر العرفيّة وفي أنظارهم بالنّسبة إلى أوامرهم لا يفيد فيما هو محلّ النّزاع في کلام الحكيم العالم بحقايق الطّلب والتکلیف والحكم.</w:t>
      </w:r>
      <w:r>
        <w:rPr>
          <w:rStyle w:val="FootnoteReference"/>
        </w:rPr>
        <w:footnoteReference w:id="1073"/>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7" w:name="pg6784_51318"/>
    <w:bookmarkEnd w:id="157"/>
    <w:p>
      <w:pPr>
        <w:pStyle w:val="Heading6"/>
      </w:pPr>
      <w:bookmarkStart w:id="590" w:name="_Toc271"/>
      <w:r>
        <w:t>[جواب الإیراد على التقریر الثالث]</w:t>
      </w:r>
      <w:bookmarkEnd w:id="590"/>
    </w:p>
    <w:p>
      <w:pPr>
        <w:pStyle w:val="BookText"/>
      </w:pPr>
      <w:r>
        <w:rPr>
          <w:rFonts w:ascii="Amiri" w:hAnsi="Amiri" w:eastAsia="Amiri" w:cs="Amiri"/>
          <w:lang w:bidi="ar-SA"/>
          <w:color w:val="111111"/>
          <w:sz w:val="28"/>
          <w:szCs w:val="28"/>
          <w:rtl/>
        </w:rPr>
        <w:t xml:space="preserve">وفيه: أنّه إذا لم ير العقلاء مانعاً عن الاجتماع في أوامرهم وإراداتهم فيكشف عن عدم المنافاة</w:t>
      </w:r>
      <w:r>
        <w:rPr>
          <w:rStyle w:val="FootnoteReference"/>
        </w:rPr>
        <w:footnoteReference w:id="1074"/>
      </w:r>
      <w:r>
        <w:rPr>
          <w:rFonts w:ascii="IRNazanin" w:hAnsi="IRNazanin" w:eastAsia="IRNazanin" w:cs="IRNazanin"/>
          <w:lang w:bidi="fa-IR"/>
          <w:color w:val="111111"/>
          <w:sz w:val="28"/>
          <w:szCs w:val="28"/>
          <w:rtl/>
        </w:rPr>
        <w:t xml:space="preserve">واقعاً في الشّرعيّات؛ إذ السنخ واحد واحتمال عدم الوصول إلى واقع الأمر جارٍ فيما لو استدلّ بالدّليل العقلي أیضاً؛ إذ يمكن فيه الخطأ.</w:t>
      </w:r>
    </w:p>
    <w:p>
      <w:pPr>
        <w:pStyle w:val="BookText"/>
      </w:pPr>
      <w:r>
        <w:rPr>
          <w:rFonts w:ascii="Amiri" w:hAnsi="Amiri" w:eastAsia="Amiri" w:cs="Amiri"/>
          <w:lang w:bidi="ar-SA"/>
          <w:color w:val="111111"/>
          <w:sz w:val="28"/>
          <w:szCs w:val="28"/>
          <w:rtl/>
        </w:rPr>
        <w:t xml:space="preserve">ودعوى أنّه لا يحصل في أوامرهم إلّا مجرّد الإنشاء وإلّا فالطلب الحقيقي أحدهما؛</w:t>
      </w:r>
    </w:p>
    <w:p>
      <w:pPr>
        <w:pStyle w:val="BookText"/>
      </w:pPr>
      <w:r>
        <w:rPr>
          <w:rFonts w:ascii="Amiri" w:hAnsi="Amiri" w:eastAsia="Amiri" w:cs="Amiri"/>
          <w:lang w:bidi="ar-SA"/>
          <w:color w:val="111111"/>
          <w:sz w:val="28"/>
          <w:szCs w:val="28"/>
          <w:rtl/>
        </w:rPr>
        <w:t xml:space="preserve">مدفوعة بأنّه إذا لم يكن مانع عن اجتماعهما بحسب الإنشاء فيكونان واقعيين؛ إذ المغايرة بين الواقعي والإنشائي إنّما هو في وجوب الطّاعة وعدمه وكون المنشئمطاعاً أو لا.</w:t>
      </w:r>
    </w:p>
    <w:p>
      <w:pPr>
        <w:pStyle w:val="BookText"/>
      </w:pPr>
      <w:r>
        <w:rPr>
          <w:rFonts w:ascii="Amiri" w:hAnsi="Amiri" w:eastAsia="Amiri" w:cs="Amiri"/>
          <w:lang w:bidi="ar-SA"/>
          <w:color w:val="111111"/>
          <w:sz w:val="28"/>
          <w:szCs w:val="28"/>
          <w:rtl/>
        </w:rPr>
        <w:t xml:space="preserve">ولو أريد من الإنشائي</w:t>
      </w:r>
      <w:r>
        <w:rPr>
          <w:rStyle w:val="FootnoteReference"/>
        </w:rPr>
        <w:footnoteReference w:id="1075"/>
      </w:r>
      <w:r>
        <w:rPr>
          <w:rFonts w:ascii="IRNazanin" w:hAnsi="IRNazanin" w:eastAsia="IRNazanin" w:cs="IRNazanin"/>
          <w:lang w:bidi="fa-IR"/>
          <w:color w:val="111111"/>
          <w:sz w:val="28"/>
          <w:szCs w:val="28"/>
          <w:rtl/>
        </w:rPr>
        <w:t xml:space="preserve">مجرّد الصّورة وأنّه لا حقیقة للطّلب المذكور فورود المنع عليه واضح.</w:t>
      </w:r>
    </w:p>
    <w:p>
      <w:pPr>
        <w:pStyle w:val="Heading6"/>
      </w:pPr>
      <w:bookmarkStart w:id="591" w:name="_Toc272"/>
      <w:r>
        <w:t>[إیراد على التقریر الثاني]</w:t>
      </w:r>
      <w:bookmarkEnd w:id="591"/>
    </w:p>
    <w:p>
      <w:pPr>
        <w:pStyle w:val="BookText"/>
      </w:pPr>
      <w:r>
        <w:rPr>
          <w:rFonts w:ascii="IRNazanin" w:hAnsi="IRNazanin" w:eastAsia="IRNazanin" w:cs="IRNazanin"/>
          <w:lang w:bidi="fa-IR"/>
          <w:color w:val="111111"/>
          <w:sz w:val="28"/>
          <w:szCs w:val="28"/>
          <w:rtl/>
        </w:rPr>
        <w:t xml:space="preserve">ويمكن أن يورد على التقرير الثاني بأنّ الکلام في جواز الاجتماع عقلاً وحكم العرف بعدم المانع إن لم يكشف عن حكم العقل الإجمالي فلا ثمرة فيه.</w:t>
      </w:r>
    </w:p>
    <w:p>
      <w:pPr>
        <w:pStyle w:val="Heading6"/>
      </w:pPr>
      <w:bookmarkStart w:id="592" w:name="_Toc273"/>
      <w:r>
        <w:t>[جواب الإیراد على التقریر الثاني]</w:t>
      </w:r>
      <w:bookmarkEnd w:id="592"/>
    </w:p>
    <w:p>
      <w:pPr>
        <w:pStyle w:val="BookText"/>
      </w:pPr>
      <w:r>
        <w:rPr>
          <w:rFonts w:ascii="Amiri" w:hAnsi="Amiri" w:eastAsia="Amiri" w:cs="Amiri"/>
          <w:lang w:bidi="ar-SA"/>
          <w:color w:val="111111"/>
          <w:sz w:val="28"/>
          <w:szCs w:val="28"/>
          <w:rtl/>
        </w:rPr>
        <w:t xml:space="preserve">وفيه: ما مرّ من</w:t>
      </w:r>
      <w:r>
        <w:rPr>
          <w:rStyle w:val="FootnoteReference"/>
        </w:rPr>
        <w:footnoteReference w:id="1076"/>
      </w:r>
      <w:r>
        <w:rPr>
          <w:rFonts w:ascii="IRNazanin" w:hAnsi="IRNazanin" w:eastAsia="IRNazanin" w:cs="IRNazanin"/>
          <w:lang w:bidi="fa-IR"/>
          <w:color w:val="111111"/>
          <w:sz w:val="28"/>
          <w:szCs w:val="28"/>
          <w:rtl/>
        </w:rPr>
        <w:t xml:space="preserve">أنّ النزاع في الجواز الواقعي وإن کان الدليل عليه غير العقل من الشّرع والعرف.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8" w:name="pg6784_51319"/>
    <w:bookmarkEnd w:id="158"/>
    <w:p>
      <w:pPr>
        <w:pStyle w:val="BookText"/>
      </w:pPr>
      <w:r>
        <w:rPr>
          <w:rFonts w:ascii="IRNazanin" w:hAnsi="IRNazanin" w:eastAsia="IRNazanin" w:cs="IRNazanin"/>
          <w:lang w:bidi="fa-IR"/>
          <w:color w:val="111111"/>
          <w:sz w:val="28"/>
          <w:szCs w:val="28"/>
          <w:rtl/>
        </w:rPr>
        <w:t xml:space="preserve">نعم الإنصاف أنّه مع القطع بعدم الجواز</w:t>
      </w:r>
      <w:r>
        <w:rPr>
          <w:rStyle w:val="FootnoteReference"/>
        </w:rPr>
        <w:footnoteReference w:id="1077"/>
      </w:r>
      <w:r>
        <w:rPr>
          <w:rFonts w:ascii="IRNazanin" w:hAnsi="IRNazanin" w:eastAsia="IRNazanin" w:cs="IRNazanin"/>
          <w:lang w:bidi="fa-IR"/>
          <w:color w:val="111111"/>
          <w:sz w:val="28"/>
          <w:szCs w:val="28"/>
          <w:rtl/>
        </w:rPr>
        <w:t xml:space="preserve">عقلاً لا يجوز التمسّك بالعرف. وكون الأحکام واردة على حسب الأفهام العرفيّة لا يثمر في ورود الأمر على ما لا يمكن وروده عليه عقلاً.</w:t>
      </w:r>
    </w:p>
    <w:p>
      <w:pPr>
        <w:pStyle w:val="BookText"/>
      </w:pPr>
      <w:r>
        <w:rPr>
          <w:rFonts w:ascii="Amiri" w:hAnsi="Amiri" w:eastAsia="Amiri" w:cs="Amiri"/>
          <w:lang w:bidi="ar-SA"/>
          <w:color w:val="111111"/>
          <w:sz w:val="28"/>
          <w:szCs w:val="28"/>
          <w:rtl/>
        </w:rPr>
        <w:t xml:space="preserve">نعم لو أريد إثبات اكتفاء الشارع عن المطلوب بغيره وإن لم يكن مطلوباً فله وجه.</w:t>
      </w:r>
    </w:p>
    <w:p>
      <w:pPr>
        <w:pStyle w:val="Heading6"/>
      </w:pPr>
      <w:bookmarkStart w:id="593" w:name="_Toc274"/>
      <w:r>
        <w:t>[إیراد على التقریر الأوّل للدلیل الرابع]</w:t>
      </w:r>
      <w:bookmarkEnd w:id="593"/>
    </w:p>
    <w:p>
      <w:pPr>
        <w:pStyle w:val="BookText"/>
      </w:pPr>
      <w:r>
        <w:rPr>
          <w:rFonts w:ascii="Amiri" w:hAnsi="Amiri" w:eastAsia="Amiri" w:cs="Amiri"/>
          <w:lang w:bidi="ar-SA"/>
          <w:color w:val="111111"/>
          <w:sz w:val="28"/>
          <w:szCs w:val="28"/>
          <w:rtl/>
        </w:rPr>
        <w:t xml:space="preserve">وأجيب عنه بالتقرير الأوّل بوجهين:</w:t>
      </w:r>
    </w:p>
    <w:p>
      <w:pPr>
        <w:pStyle w:val="Heading6"/>
      </w:pPr>
      <w:bookmarkStart w:id="594" w:name="_Toc275"/>
      <w:r>
        <w:t>[الوجه الأوّل للإیراد]</w:t>
      </w:r>
      <w:bookmarkEnd w:id="594"/>
    </w:p>
    <w:p>
      <w:pPr>
        <w:pStyle w:val="BookText"/>
      </w:pPr>
      <w:r>
        <w:rPr>
          <w:rFonts w:ascii="Amiri" w:hAnsi="Amiri" w:eastAsia="Amiri" w:cs="Amiri"/>
          <w:lang w:bidi="ar-SA"/>
          <w:color w:val="111111"/>
          <w:sz w:val="28"/>
          <w:szCs w:val="28"/>
          <w:rtl/>
        </w:rPr>
        <w:t xml:space="preserve">أحدهما: أنّ الوجه في صدق الإطاعة في المذكورات أنّ المعلوم من الخارج فيها أنّ المقصود حصول تلك الطّبيعة بأيّ وجه اتّفقت وعلى أيّ وجه حصلت فلا يفيد</w:t>
      </w:r>
      <w:r>
        <w:rPr>
          <w:rStyle w:val="FootnoteReference"/>
        </w:rPr>
        <w:footnoteReference w:id="1078"/>
      </w:r>
      <w:r>
        <w:rPr>
          <w:rFonts w:ascii="Amiri" w:hAnsi="Amiri" w:eastAsia="Amiri" w:cs="Amiri"/>
          <w:lang w:bidi="ar-SA"/>
          <w:color w:val="111111"/>
          <w:sz w:val="28"/>
          <w:szCs w:val="28"/>
          <w:rtl/>
        </w:rPr>
        <w:t xml:space="preserve">في مثل الصّلاة والغصب ممّا لا يعلم فيه ذلك.</w:t>
      </w:r>
    </w:p>
    <w:p>
      <w:pPr>
        <w:pStyle w:val="Heading6"/>
      </w:pPr>
      <w:bookmarkStart w:id="595" w:name="_Toc276"/>
      <w:r>
        <w:t>[جواب من الوجه الأوّل للإیراد]</w:t>
      </w:r>
      <w:bookmarkEnd w:id="595"/>
    </w:p>
    <w:p>
      <w:pPr>
        <w:pStyle w:val="BookText"/>
      </w:pPr>
      <w:r>
        <w:rPr>
          <w:rFonts w:ascii="IRNazanin" w:hAnsi="IRNazanin" w:eastAsia="IRNazanin" w:cs="IRNazanin"/>
          <w:lang w:bidi="fa-IR"/>
          <w:color w:val="111111"/>
          <w:sz w:val="28"/>
          <w:szCs w:val="28"/>
          <w:rtl/>
        </w:rPr>
        <w:t xml:space="preserve">وفيه ما لا يخفی؛ إذ هو التزام بمذهب الخصم؛ إذ الکلام إنّما هو في إمکان إرادة الطبيعة كذلك بحيث لا تكون</w:t>
      </w:r>
      <w:r>
        <w:rPr>
          <w:rStyle w:val="FootnoteReference"/>
        </w:rPr>
        <w:footnoteReference w:id="1079"/>
      </w:r>
      <w:r>
        <w:rPr>
          <w:rFonts w:ascii="Amiri" w:hAnsi="Amiri" w:eastAsia="Amiri" w:cs="Amiri"/>
          <w:lang w:bidi="ar-SA"/>
          <w:color w:val="111111"/>
          <w:sz w:val="28"/>
          <w:szCs w:val="28"/>
          <w:rtl/>
        </w:rPr>
        <w:t xml:space="preserve">مقيّدة بغير الفرد المحرّم.</w:t>
      </w:r>
    </w:p>
    <w:p>
      <w:pPr>
        <w:pStyle w:val="Heading6"/>
      </w:pPr>
      <w:bookmarkStart w:id="596" w:name="_Toc277"/>
      <w:r>
        <w:t>[الوجه الثاني للإیراد]</w:t>
      </w:r>
      <w:bookmarkEnd w:id="596"/>
    </w:p>
    <w:p>
      <w:pPr>
        <w:pStyle w:val="BookText"/>
      </w:pPr>
      <w:r>
        <w:rPr>
          <w:rFonts w:ascii="Amiri" w:hAnsi="Amiri" w:eastAsia="Amiri" w:cs="Amiri"/>
          <w:lang w:bidi="ar-SA"/>
          <w:color w:val="111111"/>
          <w:sz w:val="28"/>
          <w:szCs w:val="28"/>
          <w:rtl/>
        </w:rPr>
        <w:t xml:space="preserve">الثاني: أنّا نمنع صدق الإطاعة والامتثال وما يرى من حكم العرف إنّما هو مسامحة منهم حيث إنّه أتى بما هو متعلّق لغرض المولى فيتوهّمون في أوّل النظر أنّه مطيعٌ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9" w:name="pg6784_51320"/>
    <w:bookmarkEnd w:id="159"/>
    <w:p>
      <w:pPr>
        <w:pStyle w:val="BookText"/>
      </w:pPr>
      <w:r>
        <w:rPr>
          <w:rFonts w:ascii="IRNazanin" w:hAnsi="IRNazanin" w:eastAsia="IRNazanin" w:cs="IRNazanin"/>
          <w:lang w:bidi="fa-IR"/>
          <w:color w:val="111111"/>
          <w:sz w:val="28"/>
          <w:szCs w:val="28"/>
          <w:rtl/>
        </w:rPr>
        <w:t xml:space="preserve">وبعد التأمّل ينكشف الحال وأنّه عاصٍ صرف، غاية الأمر أنّه أسقط أمر المولى أیضاً لإتیانه بذات المطلوب.</w:t>
      </w:r>
    </w:p>
    <w:p>
      <w:pPr>
        <w:pStyle w:val="BookText"/>
      </w:pPr>
      <w:r>
        <w:rPr>
          <w:rFonts w:ascii="IRNazanin" w:hAnsi="IRNazanin" w:eastAsia="IRNazanin" w:cs="IRNazanin"/>
          <w:lang w:bidi="fa-IR"/>
          <w:color w:val="111111"/>
          <w:sz w:val="28"/>
          <w:szCs w:val="28"/>
          <w:rtl/>
        </w:rPr>
        <w:t xml:space="preserve">لكنّ هذا إنّما يتمّ في التوصّليات وفي التعبّديات لا سقوط أیضاً؛ إذ هو فرع الامتثال.</w:t>
      </w:r>
    </w:p>
    <w:p>
      <w:pPr>
        <w:pStyle w:val="Heading6"/>
      </w:pPr>
      <w:bookmarkStart w:id="597" w:name="_Toc278"/>
      <w:r>
        <w:t>[جواب من الوجه الثاني للإیراد]</w:t>
      </w:r>
      <w:bookmarkEnd w:id="597"/>
    </w:p>
    <w:p>
      <w:pPr>
        <w:pStyle w:val="BookText"/>
      </w:pPr>
      <w:r>
        <w:rPr>
          <w:rFonts w:ascii="Amiri" w:hAnsi="Amiri" w:eastAsia="Amiri" w:cs="Amiri"/>
          <w:lang w:bidi="ar-SA"/>
          <w:color w:val="111111"/>
          <w:sz w:val="28"/>
          <w:szCs w:val="28"/>
          <w:rtl/>
        </w:rPr>
        <w:t xml:space="preserve">وربما يورد عليه: بأنّا نرى أنّه لو عاقبه المولى على ترك المطلوب عدّ سخيفاً ولا كذلك لو عاقبه على مخالفة النهي فيكشف ذلك عن حصول الامتثال.</w:t>
      </w:r>
    </w:p>
    <w:p>
      <w:pPr>
        <w:pStyle w:val="BookText"/>
      </w:pPr>
      <w:r>
        <w:rPr>
          <w:rFonts w:ascii="IRNazanin" w:hAnsi="IRNazanin" w:eastAsia="IRNazanin" w:cs="IRNazanin"/>
          <w:lang w:bidi="fa-IR"/>
          <w:color w:val="111111"/>
          <w:sz w:val="28"/>
          <w:szCs w:val="28"/>
          <w:rtl/>
        </w:rPr>
        <w:t xml:space="preserve">وفيه: أنّه يمكن أن يكون ذلك من باب أنّه أسقط الأمر فالأمر وإن لم یتمثل إلّا أنّه سقط عن ذمّته وأنّه</w:t>
      </w:r>
      <w:r>
        <w:rPr>
          <w:rStyle w:val="FootnoteReference"/>
        </w:rPr>
        <w:footnoteReference w:id="1080"/>
      </w:r>
      <w:r>
        <w:rPr>
          <w:rFonts w:ascii="IRNazanin" w:hAnsi="IRNazanin" w:eastAsia="IRNazanin" w:cs="IRNazanin"/>
          <w:lang w:bidi="fa-IR"/>
          <w:color w:val="111111"/>
          <w:sz w:val="28"/>
          <w:szCs w:val="28"/>
          <w:rtl/>
        </w:rPr>
        <w:t xml:space="preserve">لا معنى لعقابه عليه كما إذا فعله غيره وإن کان هو بانياً على عدم الإتیان؛ إذ غاية الأمر أنّه تجرّى في ذلك وإلّا فليس بعاصٍ.</w:t>
      </w:r>
    </w:p>
    <w:p>
      <w:pPr>
        <w:pStyle w:val="BookText"/>
      </w:pPr>
      <w:r>
        <w:rPr>
          <w:rFonts w:ascii="IRNazanin" w:hAnsi="IRNazanin" w:eastAsia="IRNazanin" w:cs="IRNazanin"/>
          <w:lang w:bidi="fa-IR"/>
          <w:color w:val="111111"/>
          <w:sz w:val="28"/>
          <w:szCs w:val="28"/>
          <w:rtl/>
        </w:rPr>
        <w:t xml:space="preserve">بل نقول: إذا كان على المکلّف دين موقّت وتركه في تمام الوقت عمداً لكن اتّفق أنّ الديّان أبرؤوا</w:t>
      </w:r>
      <w:r>
        <w:rPr>
          <w:rStyle w:val="FootnoteReference"/>
        </w:rPr>
        <w:footnoteReference w:id="1081"/>
      </w:r>
      <w:r>
        <w:rPr>
          <w:rFonts w:ascii="Amiri" w:hAnsi="Amiri" w:eastAsia="Amiri" w:cs="Amiri"/>
          <w:lang w:bidi="ar-SA"/>
          <w:color w:val="111111"/>
          <w:sz w:val="28"/>
          <w:szCs w:val="28"/>
          <w:rtl/>
        </w:rPr>
        <w:t xml:space="preserve">ذمّته أو أدّى عنه غيره لا يجوز عقابه إلّا على التجّري بناء على حرمته. فمجرّد عدم جواز العقاب على مخالفة الأمر وترك المطلوب لا يكون دليلاً على المطلب.</w:t>
      </w:r>
    </w:p>
    <w:p>
      <w:pPr>
        <w:pStyle w:val="BookText"/>
      </w:pPr>
      <w:r>
        <w:rPr>
          <w:rFonts w:ascii="IRNazanin" w:hAnsi="IRNazanin" w:eastAsia="IRNazanin" w:cs="IRNazanin"/>
          <w:lang w:bidi="fa-IR"/>
          <w:color w:val="111111"/>
          <w:sz w:val="28"/>
          <w:szCs w:val="28"/>
          <w:rtl/>
        </w:rPr>
        <w:t xml:space="preserve">والأولى أن يقال: إنّا نرى بالمراجعة إلى العرف والوجدان أنّه لو جعل ثواباً بإزاء إتیان المطلوب يجب عليه الإعطاء وإن جاز له العقاب على المخالفة بالنّسبة إلى النهي وهذا كاشف عن حصول الامتثال ومنع ذلك في غير محلّه، أو يقال: نرى أنّ الأمر كذلك وإن کان المورد من التعبّديّات. فتدبّر.</w:t>
      </w:r>
      <w:r>
        <w:rPr>
          <w:rStyle w:val="FootnoteReference"/>
        </w:rPr>
        <w:footnoteReference w:id="1082"/>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60" w:name="pg6784_51321"/>
    <w:bookmarkEnd w:id="160"/>
    <w:p>
      <w:pPr>
        <w:pStyle w:val="Heading5"/>
      </w:pPr>
      <w:bookmarkStart w:id="598" w:name="_Toc279"/>
      <w:r>
        <w:t>[الدليل الخامس: وقوع الاجتماع بين الأحکام في موارد من الشريعة]</w:t>
      </w:r>
      <w:bookmarkEnd w:id="598"/>
    </w:p>
    <w:p>
      <w:pPr>
        <w:pStyle w:val="Heading6"/>
      </w:pPr>
      <w:bookmarkStart w:id="599" w:name="_Toc280"/>
      <w:r>
        <w:t>اشارة</w:t>
      </w:r>
      <w:bookmarkEnd w:id="599"/>
    </w:p>
    <w:p>
      <w:pPr>
        <w:pStyle w:val="BookText"/>
      </w:pPr>
      <w:r>
        <w:rPr>
          <w:rFonts w:ascii="Amiri" w:hAnsi="Amiri" w:eastAsia="Amiri" w:cs="Amiri"/>
          <w:lang w:bidi="ar-SA"/>
          <w:color w:val="111111"/>
          <w:sz w:val="28"/>
          <w:szCs w:val="28"/>
          <w:rtl/>
        </w:rPr>
        <w:t xml:space="preserve">الخامس: أنّه لو لم يجز الاجتماع لكان من جهة المضادّة وهي محقّقة</w:t>
      </w:r>
      <w:r>
        <w:rPr>
          <w:rStyle w:val="FootnoteReference"/>
        </w:rPr>
        <w:footnoteReference w:id="1083"/>
      </w:r>
      <w:r>
        <w:rPr>
          <w:rFonts w:ascii="IRNazanin" w:hAnsi="IRNazanin" w:eastAsia="IRNazanin" w:cs="IRNazanin"/>
          <w:lang w:bidi="fa-IR"/>
          <w:color w:val="111111"/>
          <w:sz w:val="28"/>
          <w:szCs w:val="28"/>
          <w:rtl/>
        </w:rPr>
        <w:t xml:space="preserve">بين الأحکام</w:t>
      </w:r>
      <w:r>
        <w:rPr>
          <w:rStyle w:val="FootnoteReference"/>
        </w:rPr>
        <w:footnoteReference w:id="1084"/>
      </w:r>
      <w:r>
        <w:rPr>
          <w:rFonts w:ascii="IRNazanin" w:hAnsi="IRNazanin" w:eastAsia="IRNazanin" w:cs="IRNazanin"/>
          <w:lang w:bidi="fa-IR"/>
          <w:color w:val="111111"/>
          <w:sz w:val="28"/>
          <w:szCs w:val="28"/>
          <w:rtl/>
        </w:rPr>
        <w:t xml:space="preserve">الخمسة کلّها ولازمه عدم اجتماع بعضها مع بعض، مع أنّه ورد ذلك في الشرع كثيراً فيكشف ذلك</w:t>
      </w:r>
      <w:r>
        <w:rPr>
          <w:rStyle w:val="FootnoteReference"/>
        </w:rPr>
        <w:footnoteReference w:id="1085"/>
      </w:r>
      <w:r>
        <w:rPr>
          <w:rFonts w:ascii="Amiri" w:hAnsi="Amiri" w:eastAsia="Amiri" w:cs="Amiri"/>
          <w:lang w:bidi="ar-SA"/>
          <w:color w:val="111111"/>
          <w:sz w:val="28"/>
          <w:szCs w:val="28"/>
          <w:rtl/>
        </w:rPr>
        <w:t xml:space="preserve">عن جواز الاجتماع حتّى في الوجوب والحرمة.</w:t>
      </w:r>
    </w:p>
    <w:p>
      <w:pPr>
        <w:pStyle w:val="Heading6"/>
      </w:pPr>
      <w:bookmarkStart w:id="600" w:name="_Toc281"/>
      <w:r>
        <w:t>[وقوع الاجتماع بين الأحکام في العبادات المكروهة وجواب المانعین]</w:t>
      </w:r>
      <w:bookmarkEnd w:id="600"/>
    </w:p>
    <w:p>
      <w:pPr>
        <w:pStyle w:val="BookText"/>
      </w:pPr>
      <w:r>
        <w:rPr>
          <w:rFonts w:ascii="Amiri" w:hAnsi="Amiri" w:eastAsia="Amiri" w:cs="Amiri"/>
          <w:lang w:bidi="ar-SA"/>
          <w:color w:val="111111"/>
          <w:sz w:val="28"/>
          <w:szCs w:val="28"/>
          <w:rtl/>
        </w:rPr>
        <w:t xml:space="preserve">فمن الموارد، العبادات المكروهة مثل الصّلاة في الأزمنة المكروهة</w:t>
      </w:r>
      <w:r>
        <w:rPr>
          <w:rStyle w:val="FootnoteReference"/>
        </w:rPr>
        <w:footnoteReference w:id="1086"/>
      </w:r>
      <w:r>
        <w:rPr>
          <w:rFonts w:ascii="Amiri" w:hAnsi="Amiri" w:eastAsia="Amiri" w:cs="Amiri"/>
          <w:lang w:bidi="ar-SA"/>
          <w:color w:val="111111"/>
          <w:sz w:val="28"/>
          <w:szCs w:val="28"/>
          <w:rtl/>
        </w:rPr>
        <w:t xml:space="preserve">والأمكنة كذلك</w:t>
      </w:r>
      <w:r>
        <w:rPr>
          <w:rStyle w:val="FootnoteReference"/>
        </w:rPr>
        <w:footnoteReference w:id="1087"/>
      </w:r>
      <w:r>
        <w:rPr>
          <w:rFonts w:ascii="Amiri" w:hAnsi="Amiri" w:eastAsia="Amiri" w:cs="Amiri"/>
          <w:lang w:bidi="ar-SA"/>
          <w:color w:val="111111"/>
          <w:sz w:val="28"/>
          <w:szCs w:val="28"/>
          <w:rtl/>
        </w:rPr>
        <w:t xml:space="preserve">والألبسة كذلك</w:t>
      </w:r>
      <w:r>
        <w:rPr>
          <w:rStyle w:val="FootnoteReference"/>
        </w:rPr>
        <w:footnoteReference w:id="1088"/>
      </w:r>
      <w:r>
        <w:rPr>
          <w:rFonts w:ascii="IRNazanin" w:hAnsi="IRNazanin" w:eastAsia="IRNazanin" w:cs="IRNazanin"/>
          <w:lang w:bidi="fa-IR"/>
          <w:color w:val="111111"/>
          <w:sz w:val="28"/>
          <w:szCs w:val="28"/>
          <w:rtl/>
        </w:rPr>
        <w:t xml:space="preserve">ومثل الوضوء بالماء المشمّس</w:t>
      </w:r>
      <w:r>
        <w:rPr>
          <w:rStyle w:val="FootnoteReference"/>
        </w:rPr>
        <w:footnoteReference w:id="1089"/>
      </w:r>
      <w:r>
        <w:rPr>
          <w:rFonts w:ascii="Amiri" w:hAnsi="Amiri" w:eastAsia="Amiri" w:cs="Amiri"/>
          <w:lang w:bidi="ar-SA"/>
          <w:color w:val="111111"/>
          <w:sz w:val="28"/>
          <w:szCs w:val="28"/>
          <w:rtl/>
        </w:rPr>
        <w:t xml:space="preserve">أي</w:t>
      </w:r>
      <w:r>
        <w:rPr>
          <w:rStyle w:val="FootnoteReference"/>
        </w:rPr>
        <w:footnoteReference w:id="1090"/>
      </w:r>
      <w:r>
        <w:rPr>
          <w:rFonts w:ascii="IRNazanin" w:hAnsi="IRNazanin" w:eastAsia="IRNazanin" w:cs="IRNazanin"/>
          <w:lang w:bidi="fa-IR"/>
          <w:color w:val="111111"/>
          <w:sz w:val="28"/>
          <w:szCs w:val="28"/>
          <w:rtl/>
        </w:rPr>
        <w:t xml:space="preserve">المسخّن بالشمس والأذان والإقامة في جملة من الموارد فيحصل من ملاحظة جميع ذلك القطع بالجواز؛ لأنّ ورود النهي قطعي ودلالته على الكراهة المصطلحة أیضاً كذلك؛ إذ التّأویل في جميع هذه النّواهي الظاهرة فيها ممّا يقطع بعدمه وعلى فرض عدم القطع من حيث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الدّلالة فلا إشکال في كونها ظاهرة فيمكن التمسّك بها في إثبات المطلب؛ إذ قد عرفت سابقاً أنّ النزاع في الجواز الواقعي</w:t>
      </w:r>
      <w:r>
        <w:rPr>
          <w:rStyle w:val="FootnoteReference"/>
        </w:rPr>
        <w:footnoteReference w:id="1091"/>
      </w:r>
      <w:r>
        <w:rPr>
          <w:rFonts w:ascii="IRNazanin" w:hAnsi="IRNazanin" w:eastAsia="IRNazanin" w:cs="IRNazanin"/>
          <w:lang w:bidi="fa-IR"/>
          <w:color w:val="111111"/>
          <w:sz w:val="28"/>
          <w:szCs w:val="28"/>
          <w:rtl/>
        </w:rPr>
        <w:t xml:space="preserve">وإن کان الدّليل عليه غير العقل من الأدلّة الشرعیّة وعلى فرض كون النّزاع في الحكم العقلي نقول: يكفينا الدّليل المذكور وإن لم يكن مثبتاً لما هو محلّ النّزاع.والنّسبة بين مورد الأمر والنّهي في هذه الصّور</w:t>
      </w:r>
      <w:r>
        <w:rPr>
          <w:rStyle w:val="FootnoteReference"/>
        </w:rPr>
        <w:footnoteReference w:id="1092"/>
      </w:r>
      <w:r>
        <w:rPr>
          <w:rFonts w:ascii="IRNazanin" w:hAnsi="IRNazanin" w:eastAsia="IRNazanin" w:cs="IRNazanin"/>
          <w:lang w:bidi="fa-IR"/>
          <w:color w:val="111111"/>
          <w:sz w:val="28"/>
          <w:szCs w:val="28"/>
          <w:rtl/>
        </w:rPr>
        <w:t xml:space="preserve">وإن کان هو العموم المطلق إلّا أنّه يستفاد منه</w:t>
      </w:r>
      <w:r>
        <w:rPr>
          <w:rStyle w:val="FootnoteReference"/>
        </w:rPr>
        <w:footnoteReference w:id="1093"/>
      </w:r>
      <w:r>
        <w:rPr>
          <w:rFonts w:ascii="Amiri" w:hAnsi="Amiri" w:eastAsia="Amiri" w:cs="Amiri"/>
          <w:lang w:bidi="ar-SA"/>
          <w:color w:val="111111"/>
          <w:sz w:val="28"/>
          <w:szCs w:val="28"/>
          <w:rtl/>
        </w:rPr>
        <w:t xml:space="preserve">حكم العموم من وجه بالأولويّة.</w:t>
      </w:r>
    </w:p>
    <w:p>
      <w:pPr>
        <w:pStyle w:val="BookText"/>
      </w:pPr>
      <w:r>
        <w:rPr>
          <w:rFonts w:ascii="IRNazanin" w:hAnsi="IRNazanin" w:eastAsia="IRNazanin" w:cs="IRNazanin"/>
          <w:lang w:bidi="fa-IR"/>
          <w:color w:val="111111"/>
          <w:sz w:val="28"/>
          <w:szCs w:val="28"/>
          <w:rtl/>
        </w:rPr>
        <w:t xml:space="preserve">مع أنّه يمكن أن يقال: بورود العموم من وجه أیضاً على الوجه المذكور مثل أوامر الصّلاة ونواهي التصرّف في المال المشتبه بالغصب أو المتّهم صاحبه من حيث الطّهارة والنّجاسة والكون في مواضع التّهمة وغير ذلك.</w:t>
      </w:r>
    </w:p>
    <w:p>
      <w:pPr>
        <w:pStyle w:val="BookText"/>
      </w:pPr>
      <w:r>
        <w:rPr>
          <w:rFonts w:ascii="Amiri" w:hAnsi="Amiri" w:eastAsia="Amiri" w:cs="Amiri"/>
          <w:lang w:bidi="ar-SA"/>
          <w:color w:val="111111"/>
          <w:sz w:val="28"/>
          <w:szCs w:val="28"/>
          <w:rtl/>
        </w:rPr>
        <w:t xml:space="preserve">وهذا الاستدلال كما عرفت إنّما ينفع</w:t>
      </w:r>
      <w:r>
        <w:rPr>
          <w:rStyle w:val="FootnoteReference"/>
        </w:rPr>
        <w:footnoteReference w:id="1094"/>
      </w:r>
      <w:r>
        <w:rPr>
          <w:rFonts w:ascii="Amiri" w:hAnsi="Amiri" w:eastAsia="Amiri" w:cs="Amiri"/>
          <w:lang w:bidi="ar-SA"/>
          <w:color w:val="111111"/>
          <w:sz w:val="28"/>
          <w:szCs w:val="28"/>
          <w:rtl/>
        </w:rPr>
        <w:t xml:space="preserve">من لم يحكم عقله بالامتناع وإلّا فلا بدّ:</w:t>
      </w:r>
    </w:p>
    <w:p>
      <w:pPr>
        <w:pStyle w:val="BookText"/>
      </w:pPr>
      <w:r>
        <w:rPr>
          <w:rFonts w:ascii="Amiri" w:hAnsi="Amiri" w:eastAsia="Amiri" w:cs="Amiri"/>
          <w:lang w:bidi="ar-SA"/>
          <w:color w:val="111111"/>
          <w:sz w:val="28"/>
          <w:szCs w:val="28"/>
          <w:rtl/>
        </w:rPr>
        <w:t xml:space="preserve">إمّا من الالتزام بالفرق بين الإلزاميّين وغيرهما وأنّ ملاك المنع عدم الرّخصة المتحقّقة فيهما دون غيرهما لا مجرّد المضادّة؛</w:t>
      </w:r>
    </w:p>
    <w:p>
      <w:pPr>
        <w:pStyle w:val="BookText"/>
      </w:pPr>
      <w:r>
        <w:rPr>
          <w:rFonts w:ascii="IRNazanin" w:hAnsi="IRNazanin" w:eastAsia="IRNazanin" w:cs="IRNazanin"/>
          <w:lang w:bidi="fa-IR"/>
          <w:color w:val="111111"/>
          <w:sz w:val="28"/>
          <w:szCs w:val="28"/>
          <w:rtl/>
        </w:rPr>
        <w:t xml:space="preserve">وإمّا من التوجيه والتأویل في النّواهي المذكورة ويكفيه أن يقول: لمّا كان العقل حاكماً بعدم جواز</w:t>
      </w:r>
      <w:r>
        <w:rPr>
          <w:rStyle w:val="FootnoteReference"/>
        </w:rPr>
        <w:footnoteReference w:id="1095"/>
      </w:r>
      <w:r>
        <w:rPr>
          <w:rFonts w:ascii="IRNazanin" w:hAnsi="IRNazanin" w:eastAsia="IRNazanin" w:cs="IRNazanin"/>
          <w:lang w:bidi="fa-IR"/>
          <w:color w:val="111111"/>
          <w:sz w:val="28"/>
          <w:szCs w:val="28"/>
          <w:rtl/>
        </w:rPr>
        <w:t xml:space="preserve">الاجتماع</w:t>
      </w:r>
      <w:r>
        <w:rPr>
          <w:rStyle w:val="FootnoteReference"/>
        </w:rPr>
        <w:footnoteReference w:id="1096"/>
      </w:r>
      <w:r>
        <w:rPr>
          <w:rFonts w:ascii="Amiri" w:hAnsi="Amiri" w:eastAsia="Amiri" w:cs="Amiri"/>
          <w:lang w:bidi="ar-SA"/>
          <w:color w:val="111111"/>
          <w:sz w:val="28"/>
          <w:szCs w:val="28"/>
          <w:rtl/>
        </w:rPr>
        <w:t xml:space="preserve">فيكشف عن أنّ المراد من هذه النّواهي</w:t>
      </w:r>
      <w:r>
        <w:rPr>
          <w:rStyle w:val="FootnoteReference"/>
        </w:rPr>
        <w:footnoteReference w:id="1097"/>
      </w:r>
      <w:r>
        <w:rPr>
          <w:rFonts w:ascii="Amiri" w:hAnsi="Amiri" w:eastAsia="Amiri" w:cs="Amiri"/>
          <w:lang w:bidi="ar-SA"/>
          <w:color w:val="111111"/>
          <w:sz w:val="28"/>
          <w:szCs w:val="28"/>
          <w:rtl/>
        </w:rPr>
        <w:t xml:space="preserve">خلاف ظاهرها من الكراهة المصطلحة وإن لم يعلم</w:t>
      </w:r>
      <w:r>
        <w:rPr>
          <w:rStyle w:val="FootnoteReference"/>
        </w:rPr>
        <w:footnoteReference w:id="1098"/>
      </w:r>
      <w:r>
        <w:rPr>
          <w:rFonts w:ascii="IRNazanin" w:hAnsi="IRNazanin" w:eastAsia="IRNazanin" w:cs="IRNazanin"/>
          <w:lang w:bidi="fa-IR"/>
          <w:color w:val="111111"/>
          <w:sz w:val="28"/>
          <w:szCs w:val="28"/>
          <w:rtl/>
        </w:rPr>
        <w:t xml:space="preserve">المعنى</w:t>
      </w:r>
      <w:r>
        <w:rPr>
          <w:rStyle w:val="FootnoteReference"/>
        </w:rPr>
        <w:footnoteReference w:id="1099"/>
      </w:r>
      <w:r>
        <w:rPr>
          <w:rFonts w:ascii="IRNazanin" w:hAnsi="IRNazanin" w:eastAsia="IRNazanin" w:cs="IRNazanin"/>
          <w:lang w:bidi="fa-IR"/>
          <w:color w:val="111111"/>
          <w:sz w:val="28"/>
          <w:szCs w:val="28"/>
          <w:rtl/>
        </w:rPr>
        <w:t xml:space="preserve">التأویلي.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61" w:name="pg6784_51323"/>
    <w:bookmarkEnd w:id="161"/>
    <w:p>
      <w:pPr>
        <w:pStyle w:val="BookText"/>
      </w:pPr>
      <w:r>
        <w:rPr>
          <w:rFonts w:ascii="IRNazanin" w:hAnsi="IRNazanin" w:eastAsia="IRNazanin" w:cs="IRNazanin"/>
          <w:lang w:bidi="fa-IR"/>
          <w:color w:val="111111"/>
          <w:sz w:val="28"/>
          <w:szCs w:val="28"/>
          <w:rtl/>
        </w:rPr>
        <w:t xml:space="preserve">ويمكن كون التأویل مختلفاً بالنّسبة إلى الموارد المذكورة بأن يكون النّهي في بعضها راجعاً إلى أمر خارج وفي بعضها محمولاً على الإرشاد إلى قلّة الثواب أو غيره ولا يلزم كون التأویل واحداً وهذا يرفع الاستبعاد المذكور.</w:t>
      </w:r>
    </w:p>
    <w:p>
      <w:pPr>
        <w:pStyle w:val="Heading6"/>
      </w:pPr>
      <w:bookmarkStart w:id="601" w:name="_Toc282"/>
      <w:r>
        <w:t>[تأویلات القائلین بامتناع اجتماع الأمر والنهي]</w:t>
      </w:r>
      <w:bookmarkEnd w:id="601"/>
    </w:p>
    <w:p>
      <w:pPr>
        <w:pStyle w:val="Heading6"/>
      </w:pPr>
      <w:bookmarkStart w:id="602" w:name="_Toc283"/>
      <w:r>
        <w:t>اشارة</w:t>
      </w:r>
      <w:bookmarkEnd w:id="602"/>
    </w:p>
    <w:p>
      <w:pPr>
        <w:pStyle w:val="BookText"/>
      </w:pPr>
      <w:r>
        <w:rPr>
          <w:rFonts w:ascii="IRNazanin" w:hAnsi="IRNazanin" w:eastAsia="IRNazanin" w:cs="IRNazanin"/>
          <w:lang w:bidi="fa-IR"/>
          <w:color w:val="111111"/>
          <w:sz w:val="28"/>
          <w:szCs w:val="28"/>
          <w:rtl/>
        </w:rPr>
        <w:t xml:space="preserve">هذا ولكنّ المانعين أرادوا بيان ذلك المعنى التأویلي فذكروا وجوهاً:</w:t>
      </w:r>
    </w:p>
    <w:p>
      <w:pPr>
        <w:pStyle w:val="Heading6"/>
      </w:pPr>
      <w:bookmarkStart w:id="603" w:name="_Toc284"/>
      <w:r>
        <w:t>[الوجه الأوّل: حمل الكراهة على قلّة الثواب]</w:t>
      </w:r>
      <w:bookmarkEnd w:id="603"/>
    </w:p>
    <w:p>
      <w:pPr>
        <w:pStyle w:val="Heading6"/>
      </w:pPr>
      <w:bookmarkStart w:id="604" w:name="_Toc285"/>
      <w:r>
        <w:t>اشارة</w:t>
      </w:r>
      <w:bookmarkEnd w:id="604"/>
    </w:p>
    <w:p>
      <w:pPr>
        <w:pStyle w:val="BookText"/>
      </w:pPr>
      <w:r>
        <w:rPr>
          <w:rFonts w:ascii="Amiri" w:hAnsi="Amiri" w:eastAsia="Amiri" w:cs="Amiri"/>
          <w:lang w:bidi="ar-SA"/>
          <w:color w:val="111111"/>
          <w:sz w:val="28"/>
          <w:szCs w:val="28"/>
          <w:rtl/>
        </w:rPr>
        <w:t xml:space="preserve">أحدها: أنّ الكراهة في الموارد المذكورة بمعنى قلّة الثواب وليست بمعناها المصطلح فلا بأس باجتماعها مع الوجوب وبيان ذلك يختلف في موارد العموم منوجه وموارد العموم المطلق:</w:t>
      </w:r>
    </w:p>
    <w:p>
      <w:pPr>
        <w:pStyle w:val="Heading6"/>
      </w:pPr>
      <w:bookmarkStart w:id="605" w:name="_Toc286"/>
      <w:r>
        <w:t>[بیان الوجه الأوّل في العامّین من وجه وکلام صاحب الهدایة]</w:t>
      </w:r>
      <w:bookmarkEnd w:id="605"/>
    </w:p>
    <w:p>
      <w:pPr>
        <w:pStyle w:val="BookText"/>
      </w:pPr>
      <w:r>
        <w:rPr>
          <w:rFonts w:ascii="Amiri" w:hAnsi="Amiri" w:eastAsia="Amiri" w:cs="Amiri"/>
          <w:lang w:bidi="ar-SA"/>
          <w:color w:val="111111"/>
          <w:sz w:val="28"/>
          <w:szCs w:val="28"/>
          <w:rtl/>
        </w:rPr>
        <w:t xml:space="preserve">أمّا الأوّل: فهو أن يقال كما</w:t>
      </w:r>
      <w:r>
        <w:rPr>
          <w:rStyle w:val="FootnoteReference"/>
        </w:rPr>
        <w:footnoteReference w:id="1100"/>
      </w:r>
      <w:r>
        <w:rPr>
          <w:rFonts w:ascii="Amiri" w:hAnsi="Amiri" w:eastAsia="Amiri" w:cs="Amiri"/>
          <w:lang w:bidi="ar-SA"/>
          <w:color w:val="111111"/>
          <w:sz w:val="28"/>
          <w:szCs w:val="28"/>
          <w:rtl/>
        </w:rPr>
        <w:t xml:space="preserve">في الحاشية: إنّ أقصى ما يقتضيه النواهي المتعلّقة بتلك التصرّفات مرجوحيّتها بالنظر إلى ذواتها وهي لا تنافي رجحانها من جهة أخرى لكونها جزءاً من العبادة الواجبة فيحصل المعارضة بين الجهتين ومن البيّن أنّ مرجوحيّة المكروه لا توازي</w:t>
      </w:r>
      <w:r>
        <w:rPr>
          <w:rStyle w:val="FootnoteReference"/>
        </w:rPr>
        <w:footnoteReference w:id="1101"/>
      </w:r>
      <w:r>
        <w:rPr>
          <w:rFonts w:ascii="Amiri" w:hAnsi="Amiri" w:eastAsia="Amiri" w:cs="Amiri"/>
          <w:lang w:bidi="ar-SA"/>
          <w:color w:val="111111"/>
          <w:sz w:val="28"/>
          <w:szCs w:val="28"/>
          <w:rtl/>
        </w:rPr>
        <w:t xml:space="preserve">رجحان الواجب، فغاية الأمر أن يحصل نقصان في ثواب الواجب فيكون الفعل راجحاً لا مرجوحاً بالمعنى المصطلح.</w:t>
      </w:r>
    </w:p>
    <w:p>
      <w:pPr>
        <w:pStyle w:val="BookText"/>
      </w:pPr>
      <w:r>
        <w:rPr>
          <w:rFonts w:ascii="Amiri" w:hAnsi="Amiri" w:eastAsia="Amiri" w:cs="Amiri"/>
          <w:lang w:bidi="ar-SA"/>
          <w:color w:val="111111"/>
          <w:sz w:val="28"/>
          <w:szCs w:val="28"/>
          <w:rtl/>
        </w:rPr>
        <w:t xml:space="preserve">نعم هي بالنظر إلى ذواتها مكروهة بالمعنى المصطلح وذلك لا يقتضي ثبوت الكراهة بهذا المعنى في جميع الموارد حتّى في مورد الاجتماع؛ إذ المفروض أنّه عرضه فيه رجحان يزيد على تلك المرجوحيّة من جهة كونه جزءاً من العبادة الواجبة.</w:t>
      </w:r>
      <w:r>
        <w:rPr>
          <w:rStyle w:val="FootnoteReference"/>
        </w:rPr>
        <w:footnoteReference w:id="1102"/>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62" w:name="pg6784_51324"/>
    <w:bookmarkEnd w:id="162"/>
    <w:p>
      <w:pPr>
        <w:pStyle w:val="BookText"/>
      </w:pPr>
      <w:r>
        <w:rPr>
          <w:rFonts w:ascii="Amiri" w:hAnsi="Amiri" w:eastAsia="Amiri" w:cs="Amiri"/>
          <w:lang w:bidi="ar-SA"/>
          <w:color w:val="111111"/>
          <w:sz w:val="28"/>
          <w:szCs w:val="28"/>
          <w:rtl/>
        </w:rPr>
        <w:t xml:space="preserve">والحاصل: أنّ النّواهى المذكورة تفيد الكراهة المصطلحة وتكشف عن منقصة في تلك الأفعال ولما عارض تلك المنقصة في مورد الاجتماع ما يزيد عليها ويغلبها من الرّجحان والحكم تابع لما هو الغالب عن</w:t>
      </w:r>
      <w:r>
        <w:rPr>
          <w:rStyle w:val="FootnoteReference"/>
        </w:rPr>
        <w:footnoteReference w:id="1103"/>
      </w:r>
      <w:r>
        <w:rPr>
          <w:rFonts w:ascii="Amiri" w:hAnsi="Amiri" w:eastAsia="Amiri" w:cs="Amiri"/>
          <w:lang w:bidi="ar-SA"/>
          <w:color w:val="111111"/>
          <w:sz w:val="28"/>
          <w:szCs w:val="28"/>
          <w:rtl/>
        </w:rPr>
        <w:t xml:space="preserve">الجهتين فلا يبقى الحكم ولكن تبقى المنقصة وهي توجب قلّة الثّواب.</w:t>
      </w:r>
    </w:p>
    <w:p>
      <w:pPr>
        <w:pStyle w:val="BookText"/>
      </w:pPr>
      <w:r>
        <w:rPr>
          <w:rFonts w:ascii="Amiri" w:hAnsi="Amiri" w:eastAsia="Amiri" w:cs="Amiri"/>
          <w:lang w:bidi="ar-SA"/>
          <w:color w:val="111111"/>
          <w:sz w:val="28"/>
          <w:szCs w:val="28"/>
          <w:rtl/>
        </w:rPr>
        <w:t xml:space="preserve">ففي المورد اجتمع جهتا</w:t>
      </w:r>
      <w:r>
        <w:rPr>
          <w:rStyle w:val="FootnoteReference"/>
        </w:rPr>
        <w:footnoteReference w:id="1104"/>
      </w:r>
      <w:r>
        <w:rPr>
          <w:rFonts w:ascii="Amiri" w:hAnsi="Amiri" w:eastAsia="Amiri" w:cs="Amiri"/>
          <w:lang w:bidi="ar-SA"/>
          <w:color w:val="111111"/>
          <w:sz w:val="28"/>
          <w:szCs w:val="28"/>
          <w:rtl/>
        </w:rPr>
        <w:t xml:space="preserve">المصلحة والمنقصة دون نفس الحكمين لمكان المضادّة بينهما دونهما.</w:t>
      </w:r>
    </w:p>
    <w:p>
      <w:pPr>
        <w:pStyle w:val="Heading6"/>
      </w:pPr>
      <w:bookmarkStart w:id="606" w:name="_Toc287"/>
      <w:r>
        <w:t>[بیان الوجه الأوّل في موارد العموم المطلق]</w:t>
      </w:r>
      <w:bookmarkEnd w:id="606"/>
    </w:p>
    <w:p>
      <w:pPr>
        <w:pStyle w:val="BookText"/>
      </w:pPr>
      <w:r>
        <w:rPr>
          <w:rFonts w:ascii="Amiri" w:hAnsi="Amiri" w:eastAsia="Amiri" w:cs="Amiri"/>
          <w:lang w:bidi="ar-SA"/>
          <w:color w:val="111111"/>
          <w:sz w:val="28"/>
          <w:szCs w:val="28"/>
          <w:rtl/>
        </w:rPr>
        <w:t xml:space="preserve">وأمّا الثاني: فهو أن يقال: إنّ المراد من تلك النّواهي المتعلّقة بالعبادات، الإرشاد إلى قلّة الثواب فليست مستعملة في معناها الظاهر حتّى يلزم اجتماع الضدّين.</w:t>
      </w:r>
    </w:p>
    <w:p>
      <w:pPr>
        <w:pStyle w:val="Heading6"/>
      </w:pPr>
      <w:bookmarkStart w:id="607" w:name="_Toc288"/>
      <w:r>
        <w:t>[إیرادات على ما ذکر في العامّین من وجه]</w:t>
      </w:r>
      <w:bookmarkEnd w:id="607"/>
    </w:p>
    <w:p>
      <w:pPr>
        <w:pStyle w:val="Heading6"/>
      </w:pPr>
      <w:bookmarkStart w:id="608" w:name="_Toc289"/>
      <w:r>
        <w:t>اشارة</w:t>
      </w:r>
      <w:bookmarkEnd w:id="608"/>
    </w:p>
    <w:p>
      <w:pPr>
        <w:pStyle w:val="BookText"/>
      </w:pPr>
      <w:r>
        <w:rPr>
          <w:rFonts w:ascii="Amiri" w:hAnsi="Amiri" w:eastAsia="Amiri" w:cs="Amiri"/>
          <w:lang w:bidi="ar-SA"/>
          <w:color w:val="111111"/>
          <w:sz w:val="28"/>
          <w:szCs w:val="28"/>
          <w:rtl/>
        </w:rPr>
        <w:t xml:space="preserve">وأورد على ما ذكر في العامّين من وجه بوجوه:</w:t>
      </w:r>
    </w:p>
    <w:p>
      <w:pPr>
        <w:pStyle w:val="Heading6"/>
      </w:pPr>
      <w:bookmarkStart w:id="609" w:name="_Toc290"/>
      <w:r>
        <w:t>[الإیراد الأوّل على ما ذکر في العامّین من وجه وجوابه]</w:t>
      </w:r>
      <w:bookmarkEnd w:id="609"/>
    </w:p>
    <w:p>
      <w:pPr>
        <w:pStyle w:val="BookText"/>
      </w:pPr>
      <w:r>
        <w:rPr>
          <w:rFonts w:ascii="Amiri" w:hAnsi="Amiri" w:eastAsia="Amiri" w:cs="Amiri"/>
          <w:lang w:bidi="ar-SA"/>
          <w:color w:val="111111"/>
          <w:sz w:val="28"/>
          <w:szCs w:val="28"/>
          <w:rtl/>
        </w:rPr>
        <w:t xml:space="preserve">أحدها: أنّ هذا الجواب لا يجري في العبادات المكروهة الّتي لا دليل على اشتمالها على مصلحة زائدة على مصلحة</w:t>
      </w:r>
      <w:r>
        <w:rPr>
          <w:rStyle w:val="FootnoteReference"/>
        </w:rPr>
        <w:footnoteReference w:id="1105"/>
      </w:r>
      <w:r>
        <w:rPr>
          <w:rFonts w:ascii="Amiri" w:hAnsi="Amiri" w:eastAsia="Amiri" w:cs="Amiri"/>
          <w:lang w:bidi="ar-SA"/>
          <w:color w:val="111111"/>
          <w:sz w:val="28"/>
          <w:szCs w:val="28"/>
          <w:rtl/>
        </w:rPr>
        <w:t xml:space="preserve">الوجوب؛ إذ بعد مصادفة الرّجحان الموجب للأمر بالمرجوحيّة الموجبة للنهي الكراهي</w:t>
      </w:r>
      <w:r>
        <w:rPr>
          <w:rStyle w:val="FootnoteReference"/>
        </w:rPr>
        <w:footnoteReference w:id="1106"/>
      </w:r>
      <w:r>
        <w:rPr>
          <w:rFonts w:ascii="IRNazanin" w:hAnsi="IRNazanin" w:eastAsia="IRNazanin" w:cs="IRNazanin"/>
          <w:lang w:bidi="fa-IR"/>
          <w:color w:val="111111"/>
          <w:sz w:val="28"/>
          <w:szCs w:val="28"/>
          <w:rtl/>
        </w:rPr>
        <w:t xml:space="preserve">لا يبقى مقدار یکفي في الإيجاب وإنّما يتمّ في الموارد الّتي ثبت زيادة مصلحة الوجوب بمقدار المنقصة المنقّصة لها حتّى يبقى ما هو كافٍ في الإيجاب وإثبات هذا في جميع الموارد دونه خرط القتاد.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63" w:name="pg6784_51325"/>
    <w:bookmarkEnd w:id="163"/>
    <w:p>
      <w:pPr>
        <w:pStyle w:val="BookText"/>
      </w:pPr>
      <w:r>
        <w:rPr>
          <w:rFonts w:ascii="Amiri" w:hAnsi="Amiri" w:eastAsia="Amiri" w:cs="Amiri"/>
          <w:lang w:bidi="ar-SA"/>
          <w:color w:val="111111"/>
          <w:sz w:val="28"/>
          <w:szCs w:val="28"/>
          <w:rtl/>
        </w:rPr>
        <w:t xml:space="preserve">وأجيب: بأنّ ثبوت الوجوب بعد ملاحظة الكراهة كما هو المفروض كاشف عن زيادة المصلحة على المقدار اللّازم؛ إذ الإجماع قائم على بقاء الوجوب مع كونها مكروهة.</w:t>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نعم لو لم نعلم</w:t>
      </w:r>
      <w:r>
        <w:rPr>
          <w:rStyle w:val="FootnoteReference"/>
        </w:rPr>
        <w:footnoteReference w:id="1108"/>
      </w:r>
      <w:r>
        <w:rPr>
          <w:rFonts w:ascii="IRNazanin" w:hAnsi="IRNazanin" w:eastAsia="IRNazanin" w:cs="IRNazanin"/>
          <w:lang w:bidi="fa-IR"/>
          <w:color w:val="111111"/>
          <w:sz w:val="28"/>
          <w:szCs w:val="28"/>
          <w:rtl/>
        </w:rPr>
        <w:t xml:space="preserve">الوجوب في مورد بعد الكراهة يبقى الإشکال إلّا أنّه ليس لنا مورد كذلك؛ إذ الإجماع على الوجوب قائم في جميع الموارد.</w:t>
      </w:r>
    </w:p>
    <w:p>
      <w:pPr>
        <w:pStyle w:val="BookText"/>
      </w:pPr>
      <w:r>
        <w:rPr>
          <w:rFonts w:ascii="Amiri" w:hAnsi="Amiri" w:eastAsia="Amiri" w:cs="Amiri"/>
          <w:lang w:bidi="ar-SA"/>
          <w:color w:val="111111"/>
          <w:sz w:val="28"/>
          <w:szCs w:val="28"/>
          <w:rtl/>
        </w:rPr>
        <w:t xml:space="preserve">مع أنّ المجيب يكفيه الاحتمال.</w:t>
      </w:r>
    </w:p>
    <w:p>
      <w:pPr>
        <w:pStyle w:val="Heading6"/>
      </w:pPr>
      <w:bookmarkStart w:id="610" w:name="_Toc291"/>
      <w:r>
        <w:t>[نقد الإیراد والجواب]</w:t>
      </w:r>
      <w:bookmarkEnd w:id="610"/>
    </w:p>
    <w:p>
      <w:pPr>
        <w:pStyle w:val="BookText"/>
      </w:pPr>
      <w:r>
        <w:rPr>
          <w:rFonts w:ascii="IRNazanin" w:hAnsi="IRNazanin" w:eastAsia="IRNazanin" w:cs="IRNazanin"/>
          <w:lang w:bidi="fa-IR"/>
          <w:color w:val="111111"/>
          <w:sz w:val="28"/>
          <w:szCs w:val="28"/>
          <w:rtl/>
        </w:rPr>
        <w:t xml:space="preserve">قلت: لا وقع لهذا الإيراد والجواب أصلاً وذلك لأنّ ظاهرهما لابدّيّة كون مصلحة الوجوب زائدة وأنّها يمكن أن تنقص بحيث يرتفع الوجوب وأنّ الإجماع على بقاء الوجوب یدلّ على الصحّة والبقاء، من جهة الكشف عن الزّيادة بالمقدار المساوي للمنقصة.</w:t>
      </w:r>
    </w:p>
    <w:p>
      <w:pPr>
        <w:pStyle w:val="BookText"/>
      </w:pPr>
      <w:r>
        <w:rPr>
          <w:rFonts w:ascii="Amiri" w:hAnsi="Amiri" w:eastAsia="Amiri" w:cs="Amiri"/>
          <w:lang w:bidi="ar-SA"/>
          <w:color w:val="111111"/>
          <w:sz w:val="28"/>
          <w:szCs w:val="28"/>
          <w:rtl/>
        </w:rPr>
        <w:t xml:space="preserve">مع أنّ الأمر ليس كذلك بل لا يمكن رفع اليد عن الوجوب إذا عارضه الكراهة في شي‌ء من الموارد مع قطع النظر عن الإجماع؛ ولذا تراهم يحكمون بالوجوب من دون ملاحظة الزيادة والنظر إليها ومن دون ملاحظة الإجماع.والسرّ في ذلك أنّ</w:t>
      </w:r>
      <w:r>
        <w:rPr>
          <w:rStyle w:val="FootnoteReference"/>
        </w:rPr>
        <w:footnoteReference w:id="1109"/>
      </w:r>
      <w:r>
        <w:rPr>
          <w:rFonts w:ascii="IRNazanin" w:hAnsi="IRNazanin" w:eastAsia="IRNazanin" w:cs="IRNazanin"/>
          <w:lang w:bidi="fa-IR"/>
          <w:color w:val="111111"/>
          <w:sz w:val="28"/>
          <w:szCs w:val="28"/>
          <w:rtl/>
        </w:rPr>
        <w:t xml:space="preserve">مورد الکلام هو</w:t>
      </w:r>
      <w:r>
        <w:rPr>
          <w:rStyle w:val="FootnoteReference"/>
        </w:rPr>
        <w:footnoteReference w:id="1110"/>
      </w:r>
      <w:r>
        <w:rPr>
          <w:rFonts w:ascii="IRNazanin" w:hAnsi="IRNazanin" w:eastAsia="IRNazanin" w:cs="IRNazanin"/>
          <w:lang w:bidi="fa-IR"/>
          <w:color w:val="111111"/>
          <w:sz w:val="28"/>
          <w:szCs w:val="28"/>
          <w:rtl/>
        </w:rPr>
        <w:t xml:space="preserve">ما كان من قبيل التزاحم ومن المعلوم أنّ منقصة الكراهة لا توازي رجحان الواجب ولا توجب رفعه وإن کان في أوّل درجة الإيجاب لاختلاف سنخيهما</w:t>
      </w:r>
      <w:r>
        <w:rPr>
          <w:rStyle w:val="FootnoteReference"/>
        </w:rPr>
        <w:footnoteReference w:id="1111"/>
      </w:r>
      <w:r>
        <w:rPr>
          <w:rFonts w:ascii="IRNazanin" w:hAnsi="IRNazanin" w:eastAsia="IRNazanin" w:cs="IRNazanin"/>
          <w:lang w:bidi="fa-IR"/>
          <w:color w:val="111111"/>
          <w:sz w:val="28"/>
          <w:szCs w:val="28"/>
          <w:rtl/>
        </w:rPr>
        <w:t xml:space="preserve">كاختلاف سنخي مفسدة الحرمة ومصلحة الاستحباب، ولذا لا يتأمّل في عدم جواز الإتیان بمحرّم زاحم مستحبّاً.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4" w:name="pg6784_51326"/>
    <w:bookmarkEnd w:id="164"/>
    <w:p>
      <w:pPr>
        <w:pStyle w:val="BookText"/>
      </w:pPr>
      <w:r>
        <w:rPr>
          <w:rFonts w:ascii="Amiri" w:hAnsi="Amiri" w:eastAsia="Amiri" w:cs="Amiri"/>
          <w:lang w:bidi="ar-SA"/>
          <w:color w:val="111111"/>
          <w:sz w:val="28"/>
          <w:szCs w:val="28"/>
          <w:rtl/>
        </w:rPr>
        <w:t xml:space="preserve">فالحزازة المستكشفة</w:t>
      </w:r>
      <w:r>
        <w:rPr>
          <w:rStyle w:val="FootnoteReference"/>
        </w:rPr>
        <w:footnoteReference w:id="1112"/>
      </w:r>
      <w:r>
        <w:rPr>
          <w:rFonts w:ascii="Amiri" w:hAnsi="Amiri" w:eastAsia="Amiri" w:cs="Amiri"/>
          <w:lang w:bidi="ar-SA"/>
          <w:color w:val="111111"/>
          <w:sz w:val="28"/>
          <w:szCs w:val="28"/>
          <w:rtl/>
        </w:rPr>
        <w:t xml:space="preserve">بالنّهي ليست من مقولة ما يراعى في مقام الإيجاب حتّى توجب نقصاً فيه.</w:t>
      </w:r>
    </w:p>
    <w:p>
      <w:pPr>
        <w:pStyle w:val="BookText"/>
      </w:pPr>
      <w:r>
        <w:rPr>
          <w:rFonts w:ascii="IRNazanin" w:hAnsi="IRNazanin" w:eastAsia="IRNazanin" w:cs="IRNazanin"/>
          <w:lang w:bidi="fa-IR"/>
          <w:color w:val="111111"/>
          <w:sz w:val="28"/>
          <w:szCs w:val="28"/>
          <w:rtl/>
        </w:rPr>
        <w:t xml:space="preserve">ولو فرضنا الکلام فيما يكون من قبيل التعارض فلا إشکال في أنّه لا بدّ من الرّجوع إلى المرجّحات السنديّة والدلاليّة وقد يكون المرجّح لدليل النهي فلا بدّ من الحكم بعدم الوجوب كما في سائر مقامات التعارض بين الدليلين.</w:t>
      </w:r>
    </w:p>
    <w:p>
      <w:pPr>
        <w:pStyle w:val="BookText"/>
      </w:pPr>
      <w:r>
        <w:rPr>
          <w:rFonts w:ascii="IRNazanin" w:hAnsi="IRNazanin" w:eastAsia="IRNazanin" w:cs="IRNazanin"/>
          <w:lang w:bidi="fa-IR"/>
          <w:color w:val="111111"/>
          <w:sz w:val="28"/>
          <w:szCs w:val="28"/>
          <w:rtl/>
        </w:rPr>
        <w:t xml:space="preserve">ألا ترى أنّه لو تعارض ما يدلّ على الوجوب وما يدلّ على الاستحباب أو الإباحة بالعموم من وجه لا يقال: إنّ مصلحة الإباحة لا تقاوم مصلحة الوجوب بل يرجع إلى المرجّحات، فلا وجه للکلام المذكور أصلاً؛ إذ في مقام المزاحمة لا يحتاج إلى زيادة المصلحة بل يكفيه كونه في أوّل درجة الوجوب ولا تزاحمه المنقصة الموجبة للكراهة وإن بلغت ما بلغت وفي مقام المعارضة المرجِع المرجّحات المذكورة في باب التعادل والترجيح.</w:t>
      </w:r>
    </w:p>
    <w:p>
      <w:pPr>
        <w:pStyle w:val="Heading6"/>
      </w:pPr>
      <w:bookmarkStart w:id="611" w:name="_Toc292"/>
      <w:r>
        <w:t>[الإیراد الثاني على ما ذکر في العامّین من وجه]</w:t>
      </w:r>
      <w:bookmarkEnd w:id="611"/>
    </w:p>
    <w:p>
      <w:pPr>
        <w:pStyle w:val="BookText"/>
      </w:pPr>
      <w:r>
        <w:rPr>
          <w:rFonts w:ascii="IRNazanin" w:hAnsi="IRNazanin" w:eastAsia="IRNazanin" w:cs="IRNazanin"/>
          <w:lang w:bidi="fa-IR"/>
          <w:color w:val="111111"/>
          <w:sz w:val="28"/>
          <w:szCs w:val="28"/>
          <w:rtl/>
        </w:rPr>
        <w:t xml:space="preserve">الثاني: أنّ هذا الجواب لمّا كان مبنياً على المصلحة والمفسدة لا يتمّ على مذاق من كان نافياً لهما كالأشعري فلا بدّ من جواب يتمّ على مذهبه أیضاً؛ إذ هو المستدلّ بالدّليل المذكور.</w:t>
      </w:r>
    </w:p>
    <w:p>
      <w:pPr>
        <w:pStyle w:val="Heading6"/>
      </w:pPr>
      <w:bookmarkStart w:id="612" w:name="_Toc293"/>
      <w:r>
        <w:t>[نقد الإیراد]</w:t>
      </w:r>
      <w:bookmarkEnd w:id="612"/>
    </w:p>
    <w:p>
      <w:pPr>
        <w:pStyle w:val="BookText"/>
      </w:pPr>
      <w:r>
        <w:rPr>
          <w:rFonts w:ascii="Amiri" w:hAnsi="Amiri" w:eastAsia="Amiri" w:cs="Amiri"/>
          <w:lang w:bidi="ar-SA"/>
          <w:color w:val="111111"/>
          <w:sz w:val="28"/>
          <w:szCs w:val="28"/>
          <w:rtl/>
        </w:rPr>
        <w:t xml:space="preserve">وفيه: أنّ الغرض بيان الحقّ في المطلب وإن لم يتمّ على مذهب الأشعريالباطل عندنا، فنقول: لو قلنا بمقالة الأشعري نلتزم بجواز الاجتماع.</w:t>
      </w:r>
    </w:p>
    <w:p>
      <w:pPr>
        <w:pStyle w:val="BookText"/>
      </w:pPr>
      <w:r>
        <w:rPr>
          <w:rFonts w:ascii="Amiri" w:hAnsi="Amiri" w:eastAsia="Amiri" w:cs="Amiri"/>
          <w:lang w:bidi="ar-SA"/>
          <w:color w:val="111111"/>
          <w:sz w:val="28"/>
          <w:szCs w:val="28"/>
          <w:rtl/>
        </w:rPr>
        <w:t xml:space="preserve">فإن قلت: سلّمنا بطلان مذهب الأشعري لكن من الإماميّة من يقول بكفاية المصلحة في الأمر وإن لم تكن مصلحة في المأمور به، بل هو الحقّ على ما قرّر في محلّه؛ إذ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الأحکام تابعة لحسن تشريعها.</w:t>
      </w:r>
    </w:p>
    <w:p>
      <w:pPr>
        <w:pStyle w:val="BookText"/>
      </w:pPr>
      <w:r>
        <w:rPr>
          <w:rFonts w:ascii="Amiri" w:hAnsi="Amiri" w:eastAsia="Amiri" w:cs="Amiri"/>
          <w:lang w:bidi="ar-SA"/>
          <w:color w:val="111111"/>
          <w:sz w:val="28"/>
          <w:szCs w:val="28"/>
          <w:rtl/>
        </w:rPr>
        <w:t xml:space="preserve">قلت: نعم ولكن لا يلزم أن يكون كذلك في جميع المقامات فقد تكون</w:t>
      </w:r>
      <w:r>
        <w:rPr>
          <w:rStyle w:val="FootnoteReference"/>
        </w:rPr>
        <w:footnoteReference w:id="1113"/>
      </w:r>
      <w:r>
        <w:rPr>
          <w:rFonts w:ascii="IRNazanin" w:hAnsi="IRNazanin" w:eastAsia="IRNazanin" w:cs="IRNazanin"/>
          <w:lang w:bidi="fa-IR"/>
          <w:color w:val="111111"/>
          <w:sz w:val="28"/>
          <w:szCs w:val="28"/>
          <w:rtl/>
        </w:rPr>
        <w:t xml:space="preserve">المصلحة في الأمر وقد تکون</w:t>
      </w:r>
      <w:r>
        <w:rPr>
          <w:rStyle w:val="FootnoteReference"/>
        </w:rPr>
        <w:footnoteReference w:id="1114"/>
      </w:r>
      <w:r>
        <w:rPr>
          <w:rFonts w:ascii="Amiri" w:hAnsi="Amiri" w:eastAsia="Amiri" w:cs="Amiri"/>
          <w:lang w:bidi="ar-SA"/>
          <w:color w:val="111111"/>
          <w:sz w:val="28"/>
          <w:szCs w:val="28"/>
          <w:rtl/>
        </w:rPr>
        <w:t xml:space="preserve">المصلحة</w:t>
      </w:r>
      <w:r>
        <w:rPr>
          <w:rStyle w:val="FootnoteReference"/>
        </w:rPr>
        <w:footnoteReference w:id="1115"/>
      </w:r>
      <w:r>
        <w:rPr>
          <w:rFonts w:ascii="Amiri" w:hAnsi="Amiri" w:eastAsia="Amiri" w:cs="Amiri"/>
          <w:lang w:bidi="ar-SA"/>
          <w:color w:val="111111"/>
          <w:sz w:val="28"/>
          <w:szCs w:val="28"/>
          <w:rtl/>
        </w:rPr>
        <w:t xml:space="preserve">في المأمور به ويتمّ الجواب بالتزام كون المقام ممّا يكون المصلحة والمفسدة في الفعل المأمور به والمنهيّ عنه وأنّ النهي كاشف عن المنقصة والحزازة.</w:t>
      </w:r>
    </w:p>
    <w:p>
      <w:pPr>
        <w:pStyle w:val="BookText"/>
      </w:pPr>
      <w:r>
        <w:rPr>
          <w:rFonts w:ascii="Amiri" w:hAnsi="Amiri" w:eastAsia="Amiri" w:cs="Amiri"/>
          <w:lang w:bidi="ar-SA"/>
          <w:color w:val="111111"/>
          <w:sz w:val="28"/>
          <w:szCs w:val="28"/>
          <w:rtl/>
        </w:rPr>
        <w:t xml:space="preserve">نعم لو علمنا في موردٍ، أنّ المصلحة في الأمر لا يتمّ الجواب المذكور. وأنّى لنا بإثبات ذلك؟</w:t>
      </w:r>
    </w:p>
    <w:p>
      <w:pPr>
        <w:pStyle w:val="BookText"/>
      </w:pPr>
      <w:r>
        <w:rPr>
          <w:rFonts w:ascii="IRNazanin" w:hAnsi="IRNazanin" w:eastAsia="IRNazanin" w:cs="IRNazanin"/>
          <w:lang w:bidi="fa-IR"/>
          <w:color w:val="111111"/>
          <w:sz w:val="28"/>
          <w:szCs w:val="28"/>
          <w:rtl/>
        </w:rPr>
        <w:t xml:space="preserve">هذا مع إمکان أن يقال: إنّ النهي المتعلّق بطبيعة كاشف عن مبغوضيّتها ومكروهيّتها النفسيّة على مذهب الأشعري أو غيره ممّن لا يقول بالمفسدة في الفعل ففي مورد الاجتماع تبقی</w:t>
      </w:r>
      <w:r>
        <w:rPr>
          <w:rStyle w:val="FootnoteReference"/>
        </w:rPr>
        <w:footnoteReference w:id="1116"/>
      </w:r>
      <w:r>
        <w:rPr>
          <w:rFonts w:ascii="IRNazanin" w:hAnsi="IRNazanin" w:eastAsia="IRNazanin" w:cs="IRNazanin"/>
          <w:lang w:bidi="fa-IR"/>
          <w:color w:val="111111"/>
          <w:sz w:val="28"/>
          <w:szCs w:val="28"/>
          <w:rtl/>
        </w:rPr>
        <w:t xml:space="preserve">تلك المکروهيّة وإن لم يكن الطلب باقياً.</w:t>
      </w:r>
    </w:p>
    <w:p>
      <w:pPr>
        <w:pStyle w:val="BookText"/>
      </w:pPr>
      <w:r>
        <w:rPr>
          <w:rFonts w:ascii="Amiri" w:hAnsi="Amiri" w:eastAsia="Amiri" w:cs="Amiri"/>
          <w:lang w:bidi="ar-SA"/>
          <w:color w:val="111111"/>
          <w:sz w:val="28"/>
          <w:szCs w:val="28"/>
          <w:rtl/>
        </w:rPr>
        <w:t xml:space="preserve">فالكراهة</w:t>
      </w:r>
      <w:r>
        <w:rPr>
          <w:rStyle w:val="FootnoteReference"/>
        </w:rPr>
        <w:footnoteReference w:id="1117"/>
      </w:r>
      <w:r>
        <w:rPr>
          <w:rFonts w:ascii="Amiri" w:hAnsi="Amiri" w:eastAsia="Amiri" w:cs="Amiri"/>
          <w:lang w:bidi="ar-SA"/>
          <w:color w:val="111111"/>
          <w:sz w:val="28"/>
          <w:szCs w:val="28"/>
          <w:rtl/>
        </w:rPr>
        <w:t xml:space="preserve">بمعنى طلب التّرك تزول بالمعارضة لكن تبقى</w:t>
      </w:r>
      <w:r>
        <w:rPr>
          <w:rStyle w:val="FootnoteReference"/>
        </w:rPr>
        <w:footnoteReference w:id="1118"/>
      </w:r>
      <w:r>
        <w:rPr>
          <w:rFonts w:ascii="Amiri" w:hAnsi="Amiri" w:eastAsia="Amiri" w:cs="Amiri"/>
          <w:lang w:bidi="ar-SA"/>
          <w:color w:val="111111"/>
          <w:sz w:val="28"/>
          <w:szCs w:val="28"/>
          <w:rtl/>
        </w:rPr>
        <w:t xml:space="preserve">الكراهة النفسيّة المستكشفة بالنّهي ولازمها قلّة الثواب.</w:t>
      </w:r>
    </w:p>
    <w:p>
      <w:pPr>
        <w:pStyle w:val="BookText"/>
      </w:pPr>
      <w:r>
        <w:rPr>
          <w:rFonts w:ascii="IRNazanin" w:hAnsi="IRNazanin" w:eastAsia="IRNazanin" w:cs="IRNazanin"/>
          <w:lang w:bidi="fa-IR"/>
          <w:color w:val="111111"/>
          <w:sz w:val="28"/>
          <w:szCs w:val="28"/>
          <w:rtl/>
        </w:rPr>
        <w:t xml:space="preserve">ويمكن أن يقال: إنّ الأشعري لا ينكر الحسن والقبح الشرعيّين فيمكن أن يجعل النّهي كاشفاً عن المنقصة الشرعیّة فبزوال الطلب في مورد الاجتماع تبقى</w:t>
      </w:r>
      <w:r>
        <w:rPr>
          <w:rStyle w:val="FootnoteReference"/>
        </w:rPr>
        <w:footnoteReference w:id="1119"/>
      </w:r>
      <w:r>
        <w:rPr>
          <w:rFonts w:ascii="Amiri" w:hAnsi="Amiri" w:eastAsia="Amiri" w:cs="Amiri"/>
          <w:lang w:bidi="ar-SA"/>
          <w:color w:val="111111"/>
          <w:sz w:val="28"/>
          <w:szCs w:val="28"/>
          <w:rtl/>
        </w:rPr>
        <w:t xml:space="preserve">تلك المنقصة ولذا لا يلزم على قول</w:t>
      </w:r>
      <w:r>
        <w:rPr>
          <w:rStyle w:val="FootnoteReference"/>
        </w:rPr>
        <w:footnoteReference w:id="1120"/>
      </w:r>
      <w:r>
        <w:rPr>
          <w:rFonts w:ascii="Amiri" w:hAnsi="Amiri" w:eastAsia="Amiri" w:cs="Amiri"/>
          <w:lang w:bidi="ar-SA"/>
          <w:color w:val="111111"/>
          <w:sz w:val="28"/>
          <w:szCs w:val="28"/>
          <w:rtl/>
        </w:rPr>
        <w:t xml:space="preserve">الأشعري انسداد باب التزاحم؛ إذ على مذهبه يمكن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65" w:name="pg6784_51328"/>
    <w:bookmarkEnd w:id="165"/>
    <w:p>
      <w:pPr>
        <w:pStyle w:val="BookText"/>
      </w:pPr>
      <w:r>
        <w:rPr>
          <w:rFonts w:ascii="Amiri" w:hAnsi="Amiri" w:eastAsia="Amiri" w:cs="Amiri"/>
          <w:lang w:bidi="ar-SA"/>
          <w:color w:val="111111"/>
          <w:sz w:val="28"/>
          <w:szCs w:val="28"/>
          <w:rtl/>
        </w:rPr>
        <w:t xml:space="preserve">فرض المزاحمة بين الوجوب والكراهة والحرمة والاستحباب.</w:t>
      </w:r>
    </w:p>
    <w:p>
      <w:pPr>
        <w:pStyle w:val="BookText"/>
      </w:pPr>
      <w:r>
        <w:rPr>
          <w:rFonts w:ascii="Amiri" w:hAnsi="Amiri" w:eastAsia="Amiri" w:cs="Amiri"/>
          <w:lang w:bidi="ar-SA"/>
          <w:color w:val="111111"/>
          <w:sz w:val="28"/>
          <w:szCs w:val="28"/>
          <w:rtl/>
        </w:rPr>
        <w:t xml:space="preserve">فلو قال بعدم جواز اجتماع الحكمين لا بدّ وأن يقول في مورد المزاحمة ببقاء المنقصة المتحقّقة في الطّبيعة المكروهة أو الرّجحان الموجود في الطّبيعة المندوب إليها. فتدبّر.</w:t>
      </w:r>
    </w:p>
    <w:p>
      <w:pPr>
        <w:pStyle w:val="Heading6"/>
      </w:pPr>
      <w:bookmarkStart w:id="613" w:name="_Toc294"/>
      <w:r>
        <w:t>[الإیراد الثالث على ما ذکر في العامّین من وجه]</w:t>
      </w:r>
      <w:bookmarkEnd w:id="613"/>
    </w:p>
    <w:p>
      <w:pPr>
        <w:pStyle w:val="BookText"/>
      </w:pPr>
      <w:r>
        <w:rPr>
          <w:rFonts w:ascii="Amiri" w:hAnsi="Amiri" w:eastAsia="Amiri" w:cs="Amiri"/>
          <w:lang w:bidi="ar-SA"/>
          <w:color w:val="111111"/>
          <w:sz w:val="28"/>
          <w:szCs w:val="28"/>
          <w:rtl/>
        </w:rPr>
        <w:t xml:space="preserve">الثالث: أنّه لو حمل النّهي في مورد الاجتماع على الإرشاد إلى قلّة الثواب يلزم منه استعماله في معنيين</w:t>
      </w:r>
      <w:r>
        <w:rPr>
          <w:rStyle w:val="FootnoteReference"/>
        </w:rPr>
        <w:footnoteReference w:id="1121"/>
      </w:r>
      <w:r>
        <w:rPr>
          <w:rFonts w:ascii="Amiri" w:hAnsi="Amiri" w:eastAsia="Amiri" w:cs="Amiri"/>
          <w:lang w:bidi="ar-SA"/>
          <w:color w:val="111111"/>
          <w:sz w:val="28"/>
          <w:szCs w:val="28"/>
          <w:rtl/>
        </w:rPr>
        <w:t xml:space="preserve">إذ من المعلوم أنّ المراد منه في سائر أفراده الكراهة المصطلحة</w:t>
      </w:r>
      <w:r>
        <w:rPr>
          <w:rStyle w:val="FootnoteReference"/>
        </w:rPr>
        <w:footnoteReference w:id="1122"/>
      </w:r>
      <w:r>
        <w:rPr>
          <w:rFonts w:ascii="IRNazanin" w:hAnsi="IRNazanin" w:eastAsia="IRNazanin" w:cs="IRNazanin"/>
          <w:lang w:bidi="fa-IR"/>
          <w:color w:val="111111"/>
          <w:sz w:val="28"/>
          <w:szCs w:val="28"/>
          <w:rtl/>
        </w:rPr>
        <w:t xml:space="preserve">لعدم إمکان التزام إرشاديّته في جميعها.</w:t>
      </w:r>
    </w:p>
    <w:p>
      <w:pPr>
        <w:pStyle w:val="Heading6"/>
      </w:pPr>
      <w:bookmarkStart w:id="614" w:name="_Toc295"/>
      <w:r>
        <w:t>[نقد الإیراد]</w:t>
      </w:r>
      <w:bookmarkEnd w:id="614"/>
    </w:p>
    <w:p>
      <w:pPr>
        <w:pStyle w:val="BookText"/>
      </w:pPr>
      <w:r>
        <w:rPr>
          <w:rFonts w:ascii="Amiri" w:hAnsi="Amiri" w:eastAsia="Amiri" w:cs="Amiri"/>
          <w:lang w:bidi="ar-SA"/>
          <w:color w:val="111111"/>
          <w:sz w:val="28"/>
          <w:szCs w:val="28"/>
          <w:rtl/>
        </w:rPr>
        <w:t xml:space="preserve">ويمكن أن يجاب: بأنّه مستعمل في القدر المشترك بين الطّلب والإرشاد أي في</w:t>
      </w:r>
      <w:r>
        <w:rPr>
          <w:rStyle w:val="FootnoteReference"/>
        </w:rPr>
        <w:footnoteReference w:id="1123"/>
      </w:r>
      <w:r>
        <w:rPr>
          <w:rFonts w:ascii="Amiri" w:hAnsi="Amiri" w:eastAsia="Amiri" w:cs="Amiri"/>
          <w:lang w:bidi="ar-SA"/>
          <w:color w:val="111111"/>
          <w:sz w:val="28"/>
          <w:szCs w:val="28"/>
          <w:rtl/>
        </w:rPr>
        <w:t xml:space="preserve">مطلق الطلب ويكون فهم الخصوصيّة من الخارج.</w:t>
      </w:r>
    </w:p>
    <w:p>
      <w:pPr>
        <w:pStyle w:val="BookText"/>
      </w:pPr>
      <w:r>
        <w:rPr>
          <w:rFonts w:ascii="Amiri" w:hAnsi="Amiri" w:eastAsia="Amiri" w:cs="Amiri"/>
          <w:lang w:bidi="ar-SA"/>
          <w:color w:val="111111"/>
          <w:sz w:val="28"/>
          <w:szCs w:val="28"/>
          <w:rtl/>
        </w:rPr>
        <w:t xml:space="preserve">لكنّه بعيد لو قلنا بصحّته وأنّ الجامع بين الطلب الإرشادي والمولوي موجود.</w:t>
      </w:r>
    </w:p>
    <w:p>
      <w:pPr>
        <w:pStyle w:val="BookText"/>
      </w:pPr>
      <w:r>
        <w:rPr>
          <w:rFonts w:ascii="Amiri" w:hAnsi="Amiri" w:eastAsia="Amiri" w:cs="Amiri"/>
          <w:lang w:bidi="ar-SA"/>
          <w:color w:val="111111"/>
          <w:sz w:val="28"/>
          <w:szCs w:val="28"/>
          <w:rtl/>
        </w:rPr>
        <w:t xml:space="preserve">والأولى أن يقال: إنّ النهي لم يستعمل إلّا في الكراهة</w:t>
      </w:r>
      <w:r>
        <w:rPr>
          <w:rStyle w:val="FootnoteReference"/>
        </w:rPr>
        <w:footnoteReference w:id="1124"/>
      </w:r>
      <w:r>
        <w:rPr>
          <w:rFonts w:ascii="Amiri" w:hAnsi="Amiri" w:eastAsia="Amiri" w:cs="Amiri"/>
          <w:lang w:bidi="ar-SA"/>
          <w:color w:val="111111"/>
          <w:sz w:val="28"/>
          <w:szCs w:val="28"/>
          <w:rtl/>
        </w:rPr>
        <w:t xml:space="preserve">المصطلحة ولازمه خروج مورد الاجتماع عن كونه متعلّقاً له بحسب الفعليّة وإنّما يستكشف المنقصة وقلّة الثواب من تعلّقه</w:t>
      </w:r>
      <w:r>
        <w:rPr>
          <w:rStyle w:val="FootnoteReference"/>
        </w:rPr>
        <w:footnoteReference w:id="1125"/>
      </w:r>
      <w:r>
        <w:rPr>
          <w:rFonts w:ascii="Amiri" w:hAnsi="Amiri" w:eastAsia="Amiri" w:cs="Amiri"/>
          <w:lang w:bidi="ar-SA"/>
          <w:color w:val="111111"/>
          <w:sz w:val="28"/>
          <w:szCs w:val="28"/>
          <w:rtl/>
        </w:rPr>
        <w:t xml:space="preserve">بالطبيعة على وجه يدلّ على أنّ الطّبيعة ذات منقصة أينما وجدت وليس الدّليل عليها النّهي المتعلّق بالفرد؛ إذ المفروض عدم تعلّقه به ففي الحقيقة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66" w:name="pg6784_51329"/>
    <w:bookmarkEnd w:id="166"/>
    <w:p>
      <w:pPr>
        <w:pStyle w:val="BookText"/>
      </w:pPr>
      <w:r>
        <w:rPr>
          <w:rFonts w:ascii="Amiri" w:hAnsi="Amiri" w:eastAsia="Amiri" w:cs="Amiri"/>
          <w:lang w:bidi="ar-SA"/>
          <w:color w:val="111111"/>
          <w:sz w:val="28"/>
          <w:szCs w:val="28"/>
          <w:rtl/>
        </w:rPr>
        <w:t xml:space="preserve">يستكشف ذلك</w:t>
      </w:r>
      <w:r>
        <w:rPr>
          <w:rStyle w:val="FootnoteReference"/>
        </w:rPr>
        <w:footnoteReference w:id="1126"/>
      </w:r>
      <w:r>
        <w:rPr>
          <w:rFonts w:ascii="Amiri" w:hAnsi="Amiri" w:eastAsia="Amiri" w:cs="Amiri"/>
          <w:lang w:bidi="ar-SA"/>
          <w:color w:val="111111"/>
          <w:sz w:val="28"/>
          <w:szCs w:val="28"/>
          <w:rtl/>
        </w:rPr>
        <w:t xml:space="preserve">من تعلّقه بالطّبيعة على وجه يستلزم المزاحمة كما هوالمفروض. فتدبّر.</w:t>
      </w:r>
    </w:p>
    <w:p>
      <w:pPr>
        <w:pStyle w:val="Heading6"/>
      </w:pPr>
      <w:bookmarkStart w:id="615" w:name="_Toc296"/>
      <w:r>
        <w:t>[الإیراد الرابع على ما ذکر في العامّین من وجه]</w:t>
      </w:r>
      <w:bookmarkEnd w:id="615"/>
    </w:p>
    <w:p>
      <w:pPr>
        <w:pStyle w:val="BookText"/>
      </w:pPr>
      <w:r>
        <w:rPr>
          <w:rFonts w:ascii="Amiri" w:hAnsi="Amiri" w:eastAsia="Amiri" w:cs="Amiri"/>
          <w:lang w:bidi="ar-SA"/>
          <w:color w:val="111111"/>
          <w:sz w:val="28"/>
          <w:szCs w:val="28"/>
          <w:rtl/>
        </w:rPr>
        <w:t xml:space="preserve">الرّابع: أنّه إذا قيل بتخصيص النّهي بغير مورد الاجتماع وتقديم جانب الأمرلكونه إلزامياً كما هو المفروض على تقدير القول بامتناع اجتماع الطّلبين فلا وجه لدعوى بقاء المنقصة فإنّه رجم بالغيب؛ إذ الدّليل عليها إمّا العقل وليس المقام من قبيل المستقلّات</w:t>
      </w:r>
      <w:r>
        <w:rPr>
          <w:rStyle w:val="FootnoteReference"/>
        </w:rPr>
        <w:footnoteReference w:id="1127"/>
      </w:r>
      <w:r>
        <w:rPr>
          <w:rFonts w:ascii="Amiri" w:hAnsi="Amiri" w:eastAsia="Amiri" w:cs="Amiri"/>
          <w:lang w:bidi="ar-SA"/>
          <w:color w:val="111111"/>
          <w:sz w:val="28"/>
          <w:szCs w:val="28"/>
          <w:rtl/>
        </w:rPr>
        <w:t xml:space="preserve">العقليّة، وإمّا النّقل وهو في المقام منحصر في النّهي.</w:t>
      </w:r>
    </w:p>
    <w:p>
      <w:pPr>
        <w:pStyle w:val="BookText"/>
      </w:pPr>
      <w:r>
        <w:rPr>
          <w:rFonts w:ascii="Amiri" w:hAnsi="Amiri" w:eastAsia="Amiri" w:cs="Amiri"/>
          <w:lang w:bidi="ar-SA"/>
          <w:color w:val="111111"/>
          <w:sz w:val="28"/>
          <w:szCs w:val="28"/>
          <w:rtl/>
        </w:rPr>
        <w:t xml:space="preserve">فبعد القول بتخصيصه بغير مورد الاجتماع كما هو مناط الجواب لا يبقى نهي حتّى يستفاد منه المنقصة والكراهة الغير</w:t>
      </w:r>
      <w:r>
        <w:rPr>
          <w:rStyle w:val="FootnoteReference"/>
        </w:rPr>
        <w:footnoteReference w:id="1128"/>
      </w:r>
      <w:r>
        <w:rPr>
          <w:rFonts w:ascii="Amiri" w:hAnsi="Amiri" w:eastAsia="Amiri" w:cs="Amiri"/>
          <w:lang w:bidi="ar-SA"/>
          <w:color w:val="111111"/>
          <w:sz w:val="28"/>
          <w:szCs w:val="28"/>
          <w:rtl/>
        </w:rPr>
        <w:t xml:space="preserve">المصطلحة.</w:t>
      </w:r>
    </w:p>
    <w:p>
      <w:pPr>
        <w:pStyle w:val="BookText"/>
      </w:pPr>
      <w:r>
        <w:rPr>
          <w:rFonts w:ascii="Amiri" w:hAnsi="Amiri" w:eastAsia="Amiri" w:cs="Amiri"/>
          <w:lang w:bidi="ar-SA"/>
          <w:color w:val="111111"/>
          <w:sz w:val="28"/>
          <w:szCs w:val="28"/>
          <w:rtl/>
        </w:rPr>
        <w:t xml:space="preserve">ودعوى أنّها تستفاد من عنوان الدّليل كما أنّه يستفاد من عنوان</w:t>
      </w:r>
      <w:r>
        <w:rPr>
          <w:rStyle w:val="FootnoteReference"/>
        </w:rPr>
        <w:footnoteReference w:id="1129"/>
      </w:r>
      <w:r>
        <w:rPr>
          <w:rFonts w:ascii="Amiri" w:hAnsi="Amiri" w:eastAsia="Amiri" w:cs="Amiri"/>
          <w:lang w:bidi="ar-SA"/>
          <w:color w:val="111111"/>
          <w:sz w:val="28"/>
          <w:szCs w:val="28"/>
          <w:rtl/>
        </w:rPr>
        <w:t xml:space="preserve">دليل الوجوب المصلحة؛</w:t>
      </w:r>
    </w:p>
    <w:p>
      <w:pPr>
        <w:pStyle w:val="BookText"/>
      </w:pPr>
      <w:r>
        <w:rPr>
          <w:rFonts w:ascii="Amiri" w:hAnsi="Amiri" w:eastAsia="Amiri" w:cs="Amiri"/>
          <w:lang w:bidi="ar-SA"/>
          <w:color w:val="111111"/>
          <w:sz w:val="28"/>
          <w:szCs w:val="28"/>
          <w:rtl/>
        </w:rPr>
        <w:t xml:space="preserve">مدفوعة بأنّ ذلك فرع بقاء النّهي وعدم التّخصيص وإلّا فليس العنوان شاملاً</w:t>
      </w:r>
      <w:r>
        <w:rPr>
          <w:rStyle w:val="FootnoteReference"/>
        </w:rPr>
        <w:footnoteReference w:id="1130"/>
      </w:r>
      <w:r>
        <w:rPr>
          <w:rFonts w:ascii="Amiri" w:hAnsi="Amiri" w:eastAsia="Amiri" w:cs="Amiri"/>
          <w:lang w:bidi="ar-SA"/>
          <w:color w:val="111111"/>
          <w:sz w:val="28"/>
          <w:szCs w:val="28"/>
          <w:rtl/>
        </w:rPr>
        <w:t xml:space="preserve">حتّى يستفاد منه ذلك.</w:t>
      </w:r>
    </w:p>
    <w:p>
      <w:pPr>
        <w:pStyle w:val="BookText"/>
      </w:pPr>
      <w:r>
        <w:rPr>
          <w:rFonts w:ascii="IRNazanin" w:hAnsi="IRNazanin" w:eastAsia="IRNazanin" w:cs="IRNazanin"/>
          <w:lang w:bidi="fa-IR"/>
          <w:color w:val="111111"/>
          <w:sz w:val="28"/>
          <w:szCs w:val="28"/>
          <w:rtl/>
        </w:rPr>
        <w:t xml:space="preserve">فإن قلت: سلّمنا الخروج عن العنوان إلّا أنّ التّخصيص من قبيل المانع بعد وجود المقتضي كما في «أکرم العلماء ولا تكرم الفسّاق» ولذا لو شكّ في الفسق في بعض الأفراد يتمسّك بأصالة العدم ويحكم بوجوب الإکرام ففي المقام أیضاً المقتضي للكراهة</w:t>
      </w:r>
      <w:r>
        <w:rPr>
          <w:rStyle w:val="FootnoteReference"/>
        </w:rPr>
        <w:footnoteReference w:id="1131"/>
      </w:r>
      <w:r>
        <w:rPr>
          <w:rFonts w:ascii="Amiri" w:hAnsi="Amiri" w:eastAsia="Amiri" w:cs="Amiri"/>
          <w:lang w:bidi="ar-SA"/>
          <w:color w:val="111111"/>
          <w:sz w:val="28"/>
          <w:szCs w:val="28"/>
          <w:rtl/>
        </w:rPr>
        <w:t xml:space="preserve">- وهي المنقصة - موجود</w:t>
      </w:r>
      <w:r>
        <w:rPr>
          <w:rStyle w:val="FootnoteReference"/>
        </w:rPr>
        <w:footnoteReference w:id="1132"/>
      </w:r>
      <w:r>
        <w:rPr>
          <w:rFonts w:ascii="Amiri" w:hAnsi="Amiri" w:eastAsia="Amiri" w:cs="Amiri"/>
          <w:lang w:bidi="ar-SA"/>
          <w:color w:val="111111"/>
          <w:sz w:val="28"/>
          <w:szCs w:val="28"/>
          <w:rtl/>
        </w:rPr>
        <w:t xml:space="preserve">، وامتناع الاجتماع من قبيل المانع فالمقتضي بعدُ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67" w:name="pg6784_51330"/>
    <w:bookmarkEnd w:id="167"/>
    <w:p>
      <w:pPr>
        <w:pStyle w:val="BookText"/>
      </w:pPr>
      <w:r>
        <w:rPr>
          <w:rFonts w:ascii="Amiri" w:hAnsi="Amiri" w:eastAsia="Amiri" w:cs="Amiri"/>
          <w:lang w:bidi="ar-SA"/>
          <w:color w:val="111111"/>
          <w:sz w:val="28"/>
          <w:szCs w:val="28"/>
          <w:rtl/>
        </w:rPr>
        <w:t xml:space="preserve">باقٍ.</w:t>
      </w:r>
    </w:p>
    <w:p>
      <w:pPr>
        <w:pStyle w:val="BookText"/>
      </w:pPr>
      <w:r>
        <w:rPr>
          <w:rFonts w:ascii="IRNazanin" w:hAnsi="IRNazanin" w:eastAsia="IRNazanin" w:cs="IRNazanin"/>
          <w:lang w:bidi="fa-IR"/>
          <w:color w:val="111111"/>
          <w:sz w:val="28"/>
          <w:szCs w:val="28"/>
          <w:rtl/>
        </w:rPr>
        <w:t xml:space="preserve">قلت: ليس کلّ تخصيص من قبيل المقتضي والمانع بل بعضها من قبيل تعدّد العنوان فليس کلّ عامّ من قبيل المقتضي. والتمسّك بأصالة عدم الفسق في المثال إنّما يوجب إحراز عنوان وجوب</w:t>
      </w:r>
      <w:r>
        <w:rPr>
          <w:rStyle w:val="FootnoteReference"/>
        </w:rPr>
        <w:footnoteReference w:id="1133"/>
      </w:r>
      <w:r>
        <w:rPr>
          <w:rFonts w:ascii="IRNazanin" w:hAnsi="IRNazanin" w:eastAsia="IRNazanin" w:cs="IRNazanin"/>
          <w:lang w:bidi="fa-IR"/>
          <w:color w:val="111111"/>
          <w:sz w:val="28"/>
          <w:szCs w:val="28"/>
          <w:rtl/>
        </w:rPr>
        <w:t xml:space="preserve">الإکرام فلا دخل له بمسألة المقتضي والمانع.</w:t>
      </w:r>
    </w:p>
    <w:p>
      <w:pPr>
        <w:pStyle w:val="BookText"/>
      </w:pPr>
      <w:r>
        <w:rPr>
          <w:rFonts w:ascii="Amiri" w:hAnsi="Amiri" w:eastAsia="Amiri" w:cs="Amiri"/>
          <w:lang w:bidi="ar-SA"/>
          <w:color w:val="111111"/>
          <w:sz w:val="28"/>
          <w:szCs w:val="28"/>
          <w:rtl/>
        </w:rPr>
        <w:t xml:space="preserve">نعم لو كان العنوان ممّا يستقلّ بحكمه العقل على وجه لا ينافي التّخصيص الشرعي كان للقول ببقاء الجهة بعد ارتفاع الحكم وجه.</w:t>
      </w:r>
    </w:p>
    <w:p>
      <w:pPr>
        <w:pStyle w:val="BookText"/>
      </w:pPr>
      <w:r>
        <w:rPr>
          <w:rFonts w:ascii="Amiri" w:hAnsi="Amiri" w:eastAsia="Amiri" w:cs="Amiri"/>
          <w:lang w:bidi="ar-SA"/>
          <w:color w:val="111111"/>
          <w:sz w:val="28"/>
          <w:szCs w:val="28"/>
          <w:rtl/>
        </w:rPr>
        <w:t xml:space="preserve">ولكن لا يعقل التخصيص في حكم العقل ولو كان وجه التّخصيص عقليّاً لميبعد الالتزام ببقاء الجهة كما في التزاحم بين الواجبين فإنّ العقل قاضٍ بعدم تعلّق الطّلب بهما مع العلم ببقاء المصلحة إلّا أنّ ما نحن فيه ليس كذلك.</w:t>
      </w:r>
    </w:p>
    <w:p>
      <w:pPr>
        <w:pStyle w:val="BookText"/>
      </w:pPr>
      <w:r>
        <w:rPr>
          <w:rFonts w:ascii="IRNazanin" w:hAnsi="IRNazanin" w:eastAsia="IRNazanin" w:cs="IRNazanin"/>
          <w:lang w:bidi="fa-IR"/>
          <w:color w:val="111111"/>
          <w:sz w:val="28"/>
          <w:szCs w:val="28"/>
          <w:rtl/>
        </w:rPr>
        <w:t xml:space="preserve">ودعوى أنّه من هذا القبيل لأنّ الوجه في التّخصيص فيه أیضاً هو امتناع اجتماع الطّلبين على وجه لو فرض ارتفاع الطّلب من أحد الطّرفين يبقى الآخر بلا مانع؛ إذ المطلوب تامّ من جميع الجهات ولذا حكموا بصحّة صلاة ناسي الغصبيّة وجاهلها؛</w:t>
      </w:r>
    </w:p>
    <w:p>
      <w:pPr>
        <w:pStyle w:val="BookText"/>
      </w:pPr>
      <w:r>
        <w:rPr>
          <w:rFonts w:ascii="IRNazanin" w:hAnsi="IRNazanin" w:eastAsia="IRNazanin" w:cs="IRNazanin"/>
          <w:lang w:bidi="fa-IR"/>
          <w:color w:val="111111"/>
          <w:sz w:val="28"/>
          <w:szCs w:val="28"/>
          <w:rtl/>
        </w:rPr>
        <w:t xml:space="preserve">مدفوعة بأنّ لازم ذلك جريان مثله في مثل قولنا: «أکرم عالماً ولا تكرم الفاسق» مع أنّه على تقدير التخصيص لا يعلم ببقاء المصلحة في الفرد الخارج والفرض أنّ ذلك لا يقتضي إلّا عدم تعلّق الطّلب بالفرد الجامع فلنا أن نحكم ببقاء المصلحة بعد ارتفاع الطّلب وقد عرفت فساده.</w:t>
      </w:r>
    </w:p>
    <w:p>
      <w:pPr>
        <w:pStyle w:val="Heading6"/>
      </w:pPr>
      <w:bookmarkStart w:id="616" w:name="_Toc297"/>
      <w:r>
        <w:t>[نقد الإیراد]</w:t>
      </w:r>
      <w:bookmarkEnd w:id="616"/>
    </w:p>
    <w:p>
      <w:pPr>
        <w:pStyle w:val="BookText"/>
      </w:pPr>
      <w:r>
        <w:rPr>
          <w:rFonts w:ascii="Amiri" w:hAnsi="Amiri" w:eastAsia="Amiri" w:cs="Amiri"/>
          <w:lang w:bidi="ar-SA"/>
          <w:color w:val="111111"/>
          <w:sz w:val="28"/>
          <w:szCs w:val="28"/>
          <w:rtl/>
        </w:rPr>
        <w:t xml:space="preserve">قلت: قد عرفت سابقاً أنّ المفروض فيما كان من قبيل المانع العقلي وهو امتناع اجتماع الطّلبين وإلّا فالحكم معلّق على الطّبيعتين من حيث هما على وجه يسري إلى جميع الأفراد مع عدم المانع فلا وجه للإطالة المذكورة.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فنقول: إنّ المنقصة مستفادة من عنوان الدّليل ولا يضرّ التّخصيص بعد كونه عقليّاً.</w:t>
      </w:r>
    </w:p>
    <w:p>
      <w:pPr>
        <w:pStyle w:val="BookText"/>
      </w:pPr>
      <w:r>
        <w:rPr>
          <w:rFonts w:ascii="Amiri" w:hAnsi="Amiri" w:eastAsia="Amiri" w:cs="Amiri"/>
          <w:lang w:bidi="ar-SA"/>
          <w:color w:val="111111"/>
          <w:sz w:val="28"/>
          <w:szCs w:val="28"/>
          <w:rtl/>
        </w:rPr>
        <w:t xml:space="preserve">ودعوى أنّ لازمه جريانه في مثل المثال المذكور؛</w:t>
      </w:r>
    </w:p>
    <w:p>
      <w:pPr>
        <w:pStyle w:val="BookText"/>
      </w:pPr>
      <w:r>
        <w:rPr>
          <w:rFonts w:ascii="IRNazanin" w:hAnsi="IRNazanin" w:eastAsia="IRNazanin" w:cs="IRNazanin"/>
          <w:lang w:bidi="fa-IR"/>
          <w:color w:val="111111"/>
          <w:sz w:val="28"/>
          <w:szCs w:val="28"/>
          <w:rtl/>
        </w:rPr>
        <w:t xml:space="preserve">مدفوعة بأنّه من قبيل المتعارضين لا المتزاحمين ولو فرض كونه من قبيل المتزاحمین</w:t>
      </w:r>
      <w:r>
        <w:rPr>
          <w:rStyle w:val="FootnoteReference"/>
        </w:rPr>
        <w:footnoteReference w:id="1134"/>
      </w:r>
      <w:r>
        <w:rPr>
          <w:rFonts w:ascii="IRNazanin" w:hAnsi="IRNazanin" w:eastAsia="IRNazanin" w:cs="IRNazanin"/>
          <w:lang w:bidi="fa-IR"/>
          <w:color w:val="111111"/>
          <w:sz w:val="28"/>
          <w:szCs w:val="28"/>
          <w:rtl/>
        </w:rPr>
        <w:t xml:space="preserve">التزمنا بمثله فيه أیضاً.</w:t>
      </w:r>
    </w:p>
    <w:p>
      <w:pPr>
        <w:pStyle w:val="BookText"/>
      </w:pPr>
      <w:r>
        <w:rPr>
          <w:rFonts w:ascii="Amiri" w:hAnsi="Amiri" w:eastAsia="Amiri" w:cs="Amiri"/>
          <w:lang w:bidi="ar-SA"/>
          <w:color w:val="111111"/>
          <w:sz w:val="28"/>
          <w:szCs w:val="28"/>
          <w:rtl/>
        </w:rPr>
        <w:t xml:space="preserve">ودعوى أنّ لازمه جريانه في النهي التحريمي؛</w:t>
      </w:r>
    </w:p>
    <w:p>
      <w:pPr>
        <w:pStyle w:val="BookText"/>
      </w:pPr>
      <w:r>
        <w:rPr>
          <w:rFonts w:ascii="IRNazanin" w:hAnsi="IRNazanin" w:eastAsia="IRNazanin" w:cs="IRNazanin"/>
          <w:lang w:bidi="fa-IR"/>
          <w:color w:val="111111"/>
          <w:sz w:val="28"/>
          <w:szCs w:val="28"/>
          <w:rtl/>
        </w:rPr>
        <w:t xml:space="preserve">مدفوعة بأنّه كذلك وأنّ مصلحة الأمر باقية إلّا أنّ الصحّة فرع الأمر على مذاقهم فلذا لا يحكمون بالصحّة ولذا ذكرنا أنّ العمل بناء على مذهب المانعين صحيح على التحقیق من عدم تفرّع الصحّة على الأمر حسبما عرفت.</w:t>
      </w:r>
    </w:p>
    <w:p>
      <w:pPr>
        <w:pStyle w:val="BookText"/>
      </w:pPr>
      <w:r>
        <w:rPr>
          <w:rFonts w:ascii="IRNazanin" w:hAnsi="IRNazanin" w:eastAsia="IRNazanin" w:cs="IRNazanin"/>
          <w:lang w:bidi="fa-IR"/>
          <w:color w:val="111111"/>
          <w:sz w:val="28"/>
          <w:szCs w:val="28"/>
          <w:rtl/>
        </w:rPr>
        <w:t xml:space="preserve">فحاصل الکلام: أنّ تعليق الحكم على الطّبيعة على ما هو المفروض يقتضيسريانه</w:t>
      </w:r>
      <w:r>
        <w:rPr>
          <w:rStyle w:val="FootnoteReference"/>
        </w:rPr>
        <w:footnoteReference w:id="1135"/>
      </w:r>
      <w:r>
        <w:rPr>
          <w:rFonts w:ascii="IRNazanin" w:hAnsi="IRNazanin" w:eastAsia="IRNazanin" w:cs="IRNazanin"/>
          <w:lang w:bidi="fa-IR"/>
          <w:color w:val="111111"/>
          <w:sz w:val="28"/>
          <w:szCs w:val="28"/>
          <w:rtl/>
        </w:rPr>
        <w:t xml:space="preserve">إلى جميع الأفراد مع عدم المانع سواء في الإلزاميّين وغيرهما وعلى القول بالامتناع يرتفع أحد الطّلبين ويبقى الجهة وبقاؤها بالنّسبة إلى الأمر لا یکفي في الصحّة وبالنّسبة إلى النّهي یکفي في قلّة الثواب بمعنى وجود الحزازة والمنقصة.</w:t>
      </w:r>
    </w:p>
    <w:p>
      <w:pPr>
        <w:pStyle w:val="BookText"/>
      </w:pPr>
      <w:r>
        <w:rPr>
          <w:rFonts w:ascii="Amiri" w:hAnsi="Amiri" w:eastAsia="Amiri" w:cs="Amiri"/>
          <w:lang w:bidi="ar-SA"/>
          <w:color w:val="111111"/>
          <w:sz w:val="28"/>
          <w:szCs w:val="28"/>
          <w:rtl/>
        </w:rPr>
        <w:t xml:space="preserve">ومن الغريب أنّ المُورِد المذكور حام حول المطلب وتحفظ عن الوقوع فيه، وأغرب منه أنّه اعترف به بعد ذلك على ما سننقل عنه.</w:t>
      </w:r>
    </w:p>
    <w:p>
      <w:pPr>
        <w:pStyle w:val="BookText"/>
      </w:pPr>
      <w:r>
        <w:rPr>
          <w:rFonts w:ascii="Amiri" w:hAnsi="Amiri" w:eastAsia="Amiri" w:cs="Amiri"/>
          <w:lang w:bidi="ar-SA"/>
          <w:color w:val="111111"/>
          <w:sz w:val="28"/>
          <w:szCs w:val="28"/>
          <w:rtl/>
        </w:rPr>
        <w:t xml:space="preserve">فتحصّل أنّه لا مانع من التوجيه المذكور بناء على القول بالامتناع؛ إذ محلّ النّزاع على ما عرفت إنّما هو صورة التزاحم لا التعارض.</w:t>
      </w:r>
    </w:p>
    <w:p>
      <w:pPr>
        <w:pStyle w:val="BookText"/>
      </w:pPr>
      <w:r>
        <w:rPr>
          <w:rFonts w:ascii="Amiri" w:hAnsi="Amiri" w:eastAsia="Amiri" w:cs="Amiri"/>
          <w:lang w:bidi="ar-SA"/>
          <w:color w:val="111111"/>
          <w:sz w:val="28"/>
          <w:szCs w:val="28"/>
          <w:rtl/>
        </w:rPr>
        <w:t xml:space="preserve">كيف ولا مفرّ</w:t>
      </w:r>
      <w:r>
        <w:rPr>
          <w:rStyle w:val="FootnoteReference"/>
        </w:rPr>
        <w:footnoteReference w:id="1136"/>
      </w:r>
      <w:r>
        <w:rPr>
          <w:rFonts w:ascii="Amiri" w:hAnsi="Amiri" w:eastAsia="Amiri" w:cs="Amiri"/>
          <w:lang w:bidi="ar-SA"/>
          <w:color w:val="111111"/>
          <w:sz w:val="28"/>
          <w:szCs w:val="28"/>
          <w:rtl/>
        </w:rPr>
        <w:t xml:space="preserve">عن الرّجوع إلى المرجّحات لو فرض التعارض مع قطع النظر عن المضادّة بين الطّلبين.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68" w:name="pg6784_51332"/>
    <w:bookmarkEnd w:id="168"/>
    <w:p>
      <w:pPr>
        <w:pStyle w:val="BookText"/>
      </w:pPr>
      <w:r>
        <w:rPr>
          <w:rFonts w:ascii="Amiri" w:hAnsi="Amiri" w:eastAsia="Amiri" w:cs="Amiri"/>
          <w:lang w:bidi="ar-SA"/>
          <w:color w:val="111111"/>
          <w:sz w:val="28"/>
          <w:szCs w:val="28"/>
          <w:rtl/>
        </w:rPr>
        <w:t xml:space="preserve">ولو فرضنا أنّ محلّ النزاع في المسألة الأعمّ من المتزاحمين والمتعارضين، أمكن أن يقال: إنّ الإجماع على بقاء الوجوب والكراهة كاشف عن كون المقام أي العبادة المكروهة في صورة العموم من وجه من التزاحم.</w:t>
      </w:r>
    </w:p>
    <w:p>
      <w:pPr>
        <w:pStyle w:val="BookText"/>
      </w:pPr>
      <w:r>
        <w:rPr>
          <w:rFonts w:ascii="IRNazanin" w:hAnsi="IRNazanin" w:eastAsia="IRNazanin" w:cs="IRNazanin"/>
          <w:lang w:bidi="fa-IR"/>
          <w:color w:val="111111"/>
          <w:sz w:val="28"/>
          <w:szCs w:val="28"/>
          <w:rtl/>
        </w:rPr>
        <w:t xml:space="preserve">نعم الأولى أن يقال: إنّ المراد بكراهة العبادة حينئذٍ في کلمات الفقهاء وجود الحزازة في الواجب من جهة النّهي المتعلّق بالطّبيعة لا قلّة الثواب؛ إذ المنقصة الباعثة على الكراهة قد لا تقتضي</w:t>
      </w:r>
      <w:r>
        <w:rPr>
          <w:rStyle w:val="FootnoteReference"/>
        </w:rPr>
        <w:footnoteReference w:id="1137"/>
      </w:r>
      <w:r>
        <w:rPr>
          <w:rFonts w:ascii="Amiri" w:hAnsi="Amiri" w:eastAsia="Amiri" w:cs="Amiri"/>
          <w:lang w:bidi="ar-SA"/>
          <w:color w:val="111111"/>
          <w:sz w:val="28"/>
          <w:szCs w:val="28"/>
          <w:rtl/>
        </w:rPr>
        <w:t xml:space="preserve">قلّة الثواب.</w:t>
      </w:r>
    </w:p>
    <w:p>
      <w:pPr>
        <w:pStyle w:val="BookText"/>
      </w:pPr>
      <w:r>
        <w:rPr>
          <w:rFonts w:ascii="Amiri" w:hAnsi="Amiri" w:eastAsia="Amiri" w:cs="Amiri"/>
          <w:lang w:bidi="ar-SA"/>
          <w:color w:val="111111"/>
          <w:sz w:val="28"/>
          <w:szCs w:val="28"/>
          <w:rtl/>
        </w:rPr>
        <w:t xml:space="preserve">بل يمكن دعوى عدم كونها كذلك في جميع المقامات؛ إذ قد عرفت أنّ سنخ منقصة الكراهة غير سنخ مصلحة الوجوب فلا توجب نقصاً في ثواب الواجب أصلاً؛ إذ لا يحصل الكسر والانكسار بينهما والمراد بالغالبيّة والمغلوبيّة أنّ الحكم يتبع أقواهما لا أنّه يزيل أحدهما الآخر أو ينقصه كما لا يخفى.</w:t>
      </w:r>
    </w:p>
    <w:p>
      <w:pPr>
        <w:pStyle w:val="Heading6"/>
      </w:pPr>
      <w:bookmarkStart w:id="617" w:name="_Toc298"/>
      <w:r>
        <w:t>[إیرادات على ما ذکر في موارد العام والخاص المطلقین]</w:t>
      </w:r>
      <w:bookmarkEnd w:id="617"/>
    </w:p>
    <w:p>
      <w:pPr>
        <w:pStyle w:val="Heading6"/>
      </w:pPr>
      <w:bookmarkStart w:id="618" w:name="_Toc299"/>
      <w:r>
        <w:t>اشارة</w:t>
      </w:r>
      <w:bookmarkEnd w:id="618"/>
    </w:p>
    <w:p>
      <w:pPr>
        <w:pStyle w:val="BookText"/>
      </w:pPr>
      <w:r>
        <w:rPr>
          <w:rFonts w:ascii="IRNazanin" w:hAnsi="IRNazanin" w:eastAsia="IRNazanin" w:cs="IRNazanin"/>
          <w:lang w:bidi="fa-IR"/>
          <w:color w:val="111111"/>
          <w:sz w:val="28"/>
          <w:szCs w:val="28"/>
          <w:rtl/>
        </w:rPr>
        <w:t xml:space="preserve">وأورد على ما ذكر في العامّ والخاصّ المطلقين أیضاً بوجوه:</w:t>
      </w:r>
    </w:p>
    <w:p>
      <w:pPr>
        <w:pStyle w:val="Heading6"/>
      </w:pPr>
      <w:bookmarkStart w:id="619" w:name="_Toc300"/>
      <w:r>
        <w:t>[الإیراد الأوّل على ما ذکر في موارد العام والخاص المطلقین]</w:t>
      </w:r>
      <w:bookmarkEnd w:id="619"/>
    </w:p>
    <w:p>
      <w:pPr>
        <w:pStyle w:val="BookText"/>
      </w:pPr>
      <w:r>
        <w:rPr>
          <w:rFonts w:ascii="Amiri" w:hAnsi="Amiri" w:eastAsia="Amiri" w:cs="Amiri"/>
          <w:lang w:bidi="ar-SA"/>
          <w:color w:val="111111"/>
          <w:sz w:val="28"/>
          <w:szCs w:val="28"/>
          <w:rtl/>
        </w:rPr>
        <w:t xml:space="preserve">منها: ما ذكر في السّابق من أنّه لا يتمّ على مذهب الأشعري النافي للمفسدةوالمنقصة فلا يمكن جعل النهي للإرشاد إلى قلّة الثواب النّاشئة</w:t>
      </w:r>
      <w:r>
        <w:rPr>
          <w:rStyle w:val="FootnoteReference"/>
        </w:rPr>
        <w:footnoteReference w:id="1138"/>
      </w:r>
      <w:r>
        <w:rPr>
          <w:rFonts w:ascii="IRNazanin" w:hAnsi="IRNazanin" w:eastAsia="IRNazanin" w:cs="IRNazanin"/>
          <w:lang w:bidi="fa-IR"/>
          <w:color w:val="111111"/>
          <w:sz w:val="28"/>
          <w:szCs w:val="28"/>
          <w:rtl/>
        </w:rPr>
        <w:t xml:space="preserve">من</w:t>
      </w:r>
      <w:r>
        <w:rPr>
          <w:rStyle w:val="FootnoteReference"/>
        </w:rPr>
        <w:footnoteReference w:id="1139"/>
      </w:r>
      <w:r>
        <w:rPr>
          <w:rFonts w:ascii="Amiri" w:hAnsi="Amiri" w:eastAsia="Amiri" w:cs="Amiri"/>
          <w:lang w:bidi="ar-SA"/>
          <w:color w:val="111111"/>
          <w:sz w:val="28"/>
          <w:szCs w:val="28"/>
          <w:rtl/>
        </w:rPr>
        <w:t xml:space="preserve">المنقصة</w:t>
      </w:r>
      <w:r>
        <w:rPr>
          <w:rStyle w:val="FootnoteReference"/>
        </w:rPr>
        <w:footnoteReference w:id="1140"/>
      </w:r>
      <w:r>
        <w:rPr>
          <w:rFonts w:ascii="Amiri" w:hAnsi="Amiri" w:eastAsia="Amiri" w:cs="Amiri"/>
          <w:lang w:bidi="ar-SA"/>
          <w:color w:val="111111"/>
          <w:sz w:val="28"/>
          <w:szCs w:val="28"/>
          <w:rtl/>
        </w:rPr>
        <w:t xml:space="preserve">الذاتية.</w:t>
      </w:r>
    </w:p>
    <w:p>
      <w:pPr>
        <w:pStyle w:val="Heading6"/>
      </w:pPr>
      <w:bookmarkStart w:id="620" w:name="_Toc301"/>
      <w:r>
        <w:t>[نقد الإیراد]</w:t>
      </w:r>
      <w:bookmarkEnd w:id="620"/>
    </w:p>
    <w:p>
      <w:pPr>
        <w:pStyle w:val="BookText"/>
      </w:pPr>
      <w:r>
        <w:rPr>
          <w:rFonts w:ascii="Amiri" w:hAnsi="Amiri" w:eastAsia="Amiri" w:cs="Amiri"/>
          <w:lang w:bidi="ar-SA"/>
          <w:color w:val="111111"/>
          <w:sz w:val="28"/>
          <w:szCs w:val="28"/>
          <w:rtl/>
        </w:rPr>
        <w:t xml:space="preserve">وفيه: ما عرفت مضافاً إلى أنّه لا مانع في المقام من جعل النهي للإرشاد إلى قلّة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69" w:name="pg6784_51333"/>
    <w:bookmarkEnd w:id="169"/>
    <w:p>
      <w:pPr>
        <w:pStyle w:val="BookText"/>
      </w:pPr>
      <w:r>
        <w:rPr>
          <w:rFonts w:ascii="Amiri" w:hAnsi="Amiri" w:eastAsia="Amiri" w:cs="Amiri"/>
          <w:lang w:bidi="ar-SA"/>
          <w:color w:val="111111"/>
          <w:sz w:val="28"/>
          <w:szCs w:val="28"/>
          <w:rtl/>
        </w:rPr>
        <w:t xml:space="preserve">الثواب من دون توسّط المنقصة والمفسدة؛ إذ المفروض في المقام أنّ النّهي مستعمل في ذلك بخلاف السّابق حيث إنّ النهي كان مستعملاً في معناه الظّاهر فلم يمكن كونه إرشاداً إلى قلّة الثواب.</w:t>
      </w:r>
    </w:p>
    <w:p>
      <w:pPr>
        <w:pStyle w:val="Heading6"/>
      </w:pPr>
      <w:bookmarkStart w:id="621" w:name="_Toc302"/>
      <w:r>
        <w:t>[الإیراد الثاني على ما ذکر في موارد العام والخاص المطلقین]</w:t>
      </w:r>
      <w:bookmarkEnd w:id="621"/>
    </w:p>
    <w:p>
      <w:pPr>
        <w:pStyle w:val="BookText"/>
      </w:pPr>
      <w:r>
        <w:rPr>
          <w:rFonts w:ascii="Amiri" w:hAnsi="Amiri" w:eastAsia="Amiri" w:cs="Amiri"/>
          <w:lang w:bidi="ar-SA"/>
          <w:color w:val="111111"/>
          <w:sz w:val="28"/>
          <w:szCs w:val="28"/>
          <w:rtl/>
        </w:rPr>
        <w:t xml:space="preserve">ومنها: أنّ قضيّة اللّطف ومراعاة</w:t>
      </w:r>
      <w:r>
        <w:rPr>
          <w:rStyle w:val="FootnoteReference"/>
        </w:rPr>
        <w:footnoteReference w:id="1141"/>
      </w:r>
      <w:r>
        <w:rPr>
          <w:rFonts w:ascii="Amiri" w:hAnsi="Amiri" w:eastAsia="Amiri" w:cs="Amiri"/>
          <w:lang w:bidi="ar-SA"/>
          <w:color w:val="111111"/>
          <w:sz w:val="28"/>
          <w:szCs w:val="28"/>
          <w:rtl/>
        </w:rPr>
        <w:t xml:space="preserve">المصالح والمفاسد تخصيص الأمر في هذه الموارد بالفرد الغير المشتمل على المنقصة لأنّ في الأمر به تفويتاً من دون انجبار.</w:t>
      </w:r>
    </w:p>
    <w:p>
      <w:pPr>
        <w:pStyle w:val="BookText"/>
      </w:pPr>
      <w:r>
        <w:rPr>
          <w:rFonts w:ascii="Amiri" w:hAnsi="Amiri" w:eastAsia="Amiri" w:cs="Amiri"/>
          <w:lang w:bidi="ar-SA"/>
          <w:color w:val="111111"/>
          <w:sz w:val="28"/>
          <w:szCs w:val="28"/>
          <w:rtl/>
        </w:rPr>
        <w:t xml:space="preserve">فإن قيل: لعلّ ذلك من جهة أنّه قد ينحصر الفرد في المشتمل على تلك المنقصة فيحصل تفويت الواجب مع التخصيص المذكور.</w:t>
      </w:r>
    </w:p>
    <w:p>
      <w:pPr>
        <w:pStyle w:val="BookText"/>
      </w:pPr>
      <w:r>
        <w:rPr>
          <w:rFonts w:ascii="Amiri" w:hAnsi="Amiri" w:eastAsia="Amiri" w:cs="Amiri"/>
          <w:lang w:bidi="ar-SA"/>
          <w:color w:val="111111"/>
          <w:sz w:val="28"/>
          <w:szCs w:val="28"/>
          <w:rtl/>
        </w:rPr>
        <w:t xml:space="preserve">يقال: إنّه يمكن أن يؤمر به على وجه الترتيب بأن يؤمر به أوّلاً بالفرد الخالي عن المنقصة ومع عدمه بالمشتمل عليها.</w:t>
      </w:r>
    </w:p>
    <w:p>
      <w:pPr>
        <w:pStyle w:val="Heading6"/>
      </w:pPr>
      <w:bookmarkStart w:id="622" w:name="_Toc303"/>
      <w:r>
        <w:t>[نقد الإیراد الثاني]</w:t>
      </w:r>
      <w:bookmarkEnd w:id="622"/>
    </w:p>
    <w:p>
      <w:pPr>
        <w:pStyle w:val="BookText"/>
      </w:pPr>
      <w:r>
        <w:rPr>
          <w:rFonts w:ascii="IRNazanin" w:hAnsi="IRNazanin" w:eastAsia="IRNazanin" w:cs="IRNazanin"/>
          <w:lang w:bidi="fa-IR"/>
          <w:color w:val="111111"/>
          <w:sz w:val="28"/>
          <w:szCs w:val="28"/>
          <w:rtl/>
        </w:rPr>
        <w:t xml:space="preserve">وفيه: أنّه إذا كان المفروض وجود المصلحة الكافية في الوجوب في جميع الأفراد فلا وجه للتخصيص بل اللّازم إطلاق الأمر وتوجيه النهي الکراهي</w:t>
      </w:r>
      <w:r>
        <w:rPr>
          <w:rStyle w:val="FootnoteReference"/>
        </w:rPr>
        <w:footnoteReference w:id="1142"/>
      </w:r>
      <w:r>
        <w:rPr>
          <w:rFonts w:ascii="Amiri" w:hAnsi="Amiri" w:eastAsia="Amiri" w:cs="Amiri"/>
          <w:lang w:bidi="ar-SA"/>
          <w:color w:val="111111"/>
          <w:sz w:val="28"/>
          <w:szCs w:val="28"/>
          <w:rtl/>
        </w:rPr>
        <w:t xml:space="preserve">لأنّه مقتضى مراعاة</w:t>
      </w:r>
      <w:r>
        <w:rPr>
          <w:rStyle w:val="FootnoteReference"/>
        </w:rPr>
        <w:footnoteReference w:id="1143"/>
      </w:r>
      <w:r>
        <w:rPr>
          <w:rFonts w:ascii="IRNazanin" w:hAnsi="IRNazanin" w:eastAsia="IRNazanin" w:cs="IRNazanin"/>
          <w:lang w:bidi="fa-IR"/>
          <w:color w:val="111111"/>
          <w:sz w:val="28"/>
          <w:szCs w:val="28"/>
          <w:rtl/>
        </w:rPr>
        <w:t xml:space="preserve">المصالح والمفاسد.</w:t>
      </w:r>
    </w:p>
    <w:p>
      <w:pPr>
        <w:pStyle w:val="BookText"/>
      </w:pPr>
      <w:r>
        <w:rPr>
          <w:rFonts w:ascii="IRNazanin" w:hAnsi="IRNazanin" w:eastAsia="IRNazanin" w:cs="IRNazanin"/>
          <w:lang w:bidi="fa-IR"/>
          <w:color w:val="111111"/>
          <w:sz w:val="28"/>
          <w:szCs w:val="28"/>
          <w:rtl/>
        </w:rPr>
        <w:t xml:space="preserve">وبعبارة أخری: لمّا كان الفرد المذكور مشتملاً على الجهتين فاللازم مراعاتهمامعاً</w:t>
      </w:r>
      <w:r>
        <w:rPr>
          <w:rStyle w:val="FootnoteReference"/>
        </w:rPr>
        <w:footnoteReference w:id="1144"/>
      </w:r>
      <w:r>
        <w:rPr>
          <w:rFonts w:ascii="Amiri" w:hAnsi="Amiri" w:eastAsia="Amiri" w:cs="Amiri"/>
          <w:lang w:bidi="ar-SA"/>
          <w:color w:val="111111"/>
          <w:sz w:val="28"/>
          <w:szCs w:val="28"/>
          <w:rtl/>
        </w:rPr>
        <w:t xml:space="preserve">بالأمر والنهي على الوجه المذكور وهو واضح.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70" w:name="pg6784_51334"/>
    <w:bookmarkEnd w:id="170"/>
    <w:p>
      <w:pPr>
        <w:pStyle w:val="Heading6"/>
      </w:pPr>
      <w:bookmarkStart w:id="623" w:name="_Toc304"/>
      <w:r>
        <w:t>[الإیراد الثالث على ما ذکر في موارد العام والخاص المطلقین]</w:t>
      </w:r>
      <w:bookmarkEnd w:id="623"/>
    </w:p>
    <w:p>
      <w:pPr>
        <w:pStyle w:val="BookText"/>
      </w:pPr>
      <w:r>
        <w:rPr>
          <w:rFonts w:ascii="Amiri" w:hAnsi="Amiri" w:eastAsia="Amiri" w:cs="Amiri"/>
          <w:lang w:bidi="ar-SA"/>
          <w:color w:val="111111"/>
          <w:sz w:val="28"/>
          <w:szCs w:val="28"/>
          <w:rtl/>
        </w:rPr>
        <w:t xml:space="preserve">ومنها: ما ذكره المحقّق القمي من أنّه مع هذه المنقصة إمّا يكون مطلوب الفعل فقط أو مطلوب التّرك كذلك أو مطلوبهما معاً فعلى الأوّل لا كراهة وعلى الثاني لا وجوب وعلى الثالث يلزم الاجتماع.</w:t>
      </w:r>
      <w:r>
        <w:rPr>
          <w:rStyle w:val="FootnoteReference"/>
        </w:rPr>
        <w:footnoteReference w:id="1145"/>
      </w:r>
    </w:p>
    <w:p>
      <w:pPr>
        <w:pStyle w:val="Heading6"/>
      </w:pPr>
      <w:bookmarkStart w:id="624" w:name="_Toc305"/>
      <w:r>
        <w:t>[نقد الإیراد الثالث]</w:t>
      </w:r>
      <w:bookmarkEnd w:id="624"/>
    </w:p>
    <w:p>
      <w:pPr>
        <w:pStyle w:val="BookText"/>
      </w:pPr>
      <w:r>
        <w:rPr>
          <w:rFonts w:ascii="IRNazanin" w:hAnsi="IRNazanin" w:eastAsia="IRNazanin" w:cs="IRNazanin"/>
          <w:lang w:bidi="fa-IR"/>
          <w:color w:val="111111"/>
          <w:sz w:val="28"/>
          <w:szCs w:val="28"/>
          <w:rtl/>
        </w:rPr>
        <w:t xml:space="preserve">وفيه ما لا يخفی؛ إذ لنا أن نختار الأوّل قوله: لا كراهة، نقول: هو كذلك بالمعنى المصطلح كما هو المدّعى لا مطلقاً.</w:t>
      </w:r>
    </w:p>
    <w:p>
      <w:pPr>
        <w:pStyle w:val="BookText"/>
      </w:pPr>
      <w:r>
        <w:rPr>
          <w:rFonts w:ascii="Amiri" w:hAnsi="Amiri" w:eastAsia="Amiri" w:cs="Amiri"/>
          <w:lang w:bidi="ar-SA"/>
          <w:color w:val="111111"/>
          <w:sz w:val="28"/>
          <w:szCs w:val="28"/>
          <w:rtl/>
        </w:rPr>
        <w:t xml:space="preserve">ولنا أن نختار الثالث لكن بحمل</w:t>
      </w:r>
      <w:r>
        <w:rPr>
          <w:rStyle w:val="FootnoteReference"/>
        </w:rPr>
        <w:footnoteReference w:id="1146"/>
      </w:r>
      <w:r>
        <w:rPr>
          <w:rFonts w:ascii="IRNazanin" w:hAnsi="IRNazanin" w:eastAsia="IRNazanin" w:cs="IRNazanin"/>
          <w:lang w:bidi="fa-IR"/>
          <w:color w:val="111111"/>
          <w:sz w:val="28"/>
          <w:szCs w:val="28"/>
          <w:rtl/>
        </w:rPr>
        <w:t xml:space="preserve">مطلوبیّة الترك على الطّلب الإرشادي لا المولوي ولا إشکال.</w:t>
      </w:r>
    </w:p>
    <w:p>
      <w:pPr>
        <w:pStyle w:val="Heading6"/>
      </w:pPr>
      <w:bookmarkStart w:id="625" w:name="_Toc306"/>
      <w:r>
        <w:t>[الإیراد الرابع على ما ذکر في موارد العام والخاص المطلقین]</w:t>
      </w:r>
      <w:bookmarkEnd w:id="625"/>
    </w:p>
    <w:p>
      <w:pPr>
        <w:pStyle w:val="BookText"/>
      </w:pPr>
      <w:r>
        <w:rPr>
          <w:rFonts w:ascii="Amiri" w:hAnsi="Amiri" w:eastAsia="Amiri" w:cs="Amiri"/>
          <w:lang w:bidi="ar-SA"/>
          <w:color w:val="111111"/>
          <w:sz w:val="28"/>
          <w:szCs w:val="28"/>
          <w:rtl/>
        </w:rPr>
        <w:t xml:space="preserve">ومنها: أنّ لازم التوجيه المذكور كون الأفراد الغير المشتملة على المنقصة مثل الصّلاة في البيت مباحة مع أنّها ليست كذلك بالاتّفاق؛ إذ العبادة لا تكون مباحة.</w:t>
      </w:r>
    </w:p>
    <w:p>
      <w:pPr>
        <w:pStyle w:val="BookText"/>
      </w:pPr>
      <w:r>
        <w:rPr>
          <w:rFonts w:ascii="IRNazanin" w:hAnsi="IRNazanin" w:eastAsia="IRNazanin" w:cs="IRNazanin"/>
          <w:lang w:bidi="fa-IR"/>
          <w:color w:val="111111"/>
          <w:sz w:val="28"/>
          <w:szCs w:val="28"/>
          <w:rtl/>
        </w:rPr>
        <w:t xml:space="preserve">ولو التزم بأنّ المباح إيقاعها في البيت لا نفسها نقول: إنّ المكروه کذلك</w:t>
      </w:r>
      <w:r>
        <w:rPr>
          <w:rStyle w:val="FootnoteReference"/>
        </w:rPr>
        <w:footnoteReference w:id="1147"/>
      </w:r>
      <w:r>
        <w:rPr>
          <w:rFonts w:ascii="IRNazanin" w:hAnsi="IRNazanin" w:eastAsia="IRNazanin" w:cs="IRNazanin"/>
          <w:lang w:bidi="fa-IR"/>
          <w:color w:val="111111"/>
          <w:sz w:val="28"/>
          <w:szCs w:val="28"/>
          <w:rtl/>
        </w:rPr>
        <w:t xml:space="preserve">أیضاً إيقاعها في الحمّام</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وفي كتاب من لا یحضره الفقیه ج1، ص242، عن موسى بن جعفر(علیهما السلام) عن الصلاة في بیت الحمّام فقال: «إذا كان الموضع نظیفًا فلا بأس بالصلاة».</w:t>
      </w:r>
    </w:p>
    <w:p>
      <w:pPr>
        <w:pStyle w:val="BookText"/>
      </w:pPr>
      <w:r>
        <w:rPr>
          <w:rFonts w:ascii="Amiri" w:hAnsi="Amiri" w:eastAsia="Amiri" w:cs="Amiri"/>
          <w:lang w:bidi="ar-SA"/>
          <w:color w:val="111111"/>
          <w:sz w:val="28"/>
          <w:szCs w:val="28"/>
          <w:rtl/>
        </w:rPr>
        <w:t xml:space="preserve">لا نفسها وكذا المحرّم إيقاعها في الدار الغصبيّة لا نفسها فيلزم</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71" w:name="pg6784_51335"/>
    <w:bookmarkEnd w:id="171"/>
    <w:p>
      <w:pPr>
        <w:pStyle w:val="BookText"/>
      </w:pPr>
      <w:r>
        <w:rPr>
          <w:rFonts w:ascii="Amiri" w:hAnsi="Amiri" w:eastAsia="Amiri" w:cs="Amiri"/>
          <w:lang w:bidi="ar-SA"/>
          <w:color w:val="111111"/>
          <w:sz w:val="28"/>
          <w:szCs w:val="28"/>
          <w:rtl/>
        </w:rPr>
        <w:t xml:space="preserve">الحكم بجواز الاجتماع.</w:t>
      </w:r>
    </w:p>
    <w:p>
      <w:pPr>
        <w:pStyle w:val="Heading6"/>
      </w:pPr>
      <w:bookmarkStart w:id="626" w:name="_Toc307"/>
      <w:r>
        <w:t>[نقد الإیراد الرابع]</w:t>
      </w:r>
      <w:bookmarkEnd w:id="626"/>
    </w:p>
    <w:p>
      <w:pPr>
        <w:pStyle w:val="BookText"/>
      </w:pPr>
      <w:r>
        <w:rPr>
          <w:rFonts w:ascii="IRNazanin" w:hAnsi="IRNazanin" w:eastAsia="IRNazanin" w:cs="IRNazanin"/>
          <w:lang w:bidi="fa-IR"/>
          <w:color w:val="111111"/>
          <w:sz w:val="28"/>
          <w:szCs w:val="28"/>
          <w:rtl/>
        </w:rPr>
        <w:t xml:space="preserve">وفيه أیضاً ما لا يخفی؛ إذ نلتزم بإباحتها لكن لا بالمعنى المصطلح بمعنى جواز الفعل والترك بل بمعنى عدم قلّة الثواب ولا كثرته وإلّا فالإيقاع في البيت عين الإتیان بالواجب وهو واجب؛ أو نقول: إنّها مباحة بمعنى أنّ حيثيّة كونها في البيت لا تقتضي رجحاناً ولا مرجوحيّة، ولا إشکال ولا يضرّ عدم إطلاق المباح بالمعنى الّذي ذكرنا عليها في ألسنتهم؛ إذ الوجه فيه عدم</w:t>
      </w:r>
      <w:r>
        <w:rPr>
          <w:rStyle w:val="FootnoteReference"/>
        </w:rPr>
        <w:footnoteReference w:id="1149"/>
      </w:r>
      <w:r>
        <w:rPr>
          <w:rFonts w:ascii="Amiri" w:hAnsi="Amiri" w:eastAsia="Amiri" w:cs="Amiri"/>
          <w:lang w:bidi="ar-SA"/>
          <w:color w:val="111111"/>
          <w:sz w:val="28"/>
          <w:szCs w:val="28"/>
          <w:rtl/>
        </w:rPr>
        <w:t xml:space="preserve">ورود شي‌ء في الأخبار بالنسبة إليها حتّى يحتاج إلى الإطلاق المذكور.</w:t>
      </w:r>
    </w:p>
    <w:p>
      <w:pPr>
        <w:pStyle w:val="Heading6"/>
      </w:pPr>
      <w:bookmarkStart w:id="627" w:name="_Toc308"/>
      <w:r>
        <w:t>[الإیراد الخامس على ما ذکر في موارد العام والخاص المطلقین]</w:t>
      </w:r>
      <w:bookmarkEnd w:id="627"/>
    </w:p>
    <w:p>
      <w:pPr>
        <w:pStyle w:val="BookText"/>
      </w:pPr>
      <w:r>
        <w:rPr>
          <w:rFonts w:ascii="Amiri" w:hAnsi="Amiri" w:eastAsia="Amiri" w:cs="Amiri"/>
          <w:lang w:bidi="ar-SA"/>
          <w:color w:val="111111"/>
          <w:sz w:val="28"/>
          <w:szCs w:val="28"/>
          <w:rtl/>
        </w:rPr>
        <w:t xml:space="preserve">ومنها: أنّ لازمه كون الفرد المباح مثل الصّلاة في البيت أفضل فردي الواجب؛ لأنّه أكثر ثواباً بالنّسبة إلى ما اشتمل على المنقصة، وهو باطل اتفاقاً</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ويرد أیضاً: عدم انضباط المكروه؛ إذ يمكن أن يقال: الصّلاة في البيت مكروه لأنّها أقلّ ثواباً من الصّلاة في المسجد والصّلاة في بعض المساجد بالنسبة إلى بعض آخر تكون كذلك مع أنّه لا يطلق عليها الكراهة اتفاقاً.</w:t>
      </w:r>
    </w:p>
    <w:p>
      <w:pPr>
        <w:pStyle w:val="BookText"/>
      </w:pPr>
      <w:r>
        <w:rPr>
          <w:rFonts w:ascii="Amiri" w:hAnsi="Amiri" w:eastAsia="Amiri" w:cs="Amiri"/>
          <w:lang w:bidi="ar-SA"/>
          <w:color w:val="111111"/>
          <w:sz w:val="28"/>
          <w:szCs w:val="28"/>
          <w:rtl/>
        </w:rPr>
        <w:t xml:space="preserve">بل لازمه أن يكون غير ما هو أكثر الأعمال ثواباً مكروهاً وهو بديهي الفساد.</w:t>
      </w:r>
    </w:p>
    <w:p>
      <w:pPr>
        <w:pStyle w:val="Heading6"/>
      </w:pPr>
      <w:bookmarkStart w:id="628" w:name="_Toc309"/>
      <w:r>
        <w:t>[نقد الإیراد الخامس]</w:t>
      </w:r>
      <w:bookmarkEnd w:id="628"/>
    </w:p>
    <w:p>
      <w:pPr>
        <w:pStyle w:val="BookText"/>
      </w:pPr>
      <w:r>
        <w:rPr>
          <w:rFonts w:ascii="Amiri" w:hAnsi="Amiri" w:eastAsia="Amiri" w:cs="Amiri"/>
          <w:lang w:bidi="ar-SA"/>
          <w:color w:val="111111"/>
          <w:sz w:val="28"/>
          <w:szCs w:val="28"/>
          <w:rtl/>
        </w:rPr>
        <w:t xml:space="preserve">وفيه: أنّ المراد قلّة الثواب بالنسبة إلى ما أعّد للطّبيعة من حيث هي مع قطع النّظر عن المنضمّات؛ إذ يمكن أن يكون للصّلاة من حيث هي ثواب</w:t>
      </w:r>
      <w:r>
        <w:rPr>
          <w:rStyle w:val="FootnoteReference"/>
        </w:rPr>
        <w:footnoteReference w:id="1151"/>
      </w:r>
      <w:r>
        <w:rPr>
          <w:rFonts w:ascii="Amiri" w:hAnsi="Amiri" w:eastAsia="Amiri" w:cs="Amiri"/>
          <w:lang w:bidi="ar-SA"/>
          <w:color w:val="111111"/>
          <w:sz w:val="28"/>
          <w:szCs w:val="28"/>
          <w:rtl/>
        </w:rPr>
        <w:t xml:space="preserve">قد يزيد لبعض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الخصوصيّات مثل خصوصيّة المسجدية وقد ينقص</w:t>
      </w:r>
      <w:r>
        <w:rPr>
          <w:rStyle w:val="FootnoteReference"/>
        </w:rPr>
        <w:footnoteReference w:id="1152"/>
      </w:r>
      <w:r>
        <w:rPr>
          <w:rFonts w:ascii="Amiri" w:hAnsi="Amiri" w:eastAsia="Amiri" w:cs="Amiri"/>
          <w:lang w:bidi="ar-SA"/>
          <w:color w:val="111111"/>
          <w:sz w:val="28"/>
          <w:szCs w:val="28"/>
          <w:rtl/>
        </w:rPr>
        <w:t xml:space="preserve">لآخر كخصوصيّة الحمّاميّة وقد لا يزيد ولا ينقص بأن لم يكن للخصوصيّة حكم كالبيتيّة.</w:t>
      </w:r>
    </w:p>
    <w:p>
      <w:pPr>
        <w:pStyle w:val="BookText"/>
      </w:pPr>
      <w:r>
        <w:rPr>
          <w:rFonts w:ascii="Amiri" w:hAnsi="Amiri" w:eastAsia="Amiri" w:cs="Amiri"/>
          <w:lang w:bidi="ar-SA"/>
          <w:color w:val="111111"/>
          <w:sz w:val="28"/>
          <w:szCs w:val="28"/>
          <w:rtl/>
        </w:rPr>
        <w:t xml:space="preserve">ودعوى أنّ ما أعّد للطّبيعة لا يكون إلّا بملاحظة أقلّ الأفراد ثواباً ولا يمكن أنتقتضي الخصوصيّة شيئاً وراء الطّبيعة إذا لم تكن</w:t>
      </w:r>
      <w:r>
        <w:rPr>
          <w:rStyle w:val="FootnoteReference"/>
        </w:rPr>
        <w:footnoteReference w:id="1153"/>
      </w:r>
      <w:r>
        <w:rPr>
          <w:rFonts w:ascii="Amiri" w:hAnsi="Amiri" w:eastAsia="Amiri" w:cs="Amiri"/>
          <w:lang w:bidi="ar-SA"/>
          <w:color w:val="111111"/>
          <w:sz w:val="28"/>
          <w:szCs w:val="28"/>
          <w:rtl/>
        </w:rPr>
        <w:t xml:space="preserve">بعنوان آخر لعينية الخصوصيّة مع الطّبيعة الموجودة؛ إذ المفروض أنّ الحكم لاحق</w:t>
      </w:r>
      <w:r>
        <w:rPr>
          <w:rStyle w:val="FootnoteReference"/>
        </w:rPr>
        <w:footnoteReference w:id="1154"/>
      </w:r>
      <w:r>
        <w:rPr>
          <w:rFonts w:ascii="Amiri" w:hAnsi="Amiri" w:eastAsia="Amiri" w:cs="Amiri"/>
          <w:lang w:bidi="ar-SA"/>
          <w:color w:val="111111"/>
          <w:sz w:val="28"/>
          <w:szCs w:val="28"/>
          <w:rtl/>
        </w:rPr>
        <w:t xml:space="preserve">للطّبيعة باعتبار خصوصيّات الوجودات فهي ما لم تكن</w:t>
      </w:r>
      <w:r>
        <w:rPr>
          <w:rStyle w:val="FootnoteReference"/>
        </w:rPr>
        <w:footnoteReference w:id="1155"/>
      </w:r>
      <w:r>
        <w:rPr>
          <w:rFonts w:ascii="Amiri" w:hAnsi="Amiri" w:eastAsia="Amiri" w:cs="Amiri"/>
          <w:lang w:bidi="ar-SA"/>
          <w:color w:val="111111"/>
          <w:sz w:val="28"/>
          <w:szCs w:val="28"/>
          <w:rtl/>
        </w:rPr>
        <w:t xml:space="preserve">داخلة تحت عنوان آخر لا تكون شيئاً وراء إيجاد الطّبيعة؛</w:t>
      </w:r>
    </w:p>
    <w:p>
      <w:pPr>
        <w:pStyle w:val="BookText"/>
      </w:pPr>
      <w:r>
        <w:rPr>
          <w:rFonts w:ascii="IRNazanin" w:hAnsi="IRNazanin" w:eastAsia="IRNazanin" w:cs="IRNazanin"/>
          <w:lang w:bidi="fa-IR"/>
          <w:color w:val="111111"/>
          <w:sz w:val="28"/>
          <w:szCs w:val="28"/>
          <w:rtl/>
        </w:rPr>
        <w:t xml:space="preserve">مدفوعة أوّلاً: بإمکان التزام كون الخصوصيّة داخلة تحت عنوان آخر. فللصلاة حكم ولعنوان الإيقاع في الحمّام حكم آخر ولا يلزم أن يكون بين ذلك العنوان وعنوان المأمور به عموم</w:t>
      </w:r>
      <w:r>
        <w:rPr>
          <w:rStyle w:val="FootnoteReference"/>
        </w:rPr>
        <w:footnoteReference w:id="1156"/>
      </w:r>
      <w:r>
        <w:rPr>
          <w:rFonts w:ascii="IRNazanin" w:hAnsi="IRNazanin" w:eastAsia="IRNazanin" w:cs="IRNazanin"/>
          <w:lang w:bidi="fa-IR"/>
          <w:color w:val="111111"/>
          <w:sz w:val="28"/>
          <w:szCs w:val="28"/>
          <w:rtl/>
        </w:rPr>
        <w:t xml:space="preserve">من وجه.</w:t>
      </w:r>
    </w:p>
    <w:p>
      <w:pPr>
        <w:pStyle w:val="BookText"/>
      </w:pPr>
      <w:r>
        <w:rPr>
          <w:rFonts w:ascii="IRNazanin" w:hAnsi="IRNazanin" w:eastAsia="IRNazanin" w:cs="IRNazanin"/>
          <w:lang w:bidi="fa-IR"/>
          <w:color w:val="111111"/>
          <w:sz w:val="28"/>
          <w:szCs w:val="28"/>
          <w:rtl/>
        </w:rPr>
        <w:t xml:space="preserve">ألا ترى أنّه يمكن كون المحرّم عنوان الغصب حال الصّلاة المتّحد معها ففي المقام أیضاً يمكن أن يكون المكروه عنوان الكون في الحمّام حال الصّلاة المتّحد</w:t>
      </w:r>
      <w:r>
        <w:rPr>
          <w:rStyle w:val="FootnoteReference"/>
        </w:rPr>
        <w:footnoteReference w:id="1157"/>
      </w:r>
      <w:r>
        <w:rPr>
          <w:rFonts w:ascii="Amiri" w:hAnsi="Amiri" w:eastAsia="Amiri" w:cs="Amiri"/>
          <w:lang w:bidi="ar-SA"/>
          <w:color w:val="111111"/>
          <w:sz w:val="28"/>
          <w:szCs w:val="28"/>
          <w:rtl/>
        </w:rPr>
        <w:t xml:space="preserve">معها فيلزم من ذلك نقص في ثوابها.</w:t>
      </w:r>
    </w:p>
    <w:p>
      <w:pPr>
        <w:pStyle w:val="BookText"/>
      </w:pPr>
      <w:r>
        <w:rPr>
          <w:rFonts w:ascii="IRNazanin" w:hAnsi="IRNazanin" w:eastAsia="IRNazanin" w:cs="IRNazanin"/>
          <w:lang w:bidi="fa-IR"/>
          <w:color w:val="111111"/>
          <w:sz w:val="28"/>
          <w:szCs w:val="28"/>
          <w:rtl/>
        </w:rPr>
        <w:t xml:space="preserve">وثانياً: أنّه لا يلزم كونها داخلة في عنوان آخر وليس کلّ خصوصيّة راجعاً إلى إيجاد الفرد بما هو فرد بل قد يكون أمراً وراء أصل الإيجاد كما هو كذلك بالنسبة إلى الإيقاع في الحمّام؛ إذ هذه الخصوصيّة أمر وراء أصل الإيجاد فهي راجعة إلى ضميمة للفرد فيمكن أن تكون</w:t>
      </w:r>
      <w:r>
        <w:rPr>
          <w:rStyle w:val="FootnoteReference"/>
        </w:rPr>
        <w:footnoteReference w:id="1158"/>
      </w:r>
      <w:r>
        <w:rPr>
          <w:rFonts w:ascii="Amiri" w:hAnsi="Amiri" w:eastAsia="Amiri" w:cs="Amiri"/>
          <w:lang w:bidi="ar-SA"/>
          <w:color w:val="111111"/>
          <w:sz w:val="28"/>
          <w:szCs w:val="28"/>
          <w:rtl/>
        </w:rPr>
        <w:t xml:space="preserve">منقّصة لثواب الطبيعة الموجودة.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72" w:name="pg6784_51337"/>
    <w:bookmarkEnd w:id="172"/>
    <w:p>
      <w:pPr>
        <w:pStyle w:val="BookText"/>
      </w:pPr>
      <w:r>
        <w:rPr>
          <w:rFonts w:ascii="IRNazanin" w:hAnsi="IRNazanin" w:eastAsia="IRNazanin" w:cs="IRNazanin"/>
          <w:lang w:bidi="fa-IR"/>
          <w:color w:val="111111"/>
          <w:sz w:val="28"/>
          <w:szCs w:val="28"/>
          <w:rtl/>
        </w:rPr>
        <w:t xml:space="preserve">والحاصل: أنّ النقص لا يأتي من قبل خصوصيّة الفرديّة بل من قبل ضميمة خارجيّة لازمة لها وما أعدّ للطّبيعة يلزم أن يكون بملاحظة أقلّ الأفراد ثواباً بما هو فرد لا بما هو ملازم مع خصوصيّة أخرى أیضاً.</w:t>
      </w:r>
    </w:p>
    <w:p>
      <w:pPr>
        <w:pStyle w:val="BookText"/>
      </w:pPr>
      <w:r>
        <w:rPr>
          <w:rFonts w:ascii="Amiri" w:hAnsi="Amiri" w:eastAsia="Amiri" w:cs="Amiri"/>
          <w:lang w:bidi="ar-SA"/>
          <w:color w:val="111111"/>
          <w:sz w:val="28"/>
          <w:szCs w:val="28"/>
          <w:rtl/>
        </w:rPr>
        <w:t xml:space="preserve">ويمكن أن يجاب عن الإيراد المذكور:</w:t>
      </w:r>
    </w:p>
    <w:p>
      <w:pPr>
        <w:pStyle w:val="BookText"/>
      </w:pPr>
      <w:r>
        <w:rPr>
          <w:rFonts w:ascii="Amiri" w:hAnsi="Amiri" w:eastAsia="Amiri" w:cs="Amiri"/>
          <w:lang w:bidi="ar-SA"/>
          <w:color w:val="111111"/>
          <w:sz w:val="28"/>
          <w:szCs w:val="28"/>
          <w:rtl/>
        </w:rPr>
        <w:t xml:space="preserve">بأنّه إن أريد أنّ اللّازم إطلاق المكروه على کلّ</w:t>
      </w:r>
      <w:r>
        <w:rPr>
          <w:rStyle w:val="FootnoteReference"/>
        </w:rPr>
        <w:footnoteReference w:id="1159"/>
      </w:r>
      <w:r>
        <w:rPr>
          <w:rFonts w:ascii="IRNazanin" w:hAnsi="IRNazanin" w:eastAsia="IRNazanin" w:cs="IRNazanin"/>
          <w:lang w:bidi="fa-IR"/>
          <w:color w:val="111111"/>
          <w:sz w:val="28"/>
          <w:szCs w:val="28"/>
          <w:rtl/>
        </w:rPr>
        <w:t xml:space="preserve">ما كان أقلّ ثواباً بالنّسبة إلى فرد آخر أو عبادة أخرى، ففيه: منع ذلك بل المتبع ما يكون متعلّقاً للنهي في کلامالشارع.</w:t>
      </w:r>
    </w:p>
    <w:p>
      <w:pPr>
        <w:pStyle w:val="BookText"/>
      </w:pPr>
      <w:r>
        <w:rPr>
          <w:rFonts w:ascii="IRNazanin" w:hAnsi="IRNazanin" w:eastAsia="IRNazanin" w:cs="IRNazanin"/>
          <w:lang w:bidi="fa-IR"/>
          <w:color w:val="111111"/>
          <w:sz w:val="28"/>
          <w:szCs w:val="28"/>
          <w:rtl/>
        </w:rPr>
        <w:t xml:space="preserve">وإن أريد أنّ اللّازم على الشّارع النّهي عن کلّ ما كان كذلك، ففيه: أنّه يمكن أن يكون النّهي في نظره مشروطاً بوصول الفعل في المرجوحيّة</w:t>
      </w:r>
      <w:r>
        <w:rPr>
          <w:rStyle w:val="FootnoteReference"/>
        </w:rPr>
        <w:footnoteReference w:id="1160"/>
      </w:r>
      <w:r>
        <w:rPr>
          <w:rFonts w:ascii="Amiri" w:hAnsi="Amiri" w:eastAsia="Amiri" w:cs="Amiri"/>
          <w:lang w:bidi="ar-SA"/>
          <w:color w:val="111111"/>
          <w:sz w:val="28"/>
          <w:szCs w:val="28"/>
          <w:rtl/>
        </w:rPr>
        <w:t xml:space="preserve">إلى حدّ خاصّ يشبه الفعل به ما لا ثواب له فلا يلزم النّهي عن</w:t>
      </w:r>
      <w:r>
        <w:rPr>
          <w:rStyle w:val="FootnoteReference"/>
        </w:rPr>
        <w:footnoteReference w:id="1161"/>
      </w:r>
      <w:r>
        <w:rPr>
          <w:rFonts w:ascii="IRNazanin" w:hAnsi="IRNazanin" w:eastAsia="IRNazanin" w:cs="IRNazanin"/>
          <w:lang w:bidi="fa-IR"/>
          <w:color w:val="111111"/>
          <w:sz w:val="28"/>
          <w:szCs w:val="28"/>
          <w:rtl/>
        </w:rPr>
        <w:t xml:space="preserve">کلّ قليل الثواب بالنسبة إلى غيره.</w:t>
      </w:r>
    </w:p>
    <w:p>
      <w:pPr>
        <w:pStyle w:val="BookText"/>
      </w:pPr>
      <w:r>
        <w:rPr>
          <w:rFonts w:ascii="Amiri" w:hAnsi="Amiri" w:eastAsia="Amiri" w:cs="Amiri"/>
          <w:lang w:bidi="ar-SA"/>
          <w:color w:val="111111"/>
          <w:sz w:val="28"/>
          <w:szCs w:val="28"/>
          <w:rtl/>
        </w:rPr>
        <w:t xml:space="preserve">فما لم ينه عنه الشّارع يكشف عن عدم وصوله إلى ذلك الحدّ.</w:t>
      </w:r>
    </w:p>
    <w:p>
      <w:pPr>
        <w:pStyle w:val="BookText"/>
      </w:pPr>
      <w:r>
        <w:rPr>
          <w:rFonts w:ascii="Amiri" w:hAnsi="Amiri" w:eastAsia="Amiri" w:cs="Amiri"/>
          <w:lang w:bidi="ar-SA"/>
          <w:color w:val="111111"/>
          <w:sz w:val="28"/>
          <w:szCs w:val="28"/>
          <w:rtl/>
        </w:rPr>
        <w:t xml:space="preserve">ودعوى أنّ المعنى المذكور ليس من التوقيفيّات بل المناط فيه مطلق المرجوحيّة بالنسبة إلى الغير ممنوعة. فتدبّر.</w:t>
      </w:r>
    </w:p>
    <w:p>
      <w:pPr>
        <w:pStyle w:val="Heading6"/>
      </w:pPr>
      <w:bookmarkStart w:id="629" w:name="_Toc310"/>
      <w:r>
        <w:t>[الإیراد السادس على ما ذکر في موارد العام والخاص المطلقین]</w:t>
      </w:r>
      <w:bookmarkEnd w:id="629"/>
    </w:p>
    <w:p>
      <w:pPr>
        <w:pStyle w:val="BookText"/>
      </w:pPr>
      <w:r>
        <w:rPr>
          <w:rFonts w:ascii="Amiri" w:hAnsi="Amiri" w:eastAsia="Amiri" w:cs="Amiri"/>
          <w:lang w:bidi="ar-SA"/>
          <w:color w:val="111111"/>
          <w:sz w:val="28"/>
          <w:szCs w:val="28"/>
          <w:rtl/>
        </w:rPr>
        <w:t xml:space="preserve">ومنها: أنّ استعمال النواهي في الإرشاد إلى قلّة الثواب ممّا لا سبيل إليه؛ لأنّه استعمال لما يدلّ على الطلب في المعنى الخبري وهو غير جائز أو تعسّف كما قاله في القوانين.</w:t>
      </w:r>
      <w:r>
        <w:rPr>
          <w:rStyle w:val="FootnoteReference"/>
        </w:rPr>
        <w:footnoteReference w:id="1162"/>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73" w:name="pg6784_51338"/>
    <w:bookmarkEnd w:id="173"/>
    <w:p>
      <w:pPr>
        <w:pStyle w:val="Heading6"/>
      </w:pPr>
      <w:bookmarkStart w:id="630" w:name="_Toc311"/>
      <w:r>
        <w:t>[نقد الإیراد السادس]</w:t>
      </w:r>
      <w:bookmarkEnd w:id="630"/>
    </w:p>
    <w:p>
      <w:pPr>
        <w:pStyle w:val="BookText"/>
      </w:pPr>
      <w:r>
        <w:rPr>
          <w:rFonts w:ascii="Amiri" w:hAnsi="Amiri" w:eastAsia="Amiri" w:cs="Amiri"/>
          <w:lang w:bidi="ar-SA"/>
          <w:color w:val="111111"/>
          <w:sz w:val="28"/>
          <w:szCs w:val="28"/>
          <w:rtl/>
        </w:rPr>
        <w:t xml:space="preserve">وفيه: أنّه ليس المراد من النّهي قلّة الثواب بل الطلب الإرشادي وهو من معاني الأمر والنّهي، والذي يوجب التعسّف هو إرادة الإرشاد المجرّد عن الطّلب.</w:t>
      </w:r>
    </w:p>
    <w:p>
      <w:pPr>
        <w:pStyle w:val="BookText"/>
      </w:pPr>
      <w:r>
        <w:rPr>
          <w:rFonts w:ascii="Amiri" w:hAnsi="Amiri" w:eastAsia="Amiri" w:cs="Amiri"/>
          <w:lang w:bidi="ar-SA"/>
          <w:color w:val="111111"/>
          <w:sz w:val="28"/>
          <w:szCs w:val="28"/>
          <w:rtl/>
        </w:rPr>
        <w:t xml:space="preserve">ودعوى أنّه إذا كان مستعملاً في الطلب يعود المحذور من لزوم اجتماع الطّلبين؛</w:t>
      </w:r>
    </w:p>
    <w:p>
      <w:pPr>
        <w:pStyle w:val="BookText"/>
      </w:pPr>
      <w:r>
        <w:rPr>
          <w:rFonts w:ascii="Amiri" w:hAnsi="Amiri" w:eastAsia="Amiri" w:cs="Amiri"/>
          <w:lang w:bidi="ar-SA"/>
          <w:color w:val="111111"/>
          <w:sz w:val="28"/>
          <w:szCs w:val="28"/>
          <w:rtl/>
        </w:rPr>
        <w:t xml:space="preserve">مدفوعة بأنّ الممنوع هو اجتماع الطّلبين الحقيقيين لا الإرشاديين ولا المختلفين، وذلك لأنّ الطّلب الإرشادي طلب صوري مجازي، وفي اللبّ المراد به الإرشاد كما في أمر</w:t>
      </w:r>
      <w:r>
        <w:rPr>
          <w:rStyle w:val="FootnoteReference"/>
        </w:rPr>
        <w:footnoteReference w:id="1163"/>
      </w:r>
      <w:r>
        <w:rPr>
          <w:rFonts w:ascii="IRNazanin" w:hAnsi="IRNazanin" w:eastAsia="IRNazanin" w:cs="IRNazanin"/>
          <w:lang w:bidi="fa-IR"/>
          <w:color w:val="111111"/>
          <w:sz w:val="28"/>
          <w:szCs w:val="28"/>
          <w:rtl/>
        </w:rPr>
        <w:t xml:space="preserve">الطّبيب فإنّه وإن کان طلباً في الصّورة إلّا أنّه في المعنى إخبار عن النافع والضّار فيمكن أن يأمر من حيث إنّه طبيب بشرب الدّواء الفلاني وينهى عنهمن حيث إنّه مولى لعبده ولا منافاة</w:t>
      </w:r>
      <w:r>
        <w:rPr>
          <w:rStyle w:val="FootnoteReference"/>
        </w:rPr>
        <w:footnoteReference w:id="1164"/>
      </w:r>
      <w:r>
        <w:rPr>
          <w:rFonts w:ascii="Amiri" w:hAnsi="Amiri" w:eastAsia="Amiri" w:cs="Amiri"/>
          <w:lang w:bidi="ar-SA"/>
          <w:color w:val="111111"/>
          <w:sz w:val="28"/>
          <w:szCs w:val="28"/>
          <w:rtl/>
        </w:rPr>
        <w:t xml:space="preserve">كما لا منافاة</w:t>
      </w:r>
      <w:r>
        <w:rPr>
          <w:rStyle w:val="FootnoteReference"/>
        </w:rPr>
        <w:footnoteReference w:id="1165"/>
      </w:r>
      <w:r>
        <w:rPr>
          <w:rFonts w:ascii="IRNazanin" w:hAnsi="IRNazanin" w:eastAsia="IRNazanin" w:cs="IRNazanin"/>
          <w:lang w:bidi="fa-IR"/>
          <w:color w:val="111111"/>
          <w:sz w:val="28"/>
          <w:szCs w:val="28"/>
          <w:rtl/>
        </w:rPr>
        <w:t xml:space="preserve">إذا</w:t>
      </w:r>
      <w:r>
        <w:rPr>
          <w:rStyle w:val="FootnoteReference"/>
        </w:rPr>
        <w:footnoteReference w:id="1166"/>
      </w:r>
      <w:r>
        <w:rPr>
          <w:rFonts w:ascii="Amiri" w:hAnsi="Amiri" w:eastAsia="Amiri" w:cs="Amiri"/>
          <w:lang w:bidi="ar-SA"/>
          <w:color w:val="111111"/>
          <w:sz w:val="28"/>
          <w:szCs w:val="28"/>
          <w:rtl/>
        </w:rPr>
        <w:t xml:space="preserve">أخبر بالمصلحة والمفسدة من غير أمر، ثم نهى عن الفعل أو أَمَرَ به.</w:t>
      </w:r>
    </w:p>
    <w:p>
      <w:pPr>
        <w:pStyle w:val="BookText"/>
      </w:pPr>
      <w:r>
        <w:rPr>
          <w:rFonts w:ascii="Amiri" w:hAnsi="Amiri" w:eastAsia="Amiri" w:cs="Amiri"/>
          <w:lang w:bidi="ar-SA"/>
          <w:color w:val="111111"/>
          <w:sz w:val="28"/>
          <w:szCs w:val="28"/>
          <w:rtl/>
        </w:rPr>
        <w:t xml:space="preserve">وبالجملة الغرض من الطلب الإرشادي إراءة المصلحة وبذل المنصحة فهو من قبيل الكنايات في أنّ المراد من اللّفظ غير المراد الواقعي والغرض العبور من معنى إلى آخر ولذا لا منافاة</w:t>
      </w:r>
      <w:r>
        <w:rPr>
          <w:rStyle w:val="FootnoteReference"/>
        </w:rPr>
        <w:footnoteReference w:id="1167"/>
      </w:r>
      <w:r>
        <w:rPr>
          <w:rFonts w:ascii="Amiri" w:hAnsi="Amiri" w:eastAsia="Amiri" w:cs="Amiri"/>
          <w:lang w:bidi="ar-SA"/>
          <w:color w:val="111111"/>
          <w:sz w:val="28"/>
          <w:szCs w:val="28"/>
          <w:rtl/>
        </w:rPr>
        <w:t xml:space="preserve">بين أن يقول: «زيد طويل النجاد</w:t>
      </w:r>
      <w:r>
        <w:rPr>
          <w:rStyle w:val="FootnoteReference"/>
        </w:rPr>
        <w:footnoteReference w:id="1168"/>
      </w:r>
      <w:r>
        <w:rPr>
          <w:rFonts w:ascii="Amiri" w:hAnsi="Amiri" w:eastAsia="Amiri" w:cs="Amiri"/>
          <w:lang w:bidi="ar-SA"/>
          <w:color w:val="111111"/>
          <w:sz w:val="28"/>
          <w:szCs w:val="28"/>
          <w:rtl/>
        </w:rPr>
        <w:t xml:space="preserve">» مع قوله: «لا سيف لزيد أصلاً».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4" w:name="pg6784_51339"/>
    <w:bookmarkEnd w:id="174"/>
    <w:p>
      <w:pPr>
        <w:pStyle w:val="Heading6"/>
      </w:pPr>
      <w:bookmarkStart w:id="631" w:name="_Toc312"/>
      <w:r>
        <w:t>[نقد الإیراد السادس من صاحب الفصول (رحمة الله‌علیه)]</w:t>
      </w:r>
      <w:bookmarkEnd w:id="631"/>
    </w:p>
    <w:p>
      <w:pPr>
        <w:pStyle w:val="BookText"/>
      </w:pPr>
      <w:r>
        <w:rPr>
          <w:rFonts w:ascii="IRNazanin" w:hAnsi="IRNazanin" w:eastAsia="IRNazanin" w:cs="IRNazanin"/>
          <w:lang w:bidi="fa-IR"/>
          <w:color w:val="111111"/>
          <w:sz w:val="28"/>
          <w:szCs w:val="28"/>
          <w:rtl/>
        </w:rPr>
        <w:t xml:space="preserve">هذا وأجاب في الفصول عن الإشکال:</w:t>
      </w:r>
    </w:p>
    <w:p>
      <w:pPr>
        <w:pStyle w:val="BookText"/>
      </w:pPr>
      <w:r>
        <w:rPr>
          <w:rFonts w:ascii="Amiri" w:hAnsi="Amiri" w:eastAsia="Amiri" w:cs="Amiri"/>
          <w:lang w:bidi="ar-SA"/>
          <w:color w:val="111111"/>
          <w:sz w:val="28"/>
          <w:szCs w:val="28"/>
          <w:rtl/>
        </w:rPr>
        <w:t xml:space="preserve">أوّلاً: بالتزام إرادة الإرشاد المجرّد عن الطّلب قال: والتّعسف اللّازم منه ليس إلّا المخالفة للظاهر وهو ممّا يجب ارتكابه عند قيام الحجّة عليه.</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وثانياً: بإمکان إرادة طلب التّرك الغيري وهولا ينافي الرّجحان النّفسي وحيث استشعر أنّ الطلب الغيري للترك أیضاً ينافي</w:t>
      </w:r>
      <w:r>
        <w:rPr>
          <w:rStyle w:val="FootnoteReference"/>
        </w:rPr>
        <w:footnoteReference w:id="1170"/>
      </w:r>
      <w:r>
        <w:rPr>
          <w:rFonts w:ascii="IRNazanin" w:hAnsi="IRNazanin" w:eastAsia="IRNazanin" w:cs="IRNazanin"/>
          <w:lang w:bidi="fa-IR"/>
          <w:color w:val="111111"/>
          <w:sz w:val="28"/>
          <w:szCs w:val="28"/>
          <w:rtl/>
        </w:rPr>
        <w:t xml:space="preserve">مطلوبیّة الفعل</w:t>
      </w:r>
      <w:r>
        <w:rPr>
          <w:rStyle w:val="FootnoteReference"/>
        </w:rPr>
        <w:footnoteReference w:id="1171"/>
      </w:r>
      <w:r>
        <w:rPr>
          <w:rFonts w:ascii="IRNazanin" w:hAnsi="IRNazanin" w:eastAsia="IRNazanin" w:cs="IRNazanin"/>
          <w:lang w:bidi="fa-IR"/>
          <w:color w:val="111111"/>
          <w:sz w:val="28"/>
          <w:szCs w:val="28"/>
          <w:rtl/>
        </w:rPr>
        <w:t xml:space="preserve">لعدم جواز اجتماع الطّلبين مطلقاً دفع الإشکال بما هو مختاره من أنّ مطلوبیّة المقدّمة إنّما هي على تقدير الإيصال إلى ذيها فلا يلزم توارد الطّلبين على محلّ واحد؛ لأنّ مطلوبیّة الفعل على تقدير عدم التوصل بالترك ومطلوبیّة الترك على تقدير التوصّل به، ففي المقام يكون فعل الصّلاة في الحمّام مطلوباً ويكون تركها أیضاً مطلوباً على تقدير التوصّل به إلى الصلاة في البيت أو المسجد والمراد من النّهي هو طلب الترك للتوصّل إلى الأكمل.</w:t>
      </w:r>
      <w:r>
        <w:rPr>
          <w:rStyle w:val="FootnoteReference"/>
        </w:rPr>
        <w:footnoteReference w:id="1172"/>
      </w:r>
    </w:p>
    <w:p>
      <w:pPr>
        <w:pStyle w:val="Heading6"/>
      </w:pPr>
      <w:bookmarkStart w:id="632" w:name="_Toc313"/>
      <w:r>
        <w:t>[في نقد صاحب الفصول (رحمة الله‌علیه)]</w:t>
      </w:r>
      <w:bookmarkEnd w:id="632"/>
    </w:p>
    <w:p>
      <w:pPr>
        <w:pStyle w:val="BookText"/>
      </w:pPr>
      <w:r>
        <w:rPr>
          <w:rFonts w:ascii="Amiri" w:hAnsi="Amiri" w:eastAsia="Amiri" w:cs="Amiri"/>
          <w:lang w:bidi="ar-SA"/>
          <w:color w:val="111111"/>
          <w:sz w:val="28"/>
          <w:szCs w:val="28"/>
          <w:rtl/>
        </w:rPr>
        <w:t xml:space="preserve">وفيه: أنّ ما ذكره أوّلاً من إرادة الإرشاد المجرّد عن الطّلب وأنّه ليس إلّا خلاف الظّاهر ممنوع؛ إذ استعمال الإنشاء في الإخبار ممّا لم يعهد</w:t>
      </w:r>
      <w:r>
        <w:rPr>
          <w:rStyle w:val="FootnoteReference"/>
        </w:rPr>
        <w:footnoteReference w:id="1173"/>
      </w:r>
      <w:r>
        <w:rPr>
          <w:rFonts w:ascii="IRNazanin" w:hAnsi="IRNazanin" w:eastAsia="IRNazanin" w:cs="IRNazanin"/>
          <w:lang w:bidi="fa-IR"/>
          <w:color w:val="111111"/>
          <w:sz w:val="28"/>
          <w:szCs w:val="28"/>
          <w:rtl/>
        </w:rPr>
        <w:t xml:space="preserve">منهم فلا يجوز وإن کان العكس</w:t>
      </w:r>
      <w:r>
        <w:rPr>
          <w:rStyle w:val="FootnoteReference"/>
        </w:rPr>
        <w:footnoteReference w:id="1174"/>
      </w:r>
      <w:r>
        <w:rPr>
          <w:rFonts w:ascii="Amiri" w:hAnsi="Amiri" w:eastAsia="Amiri" w:cs="Amiri"/>
          <w:lang w:bidi="ar-SA"/>
          <w:color w:val="111111"/>
          <w:sz w:val="28"/>
          <w:szCs w:val="28"/>
          <w:rtl/>
        </w:rPr>
        <w:t xml:space="preserve">موجوداً. مع أنّه لا يمكن ارتكاب مثله في هذه النّواهي الكثيرة.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5" w:name="pg6784_51340"/>
    <w:bookmarkEnd w:id="175"/>
    <w:p>
      <w:pPr>
        <w:pStyle w:val="Heading6"/>
      </w:pPr>
      <w:bookmarkStart w:id="633" w:name="_Toc314"/>
      <w:r>
        <w:t>[إیرادات على الطلب الغیري]</w:t>
      </w:r>
      <w:bookmarkEnd w:id="633"/>
    </w:p>
    <w:p>
      <w:pPr>
        <w:pStyle w:val="Heading6"/>
      </w:pPr>
      <w:bookmarkStart w:id="634" w:name="_Toc315"/>
      <w:r>
        <w:t>اشارة</w:t>
      </w:r>
      <w:bookmarkEnd w:id="634"/>
    </w:p>
    <w:p>
      <w:pPr>
        <w:pStyle w:val="BookText"/>
      </w:pPr>
      <w:r>
        <w:rPr>
          <w:rFonts w:ascii="Amiri" w:hAnsi="Amiri" w:eastAsia="Amiri" w:cs="Amiri"/>
          <w:lang w:bidi="ar-SA"/>
          <w:color w:val="111111"/>
          <w:sz w:val="28"/>
          <w:szCs w:val="28"/>
          <w:rtl/>
        </w:rPr>
        <w:t xml:space="preserve">وما ذكره ثانياً من الطّلب الغيري يرد عليه:</w:t>
      </w:r>
    </w:p>
    <w:p>
      <w:pPr>
        <w:pStyle w:val="Heading6"/>
      </w:pPr>
      <w:bookmarkStart w:id="635" w:name="_Toc316"/>
      <w:r>
        <w:t>[الإیراد الأوّل على الطلب الغیري]</w:t>
      </w:r>
      <w:bookmarkEnd w:id="635"/>
    </w:p>
    <w:p>
      <w:pPr>
        <w:pStyle w:val="BookText"/>
      </w:pPr>
      <w:r>
        <w:rPr>
          <w:rFonts w:ascii="IRNazanin" w:hAnsi="IRNazanin" w:eastAsia="IRNazanin" w:cs="IRNazanin"/>
          <w:lang w:bidi="fa-IR"/>
          <w:color w:val="111111"/>
          <w:sz w:val="28"/>
          <w:szCs w:val="28"/>
          <w:rtl/>
        </w:rPr>
        <w:t xml:space="preserve">أوّلاً: أنّه ليس راجعاً إلى هذا التوجيه من إرادة قلّة الثواب بل هو توجيه آخر سيأتي كما اعترف به هو أیضاً وكأنّه لم يلتفت إلى ما ذكرنا من الطّلب الإرشادي حيث لم يذكره مع أنّه لا غبار عليه أصلاً؛ إذ هو طلب نفسي إرشادي وليس الطلب الإرشادي منحصراً في الغيري بل نحو الإرشاد في النفسي غير نحوه في الغيري</w:t>
      </w:r>
      <w:r>
        <w:rPr>
          <w:rStyle w:val="FootnoteReference"/>
        </w:rPr>
        <w:footnoteReference w:id="1175"/>
      </w:r>
      <w:r>
        <w:rPr>
          <w:rFonts w:ascii="Amiri" w:hAnsi="Amiri" w:eastAsia="Amiri" w:cs="Amiri"/>
          <w:lang w:bidi="ar-SA"/>
          <w:color w:val="111111"/>
          <w:sz w:val="28"/>
          <w:szCs w:val="28"/>
          <w:rtl/>
        </w:rPr>
        <w:t xml:space="preserve">إذ الطّلب الغيري المذكور مولوي إرشادي لا إرشادي صرف بأن يكون الطّلب صورياً.</w:t>
      </w:r>
    </w:p>
    <w:p>
      <w:pPr>
        <w:pStyle w:val="BookText"/>
      </w:pPr>
      <w:r>
        <w:rPr>
          <w:rFonts w:ascii="IRNazanin" w:hAnsi="IRNazanin" w:eastAsia="IRNazanin" w:cs="IRNazanin"/>
          <w:lang w:bidi="fa-IR"/>
          <w:color w:val="111111"/>
          <w:sz w:val="28"/>
          <w:szCs w:val="28"/>
          <w:rtl/>
        </w:rPr>
        <w:t xml:space="preserve">وبالجملة هذا التوجيه غير ما بأيدينا من إرادة قلّة الثواب والمفروض أنّ الغرض دفع الإشکال عنه.</w:t>
      </w:r>
    </w:p>
    <w:p>
      <w:pPr>
        <w:pStyle w:val="BookText"/>
      </w:pPr>
      <w:r>
        <w:rPr>
          <w:rFonts w:ascii="IRNazanin" w:hAnsi="IRNazanin" w:eastAsia="IRNazanin" w:cs="IRNazanin"/>
          <w:lang w:bidi="fa-IR"/>
          <w:color w:val="111111"/>
          <w:sz w:val="28"/>
          <w:szCs w:val="28"/>
          <w:rtl/>
        </w:rPr>
        <w:t xml:space="preserve">ومن ذلك يظهر ما في کلام بعض المحقّقين في حاشيته حيث إنّه في مقام هذا التوجيه قد يظهر منه</w:t>
      </w:r>
      <w:r>
        <w:rPr>
          <w:rStyle w:val="FootnoteReference"/>
        </w:rPr>
        <w:footnoteReference w:id="1176"/>
      </w:r>
      <w:r>
        <w:rPr>
          <w:rFonts w:ascii="IRNazanin" w:hAnsi="IRNazanin" w:eastAsia="IRNazanin" w:cs="IRNazanin"/>
          <w:lang w:bidi="fa-IR"/>
          <w:color w:val="111111"/>
          <w:sz w:val="28"/>
          <w:szCs w:val="28"/>
          <w:rtl/>
        </w:rPr>
        <w:t xml:space="preserve">أنّ المراد مجرّد الإرشاد من دون الطّلب</w:t>
      </w:r>
      <w:r>
        <w:rPr>
          <w:rStyle w:val="FootnoteReference"/>
        </w:rPr>
        <w:footnoteReference w:id="1177"/>
      </w:r>
      <w:r>
        <w:rPr>
          <w:rFonts w:ascii="Amiri" w:hAnsi="Amiri" w:eastAsia="Amiri" w:cs="Amiri"/>
          <w:lang w:bidi="ar-SA"/>
          <w:color w:val="111111"/>
          <w:sz w:val="28"/>
          <w:szCs w:val="28"/>
          <w:rtl/>
        </w:rPr>
        <w:t xml:space="preserve">وقد يظهر منه أنّ المراد الطّلب الغيري وأنّ النهي لطلب الترك للوصلة إلى ما لا حزازة فيه،</w:t>
      </w:r>
      <w:r>
        <w:rPr>
          <w:rStyle w:val="FootnoteReference"/>
        </w:rPr>
        <w:footnoteReference w:id="1178"/>
      </w:r>
      <w:r>
        <w:rPr>
          <w:rFonts w:ascii="IRNazanin" w:hAnsi="IRNazanin" w:eastAsia="IRNazanin" w:cs="IRNazanin"/>
          <w:lang w:bidi="fa-IR"/>
          <w:color w:val="111111"/>
          <w:sz w:val="28"/>
          <w:szCs w:val="28"/>
          <w:rtl/>
        </w:rPr>
        <w:t xml:space="preserve">مع أنّه لادخل لأحدهما بالآخر، وکلّ منهما توجيه مستقلّ. فراجع کلامه.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76" w:name="pg6784_51341"/>
    <w:bookmarkEnd w:id="176"/>
    <w:p>
      <w:pPr>
        <w:pStyle w:val="Heading6"/>
      </w:pPr>
      <w:bookmarkStart w:id="636" w:name="_Toc317"/>
      <w:r>
        <w:t>[الإیراد الثاني على الطلب الغیري]</w:t>
      </w:r>
      <w:bookmarkEnd w:id="636"/>
    </w:p>
    <w:p>
      <w:pPr>
        <w:pStyle w:val="BookText"/>
      </w:pPr>
      <w:r>
        <w:rPr>
          <w:rFonts w:ascii="IRNazanin" w:hAnsi="IRNazanin" w:eastAsia="IRNazanin" w:cs="IRNazanin"/>
          <w:lang w:bidi="fa-IR"/>
          <w:color w:val="111111"/>
          <w:sz w:val="28"/>
          <w:szCs w:val="28"/>
          <w:rtl/>
        </w:rPr>
        <w:t xml:space="preserve">وثانياً: أنّ ما ذكره من اندفاع إشکال اجتماع الطّلبين بتخصيص المقدّمة بالموصلة ممنوع. فإنّا وإن ساعدناه في المبنى وأنّ المطلوب من المقدّمة هي الموصلة إلّا أنّا لا نساعده على دفع الإشکال المذكور.</w:t>
      </w:r>
    </w:p>
    <w:p>
      <w:pPr>
        <w:pStyle w:val="BookText"/>
      </w:pPr>
      <w:r>
        <w:rPr>
          <w:rFonts w:ascii="Amiri" w:hAnsi="Amiri" w:eastAsia="Amiri" w:cs="Amiri"/>
          <w:lang w:bidi="ar-SA"/>
          <w:color w:val="111111"/>
          <w:sz w:val="28"/>
          <w:szCs w:val="28"/>
          <w:rtl/>
        </w:rPr>
        <w:t xml:space="preserve">وذلك لأنّ الطّلب الغيري كما عرفت غير الإرشادي الّذي ذكرنا؛ إذ هو مولوي إرشادي</w:t>
      </w:r>
      <w:r>
        <w:rPr>
          <w:rStyle w:val="FootnoteReference"/>
        </w:rPr>
        <w:footnoteReference w:id="1179"/>
      </w:r>
      <w:r>
        <w:rPr>
          <w:rFonts w:ascii="IRNazanin" w:hAnsi="IRNazanin" w:eastAsia="IRNazanin" w:cs="IRNazanin"/>
          <w:lang w:bidi="fa-IR"/>
          <w:color w:val="111111"/>
          <w:sz w:val="28"/>
          <w:szCs w:val="28"/>
          <w:rtl/>
        </w:rPr>
        <w:t xml:space="preserve">بمعنى أنّ طلب التّرك فيه حقیقي لا صوري إلّا أنّه ليس المطلوب في الحقيقة إلّا الإيصال إلى الغير وإذا كان الترك الموصل مطلوباً فلا يمكن كون الفعل أیضاً مطلوباً بناءً على عدم جواز الاجتماع.</w:t>
      </w:r>
    </w:p>
    <w:p>
      <w:pPr>
        <w:pStyle w:val="BookText"/>
      </w:pPr>
      <w:r>
        <w:rPr>
          <w:rFonts w:ascii="IRNazanin" w:hAnsi="IRNazanin" w:eastAsia="IRNazanin" w:cs="IRNazanin"/>
          <w:lang w:bidi="fa-IR"/>
          <w:color w:val="111111"/>
          <w:sz w:val="28"/>
          <w:szCs w:val="28"/>
          <w:rtl/>
        </w:rPr>
        <w:t xml:space="preserve">والتخصيص بالموصلة إنّما هو في مقام الامتثال لا في مقام الطّلب بمعنى أنّ الطّلب لا يسقط عن المکلّف في حال من الأحوال.</w:t>
      </w:r>
    </w:p>
    <w:p>
      <w:pPr>
        <w:pStyle w:val="BookText"/>
      </w:pPr>
      <w:r>
        <w:rPr>
          <w:rFonts w:ascii="IRNazanin" w:hAnsi="IRNazanin" w:eastAsia="IRNazanin" w:cs="IRNazanin"/>
          <w:lang w:bidi="fa-IR"/>
          <w:color w:val="111111"/>
          <w:sz w:val="28"/>
          <w:szCs w:val="28"/>
          <w:rtl/>
        </w:rPr>
        <w:t xml:space="preserve">غاية الأمر أنّه لو أتى بالمقدّمة من دون إيصال لم يأت بما هو مطلوب المولى وإلّا فطلب الترك موجود على التقديرين ومعه يبقى الإشکال.</w:t>
      </w:r>
    </w:p>
    <w:p>
      <w:pPr>
        <w:pStyle w:val="BookText"/>
      </w:pPr>
      <w:r>
        <w:rPr>
          <w:rFonts w:ascii="Amiri" w:hAnsi="Amiri" w:eastAsia="Amiri" w:cs="Amiri"/>
          <w:lang w:bidi="ar-SA"/>
          <w:color w:val="111111"/>
          <w:sz w:val="28"/>
          <w:szCs w:val="28"/>
          <w:rtl/>
        </w:rPr>
        <w:t xml:space="preserve">نعم لو قلنا إنّ المطلوب من المقدّمة إنّما هي الموصلة بمعنى أنّه لو كان لا يأتي في الواقع بذي المقدّمة لا تكون المقدّمة مطلوبة ولازمه عدم العقاب على تركها وإن قلنا بصحّة العقاب على ترك الواجبات الغيرية من حيث هي كما يظهر من صاحب المعالم</w:t>
      </w:r>
      <w:r>
        <w:rPr>
          <w:rStyle w:val="FootnoteReference"/>
        </w:rPr>
        <w:footnoteReference w:id="1180"/>
      </w:r>
      <w:r>
        <w:rPr>
          <w:rFonts w:ascii="IRNazanin" w:hAnsi="IRNazanin" w:eastAsia="IRNazanin" w:cs="IRNazanin"/>
          <w:lang w:bidi="fa-IR"/>
          <w:color w:val="111111"/>
          <w:sz w:val="28"/>
          <w:szCs w:val="28"/>
          <w:rtl/>
        </w:rPr>
        <w:t xml:space="preserve">حيث خصّ وجوب المقدّمة بما إذا كان مريداً لإتیان ذيها يندفع الإشکال.</w:t>
      </w:r>
    </w:p>
    <w:p>
      <w:pPr>
        <w:pStyle w:val="BookText"/>
      </w:pPr>
      <w:r>
        <w:rPr>
          <w:rFonts w:ascii="Amiri" w:hAnsi="Amiri" w:eastAsia="Amiri" w:cs="Amiri"/>
          <w:lang w:bidi="ar-SA"/>
          <w:color w:val="111111"/>
          <w:sz w:val="28"/>
          <w:szCs w:val="28"/>
          <w:rtl/>
        </w:rPr>
        <w:t xml:space="preserve">إلّا أنّه مع كونه فاسداً في نفسه لا يقول به صاحب الفصول حيث إنّه صرّح في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المقدّمة أنّ المراد من كون المطلوب هي الموصلة أنّ غيرها لا يكون كافياً في مقام الامتثال ولا یتّصف بالمطلوبیّة في الخارج لا أنّ الطّلب من المولى لا يتعلّق إلّا بماكان موصلاً</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فهو نظير كون الصّلاة مطلوبة في جميع الأحوال والأزمان إلّا أنّها لا تتّصف بالصحّة في الخارج إلّا مع إتیانها بجميع الشرائط والأجزاء فلو لم يأت ببعض الشرائط فقد عصى وترك المطلوب وهذا واضح جدّاً.</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ولذا</w:t>
      </w:r>
      <w:r>
        <w:rPr>
          <w:rStyle w:val="FootnoteReference"/>
        </w:rPr>
        <w:footnoteReference w:id="1184"/>
      </w:r>
      <w:r>
        <w:rPr>
          <w:rFonts w:ascii="Amiri" w:hAnsi="Amiri" w:eastAsia="Amiri" w:cs="Amiri"/>
          <w:lang w:bidi="ar-SA"/>
          <w:color w:val="111111"/>
          <w:sz w:val="28"/>
          <w:szCs w:val="28"/>
          <w:rtl/>
        </w:rPr>
        <w:t xml:space="preserve">قلنا: إنّ ما فرّعه على المقدّمة الموصلة من عدم كون النهي المستفاد من الأمر بالشي‌ء موجباً للفساد في غير محلّه.</w:t>
      </w:r>
      <w:r>
        <w:rPr>
          <w:rStyle w:val="FootnoteReference"/>
        </w:rPr>
        <w:footnoteReference w:id="1185"/>
      </w:r>
      <w:r>
        <w:rPr>
          <w:rFonts w:ascii="Amiri" w:hAnsi="Amiri" w:eastAsia="Amiri" w:cs="Amiri"/>
          <w:lang w:bidi="ar-SA"/>
          <w:color w:val="111111"/>
          <w:sz w:val="28"/>
          <w:szCs w:val="28"/>
          <w:rtl/>
        </w:rPr>
        <w:t xml:space="preserve">فتدبّر.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77" w:name="pg6784_51343"/>
    <w:bookmarkEnd w:id="177"/>
    <w:p>
      <w:pPr>
        <w:pStyle w:val="Heading6"/>
      </w:pPr>
      <w:bookmarkStart w:id="637" w:name="_Toc318"/>
      <w:r>
        <w:t>[الإیراد الثالث على الطلب الغیري]</w:t>
      </w:r>
      <w:bookmarkEnd w:id="637"/>
    </w:p>
    <w:p>
      <w:pPr>
        <w:pStyle w:val="BookText"/>
      </w:pPr>
      <w:r>
        <w:rPr>
          <w:rFonts w:ascii="IRNazanin" w:hAnsi="IRNazanin" w:eastAsia="IRNazanin" w:cs="IRNazanin"/>
          <w:lang w:bidi="fa-IR"/>
          <w:color w:val="111111"/>
          <w:sz w:val="28"/>
          <w:szCs w:val="28"/>
          <w:rtl/>
        </w:rPr>
        <w:t xml:space="preserve">وثالثاً: بناء على كون المراد من النّهي الطّلب الغيري المتوصل به إلى إتیان الأكمل يلزم الحكم بكراهة کلّ ناقص كان تركه مقدّمة للكامل.</w:t>
      </w:r>
    </w:p>
    <w:p>
      <w:pPr>
        <w:pStyle w:val="BookText"/>
      </w:pPr>
      <w:r>
        <w:rPr>
          <w:rFonts w:ascii="IRNazanin" w:hAnsi="IRNazanin" w:eastAsia="IRNazanin" w:cs="IRNazanin"/>
          <w:lang w:bidi="fa-IR"/>
          <w:color w:val="111111"/>
          <w:sz w:val="28"/>
          <w:szCs w:val="28"/>
          <w:rtl/>
        </w:rPr>
        <w:t xml:space="preserve">ولا يمكن الجواب بما أجبنا سابقاً من إرادة ما أعدّ للطبيعة إذ الطلب الغيري إنّما هو بحكم العقل ولا يتفاوت فيه الحال بين الأفراد بل وغيرها أیضاً إذا أمكن الترك للوصلة إليه.</w:t>
      </w:r>
    </w:p>
    <w:p>
      <w:pPr>
        <w:pStyle w:val="BookText"/>
      </w:pPr>
      <w:r>
        <w:rPr>
          <w:rFonts w:ascii="IRNazanin" w:hAnsi="IRNazanin" w:eastAsia="IRNazanin" w:cs="IRNazanin"/>
          <w:lang w:bidi="fa-IR"/>
          <w:color w:val="111111"/>
          <w:sz w:val="28"/>
          <w:szCs w:val="28"/>
          <w:rtl/>
        </w:rPr>
        <w:t xml:space="preserve">نعم لو قلنا بعدم وجوب المقدّمة وأنّ الطلب الغيري في المقام شرعي صرف أمكن التخصيص بما خصّه الشارع، إلّا أن يقال: على التقدير الأوّل أیضاً يمكن أنيجعل الكراهة اصطلاحاً خاصّاً وإن کان المناط عامّاً.</w:t>
      </w:r>
    </w:p>
    <w:p>
      <w:pPr>
        <w:pStyle w:val="Heading6"/>
      </w:pPr>
      <w:bookmarkStart w:id="638" w:name="_Toc319"/>
      <w:r>
        <w:t>[إیرادات أخر على الطلب الغیري وأجوبتها]</w:t>
      </w:r>
      <w:bookmarkEnd w:id="638"/>
    </w:p>
    <w:p>
      <w:pPr>
        <w:pStyle w:val="Heading6"/>
      </w:pPr>
      <w:bookmarkStart w:id="639" w:name="_Toc320"/>
      <w:r>
        <w:t>[الإیراد الأوّل والجواب عنه]</w:t>
      </w:r>
      <w:bookmarkEnd w:id="639"/>
    </w:p>
    <w:p>
      <w:pPr>
        <w:pStyle w:val="BookText"/>
      </w:pPr>
      <w:r>
        <w:rPr>
          <w:rFonts w:ascii="Amiri" w:hAnsi="Amiri" w:eastAsia="Amiri" w:cs="Amiri"/>
          <w:lang w:bidi="ar-SA"/>
          <w:color w:val="111111"/>
          <w:sz w:val="28"/>
          <w:szCs w:val="28"/>
          <w:rtl/>
        </w:rPr>
        <w:t xml:space="preserve">هذا وربما يورد عليه تارة بفساد المبنى من المقدّمة الموصلة.</w:t>
      </w:r>
      <w:r>
        <w:rPr>
          <w:rStyle w:val="FootnoteReference"/>
        </w:rPr>
        <w:footnoteReference w:id="1186"/>
      </w:r>
    </w:p>
    <w:p>
      <w:pPr>
        <w:pStyle w:val="BookText"/>
      </w:pPr>
      <w:r>
        <w:rPr>
          <w:rFonts w:ascii="Amiri" w:hAnsi="Amiri" w:eastAsia="Amiri" w:cs="Amiri"/>
          <w:lang w:bidi="ar-SA"/>
          <w:color w:val="111111"/>
          <w:sz w:val="28"/>
          <w:szCs w:val="28"/>
          <w:rtl/>
        </w:rPr>
        <w:t xml:space="preserve">وفيه: أن الحقّ صحّته على ما بيّن في محلّه إلّا أنّه لا ينتج في المقام كما عرفت.</w:t>
      </w:r>
    </w:p>
    <w:p>
      <w:pPr>
        <w:pStyle w:val="Heading6"/>
      </w:pPr>
      <w:bookmarkStart w:id="640" w:name="_Toc321"/>
      <w:r>
        <w:t>[الإیراد الثاني والجواب عنه]</w:t>
      </w:r>
      <w:bookmarkEnd w:id="640"/>
    </w:p>
    <w:p>
      <w:pPr>
        <w:pStyle w:val="BookText"/>
      </w:pPr>
      <w:r>
        <w:rPr>
          <w:rFonts w:ascii="Amiri" w:hAnsi="Amiri" w:eastAsia="Amiri" w:cs="Amiri"/>
          <w:lang w:bidi="ar-SA"/>
          <w:color w:val="111111"/>
          <w:sz w:val="28"/>
          <w:szCs w:val="28"/>
          <w:rtl/>
        </w:rPr>
        <w:t xml:space="preserve">وتارة: بأنّه</w:t>
      </w:r>
      <w:r>
        <w:rPr>
          <w:rStyle w:val="FootnoteReference"/>
        </w:rPr>
        <w:footnoteReference w:id="1187"/>
      </w:r>
      <w:r>
        <w:rPr>
          <w:rFonts w:ascii="IRNazanin" w:hAnsi="IRNazanin" w:eastAsia="IRNazanin" w:cs="IRNazanin"/>
          <w:lang w:bidi="fa-IR"/>
          <w:color w:val="111111"/>
          <w:sz w:val="28"/>
          <w:szCs w:val="28"/>
          <w:rtl/>
        </w:rPr>
        <w:t xml:space="preserve">بعد فرضه</w:t>
      </w:r>
      <w:r>
        <w:rPr>
          <w:rStyle w:val="FootnoteReference"/>
        </w:rPr>
        <w:footnoteReference w:id="1188"/>
      </w:r>
      <w:r>
        <w:rPr>
          <w:rFonts w:ascii="IRNazanin" w:hAnsi="IRNazanin" w:eastAsia="IRNazanin" w:cs="IRNazanin"/>
          <w:lang w:bidi="fa-IR"/>
          <w:color w:val="111111"/>
          <w:sz w:val="28"/>
          <w:szCs w:val="28"/>
          <w:rtl/>
        </w:rPr>
        <w:t xml:space="preserve">اختصاص مطلوبیّة الترك بفرد خاصّ وهو الترك المتوصل به إلى الكامل يلزم عدم كون الترك مطلوباً فلا دليل على وجود المنقصة في فعله ولا يستلزم مطلوبیّة الترك مرجوحيّة الفعل على مذهبه حيث إنّه يقول: إنّ اللّازم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78" w:name="pg6784_51344"/>
    <w:bookmarkEnd w:id="178"/>
    <w:p>
      <w:pPr>
        <w:pStyle w:val="BookText"/>
      </w:pPr>
      <w:r>
        <w:rPr>
          <w:rFonts w:ascii="Amiri" w:hAnsi="Amiri" w:eastAsia="Amiri" w:cs="Amiri"/>
          <w:lang w:bidi="ar-SA"/>
          <w:color w:val="111111"/>
          <w:sz w:val="28"/>
          <w:szCs w:val="28"/>
          <w:rtl/>
        </w:rPr>
        <w:t xml:space="preserve">مرجوحيّة ترك هذا الترك لا الفعل.</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وفيه: أنّ الغرض لمّا كان هو التوجيه والتأویل فیکفي أن يكون المراد من مکروهيّة الفعل مجرّد مطلوبیّة الترك على الوجه المذكور وهذا هو المراد من المنقصة في الفعل فليس المراد المنقصة</w:t>
      </w:r>
      <w:r>
        <w:rPr>
          <w:rStyle w:val="FootnoteReference"/>
        </w:rPr>
        <w:footnoteReference w:id="1190"/>
      </w:r>
      <w:r>
        <w:rPr>
          <w:rFonts w:ascii="IRNazanin" w:hAnsi="IRNazanin" w:eastAsia="IRNazanin" w:cs="IRNazanin"/>
          <w:lang w:bidi="fa-IR"/>
          <w:color w:val="111111"/>
          <w:sz w:val="28"/>
          <w:szCs w:val="28"/>
          <w:rtl/>
        </w:rPr>
        <w:t xml:space="preserve">في الفعل حقیقة.</w:t>
      </w:r>
    </w:p>
    <w:p>
      <w:pPr>
        <w:pStyle w:val="Heading6"/>
      </w:pPr>
      <w:bookmarkStart w:id="641" w:name="_Toc322"/>
      <w:r>
        <w:t>[الإیراد الثالث والجواب عنه]</w:t>
      </w:r>
      <w:bookmarkEnd w:id="641"/>
    </w:p>
    <w:p>
      <w:pPr>
        <w:pStyle w:val="BookText"/>
      </w:pPr>
      <w:r>
        <w:rPr>
          <w:rFonts w:ascii="IRNazanin" w:hAnsi="IRNazanin" w:eastAsia="IRNazanin" w:cs="IRNazanin"/>
          <w:lang w:bidi="fa-IR"/>
          <w:color w:val="111111"/>
          <w:sz w:val="28"/>
          <w:szCs w:val="28"/>
          <w:rtl/>
        </w:rPr>
        <w:t xml:space="preserve">وتارة: بأنّ القول بعدم مطلوبیّة أفراد الواجب المخيّر بعد الإتیان بغيرها في مقام الامتثال لا يخلو عن حزازة حيث إنّ جميع الأفراد في نظر الآمر سواء والطلب الصّادر منه وارد على جميعها ولا يسقط الطّلب باختيار بعضها. نعم مع الإتیان ببعضها لا يبقى الطلب لا أنّه لم يكن متعلّقاً من الأوّل ببقية الأفراد.</w:t>
      </w:r>
      <w:r>
        <w:rPr>
          <w:rStyle w:val="FootnoteReference"/>
        </w:rPr>
        <w:footnoteReference w:id="1191"/>
      </w:r>
    </w:p>
    <w:p>
      <w:pPr>
        <w:pStyle w:val="BookText"/>
      </w:pPr>
      <w:r>
        <w:rPr>
          <w:rFonts w:ascii="IRNazanin" w:hAnsi="IRNazanin" w:eastAsia="IRNazanin" w:cs="IRNazanin"/>
          <w:lang w:bidi="fa-IR"/>
          <w:color w:val="111111"/>
          <w:sz w:val="28"/>
          <w:szCs w:val="28"/>
          <w:rtl/>
        </w:rPr>
        <w:t xml:space="preserve">والحاصل: أنّ لازم ما ذكره كون الطّلب متعلّقاً ببعض الأفراد دون بعض معأنّه باطل وإن کان يسقط عن غير المأتي به من جهة حصول الامتثال.</w:t>
      </w:r>
    </w:p>
    <w:p>
      <w:pPr>
        <w:pStyle w:val="BookText"/>
      </w:pPr>
      <w:r>
        <w:rPr>
          <w:rFonts w:ascii="IRNazanin" w:hAnsi="IRNazanin" w:eastAsia="IRNazanin" w:cs="IRNazanin"/>
          <w:lang w:bidi="fa-IR"/>
          <w:color w:val="111111"/>
          <w:sz w:val="28"/>
          <w:szCs w:val="28"/>
          <w:rtl/>
        </w:rPr>
        <w:t xml:space="preserve">وفيه: منع كون لازم کلامه ما ذكر بل هو يجعل الفعل مطلوبا لنفسه ولازمه مطلوبیّته على جميع التقادير. نعم يجعل مطلوبیّة الترك على تقدير خاصّ.</w:t>
      </w:r>
    </w:p>
    <w:p>
      <w:pPr>
        <w:pStyle w:val="BookText"/>
      </w:pPr>
      <w:r>
        <w:rPr>
          <w:rFonts w:ascii="IRNazanin" w:hAnsi="IRNazanin" w:eastAsia="IRNazanin" w:cs="IRNazanin"/>
          <w:lang w:bidi="fa-IR"/>
          <w:color w:val="111111"/>
          <w:sz w:val="28"/>
          <w:szCs w:val="28"/>
          <w:rtl/>
        </w:rPr>
        <w:t xml:space="preserve">فإن قلت: نعم ولكن يلزم منه كون مطلوبیّة الكامل على فرض عدم الإتیان بالناقص؛ لأنّ مقدّمته إذا كانت مطلوبة على بعض التقادير فلازمه كون مطلوبیّته أیضاً كذلك.</w:t>
      </w:r>
    </w:p>
    <w:p>
      <w:pPr>
        <w:pStyle w:val="BookText"/>
      </w:pPr>
      <w:r>
        <w:rPr>
          <w:rFonts w:ascii="IRNazanin" w:hAnsi="IRNazanin" w:eastAsia="IRNazanin" w:cs="IRNazanin"/>
          <w:lang w:bidi="fa-IR"/>
          <w:color w:val="111111"/>
          <w:sz w:val="28"/>
          <w:szCs w:val="28"/>
          <w:rtl/>
        </w:rPr>
        <w:t xml:space="preserve">قلت: لا نسلّم ذلك بل نقول: إنّ مطلوبیّة الكامل أیضاً على جميع التقادير بل مطلوبیّته الاستحبابيّة أیضاً كذلك والترك الموصل أیضاً مطلوب على کلّ حال إلّا أنّه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9" w:name="pg6784_51345"/>
    <w:bookmarkEnd w:id="179"/>
    <w:p>
      <w:pPr>
        <w:pStyle w:val="BookText"/>
      </w:pPr>
      <w:r>
        <w:rPr>
          <w:rFonts w:ascii="IRNazanin" w:hAnsi="IRNazanin" w:eastAsia="IRNazanin" w:cs="IRNazanin"/>
          <w:lang w:bidi="fa-IR"/>
          <w:color w:val="111111"/>
          <w:sz w:val="28"/>
          <w:szCs w:val="28"/>
          <w:rtl/>
        </w:rPr>
        <w:t xml:space="preserve">لا یتّصف بالمطلوبیّة في مقام الامتثال إلّا إذا كان موصلاً.</w:t>
      </w:r>
    </w:p>
    <w:p>
      <w:pPr>
        <w:pStyle w:val="BookText"/>
      </w:pPr>
      <w:r>
        <w:rPr>
          <w:rFonts w:ascii="Amiri" w:hAnsi="Amiri" w:eastAsia="Amiri" w:cs="Amiri"/>
          <w:lang w:bidi="ar-SA"/>
          <w:color w:val="111111"/>
          <w:sz w:val="28"/>
          <w:szCs w:val="28"/>
          <w:rtl/>
        </w:rPr>
        <w:t xml:space="preserve">ويتخيل صاحب الفصول</w:t>
      </w:r>
      <w:r>
        <w:rPr>
          <w:rStyle w:val="FootnoteReference"/>
        </w:rPr>
        <w:footnoteReference w:id="1192"/>
      </w:r>
      <w:r>
        <w:rPr>
          <w:rFonts w:ascii="Amiri" w:hAnsi="Amiri" w:eastAsia="Amiri" w:cs="Amiri"/>
          <w:lang w:bidi="ar-SA"/>
          <w:color w:val="111111"/>
          <w:sz w:val="28"/>
          <w:szCs w:val="28"/>
          <w:rtl/>
        </w:rPr>
        <w:t xml:space="preserve">أنّ هذا يجعل المتعلّق مختلفاً.</w:t>
      </w:r>
    </w:p>
    <w:p>
      <w:pPr>
        <w:pStyle w:val="BookText"/>
      </w:pPr>
      <w:r>
        <w:rPr>
          <w:rFonts w:ascii="IRNazanin" w:hAnsi="IRNazanin" w:eastAsia="IRNazanin" w:cs="IRNazanin"/>
          <w:lang w:bidi="fa-IR"/>
          <w:color w:val="111111"/>
          <w:sz w:val="28"/>
          <w:szCs w:val="28"/>
          <w:rtl/>
        </w:rPr>
        <w:t xml:space="preserve">فالإيراد عليه إنّما هو ما ذكرنا من أنّه ليس كذلك إذ لا ينقطع الطّلب عن المکلّف على حال فلا يمكن أن يطلب الفعل مع كونه مطلوب التّرك على وجه خاصّ.</w:t>
      </w:r>
    </w:p>
    <w:p>
      <w:pPr>
        <w:pStyle w:val="BookText"/>
      </w:pPr>
      <w:r>
        <w:rPr>
          <w:rFonts w:ascii="Amiri" w:hAnsi="Amiri" w:eastAsia="Amiri" w:cs="Amiri"/>
          <w:lang w:bidi="ar-SA"/>
          <w:color w:val="111111"/>
          <w:sz w:val="28"/>
          <w:szCs w:val="28"/>
          <w:rtl/>
        </w:rPr>
        <w:t xml:space="preserve">ولعلّه لما ذكرنا أمر المُورِد المذكور بعد بيان الإيراد بالتأمّل.</w:t>
      </w:r>
      <w:r>
        <w:rPr>
          <w:rStyle w:val="FootnoteReference"/>
        </w:rPr>
        <w:footnoteReference w:id="1193"/>
      </w:r>
    </w:p>
    <w:p>
      <w:pPr>
        <w:pStyle w:val="Heading6"/>
      </w:pPr>
      <w:bookmarkStart w:id="642" w:name="_Toc323"/>
      <w:r>
        <w:t>[الإیراد الرابع والجواب عنه]</w:t>
      </w:r>
      <w:bookmarkEnd w:id="642"/>
    </w:p>
    <w:p>
      <w:pPr>
        <w:pStyle w:val="BookText"/>
      </w:pPr>
      <w:r>
        <w:rPr>
          <w:rFonts w:ascii="IRNazanin" w:hAnsi="IRNazanin" w:eastAsia="IRNazanin" w:cs="IRNazanin"/>
          <w:lang w:bidi="fa-IR"/>
          <w:color w:val="111111"/>
          <w:sz w:val="28"/>
          <w:szCs w:val="28"/>
          <w:rtl/>
        </w:rPr>
        <w:t xml:space="preserve">ومنها: أنّ هذا التوجيه لا يجري في العبادات الّتي لا بدل لها مثل الصّلاة في الأزمنة المكروهة والصّيام كذلك حيث إنّ لکلّ وقت وظيفة صلاة ولکلّ يوم وظيفةصوم فلا يعقل الإرشاد إلى النّقص</w:t>
      </w:r>
      <w:r>
        <w:rPr>
          <w:rStyle w:val="FootnoteReference"/>
        </w:rPr>
        <w:footnoteReference w:id="1194"/>
      </w:r>
      <w:r>
        <w:rPr>
          <w:rFonts w:ascii="Amiri" w:hAnsi="Amiri" w:eastAsia="Amiri" w:cs="Amiri"/>
          <w:lang w:bidi="ar-SA"/>
          <w:color w:val="111111"/>
          <w:sz w:val="28"/>
          <w:szCs w:val="28"/>
          <w:rtl/>
        </w:rPr>
        <w:t xml:space="preserve">فيها للتوصل فيها إلى الأكمل.</w:t>
      </w:r>
    </w:p>
    <w:p>
      <w:pPr>
        <w:pStyle w:val="BookText"/>
      </w:pPr>
      <w:r>
        <w:rPr>
          <w:rFonts w:ascii="IRNazanin" w:hAnsi="IRNazanin" w:eastAsia="IRNazanin" w:cs="IRNazanin"/>
          <w:lang w:bidi="fa-IR"/>
          <w:color w:val="111111"/>
          <w:sz w:val="28"/>
          <w:szCs w:val="28"/>
          <w:rtl/>
        </w:rPr>
        <w:t xml:space="preserve">وفيه: أوّلاً: أنّه لا يلزم أن يكون البدل من جنس المبدل فيمكن أن يكون المقصود الإتیان بعمل آخر مضاد لذلك العمل ولو مثل قراءة</w:t>
      </w:r>
      <w:r>
        <w:rPr>
          <w:rStyle w:val="FootnoteReference"/>
        </w:rPr>
        <w:footnoteReference w:id="1195"/>
      </w:r>
      <w:r>
        <w:rPr>
          <w:rFonts w:ascii="Amiri" w:hAnsi="Amiri" w:eastAsia="Amiri" w:cs="Amiri"/>
          <w:lang w:bidi="ar-SA"/>
          <w:color w:val="111111"/>
          <w:sz w:val="28"/>
          <w:szCs w:val="28"/>
          <w:rtl/>
        </w:rPr>
        <w:t xml:space="preserve">القرآن والدّعاء بدلاً عن الصّوم لمن يضعفه الصّوم عنهما كما نصّ على ذلك بالنّسبة إلى صوم يوم عرفة.</w:t>
      </w:r>
      <w:r>
        <w:rPr>
          <w:rStyle w:val="FootnoteReference"/>
        </w:rPr>
        <w:footnoteReference w:id="1196"/>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جميع المقامات البدل على هذا الوجه موجود لجميع النّاس ولو فرض في بعض المقامات عدم منافاة بعض الأعمال الكاملة للصّوم في الأيام المكروهة أمكن أن ينزل الأخبار على متعارف الناس في متعارف الأحوال.</w:t>
      </w:r>
    </w:p>
    <w:p>
      <w:pPr>
        <w:pStyle w:val="BookText"/>
      </w:pPr>
      <w:r>
        <w:rPr>
          <w:rFonts w:ascii="Amiri" w:hAnsi="Amiri" w:eastAsia="Amiri" w:cs="Amiri"/>
          <w:lang w:bidi="ar-SA"/>
          <w:color w:val="111111"/>
          <w:sz w:val="28"/>
          <w:szCs w:val="28"/>
          <w:rtl/>
        </w:rPr>
        <w:t xml:space="preserve">وثانياً: نمنع أنّ الإرشاد بالمعنى الّذي ذكرنا يحتاج إلى بدل وإنّما المحتاج إليه الطلب الغيري المقدّمي فيمكن أن يطلب التّرك صورة للإرشاد إلى كون العمل ذا حزازة ونقص وإن لم يكن</w:t>
      </w:r>
      <w:r>
        <w:rPr>
          <w:rStyle w:val="FootnoteReference"/>
        </w:rPr>
        <w:footnoteReference w:id="1197"/>
      </w:r>
      <w:r>
        <w:rPr>
          <w:rFonts w:ascii="Amiri" w:hAnsi="Amiri" w:eastAsia="Amiri" w:cs="Amiri"/>
          <w:lang w:bidi="ar-SA"/>
          <w:color w:val="111111"/>
          <w:sz w:val="28"/>
          <w:szCs w:val="28"/>
          <w:rtl/>
        </w:rPr>
        <w:t xml:space="preserve">الغرض تركه للتوصل إلى شي‌ء آخر.</w:t>
      </w:r>
    </w:p>
    <w:p>
      <w:pPr>
        <w:pStyle w:val="BookText"/>
      </w:pPr>
      <w:r>
        <w:rPr>
          <w:rFonts w:ascii="IRNazanin" w:hAnsi="IRNazanin" w:eastAsia="IRNazanin" w:cs="IRNazanin"/>
          <w:lang w:bidi="fa-IR"/>
          <w:color w:val="111111"/>
          <w:sz w:val="28"/>
          <w:szCs w:val="28"/>
          <w:rtl/>
        </w:rPr>
        <w:t xml:space="preserve">وفائدة هذا الإرشاد اطّلاع المکلّف عليه ليختار الغير إذا أراد أن يأتي بصوم يوم واحد لا أزيد أو لم يمكنه إلّا صوم أحد اليومين أو الأيّام إلى غير ذلك من الفوائد.</w:t>
      </w:r>
    </w:p>
    <w:p>
      <w:pPr>
        <w:pStyle w:val="BookText"/>
      </w:pPr>
      <w:r>
        <w:rPr>
          <w:rFonts w:ascii="IRNazanin" w:hAnsi="IRNazanin" w:eastAsia="IRNazanin" w:cs="IRNazanin"/>
          <w:lang w:bidi="fa-IR"/>
          <w:color w:val="111111"/>
          <w:sz w:val="28"/>
          <w:szCs w:val="28"/>
          <w:rtl/>
        </w:rPr>
        <w:t xml:space="preserve">وهذا المقدار یکفي في حكمة التعبير عن الإرشاد المذكور بالنّهي الظّاهر في طلب الترك.</w:t>
      </w:r>
    </w:p>
    <w:p>
      <w:pPr>
        <w:pStyle w:val="BookText"/>
      </w:pPr>
      <w:r>
        <w:rPr>
          <w:rFonts w:ascii="Amiri" w:hAnsi="Amiri" w:eastAsia="Amiri" w:cs="Amiri"/>
          <w:lang w:bidi="ar-SA"/>
          <w:color w:val="111111"/>
          <w:sz w:val="28"/>
          <w:szCs w:val="28"/>
          <w:rtl/>
        </w:rPr>
        <w:t xml:space="preserve">مع أنّ الغالب أنّ الإنسان لا يصوم جميع الأيّام ولا يصلّي في جميع الأوقات فعليه أن يختار الأكمل في مقام الدّوران في إرادته فيريد الشارع إخباره بالناقص والكامل ليمكنه إدراك الأكمل إذا أراد.</w:t>
      </w:r>
    </w:p>
    <w:p>
      <w:pPr>
        <w:pStyle w:val="BookText"/>
      </w:pPr>
      <w:r>
        <w:rPr>
          <w:rFonts w:ascii="IRNazanin" w:hAnsi="IRNazanin" w:eastAsia="IRNazanin" w:cs="IRNazanin"/>
          <w:lang w:bidi="fa-IR"/>
          <w:color w:val="111111"/>
          <w:sz w:val="28"/>
          <w:szCs w:val="28"/>
          <w:rtl/>
        </w:rPr>
        <w:t xml:space="preserve">فتحصّل ممّا ذكرنا أنّ التوجيه المذكور بناءً على القول بالامتناع ممّا لا غبار عليه أصلاً لكن الأولى حسبما عرفت في العامّين من وجه أن يعبّر عن قلّة الثواب بالحزازة والمنقصة وأنّ النّهي لبيان ذلك لأنّ مجرّد الحزازة في الفعل لا یقتضي قلّة الثواب.</w:t>
      </w:r>
    </w:p>
    <w:p>
      <w:pPr>
        <w:pStyle w:val="BookText"/>
      </w:pPr>
      <w:r>
        <w:rPr>
          <w:rFonts w:ascii="IRNazanin" w:hAnsi="IRNazanin" w:eastAsia="IRNazanin" w:cs="IRNazanin"/>
          <w:lang w:bidi="fa-IR"/>
          <w:color w:val="111111"/>
          <w:sz w:val="28"/>
          <w:szCs w:val="28"/>
          <w:rtl/>
        </w:rPr>
        <w:t xml:space="preserve">ويمكن أن يقال: إنّه لبيان عدم تاكّد الرّجحان والمطلوبیّة بالنسبة إلى سائر أفرادالطّبيعة لكن التعبير بقلّة الثواب أیضاً لا بأس به في المقام وإن منعناه</w:t>
      </w:r>
      <w:r>
        <w:rPr>
          <w:rStyle w:val="FootnoteReference"/>
        </w:rPr>
        <w:footnoteReference w:id="1198"/>
      </w:r>
      <w:r>
        <w:rPr>
          <w:rFonts w:ascii="Amiri" w:hAnsi="Amiri" w:eastAsia="Amiri" w:cs="Amiri"/>
          <w:lang w:bidi="ar-SA"/>
          <w:color w:val="111111"/>
          <w:sz w:val="28"/>
          <w:szCs w:val="28"/>
          <w:rtl/>
        </w:rPr>
        <w:t xml:space="preserve">في المقام السّابق.</w:t>
      </w:r>
    </w:p>
    <w:p>
      <w:pPr>
        <w:pStyle w:val="BookText"/>
      </w:pPr>
      <w:r>
        <w:rPr>
          <w:rFonts w:ascii="IRNazanin" w:hAnsi="IRNazanin" w:eastAsia="IRNazanin" w:cs="IRNazanin"/>
          <w:lang w:bidi="fa-IR"/>
          <w:color w:val="111111"/>
          <w:sz w:val="28"/>
          <w:szCs w:val="28"/>
          <w:rtl/>
        </w:rPr>
        <w:t xml:space="preserve">وأولى مما ذكرنا أن يقال: إنّ النهي للإرشاد إلى حزازة في الفعل أو إلى قلّة الثواب أو إلى عدم تأكّد الرجحان لأنّ کلّ هذه ممكن ولا معين لواحد منها وليس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شي‌ء منها أقرب إلى معنى النّهي وإن کان يمكن دعوى أقربية الإرشاد إلى الحزازة إليه من الآخرين.</w:t>
      </w:r>
    </w:p>
    <w:p>
      <w:pPr>
        <w:pStyle w:val="BookText"/>
      </w:pPr>
      <w:r>
        <w:rPr>
          <w:rFonts w:ascii="IRNazanin" w:hAnsi="IRNazanin" w:eastAsia="IRNazanin" w:cs="IRNazanin"/>
          <w:lang w:bidi="fa-IR"/>
          <w:color w:val="111111"/>
          <w:sz w:val="28"/>
          <w:szCs w:val="28"/>
          <w:rtl/>
        </w:rPr>
        <w:t xml:space="preserve">نعم يبقى في التوجيه المذكور أنّه إذا كان العمل مع هذه المنقصة راجحاً في حدّ نفسه بحيث يكون فعله أولى من تركه المطلق فلا وجه لترك الأئمة (علیهم‌السلام) له على ما روي عنهم (علیهم‌السلام).</w:t>
      </w:r>
    </w:p>
    <w:p>
      <w:pPr>
        <w:pStyle w:val="BookText"/>
      </w:pPr>
      <w:r>
        <w:rPr>
          <w:rFonts w:ascii="Amiri" w:hAnsi="Amiri" w:eastAsia="Amiri" w:cs="Amiri"/>
          <w:lang w:bidi="ar-SA"/>
          <w:color w:val="111111"/>
          <w:sz w:val="28"/>
          <w:szCs w:val="28"/>
          <w:rtl/>
        </w:rPr>
        <w:t xml:space="preserve">إلّا أن يقال: إنّهم كانوا يشتغلون بالأفضل ولو كان مثل إصلاح المعاش</w:t>
      </w:r>
      <w:r>
        <w:rPr>
          <w:rStyle w:val="FootnoteReference"/>
        </w:rPr>
        <w:footnoteReference w:id="1199"/>
      </w:r>
      <w:r>
        <w:rPr>
          <w:rFonts w:ascii="IRNazanin" w:hAnsi="IRNazanin" w:eastAsia="IRNazanin" w:cs="IRNazanin"/>
          <w:lang w:bidi="fa-IR"/>
          <w:color w:val="111111"/>
          <w:sz w:val="28"/>
          <w:szCs w:val="28"/>
          <w:rtl/>
        </w:rPr>
        <w:t xml:space="preserve">الّذي قد يكون أفضل من الإتیان بالصّلاة</w:t>
      </w:r>
      <w:r>
        <w:rPr>
          <w:rStyle w:val="FootnoteReference"/>
        </w:rPr>
        <w:footnoteReference w:id="1200"/>
      </w:r>
      <w:r>
        <w:rPr>
          <w:rFonts w:ascii="IRNazanin" w:hAnsi="IRNazanin" w:eastAsia="IRNazanin" w:cs="IRNazanin"/>
          <w:lang w:bidi="fa-IR"/>
          <w:color w:val="111111"/>
          <w:sz w:val="28"/>
          <w:szCs w:val="28"/>
          <w:rtl/>
        </w:rPr>
        <w:t xml:space="preserve">ونحوها.</w:t>
      </w:r>
    </w:p>
    <w:p>
      <w:pPr>
        <w:pStyle w:val="BookText"/>
      </w:pPr>
      <w:r>
        <w:rPr>
          <w:rFonts w:ascii="IRNazanin" w:hAnsi="IRNazanin" w:eastAsia="IRNazanin" w:cs="IRNazanin"/>
          <w:lang w:bidi="fa-IR"/>
          <w:color w:val="111111"/>
          <w:sz w:val="28"/>
          <w:szCs w:val="28"/>
          <w:rtl/>
        </w:rPr>
        <w:t xml:space="preserve">وأیضاً لا وجه لأمرهم بالتّرك مع عدم الإشارة في شي‌ء من هذه الأخبار الكثيرة بأنّ الطلب المذكور للإرشاد إلى المنقصة؛ إذ قد يكون المکلّف لا يأتي بما هو أفضل ولو كان موجوداً؛ إذ كثيراً ما يكون إقباله بالصّلاة مثلاً في الزمان المكروه بحيث لو تركها لايأتي بها في زمان آخر ولا يكون له إقبال بغيرها من الأعمال.</w:t>
      </w:r>
    </w:p>
    <w:p>
      <w:pPr>
        <w:pStyle w:val="BookText"/>
      </w:pPr>
      <w:r>
        <w:rPr>
          <w:rFonts w:ascii="Amiri" w:hAnsi="Amiri" w:eastAsia="Amiri" w:cs="Amiri"/>
          <w:lang w:bidi="ar-SA"/>
          <w:color w:val="111111"/>
          <w:sz w:val="28"/>
          <w:szCs w:val="28"/>
          <w:rtl/>
        </w:rPr>
        <w:t xml:space="preserve">فكان اللّازم الإشارة في واحد من الأخبار إلى أنّ النّهي إرشادي وأنّ العمل مع ذلك يكون راجح الفعل على التّرك في حدّ نفسه.</w:t>
      </w:r>
    </w:p>
    <w:p>
      <w:pPr>
        <w:pStyle w:val="BookText"/>
      </w:pPr>
      <w:r>
        <w:rPr>
          <w:rFonts w:ascii="Amiri" w:hAnsi="Amiri" w:eastAsia="Amiri" w:cs="Amiri"/>
          <w:lang w:bidi="ar-SA"/>
          <w:color w:val="111111"/>
          <w:sz w:val="28"/>
          <w:szCs w:val="28"/>
          <w:rtl/>
        </w:rPr>
        <w:t xml:space="preserve">إلّا أن يقال: إنّه قد ورد منهم ذلك ولم يصل إلينا، وهو بعيد.</w:t>
      </w:r>
    </w:p>
    <w:p>
      <w:pPr>
        <w:pStyle w:val="BookText"/>
      </w:pPr>
      <w:r>
        <w:rPr>
          <w:rFonts w:ascii="IRNazanin" w:hAnsi="IRNazanin" w:eastAsia="IRNazanin" w:cs="IRNazanin"/>
          <w:lang w:bidi="fa-IR"/>
          <w:color w:val="111111"/>
          <w:sz w:val="28"/>
          <w:szCs w:val="28"/>
          <w:rtl/>
        </w:rPr>
        <w:t xml:space="preserve">أو يقال: یکفي فيه الأوامر المطلقة والتأكيدات الواردة في الصّلاة والصّوم المستحبّين وكان</w:t>
      </w:r>
      <w:r>
        <w:rPr>
          <w:rStyle w:val="FootnoteReference"/>
        </w:rPr>
        <w:footnoteReference w:id="1201"/>
      </w:r>
      <w:r>
        <w:rPr>
          <w:rFonts w:ascii="IRNazanin" w:hAnsi="IRNazanin" w:eastAsia="IRNazanin" w:cs="IRNazanin"/>
          <w:lang w:bidi="fa-IR"/>
          <w:color w:val="111111"/>
          <w:sz w:val="28"/>
          <w:szCs w:val="28"/>
          <w:rtl/>
        </w:rPr>
        <w:t xml:space="preserve">الأصحاب يفهمون بملاحظتها من النّواهي المذكورة الإرشاد المذكور، وهو أیضاً بعيد.</w:t>
      </w:r>
    </w:p>
    <w:p>
      <w:pPr>
        <w:pStyle w:val="BookText"/>
      </w:pPr>
      <w:r>
        <w:rPr>
          <w:rFonts w:ascii="Amiri" w:hAnsi="Amiri" w:eastAsia="Amiri" w:cs="Amiri"/>
          <w:lang w:bidi="ar-SA"/>
          <w:color w:val="111111"/>
          <w:sz w:val="28"/>
          <w:szCs w:val="28"/>
          <w:rtl/>
        </w:rPr>
        <w:t xml:space="preserve">أو يقال: إنّه لا بدّ منه بعد استقلال العقل بالامتناع ولا يضرّ بُعده.</w:t>
      </w:r>
    </w:p>
    <w:p>
      <w:pPr>
        <w:pStyle w:val="BookText"/>
      </w:pPr>
      <w:r>
        <w:rPr>
          <w:rFonts w:ascii="IRNazanin" w:hAnsi="IRNazanin" w:eastAsia="IRNazanin" w:cs="IRNazanin"/>
          <w:lang w:bidi="fa-IR"/>
          <w:color w:val="111111"/>
          <w:sz w:val="28"/>
          <w:szCs w:val="28"/>
          <w:rtl/>
        </w:rPr>
        <w:t xml:space="preserve">مع أنّ هذا الإشکال وارد على جميع التوجيهات ولا اختصاص له بهذا التوجيه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80" w:name="pg6784_51348"/>
    <w:bookmarkEnd w:id="180"/>
    <w:p>
      <w:pPr>
        <w:pStyle w:val="BookText"/>
      </w:pPr>
      <w:r>
        <w:rPr>
          <w:rFonts w:ascii="Amiri" w:hAnsi="Amiri" w:eastAsia="Amiri" w:cs="Amiri"/>
          <w:lang w:bidi="ar-SA"/>
          <w:color w:val="111111"/>
          <w:sz w:val="28"/>
          <w:szCs w:val="28"/>
          <w:rtl/>
        </w:rPr>
        <w:t xml:space="preserve">بل هو أقربها بعد لزوم التوجيه حسبما عرفت.</w:t>
      </w:r>
    </w:p>
    <w:p>
      <w:pPr>
        <w:pStyle w:val="BookText"/>
      </w:pPr>
      <w:r>
        <w:rPr>
          <w:rFonts w:ascii="IRNazanin" w:hAnsi="IRNazanin" w:eastAsia="IRNazanin" w:cs="IRNazanin"/>
          <w:lang w:bidi="fa-IR"/>
          <w:color w:val="111111"/>
          <w:sz w:val="28"/>
          <w:szCs w:val="28"/>
          <w:rtl/>
        </w:rPr>
        <w:t xml:space="preserve">مع أنّه يمكن أن يقال: یکفي في البيان ما ورد في صوم عرفة من أنّ كراهته من جهة كونه مضعفا للدّعاء فيمكن أن يستفاد منه المثاليّة لغيره أیضاً. فتدبّر.</w:t>
      </w:r>
    </w:p>
    <w:p>
      <w:pPr>
        <w:pStyle w:val="Heading6"/>
      </w:pPr>
      <w:bookmarkStart w:id="643" w:name="_Toc324"/>
      <w:r>
        <w:t>[الوجه الثاني: ما عن البهبهاني (رحمة الله‌علیه) بحمل الكراهة على المرجوحيّة الإضافيّة]</w:t>
      </w:r>
      <w:bookmarkEnd w:id="643"/>
    </w:p>
    <w:p>
      <w:pPr>
        <w:pStyle w:val="Heading6"/>
      </w:pPr>
      <w:bookmarkStart w:id="644" w:name="_Toc325"/>
      <w:r>
        <w:t>اشارة</w:t>
      </w:r>
      <w:bookmarkEnd w:id="644"/>
    </w:p>
    <w:p>
      <w:pPr>
        <w:pStyle w:val="BookText"/>
      </w:pPr>
      <w:r>
        <w:rPr>
          <w:rFonts w:ascii="Amiri" w:hAnsi="Amiri" w:eastAsia="Amiri" w:cs="Amiri"/>
          <w:lang w:bidi="ar-SA"/>
          <w:color w:val="111111"/>
          <w:sz w:val="28"/>
          <w:szCs w:val="28"/>
          <w:rtl/>
        </w:rPr>
        <w:t xml:space="preserve">الثاني من الوجوه: ما حكي عن الوحيد البهبهاني</w:t>
      </w:r>
      <w:r>
        <w:rPr>
          <w:rStyle w:val="FootnoteReference"/>
        </w:rPr>
        <w:footnoteReference w:id="1202"/>
      </w:r>
    </w:p>
    <w:p>
      <w:pPr>
        <w:pStyle w:val="BookText"/>
      </w:pPr>
      <w:r>
        <w:rPr>
          <w:rFonts w:ascii="IRNazanin" w:hAnsi="IRNazanin" w:eastAsia="IRNazanin" w:cs="IRNazanin"/>
          <w:lang w:bidi="fa-IR"/>
          <w:color w:val="111111"/>
          <w:sz w:val="28"/>
          <w:szCs w:val="28"/>
          <w:rtl/>
        </w:rPr>
        <w:t xml:space="preserve">محمد باقر بن محمد أكمل بن محمد صالح الأصفهاني، البهبهاني، الحائري، المعروف بالوحيد البهبهاني، وبالأستاذ الأكبر. كان من أعلام الإسلام وأفذاذ المحقّقين، ورائد حركة التجديد في أصول الفقه، ورئیس الإمامية في عصره وزعیم حوزة العلمیة بکربلاء. ولد في أصفهان سنة سبع عشرة و مائة و ألف، ونشأ بها. ثمّ هاجر إلى النجف الأشرف. هو تلمذ على السيد صدر الدين محمد بن محمد باقر الهمداني القمي النجفي، والسيد محمد بن عبد الكريم الطباطبائي (جدّ السيد محمّدمهدي بحر العلوم).</w:t>
      </w:r>
    </w:p>
    <w:p>
      <w:pPr>
        <w:pStyle w:val="BookText"/>
      </w:pPr>
      <w:r>
        <w:rPr>
          <w:rFonts w:ascii="IRNazanin" w:hAnsi="IRNazanin" w:eastAsia="IRNazanin" w:cs="IRNazanin"/>
          <w:lang w:bidi="fa-IR"/>
          <w:color w:val="111111"/>
          <w:sz w:val="28"/>
          <w:szCs w:val="28"/>
          <w:rtl/>
        </w:rPr>
        <w:t xml:space="preserve">کتبت حول آرائه الکلامیة مقالة طبعت في منشورات المؤتمر العالمي للوحید البهبهاني المقام في کربلاء باسم «المباني الکلامیة للوحید البهبهاني في بعض کتبه الفقهیّة والأصولیّة».</w:t>
      </w:r>
    </w:p>
    <w:p>
      <w:pPr>
        <w:pStyle w:val="BookText"/>
      </w:pPr>
      <w:r>
        <w:rPr>
          <w:rFonts w:ascii="Amiri" w:hAnsi="Amiri" w:eastAsia="Amiri" w:cs="Amiri"/>
          <w:lang w:bidi="ar-SA"/>
          <w:color w:val="111111"/>
          <w:sz w:val="28"/>
          <w:szCs w:val="28"/>
          <w:rtl/>
        </w:rPr>
        <w:t xml:space="preserve">(قدس‌سره) من أنّ المراد بكراهة العبادات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مرجوحيتها الإضافية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ويرادفها خلاف الأولى، والمراد من النواهي بيان المرجوحيّة بالنسبة إلى الغير والظاهر أنّ المراد من المرجوحيّة المذكورة طلب التّرك الغيري لا المنقصة بالنسبة إلى الغير كما يظهر من تنظيره بمرجوحيّة القصر بالنسبة إلى الإتمام في المواطن الأربعة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وباجتماع الوجوب النفسي مع الاستحباب الغيري والعكس.</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81" w:name="pg6784_51349"/>
    <w:bookmarkEnd w:id="181"/>
    <w:p>
      <w:pPr>
        <w:pStyle w:val="BookText"/>
      </w:pPr>
      <w:r>
        <w:rPr>
          <w:rFonts w:ascii="IRNazanin" w:hAnsi="IRNazanin" w:eastAsia="IRNazanin" w:cs="IRNazanin"/>
          <w:lang w:bidi="fa-IR"/>
          <w:color w:val="111111"/>
          <w:sz w:val="28"/>
          <w:szCs w:val="28"/>
          <w:rtl/>
        </w:rPr>
        <w:t xml:space="preserve">وإن کان يظهر من بعض بيانات المحقّق القمي (قدس‌سره) أنّ المراد منها مجرّد المنقصة في الفعل</w:t>
      </w:r>
      <w:r>
        <w:rPr>
          <w:rStyle w:val="FootnoteReference"/>
        </w:rPr>
        <w:footnoteReference w:id="1203"/>
      </w:r>
      <w:r>
        <w:rPr>
          <w:rFonts w:ascii="Amiri" w:hAnsi="Amiri" w:eastAsia="Amiri" w:cs="Amiri"/>
          <w:lang w:bidi="ar-SA"/>
          <w:color w:val="111111"/>
          <w:sz w:val="28"/>
          <w:szCs w:val="28"/>
          <w:rtl/>
        </w:rPr>
        <w:t xml:space="preserve">فيكون راجعاً إلى التوجيه المتقدّم أو قريباً منه.</w:t>
      </w:r>
    </w:p>
    <w:p>
      <w:pPr>
        <w:pStyle w:val="Heading6"/>
      </w:pPr>
      <w:bookmarkStart w:id="645" w:name="_Toc326"/>
      <w:r>
        <w:t>[الإیراد على الوجه الثاني]</w:t>
      </w:r>
      <w:bookmarkEnd w:id="645"/>
    </w:p>
    <w:p>
      <w:pPr>
        <w:pStyle w:val="BookText"/>
      </w:pPr>
      <w:r>
        <w:rPr>
          <w:rFonts w:ascii="IRNazanin" w:hAnsi="IRNazanin" w:eastAsia="IRNazanin" w:cs="IRNazanin"/>
          <w:lang w:bidi="fa-IR"/>
          <w:color w:val="111111"/>
          <w:sz w:val="28"/>
          <w:szCs w:val="28"/>
          <w:rtl/>
        </w:rPr>
        <w:t xml:space="preserve">وكيف كان فيرد عليه بناء على إرادة الطّلب الغيري - مضافاً إلى ما مرّ سابقاً من عدم انضباط الكراهة حينئذٍ؛ إذ کلّ مفضول بالنّسبة إلى الأفضل مطلوب الترك بالطّلب الغيري المقدّمي، ومن عود المحذور؛ حيث إنّ الطّلب الغيري للتّرك أیضاً لايجتمع مع الوجوب النّفسي للفعل، إلّا أن يجاب بالمقدّمة الموصلة، وقد عرفت أنّه لاينفع، مع أنّه خلاف مذهب المجيب،</w:t>
      </w:r>
      <w:r>
        <w:rPr>
          <w:rStyle w:val="FootnoteReference"/>
        </w:rPr>
        <w:footnoteReference w:id="1204"/>
      </w:r>
      <w:r>
        <w:rPr>
          <w:rFonts w:ascii="Amiri" w:hAnsi="Amiri" w:eastAsia="Amiri" w:cs="Amiri"/>
          <w:lang w:bidi="ar-SA"/>
          <w:color w:val="111111"/>
          <w:sz w:val="28"/>
          <w:szCs w:val="28"/>
          <w:rtl/>
        </w:rPr>
        <w:t xml:space="preserve">أو يقال: إنّ الطّلب الغيري يجتمع مع النّفسي، وفيه: أنّه لا فرق حسبما عرفت مراراً، إلّا أن يقال: إنّه طلب صوري مجازي بمعنى أنّ هناك طلباً واحداً متعلّقاً</w:t>
      </w:r>
      <w:r>
        <w:rPr>
          <w:rStyle w:val="FootnoteReference"/>
        </w:rPr>
        <w:footnoteReference w:id="1205"/>
      </w:r>
      <w:r>
        <w:rPr>
          <w:rFonts w:ascii="IRNazanin" w:hAnsi="IRNazanin" w:eastAsia="IRNazanin" w:cs="IRNazanin"/>
          <w:lang w:bidi="fa-IR"/>
          <w:color w:val="111111"/>
          <w:sz w:val="28"/>
          <w:szCs w:val="28"/>
          <w:rtl/>
        </w:rPr>
        <w:t xml:space="preserve">بذي المقدّمة وينسب إلى المقدّمة بالعرض والمجاز وهو نفي لمطلوبیّة المقدّمة في الحقيقة؛ إذ مقتضى مطلوبیّتها أنّ هناك طلبین مولويین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حقیقيین</w:t>
      </w:r>
      <w:r>
        <w:rPr>
          <w:rStyle w:val="FootnoteReference"/>
        </w:rPr>
        <w:footnoteReference w:id="1206"/>
      </w:r>
      <w:r>
        <w:rPr>
          <w:rFonts w:ascii="IRNazanin" w:hAnsi="IRNazanin" w:eastAsia="IRNazanin" w:cs="IRNazanin"/>
          <w:lang w:bidi="fa-IR"/>
          <w:color w:val="111111"/>
          <w:sz w:val="28"/>
          <w:szCs w:val="28"/>
          <w:rtl/>
        </w:rPr>
        <w:t xml:space="preserve">أحدهما نفسي متعلّق بذي المقدّمة والآخر غيري متعلّق بالمقدّمة وإن کان إرشادياً بمعنى آخر ومعه لا يجوز الاجتماع.</w:t>
      </w:r>
    </w:p>
    <w:p>
      <w:pPr>
        <w:pStyle w:val="BookText"/>
      </w:pPr>
      <w:r>
        <w:rPr>
          <w:rFonts w:ascii="Amiri" w:hAnsi="Amiri" w:eastAsia="Amiri" w:cs="Amiri"/>
          <w:lang w:bidi="ar-SA"/>
          <w:color w:val="111111"/>
          <w:sz w:val="28"/>
          <w:szCs w:val="28"/>
          <w:rtl/>
        </w:rPr>
        <w:t xml:space="preserve">ودعوى أنّ المطلوب في الحقيقة التوصّل بالمقدّمة إلى ذيها فلا يكون الطلب وارداً على نفس الترك؛</w:t>
      </w:r>
    </w:p>
    <w:p>
      <w:pPr>
        <w:pStyle w:val="BookText"/>
      </w:pPr>
      <w:r>
        <w:rPr>
          <w:rFonts w:ascii="Amiri" w:hAnsi="Amiri" w:eastAsia="Amiri" w:cs="Amiri"/>
          <w:lang w:bidi="ar-SA"/>
          <w:color w:val="111111"/>
          <w:sz w:val="28"/>
          <w:szCs w:val="28"/>
          <w:rtl/>
        </w:rPr>
        <w:t xml:space="preserve">مدفوعة بأنّ التوصّل ليس أمراً متحقّقاً في الخارج سوى إيجاد المقدّمة.</w:t>
      </w:r>
    </w:p>
    <w:p>
      <w:pPr>
        <w:pStyle w:val="BookText"/>
      </w:pPr>
      <w:r>
        <w:rPr>
          <w:rFonts w:ascii="Amiri" w:hAnsi="Amiri" w:eastAsia="Amiri" w:cs="Amiri"/>
          <w:lang w:bidi="ar-SA"/>
          <w:color w:val="111111"/>
          <w:sz w:val="28"/>
          <w:szCs w:val="28"/>
          <w:rtl/>
        </w:rPr>
        <w:t xml:space="preserve">والحاصل: أنّ المحذور غير مندفع بجعل الطّلب غيرياً كما عرفت سابقاً -:</w:t>
      </w:r>
    </w:p>
    <w:p>
      <w:pPr>
        <w:pStyle w:val="BookText"/>
      </w:pPr>
      <w:r>
        <w:rPr>
          <w:rFonts w:ascii="IRNazanin" w:hAnsi="IRNazanin" w:eastAsia="IRNazanin" w:cs="IRNazanin"/>
          <w:lang w:bidi="fa-IR"/>
          <w:color w:val="111111"/>
          <w:sz w:val="28"/>
          <w:szCs w:val="28"/>
          <w:rtl/>
        </w:rPr>
        <w:t xml:space="preserve">أوّلاً: أنّه لا يجري في العامّين من وجه؛ إذ لا يمكن أن يجعل الطّلب المتعلّق بالطّبيعة المكروهة في حدّ نفسها غيريّاً في صورة الاجتماع ونفسيّاً في غيرها.وثانياً: أنّه لا يتمّ فيما لا يكون تركه مقدّمة لإتیان الأفضل مثل ما لا بدل له ولو في اختيار المکلّف، مع أنّ البدل في اختياره لا ينفع في الطلب الغيري بل لا بدّ أن يكون الترك مقدّمة للوصول إليه عقلاً.</w:t>
      </w:r>
    </w:p>
    <w:p>
      <w:pPr>
        <w:pStyle w:val="BookText"/>
      </w:pPr>
      <w:r>
        <w:rPr>
          <w:rFonts w:ascii="IRNazanin" w:hAnsi="IRNazanin" w:eastAsia="IRNazanin" w:cs="IRNazanin"/>
          <w:lang w:bidi="fa-IR"/>
          <w:color w:val="111111"/>
          <w:sz w:val="28"/>
          <w:szCs w:val="28"/>
          <w:rtl/>
        </w:rPr>
        <w:t xml:space="preserve">وثالثاً: أنّ ظاهر النواهي الكراهة النفسيّة ومرجوحيّة الفعل في حدّ نفسه لا مجرّد طلب الترك وإن جعلنا الفعل معه مرجوحاً؛ لأنّه لا يصير مرجوحاً نفسيّاً فمع إمکان حمل النواهي على ظاهرها من مرجوحيّة الفعل وكونه ذا منقصة في حدّ نفسه حسبما هو مقتضى التوجيه السّابق لا وجه لهذا التوجيه، وإن قلنا إنّ مطلوبیّة الترك لاتقتضي</w:t>
      </w:r>
      <w:r>
        <w:rPr>
          <w:rStyle w:val="FootnoteReference"/>
        </w:rPr>
        <w:footnoteReference w:id="1207"/>
      </w:r>
      <w:r>
        <w:rPr>
          <w:rFonts w:ascii="IRNazanin" w:hAnsi="IRNazanin" w:eastAsia="IRNazanin" w:cs="IRNazanin"/>
          <w:lang w:bidi="fa-IR"/>
          <w:color w:val="111111"/>
          <w:sz w:val="28"/>
          <w:szCs w:val="28"/>
          <w:rtl/>
        </w:rPr>
        <w:t xml:space="preserve">مرجوحيّة الفعل بل مبغوضیّة ترك التّرك فيصير أبعد.</w:t>
      </w:r>
    </w:p>
    <w:p>
      <w:pPr>
        <w:pStyle w:val="BookText"/>
      </w:pPr>
      <w:r>
        <w:rPr>
          <w:rFonts w:ascii="Amiri" w:hAnsi="Amiri" w:eastAsia="Amiri" w:cs="Amiri"/>
          <w:lang w:bidi="ar-SA"/>
          <w:color w:val="111111"/>
          <w:sz w:val="28"/>
          <w:szCs w:val="28"/>
          <w:rtl/>
        </w:rPr>
        <w:t xml:space="preserve">فالإنصاف أنّ هذا التوجيه مرجوح بالإضافة إلى التوجيه</w:t>
      </w:r>
      <w:r>
        <w:rPr>
          <w:rStyle w:val="FootnoteReference"/>
        </w:rPr>
        <w:footnoteReference w:id="1208"/>
      </w:r>
      <w:r>
        <w:rPr>
          <w:rFonts w:ascii="Amiri" w:hAnsi="Amiri" w:eastAsia="Amiri" w:cs="Amiri"/>
          <w:lang w:bidi="ar-SA"/>
          <w:color w:val="111111"/>
          <w:sz w:val="28"/>
          <w:szCs w:val="28"/>
          <w:rtl/>
        </w:rPr>
        <w:t xml:space="preserve">السّابق إلّا</w:t>
      </w:r>
      <w:r>
        <w:rPr>
          <w:rStyle w:val="FootnoteReference"/>
        </w:rPr>
        <w:footnoteReference w:id="1209"/>
      </w:r>
      <w:r>
        <w:rPr>
          <w:rFonts w:ascii="IRNazanin" w:hAnsi="IRNazanin" w:eastAsia="IRNazanin" w:cs="IRNazanin"/>
          <w:lang w:bidi="fa-IR"/>
          <w:color w:val="111111"/>
          <w:sz w:val="28"/>
          <w:szCs w:val="28"/>
          <w:rtl/>
        </w:rPr>
        <w:t xml:space="preserve">أن يراد من المرجوحيّة مجرّد المنقصة لا مطلوبیّة التّرك فيكون مثل السّابق أو راجعاً إليه.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82" w:name="pg6784_51351"/>
    <w:bookmarkEnd w:id="182"/>
    <w:p>
      <w:pPr>
        <w:pStyle w:val="Heading6"/>
      </w:pPr>
      <w:bookmarkStart w:id="646" w:name="_Toc327"/>
      <w:r>
        <w:t>[إیراد المحقّق القمّي (رحمة الله‌علیه) ونقده]</w:t>
      </w:r>
      <w:bookmarkEnd w:id="646"/>
    </w:p>
    <w:p>
      <w:pPr>
        <w:pStyle w:val="BookText"/>
      </w:pPr>
      <w:r>
        <w:rPr>
          <w:rFonts w:ascii="Amiri" w:hAnsi="Amiri" w:eastAsia="Amiri" w:cs="Amiri"/>
          <w:lang w:bidi="ar-SA"/>
          <w:color w:val="111111"/>
          <w:sz w:val="28"/>
          <w:szCs w:val="28"/>
          <w:rtl/>
        </w:rPr>
        <w:t xml:space="preserve">هذا ولا وقع لما ذكره المحقّق القمي (قدس‌سره) إيراداً على التوجيه المذكور من أنّ الفعل مع هذه المرجوحيّة الإضافية إمّا أن يكون مطلوب الفعل أو التّرك أو مطلوبهما وعلى الأوّل لا كراهة وعلى الثاني لا وجوب وعلى الثالث يعود المحذور،</w:t>
      </w:r>
      <w:r>
        <w:rPr>
          <w:rStyle w:val="FootnoteReference"/>
        </w:rPr>
        <w:footnoteReference w:id="1210"/>
      </w:r>
      <w:r>
        <w:rPr>
          <w:rFonts w:ascii="Amiri" w:hAnsi="Amiri" w:eastAsia="Amiri" w:cs="Amiri"/>
          <w:lang w:bidi="ar-SA"/>
          <w:color w:val="111111"/>
          <w:sz w:val="28"/>
          <w:szCs w:val="28"/>
          <w:rtl/>
        </w:rPr>
        <w:t xml:space="preserve">لما مرّ في نظيره على التوجيه الأوّل</w:t>
      </w:r>
      <w:r>
        <w:rPr>
          <w:rStyle w:val="FootnoteReference"/>
        </w:rPr>
        <w:footnoteReference w:id="1211"/>
      </w:r>
      <w:r>
        <w:rPr>
          <w:rFonts w:ascii="IRNazanin" w:hAnsi="IRNazanin" w:eastAsia="IRNazanin" w:cs="IRNazanin"/>
          <w:lang w:bidi="fa-IR"/>
          <w:color w:val="111111"/>
          <w:sz w:val="28"/>
          <w:szCs w:val="28"/>
          <w:rtl/>
        </w:rPr>
        <w:t xml:space="preserve">من إمکان إرادة الأوّل على وجه والثالث على آخر - مع أنّ هذا الإيراد إنّما يناسب إذا جعلنا المراد من المرجوحيّة المنقصة لا طلب الترك الغيري - ولا لما ذكره أیضاً من أنّه يمكن أن يقال بنظيره في النّهي التّحريمي أیضاً وأنّ الفعل راجح ذاتي ومرجوح</w:t>
      </w:r>
      <w:r>
        <w:rPr>
          <w:rStyle w:val="FootnoteReference"/>
        </w:rPr>
        <w:footnoteReference w:id="1212"/>
      </w:r>
      <w:r>
        <w:rPr>
          <w:rFonts w:ascii="Amiri" w:hAnsi="Amiri" w:eastAsia="Amiri" w:cs="Amiri"/>
          <w:lang w:bidi="ar-SA"/>
          <w:color w:val="111111"/>
          <w:sz w:val="28"/>
          <w:szCs w:val="28"/>
          <w:rtl/>
        </w:rPr>
        <w:t xml:space="preserve">بالإضافة إلى الغير؛ لأنّ مرجوحيّة الغصب</w:t>
      </w:r>
      <w:r>
        <w:rPr>
          <w:rStyle w:val="FootnoteReference"/>
        </w:rPr>
        <w:footnoteReference w:id="1213"/>
      </w:r>
      <w:r>
        <w:rPr>
          <w:rFonts w:ascii="Amiri" w:hAnsi="Amiri" w:eastAsia="Amiri" w:cs="Amiri"/>
          <w:lang w:bidi="ar-SA"/>
          <w:color w:val="111111"/>
          <w:sz w:val="28"/>
          <w:szCs w:val="28"/>
          <w:rtl/>
        </w:rPr>
        <w:t xml:space="preserve">ليست غيريّة قطعاً والصّلاة متّحدة معه فلا يمكن ذلك فيه.</w:t>
      </w:r>
    </w:p>
    <w:p>
      <w:pPr>
        <w:pStyle w:val="Heading6"/>
      </w:pPr>
      <w:bookmarkStart w:id="647" w:name="_Toc328"/>
      <w:r>
        <w:t>[الوجه الثالث: حمل تعلّق الكراهة بأمر خارج عن العبادة]</w:t>
      </w:r>
      <w:bookmarkEnd w:id="647"/>
    </w:p>
    <w:p>
      <w:pPr>
        <w:pStyle w:val="Heading6"/>
      </w:pPr>
      <w:bookmarkStart w:id="648" w:name="_Toc329"/>
      <w:r>
        <w:t>اشارة</w:t>
      </w:r>
      <w:bookmarkEnd w:id="648"/>
    </w:p>
    <w:p>
      <w:pPr>
        <w:pStyle w:val="BookText"/>
      </w:pPr>
      <w:r>
        <w:rPr>
          <w:rFonts w:ascii="Amiri" w:hAnsi="Amiri" w:eastAsia="Amiri" w:cs="Amiri"/>
          <w:lang w:bidi="ar-SA"/>
          <w:color w:val="111111"/>
          <w:sz w:val="28"/>
          <w:szCs w:val="28"/>
          <w:rtl/>
        </w:rPr>
        <w:t xml:space="preserve">الثالث: أنّ</w:t>
      </w:r>
      <w:r>
        <w:rPr>
          <w:rStyle w:val="FootnoteReference"/>
        </w:rPr>
        <w:footnoteReference w:id="1214"/>
      </w:r>
      <w:r>
        <w:rPr>
          <w:rFonts w:ascii="Amiri" w:hAnsi="Amiri" w:eastAsia="Amiri" w:cs="Amiri"/>
          <w:lang w:bidi="ar-SA"/>
          <w:color w:val="111111"/>
          <w:sz w:val="28"/>
          <w:szCs w:val="28"/>
          <w:rtl/>
        </w:rPr>
        <w:t xml:space="preserve">النهي في الموارد المذكورة متعلّق بحكم الاستقراء بأمر خارج عن العبادة غير متّحد</w:t>
      </w:r>
      <w:r>
        <w:rPr>
          <w:rStyle w:val="FootnoteReference"/>
        </w:rPr>
        <w:footnoteReference w:id="1215"/>
      </w:r>
      <w:r>
        <w:rPr>
          <w:rFonts w:ascii="IRNazanin" w:hAnsi="IRNazanin" w:eastAsia="IRNazanin" w:cs="IRNazanin"/>
          <w:lang w:bidi="fa-IR"/>
          <w:color w:val="111111"/>
          <w:sz w:val="28"/>
          <w:szCs w:val="28"/>
          <w:rtl/>
        </w:rPr>
        <w:t xml:space="preserve">معها</w:t>
      </w:r>
      <w:r>
        <w:rPr>
          <w:rStyle w:val="FootnoteReference"/>
        </w:rPr>
        <w:footnoteReference w:id="1216"/>
      </w:r>
      <w:r>
        <w:rPr>
          <w:rFonts w:ascii="Amiri" w:hAnsi="Amiri" w:eastAsia="Amiri" w:cs="Amiri"/>
          <w:lang w:bidi="ar-SA"/>
          <w:color w:val="111111"/>
          <w:sz w:val="28"/>
          <w:szCs w:val="28"/>
          <w:rtl/>
        </w:rPr>
        <w:t xml:space="preserve">مثل التعرّض للرشاش وللسّيل</w:t>
      </w:r>
      <w:r>
        <w:rPr>
          <w:rStyle w:val="FootnoteReference"/>
        </w:rPr>
        <w:footnoteReference w:id="1217"/>
      </w:r>
      <w:r>
        <w:rPr>
          <w:rFonts w:ascii="IRNazanin" w:hAnsi="IRNazanin" w:eastAsia="IRNazanin" w:cs="IRNazanin"/>
          <w:lang w:bidi="fa-IR"/>
          <w:color w:val="111111"/>
          <w:sz w:val="28"/>
          <w:szCs w:val="28"/>
          <w:rtl/>
        </w:rPr>
        <w:t xml:space="preserve">ولإنفار الدّوابّ ونحو ذلك، فهو وإن کان في الظاهر متعلّقاً بالعبادات إلّا أنّه في الحقيقة متعلّق بأمر آخر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83" w:name="pg6784_51352"/>
    <w:bookmarkEnd w:id="183"/>
    <w:p>
      <w:pPr>
        <w:pStyle w:val="BookText"/>
      </w:pPr>
      <w:r>
        <w:rPr>
          <w:rFonts w:ascii="IRNazanin" w:hAnsi="IRNazanin" w:eastAsia="IRNazanin" w:cs="IRNazanin"/>
          <w:lang w:bidi="fa-IR"/>
          <w:color w:val="111111"/>
          <w:sz w:val="28"/>
          <w:szCs w:val="28"/>
          <w:rtl/>
        </w:rPr>
        <w:t xml:space="preserve">مقارن لها.</w:t>
      </w:r>
    </w:p>
    <w:p>
      <w:pPr>
        <w:pStyle w:val="BookText"/>
      </w:pPr>
      <w:r>
        <w:rPr>
          <w:rFonts w:ascii="Amiri" w:hAnsi="Amiri" w:eastAsia="Amiri" w:cs="Amiri"/>
          <w:lang w:bidi="ar-SA"/>
          <w:color w:val="111111"/>
          <w:sz w:val="28"/>
          <w:szCs w:val="28"/>
          <w:rtl/>
        </w:rPr>
        <w:t xml:space="preserve">ومعنى كراهة العبادة حينئذٍ الحزازة الحاصلة من جهة المقارنة كأن يقال: «يكره الصّلاة مع النّظر إلى الأجنبيّة في حالها» فإنّ النّهي في الحقيقة متعلّق بالنّظر حال الصّلاة ولا منقصة فيها من حيث هي.</w:t>
      </w:r>
    </w:p>
    <w:p>
      <w:pPr>
        <w:pStyle w:val="BookText"/>
      </w:pPr>
      <w:r>
        <w:rPr>
          <w:rFonts w:ascii="Amiri" w:hAnsi="Amiri" w:eastAsia="Amiri" w:cs="Amiri"/>
          <w:lang w:bidi="ar-SA"/>
          <w:color w:val="111111"/>
          <w:sz w:val="28"/>
          <w:szCs w:val="28"/>
          <w:rtl/>
        </w:rPr>
        <w:t xml:space="preserve">فإطلاق الكراهة كتعلّق النّهي مسامحة.</w:t>
      </w:r>
    </w:p>
    <w:p>
      <w:pPr>
        <w:pStyle w:val="BookText"/>
      </w:pPr>
      <w:r>
        <w:rPr>
          <w:rFonts w:ascii="IRNazanin" w:hAnsi="IRNazanin" w:eastAsia="IRNazanin" w:cs="IRNazanin"/>
          <w:lang w:bidi="fa-IR"/>
          <w:color w:val="111111"/>
          <w:sz w:val="28"/>
          <w:szCs w:val="28"/>
          <w:rtl/>
        </w:rPr>
        <w:t xml:space="preserve">ولا يضّر عدم البيان بعد معلومية كون الغرض ترك النّظر أو ترك الصّلاة في المواضع المذكورة والإتیان بها في غيرها.</w:t>
      </w:r>
    </w:p>
    <w:p>
      <w:pPr>
        <w:pStyle w:val="BookText"/>
      </w:pPr>
      <w:r>
        <w:rPr>
          <w:rFonts w:ascii="IRNazanin" w:hAnsi="IRNazanin" w:eastAsia="IRNazanin" w:cs="IRNazanin"/>
          <w:lang w:bidi="fa-IR"/>
          <w:color w:val="111111"/>
          <w:sz w:val="28"/>
          <w:szCs w:val="28"/>
          <w:rtl/>
        </w:rPr>
        <w:t xml:space="preserve">ولا يضرّ أیضاً عدم كراهة التعرّض للرّشاش أو السّيل في غير حال الصّلاة؛ إذ يمكن أن يكون ذلك مكروهاً حال الصّلاة فقط كما يمكن أن يكون المحرّم الغصب حال الصّلاة فقط.</w:t>
      </w:r>
    </w:p>
    <w:p>
      <w:pPr>
        <w:pStyle w:val="BookText"/>
      </w:pPr>
      <w:r>
        <w:rPr>
          <w:rFonts w:ascii="IRNazanin" w:hAnsi="IRNazanin" w:eastAsia="IRNazanin" w:cs="IRNazanin"/>
          <w:lang w:bidi="fa-IR"/>
          <w:color w:val="111111"/>
          <w:sz w:val="28"/>
          <w:szCs w:val="28"/>
          <w:rtl/>
        </w:rPr>
        <w:t xml:space="preserve">ومن ذلك يظهر اندفاع ما ربما يورد عليه من أنّه لو أريد تعلّق النّهي بأمر خارج غير متّحد خرج عن كراهة العبادة، ولو أريد تعلّقه بأمر خارج متّحد لم ينفع؛ لأنّ في النّهي التّحريمي أیضاً كذلك.</w:t>
      </w:r>
    </w:p>
    <w:p>
      <w:pPr>
        <w:pStyle w:val="BookText"/>
      </w:pPr>
      <w:r>
        <w:rPr>
          <w:rFonts w:ascii="Amiri" w:hAnsi="Amiri" w:eastAsia="Amiri" w:cs="Amiri"/>
          <w:lang w:bidi="ar-SA"/>
          <w:color w:val="111111"/>
          <w:sz w:val="28"/>
          <w:szCs w:val="28"/>
          <w:rtl/>
        </w:rPr>
        <w:t xml:space="preserve">وذلك لما عرفت من أنّ إطلاق الكراهة مسامحة.</w:t>
      </w:r>
    </w:p>
    <w:p>
      <w:pPr>
        <w:pStyle w:val="Heading6"/>
      </w:pPr>
      <w:bookmarkStart w:id="649" w:name="_Toc330"/>
      <w:r>
        <w:t>[الإیراد على الوجه الثالث]</w:t>
      </w:r>
      <w:bookmarkEnd w:id="649"/>
    </w:p>
    <w:p>
      <w:pPr>
        <w:pStyle w:val="BookText"/>
      </w:pPr>
      <w:r>
        <w:rPr>
          <w:rFonts w:ascii="Amiri" w:hAnsi="Amiri" w:eastAsia="Amiri" w:cs="Amiri"/>
          <w:lang w:bidi="ar-SA"/>
          <w:color w:val="111111"/>
          <w:sz w:val="28"/>
          <w:szCs w:val="28"/>
          <w:rtl/>
        </w:rPr>
        <w:t xml:space="preserve">نعم يرد عليه: أنّه لا يتمّ في جميع الموارد والاستقراء المذكور ممنوع.</w:t>
      </w:r>
    </w:p>
    <w:p>
      <w:pPr>
        <w:pStyle w:val="BookText"/>
      </w:pPr>
      <w:r>
        <w:rPr>
          <w:rFonts w:ascii="Amiri" w:hAnsi="Amiri" w:eastAsia="Amiri" w:cs="Amiri"/>
          <w:lang w:bidi="ar-SA"/>
          <w:color w:val="111111"/>
          <w:sz w:val="28"/>
          <w:szCs w:val="28"/>
          <w:rtl/>
        </w:rPr>
        <w:t xml:space="preserve">مع أنّه خلاف ظاهر النّواهي المذكورة فإنّها ظاهرة في كراهة نفس العبادةويبعد تعلّق</w:t>
      </w:r>
      <w:r>
        <w:rPr>
          <w:rStyle w:val="FootnoteReference"/>
        </w:rPr>
        <w:footnoteReference w:id="1218"/>
      </w:r>
      <w:r>
        <w:rPr>
          <w:rFonts w:ascii="IRNazanin" w:hAnsi="IRNazanin" w:eastAsia="IRNazanin" w:cs="IRNazanin"/>
          <w:lang w:bidi="fa-IR"/>
          <w:color w:val="111111"/>
          <w:sz w:val="28"/>
          <w:szCs w:val="28"/>
          <w:rtl/>
        </w:rPr>
        <w:t xml:space="preserve">النهي بها في هذه الأخبار الكثيرة مع كونه في الحقيقة متعلّقاً بأمر خارج لا يخطر ببال المکلّف أصلاً.</w:t>
      </w:r>
    </w:p>
    <w:p>
      <w:pPr>
        <w:pStyle w:val="BookText"/>
      </w:pPr>
      <w:r>
        <w:rPr>
          <w:rFonts w:ascii="IRNazanin" w:hAnsi="IRNazanin" w:eastAsia="IRNazanin" w:cs="IRNazanin"/>
          <w:lang w:bidi="fa-IR"/>
          <w:color w:val="111111"/>
          <w:sz w:val="28"/>
          <w:szCs w:val="28"/>
          <w:rtl/>
        </w:rPr>
        <w:t xml:space="preserve">ولو أراد الموجّه المذكور جريان هذا التّوجيه في بعض الموارد وإن کان البعض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محتاجاً إلى توجيه آخر صار أبعد عن الإيراد.</w:t>
      </w:r>
    </w:p>
    <w:p>
      <w:pPr>
        <w:pStyle w:val="BookText"/>
      </w:pPr>
      <w:r>
        <w:rPr>
          <w:rFonts w:ascii="Amiri" w:hAnsi="Amiri" w:eastAsia="Amiri" w:cs="Amiri"/>
          <w:lang w:bidi="ar-SA"/>
          <w:color w:val="111111"/>
          <w:sz w:val="28"/>
          <w:szCs w:val="28"/>
          <w:rtl/>
        </w:rPr>
        <w:t xml:space="preserve">لكن ظاهره بل صريحه حيث تمسّك بالاستقراء جريانه في جميع المقامات مع أنّه لا يتمّ تصنّعه في بعضها فضلاً عن كونه جارياً فيه بلا بُعد.</w:t>
      </w:r>
    </w:p>
    <w:p>
      <w:pPr>
        <w:pStyle w:val="BookText"/>
      </w:pPr>
      <w:r>
        <w:rPr>
          <w:rFonts w:ascii="IRNazanin" w:hAnsi="IRNazanin" w:eastAsia="IRNazanin" w:cs="IRNazanin"/>
          <w:lang w:bidi="fa-IR"/>
          <w:color w:val="111111"/>
          <w:sz w:val="28"/>
          <w:szCs w:val="28"/>
          <w:rtl/>
        </w:rPr>
        <w:t xml:space="preserve">وأیضاً لا يتمّ في موارد العموم من وجه فإنّ من المعلوم أنّ النّهي متعلّق بنفس التصرّف في المال المشتبه بالغصب أو النّجس تنزيهاً المتّحد مع الصلاة لا بالتعرض له فلا يتمّ التوجيه المذكور فيها.</w:t>
      </w:r>
    </w:p>
    <w:p>
      <w:pPr>
        <w:pStyle w:val="BookText"/>
      </w:pPr>
      <w:r>
        <w:rPr>
          <w:rFonts w:ascii="Amiri" w:hAnsi="Amiri" w:eastAsia="Amiri" w:cs="Amiri"/>
          <w:lang w:bidi="ar-SA"/>
          <w:color w:val="111111"/>
          <w:sz w:val="28"/>
          <w:szCs w:val="28"/>
          <w:rtl/>
        </w:rPr>
        <w:t xml:space="preserve">ولعلّ هذا مراد المحقّق القمي (قدس‌سره) حيث قال: إنّ التوجيه المذكور لا يتمّ بالنسبة إلى الصّلاة في مواضع التّهمة،</w:t>
      </w:r>
      <w:r>
        <w:rPr>
          <w:rStyle w:val="FootnoteReference"/>
        </w:rPr>
        <w:footnoteReference w:id="1219"/>
      </w:r>
      <w:r>
        <w:rPr>
          <w:rFonts w:ascii="IRNazanin" w:hAnsi="IRNazanin" w:eastAsia="IRNazanin" w:cs="IRNazanin"/>
          <w:lang w:bidi="fa-IR"/>
          <w:color w:val="111111"/>
          <w:sz w:val="28"/>
          <w:szCs w:val="28"/>
          <w:rtl/>
        </w:rPr>
        <w:t xml:space="preserve">فإنّ نفس الكون فيها منهي عنه فغرضه أنّه ليس النّهي متوجّهاً إلى التعرض للتهمة فإنّه وإن کان ممكناً إلّا أنّه خلاف الواقع؛ إذ معلوم أنّ نفس الكون مكروه.</w:t>
      </w:r>
    </w:p>
    <w:p>
      <w:pPr>
        <w:pStyle w:val="BookText"/>
      </w:pPr>
      <w:r>
        <w:rPr>
          <w:rFonts w:ascii="IRNazanin" w:hAnsi="IRNazanin" w:eastAsia="IRNazanin" w:cs="IRNazanin"/>
          <w:lang w:bidi="fa-IR"/>
          <w:color w:val="111111"/>
          <w:sz w:val="28"/>
          <w:szCs w:val="28"/>
          <w:rtl/>
        </w:rPr>
        <w:t xml:space="preserve">فلا وجه لما أورده عليه في الفصول من أنّ للموجّه أن يجعل النّهي فيه أیضاً عن التعرض للتهمة؛</w:t>
      </w:r>
      <w:r>
        <w:rPr>
          <w:rStyle w:val="FootnoteReference"/>
        </w:rPr>
        <w:footnoteReference w:id="1220"/>
      </w:r>
      <w:r>
        <w:rPr>
          <w:rFonts w:ascii="IRNazanin" w:hAnsi="IRNazanin" w:eastAsia="IRNazanin" w:cs="IRNazanin"/>
          <w:lang w:bidi="fa-IR"/>
          <w:color w:val="111111"/>
          <w:sz w:val="28"/>
          <w:szCs w:val="28"/>
          <w:rtl/>
        </w:rPr>
        <w:t xml:space="preserve">إذ مجرّد الإمکان لا ينفع بعد معلومية كون نفس الكون مكروهاً في غير حال الصّلاة فلا يمكن أن يقال بتعلّقه بالتعرض إذا كان حال الصلاة.</w:t>
      </w:r>
    </w:p>
    <w:p>
      <w:pPr>
        <w:pStyle w:val="BookText"/>
      </w:pPr>
      <w:r>
        <w:rPr>
          <w:rFonts w:ascii="Amiri" w:hAnsi="Amiri" w:eastAsia="Amiri" w:cs="Amiri"/>
          <w:lang w:bidi="ar-SA"/>
          <w:color w:val="111111"/>
          <w:sz w:val="28"/>
          <w:szCs w:val="28"/>
          <w:rtl/>
        </w:rPr>
        <w:t xml:space="preserve">نعم يمكن أن يناقش في خصوص هذا المثال بأنّ الكون ليس جزءاً من الصّلاة؛ إذ الظّاهر أنّ المراد منه مجرّد تحيّزه في ذلك المكان والكون الّذي هو جزء الصّلاة غير هذا الكون.</w:t>
      </w:r>
    </w:p>
    <w:p>
      <w:pPr>
        <w:pStyle w:val="BookText"/>
      </w:pPr>
      <w:r>
        <w:rPr>
          <w:rFonts w:ascii="IRNazanin" w:hAnsi="IRNazanin" w:eastAsia="IRNazanin" w:cs="IRNazanin"/>
          <w:lang w:bidi="fa-IR"/>
          <w:color w:val="111111"/>
          <w:sz w:val="28"/>
          <w:szCs w:val="28"/>
          <w:rtl/>
        </w:rPr>
        <w:t xml:space="preserve">لكنّ الظّاهر أنّ غرض المحقّق المذكور المثالية لکلّ ما كان من قبيل العموم من وجه.</w:t>
      </w:r>
    </w:p>
    <w:p>
      <w:pPr>
        <w:pStyle w:val="BookText"/>
      </w:pPr>
      <w:r>
        <w:rPr>
          <w:rFonts w:ascii="Amiri" w:hAnsi="Amiri" w:eastAsia="Amiri" w:cs="Amiri"/>
          <w:lang w:bidi="ar-SA"/>
          <w:color w:val="111111"/>
          <w:sz w:val="28"/>
          <w:szCs w:val="28"/>
          <w:rtl/>
        </w:rPr>
        <w:t xml:space="preserve">هذا وربما يقال: إنّ كون جزء العبادة مكروهاً لا يضرّ فيها بخلاف ما إذا كانحراماً فإنّه لا بدّ من كون أجزاء العبادة مرخصاً فيها ولا يلزم كونها بجميعها راجحة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84" w:name="pg6784_51354"/>
    <w:bookmarkEnd w:id="184"/>
    <w:p>
      <w:pPr>
        <w:pStyle w:val="BookText"/>
      </w:pPr>
      <w:r>
        <w:rPr>
          <w:rFonts w:ascii="Amiri" w:hAnsi="Amiri" w:eastAsia="Amiri" w:cs="Amiri"/>
          <w:lang w:bidi="ar-SA"/>
          <w:color w:val="111111"/>
          <w:sz w:val="28"/>
          <w:szCs w:val="28"/>
          <w:rtl/>
        </w:rPr>
        <w:t xml:space="preserve">فنلتزم في موارد العموم من وجه بالكراهة المصطلحة فلا</w:t>
      </w:r>
      <w:r>
        <w:rPr>
          <w:rStyle w:val="FootnoteReference"/>
        </w:rPr>
        <w:footnoteReference w:id="1221"/>
      </w:r>
      <w:r>
        <w:rPr>
          <w:rFonts w:ascii="Amiri" w:hAnsi="Amiri" w:eastAsia="Amiri" w:cs="Amiri"/>
          <w:lang w:bidi="ar-SA"/>
          <w:color w:val="111111"/>
          <w:sz w:val="28"/>
          <w:szCs w:val="28"/>
          <w:rtl/>
        </w:rPr>
        <w:t xml:space="preserve">يضرّ.</w:t>
      </w:r>
    </w:p>
    <w:p>
      <w:pPr>
        <w:pStyle w:val="BookText"/>
      </w:pPr>
      <w:r>
        <w:rPr>
          <w:rFonts w:ascii="IRNazanin" w:hAnsi="IRNazanin" w:eastAsia="IRNazanin" w:cs="IRNazanin"/>
          <w:lang w:bidi="fa-IR"/>
          <w:color w:val="111111"/>
          <w:sz w:val="28"/>
          <w:szCs w:val="28"/>
          <w:rtl/>
        </w:rPr>
        <w:t xml:space="preserve">وفيه: أنّه وإن کان صحيحاً من حيث هو كما سيأتي بيانه إلّا أنّا نقول: لا يلزم أن يكون مرخّصاً فيه أیضاً بل يمكن أن يكون حراماً صِرفاً ويكون العبادة من حيث الجملة واجبة حسبما يأتي إن شاء الله تعالى.</w:t>
      </w:r>
    </w:p>
    <w:p>
      <w:pPr>
        <w:pStyle w:val="BookText"/>
      </w:pPr>
      <w:r>
        <w:rPr>
          <w:rFonts w:ascii="IRNazanin" w:hAnsi="IRNazanin" w:eastAsia="IRNazanin" w:cs="IRNazanin"/>
          <w:lang w:bidi="fa-IR"/>
          <w:color w:val="111111"/>
          <w:sz w:val="28"/>
          <w:szCs w:val="28"/>
          <w:rtl/>
        </w:rPr>
        <w:t xml:space="preserve">مع أنّه لو تمّ لجرى في العموم المطلق أیضاً فيمكن أن يقال: إنّ الكون في الحمّام جزء من الصّلاة وكراهته لا تضرّ</w:t>
      </w:r>
      <w:r>
        <w:rPr>
          <w:rStyle w:val="FootnoteReference"/>
        </w:rPr>
        <w:footnoteReference w:id="1222"/>
      </w:r>
      <w:r>
        <w:rPr>
          <w:rFonts w:ascii="Amiri" w:hAnsi="Amiri" w:eastAsia="Amiri" w:cs="Amiri"/>
          <w:lang w:bidi="ar-SA"/>
          <w:color w:val="111111"/>
          <w:sz w:val="28"/>
          <w:szCs w:val="28"/>
          <w:rtl/>
        </w:rPr>
        <w:t xml:space="preserve">في رجحانها، إلّا أن يقال: الفرق أنّ</w:t>
      </w:r>
      <w:r>
        <w:rPr>
          <w:rStyle w:val="FootnoteReference"/>
        </w:rPr>
        <w:footnoteReference w:id="1223"/>
      </w:r>
      <w:r>
        <w:rPr>
          <w:rFonts w:ascii="Amiri" w:hAnsi="Amiri" w:eastAsia="Amiri" w:cs="Amiri"/>
          <w:lang w:bidi="ar-SA"/>
          <w:color w:val="111111"/>
          <w:sz w:val="28"/>
          <w:szCs w:val="28"/>
          <w:rtl/>
        </w:rPr>
        <w:t xml:space="preserve">النهي في العموم المطلق تعلّق بنفس الصّلاة لا بالكون بخلاف موارد العموم من وجه ولا بأس به. فتدبّر.</w:t>
      </w:r>
    </w:p>
    <w:p>
      <w:pPr>
        <w:pStyle w:val="BookText"/>
      </w:pPr>
      <w:r>
        <w:rPr>
          <w:rFonts w:ascii="Amiri" w:hAnsi="Amiri" w:eastAsia="Amiri" w:cs="Amiri"/>
          <w:lang w:bidi="ar-SA"/>
          <w:color w:val="111111"/>
          <w:sz w:val="28"/>
          <w:szCs w:val="28"/>
          <w:rtl/>
        </w:rPr>
        <w:t xml:space="preserve">وربّما يقال: نلتزم في موارد العموم من وجه بما مرّ سابقاً من تخصيص النهي بحكم العقل بغير مورد الاجتماع وبقاء المنقصة لتصادم مصلحة الوجوب ومفسدة الكراهة وغلبة جانب الوجوب فيبقى في طرف الكراهة مجرّد الجهة المنقّصة، وهو صحيح إلّا أنّك عرفت أنّ غرض الموجّه بيان توجيه ينفع في جميع الموارد.</w:t>
      </w:r>
    </w:p>
    <w:p>
      <w:pPr>
        <w:pStyle w:val="BookText"/>
      </w:pPr>
      <w:r>
        <w:rPr>
          <w:rFonts w:ascii="IRNazanin" w:hAnsi="IRNazanin" w:eastAsia="IRNazanin" w:cs="IRNazanin"/>
          <w:lang w:bidi="fa-IR"/>
          <w:color w:val="111111"/>
          <w:sz w:val="28"/>
          <w:szCs w:val="28"/>
          <w:rtl/>
        </w:rPr>
        <w:t xml:space="preserve">نعم يمكن أن يقال: ظاهر کلامهم</w:t>
      </w:r>
      <w:r>
        <w:rPr>
          <w:rStyle w:val="FootnoteReference"/>
        </w:rPr>
        <w:footnoteReference w:id="1224"/>
      </w:r>
      <w:r>
        <w:rPr>
          <w:rFonts w:ascii="Amiri" w:hAnsi="Amiri" w:eastAsia="Amiri" w:cs="Amiri"/>
          <w:lang w:bidi="ar-SA"/>
          <w:color w:val="111111"/>
          <w:sz w:val="28"/>
          <w:szCs w:val="28"/>
          <w:rtl/>
        </w:rPr>
        <w:t xml:space="preserve">توجيه خصوص موارد العموم المطلق. فتدبّر.</w:t>
      </w:r>
    </w:p>
    <w:p>
      <w:pPr>
        <w:pStyle w:val="Heading6"/>
      </w:pPr>
      <w:bookmarkStart w:id="650" w:name="_Toc331"/>
      <w:r>
        <w:t>[إیرادات غیر صحیحة على التوجیه المذکور في الوجه الثالث]</w:t>
      </w:r>
      <w:bookmarkEnd w:id="650"/>
    </w:p>
    <w:p>
      <w:pPr>
        <w:pStyle w:val="BookText"/>
      </w:pPr>
      <w:r>
        <w:rPr>
          <w:rFonts w:ascii="Amiri" w:hAnsi="Amiri" w:eastAsia="Amiri" w:cs="Amiri"/>
          <w:lang w:bidi="ar-SA"/>
          <w:color w:val="111111"/>
          <w:sz w:val="28"/>
          <w:szCs w:val="28"/>
          <w:rtl/>
        </w:rPr>
        <w:t xml:space="preserve">وقد يورد على التوجيه المذكور بوجوه أخر</w:t>
      </w:r>
      <w:r>
        <w:rPr>
          <w:rStyle w:val="FootnoteReference"/>
        </w:rPr>
        <w:footnoteReference w:id="1225"/>
      </w:r>
      <w:r>
        <w:rPr>
          <w:rFonts w:ascii="IRNazanin" w:hAnsi="IRNazanin" w:eastAsia="IRNazanin" w:cs="IRNazanin"/>
          <w:lang w:bidi="fa-IR"/>
          <w:color w:val="111111"/>
          <w:sz w:val="28"/>
          <w:szCs w:val="28"/>
          <w:rtl/>
        </w:rPr>
        <w:t xml:space="preserve">لا وقع لها:</w:t>
      </w:r>
    </w:p>
    <w:p>
      <w:pPr>
        <w:pStyle w:val="BookText"/>
      </w:pPr>
      <w:r>
        <w:rPr>
          <w:rFonts w:ascii="Amiri" w:hAnsi="Amiri" w:eastAsia="Amiri" w:cs="Amiri"/>
          <w:lang w:bidi="ar-SA"/>
          <w:color w:val="111111"/>
          <w:sz w:val="28"/>
          <w:szCs w:val="28"/>
          <w:rtl/>
        </w:rPr>
        <w:t xml:space="preserve">أحدها: أنّ التعرض للرّشاش ونحوه ليس إلّا الكون الّذي هو متّحد مع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فلا يكون التعلّق</w:t>
      </w:r>
      <w:r>
        <w:rPr>
          <w:rStyle w:val="FootnoteReference"/>
        </w:rPr>
        <w:footnoteReference w:id="1226"/>
      </w:r>
      <w:r>
        <w:rPr>
          <w:rFonts w:ascii="IRNazanin" w:hAnsi="IRNazanin" w:eastAsia="IRNazanin" w:cs="IRNazanin"/>
          <w:lang w:bidi="fa-IR"/>
          <w:color w:val="111111"/>
          <w:sz w:val="28"/>
          <w:szCs w:val="28"/>
          <w:rtl/>
        </w:rPr>
        <w:t xml:space="preserve">بالأمر الخارج نافعاً.</w:t>
      </w:r>
    </w:p>
    <w:p>
      <w:pPr>
        <w:pStyle w:val="BookText"/>
      </w:pPr>
      <w:r>
        <w:rPr>
          <w:rFonts w:ascii="Amiri" w:hAnsi="Amiri" w:eastAsia="Amiri" w:cs="Amiri"/>
          <w:lang w:bidi="ar-SA"/>
          <w:color w:val="111111"/>
          <w:sz w:val="28"/>
          <w:szCs w:val="28"/>
          <w:rtl/>
        </w:rPr>
        <w:t xml:space="preserve">وفيه: أنّ التعرّض عنوان منتزع من الكون الخارجي لا نفسه فلا يكون متّحداً معالصّلاة فهو نظير العناوين الثانوية.</w:t>
      </w:r>
    </w:p>
    <w:p>
      <w:pPr>
        <w:pStyle w:val="BookText"/>
      </w:pPr>
      <w:r>
        <w:rPr>
          <w:rFonts w:ascii="Amiri" w:hAnsi="Amiri" w:eastAsia="Amiri" w:cs="Amiri"/>
          <w:lang w:bidi="ar-SA"/>
          <w:color w:val="111111"/>
          <w:sz w:val="28"/>
          <w:szCs w:val="28"/>
          <w:rtl/>
        </w:rPr>
        <w:t xml:space="preserve">إلّا أن يقال: إذا كان مكروهاً فلازمه كراهة سببه وهو الكون المتّحد مع الصّلاة.</w:t>
      </w:r>
    </w:p>
    <w:p>
      <w:pPr>
        <w:pStyle w:val="BookText"/>
      </w:pPr>
      <w:r>
        <w:rPr>
          <w:rFonts w:ascii="IRNazanin" w:hAnsi="IRNazanin" w:eastAsia="IRNazanin" w:cs="IRNazanin"/>
          <w:lang w:bidi="fa-IR"/>
          <w:color w:val="111111"/>
          <w:sz w:val="28"/>
          <w:szCs w:val="28"/>
          <w:rtl/>
        </w:rPr>
        <w:t xml:space="preserve">وفيه: منع كونه مكروهاً في المقام ولو قلنا بمطلوبیّة المقدّمة؛ إذ كون الكون واجباً يمنع عن تعلّق الكراهة به فيكون المكروه خصوص مسبّبه فقط.</w:t>
      </w:r>
    </w:p>
    <w:p>
      <w:pPr>
        <w:pStyle w:val="BookText"/>
      </w:pPr>
      <w:r>
        <w:rPr>
          <w:rFonts w:ascii="Amiri" w:hAnsi="Amiri" w:eastAsia="Amiri" w:cs="Amiri"/>
          <w:lang w:bidi="ar-SA"/>
          <w:color w:val="111111"/>
          <w:sz w:val="28"/>
          <w:szCs w:val="28"/>
          <w:rtl/>
        </w:rPr>
        <w:t xml:space="preserve">هذا مع أنّه على فرض تسليم اتّحاد التعرض مع الصّلاة لنا أن نلتزم تعلّق النّهي بعنوان آخر غيره ممّا لا يكون متّحداً؛ إذ الغرض التوجيه على وجه لا يلزم المحذور فالمناقشة المذكورة من قبيل المناقشة في المثال ولا يضرّ بأصل المدّعى.</w:t>
      </w:r>
    </w:p>
    <w:p>
      <w:pPr>
        <w:pStyle w:val="BookText"/>
      </w:pPr>
      <w:r>
        <w:rPr>
          <w:rFonts w:ascii="Amiri" w:hAnsi="Amiri" w:eastAsia="Amiri" w:cs="Amiri"/>
          <w:lang w:bidi="ar-SA"/>
          <w:color w:val="111111"/>
          <w:sz w:val="28"/>
          <w:szCs w:val="28"/>
          <w:rtl/>
        </w:rPr>
        <w:t xml:space="preserve">الثاني: أنّ هذا التوجيه لا يجري فيما يؤمن من الرّشاش ونحوه مع أنّ الكراهة مطلقة.</w:t>
      </w:r>
    </w:p>
    <w:p>
      <w:pPr>
        <w:pStyle w:val="BookText"/>
      </w:pPr>
      <w:r>
        <w:rPr>
          <w:rFonts w:ascii="Amiri" w:hAnsi="Amiri" w:eastAsia="Amiri" w:cs="Amiri"/>
          <w:lang w:bidi="ar-SA"/>
          <w:color w:val="111111"/>
          <w:sz w:val="28"/>
          <w:szCs w:val="28"/>
          <w:rtl/>
        </w:rPr>
        <w:t xml:space="preserve">وفيه: أنّه يمكن أن يقال المكروه التعرض الشأني للرشاش لا الفعلي.</w:t>
      </w:r>
      <w:r>
        <w:rPr>
          <w:rStyle w:val="FootnoteReference"/>
        </w:rPr>
        <w:footnoteReference w:id="1227"/>
      </w:r>
    </w:p>
    <w:p>
      <w:pPr>
        <w:pStyle w:val="BookText"/>
      </w:pPr>
      <w:r>
        <w:rPr>
          <w:rFonts w:ascii="Amiri" w:hAnsi="Amiri" w:eastAsia="Amiri" w:cs="Amiri"/>
          <w:lang w:bidi="ar-SA"/>
          <w:color w:val="111111"/>
          <w:sz w:val="28"/>
          <w:szCs w:val="28"/>
          <w:rtl/>
        </w:rPr>
        <w:t xml:space="preserve">الثّالث: أنّه يمكن أن يقال بمثله في النّواهي التحريمية كأن يقال: إنّ المحرّم التعرض للغصب حال الصلاة لا نفسها</w:t>
      </w:r>
      <w:r>
        <w:rPr>
          <w:rStyle w:val="FootnoteReference"/>
        </w:rPr>
        <w:footnoteReference w:id="1228"/>
      </w:r>
    </w:p>
    <w:p>
      <w:pPr>
        <w:pStyle w:val="BookText"/>
      </w:pPr>
      <w:r>
        <w:rPr>
          <w:rFonts w:ascii="Amiri" w:hAnsi="Amiri" w:eastAsia="Amiri" w:cs="Amiri"/>
          <w:lang w:bidi="ar-SA"/>
          <w:color w:val="111111"/>
          <w:sz w:val="28"/>
          <w:szCs w:val="28"/>
          <w:rtl/>
        </w:rPr>
        <w:t xml:space="preserve">وفيه: أنّ المفروض أنّ النهي متعلّق بنفس الغصب لا بالتعرض له ولا داعي إلى صرفه إلى التعرض. نعم لو ورد مورد حكم فيه بصحّة العمل المتّحد مع محرّم لا يمكن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5" w:name="pg6784_51356"/>
    <w:bookmarkEnd w:id="185"/>
    <w:p>
      <w:pPr>
        <w:pStyle w:val="BookText"/>
      </w:pPr>
      <w:r>
        <w:rPr>
          <w:rFonts w:ascii="Amiri" w:hAnsi="Amiri" w:eastAsia="Amiri" w:cs="Amiri"/>
          <w:lang w:bidi="ar-SA"/>
          <w:color w:val="111111"/>
          <w:sz w:val="28"/>
          <w:szCs w:val="28"/>
          <w:rtl/>
        </w:rPr>
        <w:t xml:space="preserve">فيه التوجيه إلّا بذلك نلتزم به.</w:t>
      </w:r>
    </w:p>
    <w:p>
      <w:pPr>
        <w:pStyle w:val="Heading6"/>
      </w:pPr>
      <w:bookmarkStart w:id="651" w:name="_Toc332"/>
      <w:r>
        <w:t>[کلام المحقّق الأنصاري (رحمة الله‌علیه) ونقده]</w:t>
      </w:r>
      <w:bookmarkEnd w:id="651"/>
    </w:p>
    <w:p>
      <w:pPr>
        <w:pStyle w:val="BookText"/>
      </w:pPr>
      <w:r>
        <w:rPr>
          <w:rFonts w:ascii="IRNazanin" w:hAnsi="IRNazanin" w:eastAsia="IRNazanin" w:cs="IRNazanin"/>
          <w:lang w:bidi="fa-IR"/>
          <w:color w:val="111111"/>
          <w:sz w:val="28"/>
          <w:szCs w:val="28"/>
          <w:rtl/>
        </w:rPr>
        <w:t xml:space="preserve">ثمّ إنّك بعد ما عرفت من صحّة هذا التوجيه في الجملة وفي بعض الموارد وإن کان بعيداً من حيث إنّه مخالف لظاهر النواهي تعرف أنّه لا وجه لما التزم به</w:t>
      </w:r>
      <w:r>
        <w:rPr>
          <w:rStyle w:val="FootnoteReference"/>
        </w:rPr>
        <w:footnoteReference w:id="1229"/>
      </w:r>
      <w:r>
        <w:rPr>
          <w:rFonts w:ascii="IRNazanin" w:hAnsi="IRNazanin" w:eastAsia="IRNazanin" w:cs="IRNazanin"/>
          <w:lang w:bidi="fa-IR"/>
          <w:color w:val="111111"/>
          <w:sz w:val="28"/>
          <w:szCs w:val="28"/>
          <w:rtl/>
        </w:rPr>
        <w:t xml:space="preserve">بعض من ضاق عليه المجال في دفع الإشکال المتقدم - من أنّ ذلك الخارج إن کان متّحداً مع العبادة يعود المحذور وإن کان مقارناً لا وجه للحكم بكراهة العبادة المقارنة مع ذلك المكروه - من أنّ التوجيه المذكور أجنبي عن المقام وأنّ ذكره في المقام خبطٌ منالناقل.</w:t>
      </w:r>
      <w:r>
        <w:rPr>
          <w:rStyle w:val="FootnoteReference"/>
        </w:rPr>
        <w:footnoteReference w:id="1230"/>
      </w:r>
    </w:p>
    <w:p>
      <w:pPr>
        <w:pStyle w:val="Heading6"/>
      </w:pPr>
      <w:bookmarkStart w:id="652" w:name="_Toc333"/>
      <w:r>
        <w:t>[إشکال المیرداماد (رحمة الله‌علیه) والشیخ البهائي (رحمة الله‌علیه) وجوابه]</w:t>
      </w:r>
      <w:bookmarkEnd w:id="652"/>
    </w:p>
    <w:p>
      <w:pPr>
        <w:pStyle w:val="BookText"/>
      </w:pPr>
      <w:r>
        <w:rPr>
          <w:rFonts w:ascii="IRNazanin" w:hAnsi="IRNazanin" w:eastAsia="IRNazanin" w:cs="IRNazanin"/>
          <w:lang w:bidi="fa-IR"/>
          <w:color w:val="111111"/>
          <w:sz w:val="28"/>
          <w:szCs w:val="28"/>
          <w:rtl/>
        </w:rPr>
        <w:t xml:space="preserve">وإنّما هو جوابٌ عن إشکال آخر أورده المحقّق الداماد (رحمة الله‌علیه) في السّبع الشداد</w:t>
      </w:r>
      <w:r>
        <w:rPr>
          <w:rStyle w:val="FootnoteReference"/>
        </w:rPr>
        <w:footnoteReference w:id="1231"/>
      </w:r>
      <w:r>
        <w:rPr>
          <w:rFonts w:ascii="IRNazanin" w:hAnsi="IRNazanin" w:eastAsia="IRNazanin" w:cs="IRNazanin"/>
          <w:lang w:bidi="fa-IR"/>
          <w:color w:val="111111"/>
          <w:sz w:val="28"/>
          <w:szCs w:val="28"/>
          <w:rtl/>
        </w:rPr>
        <w:t xml:space="preserve">والبهائي (رحمة الله‌علیه) في الزبدة</w:t>
      </w:r>
      <w:r>
        <w:rPr>
          <w:rStyle w:val="FootnoteReference"/>
        </w:rPr>
        <w:footnoteReference w:id="1232"/>
      </w:r>
      <w:r>
        <w:rPr>
          <w:rFonts w:ascii="IRNazanin" w:hAnsi="IRNazanin" w:eastAsia="IRNazanin" w:cs="IRNazanin"/>
          <w:lang w:bidi="fa-IR"/>
          <w:color w:val="111111"/>
          <w:sz w:val="28"/>
          <w:szCs w:val="28"/>
          <w:rtl/>
        </w:rPr>
        <w:t xml:space="preserve">من أنّ وجود المكروه في العبادات يوجب تسديس الأحکام أو تسبيعه حيث قال في السبع الشداد بعد ما أورد ضروباً من الإشکال ما لفظه:</w:t>
      </w:r>
    </w:p>
    <w:p>
      <w:pPr>
        <w:pStyle w:val="BookText"/>
      </w:pPr>
      <w:r>
        <w:rPr>
          <w:rFonts w:ascii="Amiri" w:hAnsi="Amiri" w:eastAsia="Amiri" w:cs="Amiri"/>
          <w:lang w:bidi="ar-SA"/>
          <w:color w:val="111111"/>
          <w:sz w:val="28"/>
          <w:szCs w:val="28"/>
          <w:rtl/>
        </w:rPr>
        <w:t xml:space="preserve">«ثم إنّه إذا صحّ ذلك يصحّح قسم</w:t>
      </w:r>
      <w:r>
        <w:rPr>
          <w:rStyle w:val="FootnoteReference"/>
        </w:rPr>
        <w:footnoteReference w:id="1233"/>
      </w:r>
      <w:r>
        <w:rPr>
          <w:rFonts w:ascii="Amiri" w:hAnsi="Amiri" w:eastAsia="Amiri" w:cs="Amiri"/>
          <w:lang w:bidi="ar-SA"/>
          <w:color w:val="111111"/>
          <w:sz w:val="28"/>
          <w:szCs w:val="28"/>
          <w:rtl/>
        </w:rPr>
        <w:t xml:space="preserve">آخر سوى الخمسة المشهورة وهو ما يثاب تاركه [من حيث هو تارك]</w:t>
      </w:r>
      <w:r>
        <w:rPr>
          <w:rStyle w:val="FootnoteReference"/>
        </w:rPr>
        <w:footnoteReference w:id="1234"/>
      </w:r>
      <w:r>
        <w:rPr>
          <w:rFonts w:ascii="IRNazanin" w:hAnsi="IRNazanin" w:eastAsia="IRNazanin" w:cs="IRNazanin"/>
          <w:lang w:bidi="fa-IR"/>
          <w:color w:val="111111"/>
          <w:sz w:val="28"/>
          <w:szCs w:val="28"/>
          <w:rtl/>
        </w:rPr>
        <w:t xml:space="preserve">- وفاعله أیضاً من حيث هو فاعل له ولكن يكون ثواب تركه -</w:t>
      </w:r>
      <w:r>
        <w:rPr>
          <w:rStyle w:val="FootnoteReference"/>
        </w:rPr>
        <w:footnoteReference w:id="1235"/>
      </w:r>
      <w:r>
        <w:rPr>
          <w:rFonts w:ascii="Amiri" w:hAnsi="Amiri" w:eastAsia="Amiri" w:cs="Amiri"/>
          <w:lang w:bidi="ar-SA"/>
          <w:color w:val="111111"/>
          <w:sz w:val="28"/>
          <w:szCs w:val="28"/>
          <w:rtl/>
        </w:rPr>
        <w:t xml:space="preserve">أكثر من ثواب فعله وبإزاء هذا قسم آخر أيضاً وهو ما يثاب فاعله</w:t>
      </w:r>
      <w:r>
        <w:rPr>
          <w:rStyle w:val="FootnoteReference"/>
        </w:rPr>
        <w:footnoteReference w:id="1236"/>
      </w:r>
      <w:r>
        <w:rPr>
          <w:rFonts w:ascii="Amiri" w:hAnsi="Amiri" w:eastAsia="Amiri" w:cs="Amiri"/>
          <w:lang w:bidi="ar-SA"/>
          <w:color w:val="111111"/>
          <w:sz w:val="28"/>
          <w:szCs w:val="28"/>
          <w:rtl/>
        </w:rPr>
        <w:t xml:space="preserve">من حيث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86" w:name="pg6784_51357"/>
    <w:bookmarkEnd w:id="186"/>
    <w:p>
      <w:pPr>
        <w:pStyle w:val="BookText"/>
      </w:pPr>
      <w:r>
        <w:rPr>
          <w:rFonts w:ascii="IRNazanin" w:hAnsi="IRNazanin" w:eastAsia="IRNazanin" w:cs="IRNazanin"/>
          <w:lang w:bidi="fa-IR"/>
          <w:color w:val="111111"/>
          <w:sz w:val="28"/>
          <w:szCs w:val="28"/>
          <w:rtl/>
        </w:rPr>
        <w:t xml:space="preserve">هو فاعله [من حیث هو فاعل له]</w:t>
      </w:r>
      <w:r>
        <w:rPr>
          <w:rStyle w:val="FootnoteReference"/>
        </w:rPr>
        <w:footnoteReference w:id="1237"/>
      </w:r>
      <w:r>
        <w:rPr>
          <w:rFonts w:ascii="IRNazanin" w:hAnsi="IRNazanin" w:eastAsia="IRNazanin" w:cs="IRNazanin"/>
          <w:lang w:bidi="fa-IR"/>
          <w:color w:val="111111"/>
          <w:sz w:val="28"/>
          <w:szCs w:val="28"/>
          <w:rtl/>
        </w:rPr>
        <w:t xml:space="preserve">وتارکه [أیضاً]</w:t>
      </w:r>
      <w:r>
        <w:rPr>
          <w:rStyle w:val="FootnoteReference"/>
        </w:rPr>
        <w:footnoteReference w:id="1238"/>
      </w:r>
      <w:r>
        <w:rPr>
          <w:rFonts w:ascii="IRNazanin" w:hAnsi="IRNazanin" w:eastAsia="IRNazanin" w:cs="IRNazanin"/>
          <w:lang w:bidi="fa-IR"/>
          <w:color w:val="111111"/>
          <w:sz w:val="28"/>
          <w:szCs w:val="28"/>
          <w:rtl/>
        </w:rPr>
        <w:t xml:space="preserve">من حيث هو تارکه</w:t>
      </w:r>
      <w:r>
        <w:rPr>
          <w:rStyle w:val="FootnoteReference"/>
        </w:rPr>
        <w:footnoteReference w:id="1239"/>
      </w:r>
      <w:r>
        <w:rPr>
          <w:rFonts w:ascii="IRNazanin" w:hAnsi="IRNazanin" w:eastAsia="IRNazanin" w:cs="IRNazanin"/>
          <w:lang w:bidi="fa-IR"/>
          <w:color w:val="111111"/>
          <w:sz w:val="28"/>
          <w:szCs w:val="28"/>
          <w:rtl/>
        </w:rPr>
        <w:t xml:space="preserve">ولکن يکون ثواب فعله أکثر من ثواب ترکه. فإذن يفسد عليهم الحكم على الأحکام الشرعیّة التکلیفية بالتخميس».</w:t>
      </w:r>
      <w:r>
        <w:rPr>
          <w:rStyle w:val="FootnoteReference"/>
        </w:rPr>
        <w:footnoteReference w:id="1240"/>
      </w:r>
      <w:r>
        <w:rPr>
          <w:rFonts w:ascii="IRNazanin" w:hAnsi="IRNazanin" w:eastAsia="IRNazanin" w:cs="IRNazanin"/>
          <w:lang w:bidi="fa-IR"/>
          <w:color w:val="111111"/>
          <w:sz w:val="28"/>
          <w:szCs w:val="28"/>
          <w:rtl/>
        </w:rPr>
        <w:t xml:space="preserve">انتهى.</w:t>
      </w:r>
    </w:p>
    <w:p>
      <w:pPr>
        <w:pStyle w:val="BookText"/>
      </w:pPr>
      <w:r>
        <w:rPr>
          <w:rFonts w:ascii="IRNazanin" w:hAnsi="IRNazanin" w:eastAsia="IRNazanin" w:cs="IRNazanin"/>
          <w:lang w:bidi="fa-IR"/>
          <w:color w:val="111111"/>
          <w:sz w:val="28"/>
          <w:szCs w:val="28"/>
          <w:rtl/>
        </w:rPr>
        <w:t xml:space="preserve">فأجابوا عن هذا الإشکال بأنّ النهي ليس متعلّقاً بالعبادة بل بأمر خارج مجامع معها في الوجود فنفس العبادة واجبة أو مستحبة ولا يثاب على تركها وإنّما الثواب لترك أمر آخر مقارن معها فالحكم بالتخميس غير منخرم فلا وجه لذكره في المقام.</w:t>
      </w:r>
    </w:p>
    <w:p>
      <w:pPr>
        <w:pStyle w:val="BookText"/>
      </w:pPr>
      <w:r>
        <w:rPr>
          <w:rFonts w:ascii="IRNazanin" w:hAnsi="IRNazanin" w:eastAsia="IRNazanin" w:cs="IRNazanin"/>
          <w:lang w:bidi="fa-IR"/>
          <w:color w:val="111111"/>
          <w:sz w:val="28"/>
          <w:szCs w:val="28"/>
          <w:rtl/>
        </w:rPr>
        <w:t xml:space="preserve">وذلك لما عرفت من أنّ إطلاق الكراهة إنّما هو من باب المسامحة من جهةالمقارنة المذكورة ومجرّد اتّحاد الجواب في المقام وذلك المقام لا يدلّ على كونه أجنبيّاً مع أنّه على فرض كون نظر الموجّه إلى ذلك المقام لا يضرّ بعد إمکان إجرائه في المقام أیضاً كما لا يخفى.</w:t>
      </w:r>
    </w:p>
    <w:p>
      <w:pPr>
        <w:pStyle w:val="Heading6"/>
      </w:pPr>
      <w:bookmarkStart w:id="653" w:name="_Toc334"/>
      <w:r>
        <w:t>[الوجه الرابع: تعلّق النهي بالوصف أعني الخصوصيّة الفرديّة]</w:t>
      </w:r>
      <w:bookmarkEnd w:id="653"/>
    </w:p>
    <w:p>
      <w:pPr>
        <w:pStyle w:val="Heading6"/>
      </w:pPr>
      <w:bookmarkStart w:id="654" w:name="_Toc335"/>
      <w:r>
        <w:t>اشارة</w:t>
      </w:r>
      <w:bookmarkEnd w:id="654"/>
    </w:p>
    <w:p>
      <w:pPr>
        <w:pStyle w:val="BookText"/>
      </w:pPr>
      <w:r>
        <w:rPr>
          <w:rFonts w:ascii="Amiri" w:hAnsi="Amiri" w:eastAsia="Amiri" w:cs="Amiri"/>
          <w:lang w:bidi="ar-SA"/>
          <w:color w:val="111111"/>
          <w:sz w:val="28"/>
          <w:szCs w:val="28"/>
          <w:rtl/>
        </w:rPr>
        <w:t xml:space="preserve">الرابع: من الوجوه ما نسب إلى بعض المشايخ من السّادة</w:t>
      </w:r>
      <w:r>
        <w:rPr>
          <w:rStyle w:val="FootnoteReference"/>
        </w:rPr>
        <w:footnoteReference w:id="1241"/>
      </w:r>
      <w:r>
        <w:rPr>
          <w:rFonts w:ascii="Amiri" w:hAnsi="Amiri" w:eastAsia="Amiri" w:cs="Amiri"/>
          <w:lang w:bidi="ar-SA"/>
          <w:color w:val="111111"/>
          <w:sz w:val="28"/>
          <w:szCs w:val="28"/>
          <w:rtl/>
        </w:rPr>
        <w:t xml:space="preserve">من أنّ النهي في العبادات المكروهة متعلّق بالوصف أعني الخصوصيّة الفرديّة مثل وقوعها في الحمّام</w:t>
      </w:r>
      <w:r>
        <w:rPr>
          <w:rStyle w:val="FootnoteReference"/>
        </w:rPr>
        <w:footnoteReference w:id="1242"/>
      </w:r>
    </w:p>
    <w:p>
      <w:pPr>
        <w:pStyle w:val="BookText"/>
      </w:pPr>
      <w:r>
        <w:rPr>
          <w:rFonts w:ascii="IRNazanin" w:hAnsi="IRNazanin" w:eastAsia="IRNazanin" w:cs="IRNazanin"/>
          <w:lang w:bidi="fa-IR"/>
          <w:color w:val="111111"/>
          <w:sz w:val="28"/>
          <w:szCs w:val="28"/>
          <w:rtl/>
        </w:rPr>
        <w:t xml:space="preserve">وبعبارة أخری: تعلّقه بنفس الفرد الموجود في الخارج بذاته وشخصه بخلاف الصلاة في الحمّام لتعلّقه بذات ذلك الفرد الموجود في الحمّام فإنّ الکون فیه لیس بمنهيّ عنه وإنّما المنهيّ عنه خصوصیّة الکون المشخّصة له في الخارج فیجتمعان ویکون المکلّف الآتي بالصلاة فیه ممتثّلاً للأمر بالصلاة المتعلّق بطبیعة الکون المطلق الذي هو جزء الصلاة وفاعل الکراهة لاختیاره ذلك الشخص فسبیل هذا سبیل الأمرین المتعارضین المتلازمین في الوجود مع حصول الأمر بأحدهما والنهي عن الآخر کالصلاة الحاضرة المأتي بها في سعة الوقت مع اشتغال ذمّته بالفریضة الفائتة فوراً کما هو المختار عالماً عامداً فإنّ الصلاة الحاضرة المزبورة صحیحة مع مقارنتها للحرام الناشي عن النهي عن الترك في الأمر الفوري وحرمة هذا اللازم المقارن لا یستلزم حرمة نفس الصلاة الحاضرة ولاجزئها».</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ومتعلّق الأمر هو الطّبيعة فيختلف مورد الأمر والنّهي.</w:t>
      </w:r>
    </w:p>
    <w:p>
      <w:pPr>
        <w:pStyle w:val="BookText"/>
      </w:pPr>
      <w:r>
        <w:rPr>
          <w:rFonts w:ascii="Amiri" w:hAnsi="Amiri" w:eastAsia="Amiri" w:cs="Amiri"/>
          <w:lang w:bidi="ar-SA"/>
          <w:color w:val="111111"/>
          <w:sz w:val="28"/>
          <w:szCs w:val="28"/>
          <w:rtl/>
        </w:rPr>
        <w:t xml:space="preserve">وذكر في بيانه ما محصّله على ما حكي عنه:</w:t>
      </w:r>
    </w:p>
    <w:p>
      <w:pPr>
        <w:pStyle w:val="BookText"/>
      </w:pPr>
      <w:r>
        <w:rPr>
          <w:rFonts w:ascii="Amiri" w:hAnsi="Amiri" w:eastAsia="Amiri" w:cs="Amiri"/>
          <w:lang w:bidi="ar-SA"/>
          <w:color w:val="111111"/>
          <w:sz w:val="28"/>
          <w:szCs w:val="28"/>
          <w:rtl/>
        </w:rPr>
        <w:t xml:space="preserve">أنّ متعلّق الأوامر هي الطبائع دون الخصوصيّات فيكون</w:t>
      </w:r>
      <w:r>
        <w:rPr>
          <w:rStyle w:val="FootnoteReference"/>
        </w:rPr>
        <w:footnoteReference w:id="1243"/>
      </w:r>
      <w:r>
        <w:rPr>
          <w:rFonts w:ascii="Amiri" w:hAnsi="Amiri" w:eastAsia="Amiri" w:cs="Amiri"/>
          <w:lang w:bidi="ar-SA"/>
          <w:color w:val="111111"/>
          <w:sz w:val="28"/>
          <w:szCs w:val="28"/>
          <w:rtl/>
        </w:rPr>
        <w:t xml:space="preserve">نصّاً في طلب الماهيّات</w:t>
      </w:r>
      <w:r>
        <w:rPr>
          <w:rStyle w:val="FootnoteReference"/>
        </w:rPr>
        <w:footnoteReference w:id="1244"/>
      </w:r>
      <w:r>
        <w:rPr>
          <w:rFonts w:ascii="Amiri" w:hAnsi="Amiri" w:eastAsia="Amiri" w:cs="Amiri"/>
          <w:lang w:bidi="ar-SA"/>
          <w:color w:val="111111"/>
          <w:sz w:val="28"/>
          <w:szCs w:val="28"/>
          <w:rtl/>
        </w:rPr>
        <w:t xml:space="preserve">بخلاف النهي فإنّه في معنى السّلب وسلب المركب من الطبيعة والخصوصيّة قد يكون برفع الجزئين وقد يكون برفع أحدهما كما هو الشأن في رفع المركبات فيكون تعلّقه</w:t>
      </w:r>
      <w:r>
        <w:rPr>
          <w:rStyle w:val="FootnoteReference"/>
        </w:rPr>
        <w:footnoteReference w:id="1245"/>
      </w:r>
      <w:r>
        <w:rPr>
          <w:rFonts w:ascii="Amiri" w:hAnsi="Amiri" w:eastAsia="Amiri" w:cs="Amiri"/>
          <w:lang w:bidi="ar-SA"/>
          <w:color w:val="111111"/>
          <w:sz w:val="28"/>
          <w:szCs w:val="28"/>
          <w:rtl/>
        </w:rPr>
        <w:t xml:space="preserve">بالطبيعة ظاهراً لا نصّاً ومن القواعد المقرّرة وجوب صرفالظاهر بالنصّ حيثما وقع التعارض بينهما.</w:t>
      </w:r>
      <w:r>
        <w:rPr>
          <w:rStyle w:val="FootnoteReference"/>
        </w:rPr>
        <w:footnoteReference w:id="1246"/>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87" w:name="pg6784_51359"/>
    <w:bookmarkEnd w:id="187"/>
    <w:p>
      <w:pPr>
        <w:pStyle w:val="Heading6"/>
      </w:pPr>
      <w:bookmarkStart w:id="655" w:name="_Toc336"/>
      <w:r>
        <w:t>[وجوه الإیرادات على الوجه الرابع]</w:t>
      </w:r>
      <w:bookmarkEnd w:id="655"/>
    </w:p>
    <w:p>
      <w:pPr>
        <w:pStyle w:val="Heading6"/>
      </w:pPr>
      <w:bookmarkStart w:id="656" w:name="_Toc337"/>
      <w:r>
        <w:t>اشارة</w:t>
      </w:r>
      <w:bookmarkEnd w:id="656"/>
    </w:p>
    <w:p>
      <w:pPr>
        <w:pStyle w:val="BookText"/>
      </w:pPr>
      <w:r>
        <w:rPr>
          <w:rFonts w:ascii="Amiri" w:hAnsi="Amiri" w:eastAsia="Amiri" w:cs="Amiri"/>
          <w:lang w:bidi="ar-SA"/>
          <w:color w:val="111111"/>
          <w:sz w:val="28"/>
          <w:szCs w:val="28"/>
          <w:rtl/>
        </w:rPr>
        <w:t xml:space="preserve">وأورد عليه بوجوه</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Heading6"/>
      </w:pPr>
      <w:bookmarkStart w:id="657" w:name="_Toc338"/>
      <w:r>
        <w:t>[الوجه الأوّل للإیراد]</w:t>
      </w:r>
      <w:bookmarkEnd w:id="657"/>
    </w:p>
    <w:p>
      <w:pPr>
        <w:pStyle w:val="BookText"/>
      </w:pPr>
      <w:r>
        <w:rPr>
          <w:rFonts w:ascii="Amiri" w:hAnsi="Amiri" w:eastAsia="Amiri" w:cs="Amiri"/>
          <w:lang w:bidi="ar-SA"/>
          <w:color w:val="111111"/>
          <w:sz w:val="28"/>
          <w:szCs w:val="28"/>
          <w:rtl/>
        </w:rPr>
        <w:t xml:space="preserve">أحدها: أنّ هذا التوجيه إنّما يلائم مذهب المجوّزين دون المانعين؛ إذ عندهم لايجوز الاجتماع ولو تعدّد مورد الأمر والنهي إذا كانا متّحدين في الوجود الخارجي كما هو المفروض.</w:t>
      </w:r>
    </w:p>
    <w:p>
      <w:pPr>
        <w:pStyle w:val="Heading6"/>
      </w:pPr>
      <w:bookmarkStart w:id="658" w:name="_Toc339"/>
      <w:r>
        <w:t>[الوجه الثاني للإیراد]</w:t>
      </w:r>
      <w:bookmarkEnd w:id="658"/>
    </w:p>
    <w:p>
      <w:pPr>
        <w:pStyle w:val="BookText"/>
      </w:pPr>
      <w:r>
        <w:rPr>
          <w:rFonts w:ascii="IRNazanin" w:hAnsi="IRNazanin" w:eastAsia="IRNazanin" w:cs="IRNazanin"/>
          <w:lang w:bidi="fa-IR"/>
          <w:color w:val="111111"/>
          <w:sz w:val="28"/>
          <w:szCs w:val="28"/>
          <w:rtl/>
        </w:rPr>
        <w:t xml:space="preserve">الثاني: أنّ الاستدلال المذكور مما لا مساس له بدعواه؛ إذ لا کلام لنا الآن في كيفية تقديم النهي على الأمر حتّى يقال: إنّه نصّ ويجب صرف الظاهر به ولا مناسبة بين قاعدة انتفاء المركب وبين المقام.</w:t>
      </w:r>
    </w:p>
    <w:p>
      <w:pPr>
        <w:pStyle w:val="Heading6"/>
      </w:pPr>
      <w:bookmarkStart w:id="659" w:name="_Toc340"/>
      <w:r>
        <w:t>[الوجه الثالث للإیراد]</w:t>
      </w:r>
      <w:bookmarkEnd w:id="659"/>
    </w:p>
    <w:p>
      <w:pPr>
        <w:pStyle w:val="BookText"/>
      </w:pPr>
      <w:r>
        <w:rPr>
          <w:rFonts w:ascii="Amiri" w:hAnsi="Amiri" w:eastAsia="Amiri" w:cs="Amiri"/>
          <w:lang w:bidi="ar-SA"/>
          <w:color w:val="111111"/>
          <w:sz w:val="28"/>
          <w:szCs w:val="28"/>
          <w:rtl/>
        </w:rPr>
        <w:t xml:space="preserve">الثّالث: أنّ الخصوصيّة إذا لم ترجع إلى عنوان مغاير لعنوان الفعل لا تكون إلّا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88" w:name="pg6784_51360"/>
    <w:bookmarkEnd w:id="188"/>
    <w:p>
      <w:pPr>
        <w:pStyle w:val="BookText"/>
      </w:pPr>
      <w:r>
        <w:rPr>
          <w:rFonts w:ascii="Amiri" w:hAnsi="Amiri" w:eastAsia="Amiri" w:cs="Amiri"/>
          <w:lang w:bidi="ar-SA"/>
          <w:color w:val="111111"/>
          <w:sz w:val="28"/>
          <w:szCs w:val="28"/>
          <w:rtl/>
        </w:rPr>
        <w:t xml:space="preserve">نحو وجود الماهيّة فلا يمكن تعلّق النّهي بها مع كون الماهيّة</w:t>
      </w:r>
      <w:r>
        <w:rPr>
          <w:rStyle w:val="FootnoteReference"/>
        </w:rPr>
        <w:footnoteReference w:id="1248"/>
      </w:r>
      <w:r>
        <w:rPr>
          <w:rFonts w:ascii="Amiri" w:hAnsi="Amiri" w:eastAsia="Amiri" w:cs="Amiri"/>
          <w:lang w:bidi="ar-SA"/>
          <w:color w:val="111111"/>
          <w:sz w:val="28"/>
          <w:szCs w:val="28"/>
          <w:rtl/>
        </w:rPr>
        <w:t xml:space="preserve">مطلوبة؛ إذ الآثار والخواص الّتي للماهيّات إنّما تلحقها باعتبار أنحاء الوجودات فتكون هي وعاء لآثارها من الحسن والقبح والحرارة والبرودة ونحو ذلك وليست الخصوصيّات أمراً وراء الوجودات حتّى يتعلّق النهي بها مع كون تلك الماهيّات باقية على حسنها بحسب وجودها الخارجي.</w:t>
      </w:r>
    </w:p>
    <w:p>
      <w:pPr>
        <w:pStyle w:val="Heading6"/>
      </w:pPr>
      <w:bookmarkStart w:id="660" w:name="_Toc341"/>
      <w:r>
        <w:t>[الوجه الرابع للإیراد]</w:t>
      </w:r>
      <w:bookmarkEnd w:id="660"/>
    </w:p>
    <w:p>
      <w:pPr>
        <w:pStyle w:val="BookText"/>
      </w:pPr>
      <w:r>
        <w:rPr>
          <w:rFonts w:ascii="Amiri" w:hAnsi="Amiri" w:eastAsia="Amiri" w:cs="Amiri"/>
          <w:lang w:bidi="ar-SA"/>
          <w:color w:val="111111"/>
          <w:sz w:val="28"/>
          <w:szCs w:val="28"/>
          <w:rtl/>
        </w:rPr>
        <w:t xml:space="preserve">الرّابع: أنّه يلزم منه عدم الاطّراد وجريانه فيما ليس بمكروه إجماعاً.</w:t>
      </w:r>
    </w:p>
    <w:p>
      <w:pPr>
        <w:pStyle w:val="Heading6"/>
      </w:pPr>
      <w:bookmarkStart w:id="661" w:name="_Toc342"/>
      <w:r>
        <w:t>[الرأي المختار]</w:t>
      </w:r>
      <w:bookmarkEnd w:id="661"/>
    </w:p>
    <w:p>
      <w:pPr>
        <w:pStyle w:val="BookText"/>
      </w:pPr>
      <w:r>
        <w:rPr>
          <w:rFonts w:ascii="IRNazanin" w:hAnsi="IRNazanin" w:eastAsia="IRNazanin" w:cs="IRNazanin"/>
          <w:lang w:bidi="fa-IR"/>
          <w:color w:val="111111"/>
          <w:sz w:val="28"/>
          <w:szCs w:val="28"/>
          <w:rtl/>
        </w:rPr>
        <w:t xml:space="preserve">قلت: الإنصاف ورود الإشکال الأوّل دون ما عداه وذلك لأنّ غرضه على ما يظهر من کلامه دفع الإشکال عن تعلّق النّهي في قوله: «لا تصلّ في الحمّام» ونحوه بنفس الصّلاة فيقتضي الخروج عن الإطلاق في قوله: «صلّ» فكيف يحكم بالصحّة مع أنّ النهي متعلّق بما تعلّق به الأمر من الطّبيعة وأنّه من قبيل الاجتماع الآمري.</w:t>
      </w:r>
    </w:p>
    <w:p>
      <w:pPr>
        <w:pStyle w:val="BookText"/>
      </w:pPr>
      <w:r>
        <w:rPr>
          <w:rFonts w:ascii="Amiri" w:hAnsi="Amiri" w:eastAsia="Amiri" w:cs="Amiri"/>
          <w:lang w:bidi="ar-SA"/>
          <w:color w:val="111111"/>
          <w:sz w:val="28"/>
          <w:szCs w:val="28"/>
          <w:rtl/>
        </w:rPr>
        <w:t xml:space="preserve">وحاصل دفعه: أنّ النّهي وإن توجّه إلى نفس الصّلاة في لسان الدّليل إلّا أنّه لمّا قيّد بقيد كونها في الحمّام فيمكن أن يتوجّه النّهي إلى القيد، ويمكن أن يتوجّه إلى المقيّد بوصف أنّه مقيّد، ولمّا كان في معنى السّلب الوارد على المركّب والقدر المعلوم منه</w:t>
      </w:r>
      <w:r>
        <w:rPr>
          <w:rStyle w:val="FootnoteReference"/>
        </w:rPr>
        <w:footnoteReference w:id="1249"/>
      </w:r>
      <w:r>
        <w:rPr>
          <w:rFonts w:ascii="Amiri" w:hAnsi="Amiri" w:eastAsia="Amiri" w:cs="Amiri"/>
          <w:lang w:bidi="ar-SA"/>
          <w:color w:val="111111"/>
          <w:sz w:val="28"/>
          <w:szCs w:val="28"/>
          <w:rtl/>
        </w:rPr>
        <w:t xml:space="preserve">نفيه في الجملة فيحمل على نفي خصوص القيد جمعاً بينه وبين قوله: «صلّ»؛ لأنّ قوله: «صلّ» كالصّريح في تعلّق الأمر بالطّبيعة بل صريح، وهذا محتمل لتعلّق النّهي بالطّبيعة الموجودة في ضمن الفرد فيقتضي تقييد الإطلاق ولتعلّقه بخصوص القيد فلا يكون النّهي وارداً على الطّبيعة المقيّدة بل على نفس القيد فلا يستلزم التقييد، ومقتضى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 هو ذلك فلا منافاة</w:t>
      </w:r>
      <w:r>
        <w:rPr>
          <w:rStyle w:val="FootnoteReference"/>
        </w:rPr>
        <w:footnoteReference w:id="1250"/>
      </w:r>
      <w:r>
        <w:rPr>
          <w:rFonts w:ascii="Amiri" w:hAnsi="Amiri" w:eastAsia="Amiri" w:cs="Amiri"/>
          <w:lang w:bidi="ar-SA"/>
          <w:color w:val="111111"/>
          <w:sz w:val="28"/>
          <w:szCs w:val="28"/>
          <w:rtl/>
        </w:rPr>
        <w:t xml:space="preserve">لأنّه يصير من قبيل العامّين منوجه.</w:t>
      </w:r>
    </w:p>
    <w:p>
      <w:pPr>
        <w:pStyle w:val="BookText"/>
      </w:pPr>
      <w:r>
        <w:rPr>
          <w:rFonts w:ascii="IRNazanin" w:hAnsi="IRNazanin" w:eastAsia="IRNazanin" w:cs="IRNazanin"/>
          <w:lang w:bidi="fa-IR"/>
          <w:color w:val="111111"/>
          <w:sz w:val="28"/>
          <w:szCs w:val="28"/>
          <w:rtl/>
        </w:rPr>
        <w:t xml:space="preserve">والحاصل: أنّ غرضه دفع الإشکال من حيث كونه المقام من قبيل العامّ المطلق الّذي مرجعه إلى الاجتماع الآمري وأنّه يمكن توجيهه بوجه يصير من قبيل العموم من وجه، فقاعدة انتفاء المركب مناسبة للمقام وليس الغرض بيان كيفية تقديم النهي.</w:t>
      </w:r>
    </w:p>
    <w:p>
      <w:pPr>
        <w:pStyle w:val="BookText"/>
      </w:pPr>
      <w:r>
        <w:rPr>
          <w:rFonts w:ascii="Amiri" w:hAnsi="Amiri" w:eastAsia="Amiri" w:cs="Amiri"/>
          <w:lang w:bidi="ar-SA"/>
          <w:color w:val="111111"/>
          <w:sz w:val="28"/>
          <w:szCs w:val="28"/>
          <w:rtl/>
        </w:rPr>
        <w:t xml:space="preserve">بل قد عرفت أنّه يقدم الأمر من حيث إنّه نصّ على النهي المتعلّق ظاهراً بالطّبيعة.</w:t>
      </w:r>
    </w:p>
    <w:p>
      <w:pPr>
        <w:pStyle w:val="BookText"/>
      </w:pPr>
      <w:r>
        <w:rPr>
          <w:rFonts w:ascii="Amiri" w:hAnsi="Amiri" w:eastAsia="Amiri" w:cs="Amiri"/>
          <w:lang w:bidi="ar-SA"/>
          <w:color w:val="111111"/>
          <w:sz w:val="28"/>
          <w:szCs w:val="28"/>
          <w:rtl/>
        </w:rPr>
        <w:t xml:space="preserve">وأمّا حديث كون الخصوصيّة نحو وجود الطّبيعة فلا يمكن تعلّق النهي بها؛</w:t>
      </w:r>
    </w:p>
    <w:p>
      <w:pPr>
        <w:pStyle w:val="BookText"/>
      </w:pPr>
      <w:r>
        <w:rPr>
          <w:rFonts w:ascii="Amiri" w:hAnsi="Amiri" w:eastAsia="Amiri" w:cs="Amiri"/>
          <w:lang w:bidi="ar-SA"/>
          <w:color w:val="111111"/>
          <w:sz w:val="28"/>
          <w:szCs w:val="28"/>
          <w:rtl/>
        </w:rPr>
        <w:t xml:space="preserve">ففيه: أنّها كما عرفت زائدة على أصل الفرديّة فليس النهي متعلّقاً بالفرد بما هو طبيعة بل به بما هو فرد خاصّ حسبما عرفت سابقاً.</w:t>
      </w:r>
    </w:p>
    <w:p>
      <w:pPr>
        <w:pStyle w:val="BookText"/>
      </w:pPr>
      <w:r>
        <w:rPr>
          <w:rFonts w:ascii="IRNazanin" w:hAnsi="IRNazanin" w:eastAsia="IRNazanin" w:cs="IRNazanin"/>
          <w:lang w:bidi="fa-IR"/>
          <w:color w:val="111111"/>
          <w:sz w:val="28"/>
          <w:szCs w:val="28"/>
          <w:rtl/>
        </w:rPr>
        <w:t xml:space="preserve">ولا يلزم كونها راجعة إلى عنوان آخر مع إمکان الإرجاع</w:t>
      </w:r>
      <w:r>
        <w:rPr>
          <w:rStyle w:val="FootnoteReference"/>
        </w:rPr>
        <w:footnoteReference w:id="1251"/>
      </w:r>
      <w:r>
        <w:rPr>
          <w:rFonts w:ascii="IRNazanin" w:hAnsi="IRNazanin" w:eastAsia="IRNazanin" w:cs="IRNazanin"/>
          <w:lang w:bidi="fa-IR"/>
          <w:color w:val="111111"/>
          <w:sz w:val="28"/>
          <w:szCs w:val="28"/>
          <w:rtl/>
        </w:rPr>
        <w:t xml:space="preserve">أیضاً وإن لم يرجع إلى العموم من وجه حقیقة بأن يقال: إنّ عنوان الإيقاع في الحمّام مكروه كما يمكن أن يجعل المحرّم الغصب حال الصّلاة كما عرفت مراراً.</w:t>
      </w:r>
    </w:p>
    <w:p>
      <w:pPr>
        <w:pStyle w:val="BookText"/>
      </w:pPr>
      <w:r>
        <w:rPr>
          <w:rFonts w:ascii="Amiri" w:hAnsi="Amiri" w:eastAsia="Amiri" w:cs="Amiri"/>
          <w:lang w:bidi="ar-SA"/>
          <w:color w:val="111111"/>
          <w:sz w:val="28"/>
          <w:szCs w:val="28"/>
          <w:rtl/>
        </w:rPr>
        <w:t xml:space="preserve">وأمّا ما ذكره من عدم الاطّراد ومن لزوم كون ما ليس بمكروه مكروهاً؛</w:t>
      </w:r>
    </w:p>
    <w:p>
      <w:pPr>
        <w:pStyle w:val="BookText"/>
      </w:pPr>
      <w:r>
        <w:rPr>
          <w:rFonts w:ascii="Amiri" w:hAnsi="Amiri" w:eastAsia="Amiri" w:cs="Amiri"/>
          <w:lang w:bidi="ar-SA"/>
          <w:color w:val="111111"/>
          <w:sz w:val="28"/>
          <w:szCs w:val="28"/>
          <w:rtl/>
        </w:rPr>
        <w:t xml:space="preserve">فلا يخفى ما فيه؛ إذ في جميع المقامات يمكن أن يقال النهي باعتبار الخصوصيّة بل هو كذلك قطعاً؛ إذ ليس أصل الطّبيعة ممّا فيه حزازة بل هي في الخصوصيّة المتّحدة معها.</w:t>
      </w:r>
    </w:p>
    <w:p>
      <w:pPr>
        <w:pStyle w:val="BookText"/>
      </w:pPr>
      <w:r>
        <w:rPr>
          <w:rFonts w:ascii="Amiri" w:hAnsi="Amiri" w:eastAsia="Amiri" w:cs="Amiri"/>
          <w:lang w:bidi="ar-SA"/>
          <w:color w:val="111111"/>
          <w:sz w:val="28"/>
          <w:szCs w:val="28"/>
          <w:rtl/>
        </w:rPr>
        <w:t xml:space="preserve">فتحصّل أنّه لا يرد عليه إلّا</w:t>
      </w:r>
      <w:r>
        <w:rPr>
          <w:rStyle w:val="FootnoteReference"/>
        </w:rPr>
        <w:footnoteReference w:id="1252"/>
      </w:r>
      <w:r>
        <w:rPr>
          <w:rFonts w:ascii="Amiri" w:hAnsi="Amiri" w:eastAsia="Amiri" w:cs="Amiri"/>
          <w:lang w:bidi="ar-SA"/>
          <w:color w:val="111111"/>
          <w:sz w:val="28"/>
          <w:szCs w:val="28"/>
          <w:rtl/>
        </w:rPr>
        <w:t xml:space="preserve">أنّ هذا التوجيه إنّما يناسب مذهب المجوّزين</w:t>
      </w:r>
      <w:r>
        <w:rPr>
          <w:rStyle w:val="FootnoteReference"/>
        </w:rPr>
        <w:footnoteReference w:id="1253"/>
      </w:r>
      <w:r>
        <w:rPr>
          <w:rFonts w:ascii="IRNazanin" w:hAnsi="IRNazanin" w:eastAsia="IRNazanin" w:cs="IRNazanin"/>
          <w:lang w:bidi="fa-IR"/>
          <w:color w:val="111111"/>
          <w:sz w:val="28"/>
          <w:szCs w:val="28"/>
          <w:rtl/>
        </w:rPr>
        <w:t xml:space="preserve">لدفع الإشکال من حيث كون النهي متعلّقاً بنفس العبادة.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89" w:name="pg6784_51362"/>
    <w:bookmarkEnd w:id="189"/>
    <w:p>
      <w:pPr>
        <w:pStyle w:val="BookText"/>
      </w:pPr>
      <w:r>
        <w:rPr>
          <w:rFonts w:ascii="IRNazanin" w:hAnsi="IRNazanin" w:eastAsia="IRNazanin" w:cs="IRNazanin"/>
          <w:lang w:bidi="fa-IR"/>
          <w:color w:val="111111"/>
          <w:sz w:val="28"/>
          <w:szCs w:val="28"/>
          <w:rtl/>
        </w:rPr>
        <w:t xml:space="preserve">وظنّي أنّه أیضاً لا يريد إلّا دفع هذا الإشکال وليس غرضه الجواب عن النّواهي المكروهة بناء على مذهب المانعين والناقل اشتبه عليه الأمر وحينئذٍ فلا إيراد عليه أصلاً وکلامه في غاية المتانة ولا بدّ من المراجعة إلى الرّسالة</w:t>
      </w:r>
      <w:r>
        <w:rPr>
          <w:rStyle w:val="FootnoteReference"/>
        </w:rPr>
        <w:footnoteReference w:id="1254"/>
      </w:r>
      <w:r>
        <w:rPr>
          <w:rFonts w:ascii="Amiri" w:hAnsi="Amiri" w:eastAsia="Amiri" w:cs="Amiri"/>
          <w:lang w:bidi="ar-SA"/>
          <w:color w:val="111111"/>
          <w:sz w:val="28"/>
          <w:szCs w:val="28"/>
          <w:rtl/>
        </w:rPr>
        <w:t xml:space="preserve">المنسوبة إليه.</w:t>
      </w:r>
    </w:p>
    <w:p>
      <w:pPr>
        <w:pStyle w:val="Heading6"/>
      </w:pPr>
      <w:bookmarkStart w:id="662" w:name="_Toc343"/>
      <w:r>
        <w:t>[الوجه الخامس: ما اختاره صاحب الفصول (رحمة الله‌علیه)]</w:t>
      </w:r>
      <w:bookmarkEnd w:id="662"/>
    </w:p>
    <w:p>
      <w:pPr>
        <w:pStyle w:val="Heading6"/>
      </w:pPr>
      <w:bookmarkStart w:id="663" w:name="_Toc344"/>
      <w:r>
        <w:t>اشارة</w:t>
      </w:r>
      <w:bookmarkEnd w:id="663"/>
    </w:p>
    <w:p>
      <w:pPr>
        <w:pStyle w:val="BookText"/>
      </w:pPr>
      <w:r>
        <w:rPr>
          <w:rFonts w:ascii="Amiri" w:hAnsi="Amiri" w:eastAsia="Amiri" w:cs="Amiri"/>
          <w:lang w:bidi="ar-SA"/>
          <w:color w:val="111111"/>
          <w:sz w:val="28"/>
          <w:szCs w:val="28"/>
          <w:rtl/>
        </w:rPr>
        <w:t xml:space="preserve">الخامس: من الوجوه ما اختاره في الفصول</w:t>
      </w:r>
      <w:r>
        <w:rPr>
          <w:rStyle w:val="FootnoteReference"/>
        </w:rPr>
        <w:footnoteReference w:id="1255"/>
      </w:r>
      <w:r>
        <w:rPr>
          <w:rFonts w:ascii="IRNazanin" w:hAnsi="IRNazanin" w:eastAsia="IRNazanin" w:cs="IRNazanin"/>
          <w:lang w:bidi="fa-IR"/>
          <w:color w:val="111111"/>
          <w:sz w:val="28"/>
          <w:szCs w:val="28"/>
          <w:rtl/>
        </w:rPr>
        <w:t xml:space="preserve">ومحصّله أنّ الكراهة الاصطلاحية مشتملة على رجحان الترك ومطلوبیّته ومرجوحيّة الفعل وهذه الأمور مشتركة بين العبادات وغيرها إلّا أنّ مطلوبیّة الترك</w:t>
      </w:r>
      <w:r>
        <w:rPr>
          <w:rStyle w:val="FootnoteReference"/>
        </w:rPr>
        <w:footnoteReference w:id="1256"/>
      </w:r>
      <w:r>
        <w:rPr>
          <w:rFonts w:ascii="Amiri" w:hAnsi="Amiri" w:eastAsia="Amiri" w:cs="Amiri"/>
          <w:lang w:bidi="ar-SA"/>
          <w:color w:val="111111"/>
          <w:sz w:val="28"/>
          <w:szCs w:val="28"/>
          <w:rtl/>
        </w:rPr>
        <w:t xml:space="preserve">في غير العبادات إنّما تعتبر لنفسه ومرجوحيّة الفعل إنّما تعتبر بالنّسبة إلى التّرك.</w:t>
      </w:r>
    </w:p>
    <w:p>
      <w:pPr>
        <w:pStyle w:val="BookText"/>
      </w:pPr>
      <w:r>
        <w:rPr>
          <w:rFonts w:ascii="Amiri" w:hAnsi="Amiri" w:eastAsia="Amiri" w:cs="Amiri"/>
          <w:lang w:bidi="ar-SA"/>
          <w:color w:val="111111"/>
          <w:sz w:val="28"/>
          <w:szCs w:val="28"/>
          <w:rtl/>
        </w:rPr>
        <w:t xml:space="preserve">وأمّا في العبادات فيتصوّر بوجهين:</w:t>
      </w:r>
    </w:p>
    <w:p>
      <w:pPr>
        <w:pStyle w:val="Heading6"/>
      </w:pPr>
      <w:bookmarkStart w:id="664" w:name="_Toc345"/>
      <w:r>
        <w:t>[الوجه الأوّل من تصویر الکراهة في العبادات]</w:t>
      </w:r>
      <w:bookmarkEnd w:id="664"/>
    </w:p>
    <w:p>
      <w:pPr>
        <w:pStyle w:val="BookText"/>
      </w:pPr>
      <w:r>
        <w:rPr>
          <w:rFonts w:ascii="Amiri" w:hAnsi="Amiri" w:eastAsia="Amiri" w:cs="Amiri"/>
          <w:lang w:bidi="ar-SA"/>
          <w:color w:val="111111"/>
          <w:sz w:val="28"/>
          <w:szCs w:val="28"/>
          <w:rtl/>
        </w:rPr>
        <w:t xml:space="preserve">أحدهما: أن يكون مرجوحيّة الفعل فيها</w:t>
      </w:r>
      <w:r>
        <w:rPr>
          <w:rStyle w:val="FootnoteReference"/>
        </w:rPr>
        <w:footnoteReference w:id="1257"/>
      </w:r>
      <w:r>
        <w:rPr>
          <w:rFonts w:ascii="IRNazanin" w:hAnsi="IRNazanin" w:eastAsia="IRNazanin" w:cs="IRNazanin"/>
          <w:lang w:bidi="fa-IR"/>
          <w:color w:val="111111"/>
          <w:sz w:val="28"/>
          <w:szCs w:val="28"/>
          <w:rtl/>
        </w:rPr>
        <w:t xml:space="preserve">بالنّسبة إلى الطّبيعة المعرّاة عن اللّواحق المرجّحة والمنقصة وراجحية الترك ومطلوبیّته لأجل التوصّل إلى الأفضل وهذا مطّرد في الواجبات النفسيّة وجارٍ في المندوبات الّتي لها بدل دون غيرها؛ إذ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0" w:name="pg6784_51363"/>
    <w:bookmarkEnd w:id="190"/>
    <w:p>
      <w:pPr>
        <w:pStyle w:val="BookText"/>
      </w:pPr>
      <w:r>
        <w:rPr>
          <w:rFonts w:ascii="Amiri" w:hAnsi="Amiri" w:eastAsia="Amiri" w:cs="Amiri"/>
          <w:lang w:bidi="ar-SA"/>
          <w:color w:val="111111"/>
          <w:sz w:val="28"/>
          <w:szCs w:val="28"/>
          <w:rtl/>
        </w:rPr>
        <w:t xml:space="preserve">لايعقل طلب التّرك الغيري فيها.</w:t>
      </w:r>
    </w:p>
    <w:p>
      <w:pPr>
        <w:pStyle w:val="Heading6"/>
      </w:pPr>
      <w:bookmarkStart w:id="665" w:name="_Toc346"/>
      <w:r>
        <w:t>[الوجه الثاني من تصویر الکراهة في العبادات]</w:t>
      </w:r>
      <w:bookmarkEnd w:id="665"/>
    </w:p>
    <w:p>
      <w:pPr>
        <w:pStyle w:val="BookText"/>
      </w:pPr>
      <w:r>
        <w:rPr>
          <w:rFonts w:ascii="IRNazanin" w:hAnsi="IRNazanin" w:eastAsia="IRNazanin" w:cs="IRNazanin"/>
          <w:lang w:bidi="fa-IR"/>
          <w:color w:val="111111"/>
          <w:sz w:val="28"/>
          <w:szCs w:val="28"/>
          <w:rtl/>
        </w:rPr>
        <w:t xml:space="preserve">الثاني: أن يكون المرجوحيّة فيها لاحقة للفعل المقيّد بالقربة مقيساً إلى الترك المقيّد بها ويكون الترك المقيّد بها مطلوباً لنفسه فيكون کلّ من الفعل والترك المقيّد بالقربة مطلوباً لنفسه مع أرجحيّة الترك ليكون الفعل مرجوحاً بالنسبة إليه.</w:t>
      </w:r>
    </w:p>
    <w:p>
      <w:pPr>
        <w:pStyle w:val="BookText"/>
      </w:pPr>
      <w:r>
        <w:rPr>
          <w:rFonts w:ascii="Amiri" w:hAnsi="Amiri" w:eastAsia="Amiri" w:cs="Amiri"/>
          <w:lang w:bidi="ar-SA"/>
          <w:color w:val="111111"/>
          <w:sz w:val="28"/>
          <w:szCs w:val="28"/>
          <w:rtl/>
        </w:rPr>
        <w:t xml:space="preserve">وبهذا البيان يقرب مكروه العبادات من مكروه غيرها ويكون محصله التّخيير بين الفعل والترك المقيّدين بالقربة.</w:t>
      </w:r>
    </w:p>
    <w:p>
      <w:pPr>
        <w:pStyle w:val="BookText"/>
      </w:pPr>
      <w:r>
        <w:rPr>
          <w:rFonts w:ascii="IRNazanin" w:hAnsi="IRNazanin" w:eastAsia="IRNazanin" w:cs="IRNazanin"/>
          <w:lang w:bidi="fa-IR"/>
          <w:color w:val="111111"/>
          <w:sz w:val="28"/>
          <w:szCs w:val="28"/>
          <w:rtl/>
        </w:rPr>
        <w:t xml:space="preserve">وهذا جارٍ فيما لا بدل له من المندوبات ويمكن تصويره في الواجبات أیضاً إلّاأنّ وقوعه في الشّرع غير ثابت.</w:t>
      </w:r>
    </w:p>
    <w:p>
      <w:pPr>
        <w:pStyle w:val="BookText"/>
      </w:pPr>
      <w:r>
        <w:rPr>
          <w:rFonts w:ascii="Amiri" w:hAnsi="Amiri" w:eastAsia="Amiri" w:cs="Amiri"/>
          <w:lang w:bidi="ar-SA"/>
          <w:color w:val="111111"/>
          <w:sz w:val="28"/>
          <w:szCs w:val="28"/>
          <w:rtl/>
        </w:rPr>
        <w:t xml:space="preserve">نعم يمكن اعتباره في الواجبات الملتزمة بنذر وشبهه حيث يمكن أن يجعل على نفسه شيئاً على الوجه المذكور.</w:t>
      </w:r>
    </w:p>
    <w:p>
      <w:pPr>
        <w:pStyle w:val="BookText"/>
      </w:pPr>
      <w:r>
        <w:rPr>
          <w:rFonts w:ascii="Amiri" w:hAnsi="Amiri" w:eastAsia="Amiri" w:cs="Amiri"/>
          <w:lang w:bidi="ar-SA"/>
          <w:color w:val="111111"/>
          <w:sz w:val="28"/>
          <w:szCs w:val="28"/>
          <w:rtl/>
        </w:rPr>
        <w:t xml:space="preserve">ثم حقّق ذلك</w:t>
      </w:r>
      <w:r>
        <w:rPr>
          <w:rStyle w:val="FootnoteReference"/>
        </w:rPr>
        <w:footnoteReference w:id="1258"/>
      </w:r>
      <w:r>
        <w:rPr>
          <w:rFonts w:ascii="Amiri" w:hAnsi="Amiri" w:eastAsia="Amiri" w:cs="Amiri"/>
          <w:lang w:bidi="ar-SA"/>
          <w:color w:val="111111"/>
          <w:sz w:val="28"/>
          <w:szCs w:val="28"/>
          <w:rtl/>
        </w:rPr>
        <w:t xml:space="preserve">بما محصّله أنّ من الأفعال ما يترجح فعله على تركه مطلقاً كالتوصّليات؛ ومنها ما يترجّح فعله المقيّد بالقربة على تركه كالعبادات. وكذلك التروك فإنّها قد تكون</w:t>
      </w:r>
      <w:r>
        <w:rPr>
          <w:rStyle w:val="FootnoteReference"/>
        </w:rPr>
        <w:footnoteReference w:id="1259"/>
      </w:r>
      <w:r>
        <w:rPr>
          <w:rFonts w:ascii="Amiri" w:hAnsi="Amiri" w:eastAsia="Amiri" w:cs="Amiri"/>
          <w:lang w:bidi="ar-SA"/>
          <w:color w:val="111111"/>
          <w:sz w:val="28"/>
          <w:szCs w:val="28"/>
          <w:rtl/>
        </w:rPr>
        <w:t xml:space="preserve">توصّلية كالزنا والسّرقة وقد تكون</w:t>
      </w:r>
      <w:r>
        <w:rPr>
          <w:rStyle w:val="FootnoteReference"/>
        </w:rPr>
        <w:footnoteReference w:id="1260"/>
      </w:r>
      <w:r>
        <w:rPr>
          <w:rFonts w:ascii="Amiri" w:hAnsi="Amiri" w:eastAsia="Amiri" w:cs="Amiri"/>
          <w:lang w:bidi="ar-SA"/>
          <w:color w:val="111111"/>
          <w:sz w:val="28"/>
          <w:szCs w:val="28"/>
          <w:rtl/>
        </w:rPr>
        <w:t xml:space="preserve">عباديّة كمفطرات الصّوم.</w:t>
      </w:r>
      <w:r>
        <w:rPr>
          <w:rStyle w:val="FootnoteReference"/>
        </w:rPr>
        <w:footnoteReference w:id="1261"/>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91" w:name="pg6784_51364"/>
    <w:bookmarkEnd w:id="191"/>
    <w:p>
      <w:pPr>
        <w:pStyle w:val="BookText"/>
      </w:pPr>
      <w:r>
        <w:rPr>
          <w:rFonts w:ascii="IRNazanin" w:hAnsi="IRNazanin" w:eastAsia="IRNazanin" w:cs="IRNazanin"/>
          <w:lang w:bidi="fa-IR"/>
          <w:color w:val="111111"/>
          <w:sz w:val="28"/>
          <w:szCs w:val="28"/>
          <w:rtl/>
        </w:rPr>
        <w:t xml:space="preserve">ثمّ کلّ منهما إمّا يترجح فعله على تركه المطلق فيكون تركه المطلق مرجوحاً كالواجبات التعيينية وقد يترجّح فعله بالنسبة إلى تركه على وجه خاصّ كالتخييريات حيث إنّ الفعل فيها راجح على الترك لا إلى بدل وفي الحقيقة يكون کلّ واجب تخييري راجعاً إلى التخيير بين الفعل والترك على وجه مخصوص وهو الترك مع الإتیان بالبدل ومثله التخيير في المقام إلّا أنّ التخيير في المقام بين النفسيين وهناك بين نفسي وغيري لأنّ ترك کلّ خصلة إنّما يجب مقدّمة للتوصّل إلى أخری</w:t>
      </w:r>
      <w:r>
        <w:rPr>
          <w:rStyle w:val="FootnoteReference"/>
        </w:rPr>
        <w:footnoteReference w:id="1262"/>
      </w:r>
    </w:p>
    <w:p>
      <w:pPr>
        <w:pStyle w:val="BookText"/>
      </w:pPr>
      <w:r>
        <w:rPr>
          <w:rFonts w:ascii="Amiri" w:hAnsi="Amiri" w:eastAsia="Amiri" w:cs="Amiri"/>
          <w:lang w:bidi="ar-SA"/>
          <w:color w:val="111111"/>
          <w:sz w:val="28"/>
          <w:szCs w:val="28"/>
          <w:rtl/>
        </w:rPr>
        <w:t xml:space="preserve">ثم أوضح ذلك بما لا حاجة إليه في أصل المطلب ولا إلى ذكره - إلى أن قال -: لا يقال: هذا تخيير بين الفعل والترك فيرجع إلى الإباحة فلا يتحقّق الطّلب، لأنّا نقول: ليس مطلق التخيير بين الفعل والترك إباحة بل إذا كانا متقابلين بأن يمتنع فيه الواسطة وليس المقام منه، وهل هذا إلّا كالتخيير بين فعل وترك فعل آخر إذا تنافيا في</w:t>
      </w:r>
      <w:r>
        <w:rPr>
          <w:rStyle w:val="FootnoteReference"/>
        </w:rPr>
        <w:footnoteReference w:id="1263"/>
      </w:r>
      <w:r>
        <w:rPr>
          <w:rFonts w:ascii="Amiri" w:hAnsi="Amiri" w:eastAsia="Amiri" w:cs="Amiri"/>
          <w:lang w:bidi="ar-SA"/>
          <w:color w:val="111111"/>
          <w:sz w:val="28"/>
          <w:szCs w:val="28"/>
          <w:rtl/>
        </w:rPr>
        <w:t xml:space="preserve">الاجتماع، غاية الأمر أنّ التنافي هنا من حيث الذات وهناك بواسطة أمر خارج - إلى أن قال ما محصّله -: وهذا الوجه</w:t>
      </w:r>
      <w:r>
        <w:rPr>
          <w:rStyle w:val="FootnoteReference"/>
        </w:rPr>
        <w:footnoteReference w:id="1264"/>
      </w:r>
      <w:r>
        <w:rPr>
          <w:rFonts w:ascii="IRNazanin" w:hAnsi="IRNazanin" w:eastAsia="IRNazanin" w:cs="IRNazanin"/>
          <w:lang w:bidi="fa-IR"/>
          <w:color w:val="111111"/>
          <w:sz w:val="28"/>
          <w:szCs w:val="28"/>
          <w:rtl/>
        </w:rPr>
        <w:t xml:space="preserve">وإن کان خلاف ظاهر النواهي إلّا أنّه أقربالمحامل إليه.</w:t>
      </w:r>
      <w:r>
        <w:rPr>
          <w:rStyle w:val="FootnoteReference"/>
        </w:rPr>
        <w:footnoteReference w:id="1265"/>
      </w:r>
    </w:p>
    <w:p>
      <w:pPr>
        <w:pStyle w:val="Heading6"/>
      </w:pPr>
      <w:bookmarkStart w:id="666" w:name="_Toc347"/>
      <w:r>
        <w:t>[إیراد على الوجه الأوّل من الوجهین المذکورین في کلام صاحب الفصول]</w:t>
      </w:r>
      <w:bookmarkEnd w:id="666"/>
    </w:p>
    <w:p>
      <w:pPr>
        <w:pStyle w:val="BookText"/>
      </w:pPr>
      <w:r>
        <w:rPr>
          <w:rFonts w:ascii="Amiri" w:hAnsi="Amiri" w:eastAsia="Amiri" w:cs="Amiri"/>
          <w:lang w:bidi="ar-SA"/>
          <w:color w:val="111111"/>
          <w:sz w:val="28"/>
          <w:szCs w:val="28"/>
          <w:rtl/>
        </w:rPr>
        <w:t xml:space="preserve">قلت: أمّا الوجه الأوّل فقد عرفت ما فيه سابقاً.</w:t>
      </w:r>
    </w:p>
    <w:p>
      <w:pPr>
        <w:pStyle w:val="Heading6"/>
      </w:pPr>
      <w:bookmarkStart w:id="667" w:name="_Toc348"/>
      <w:r>
        <w:t>[إیرادات على الوجه الثاني من الوجهین المذکورین في کلام صاحب الفصول ونقدها]</w:t>
      </w:r>
      <w:bookmarkEnd w:id="667"/>
    </w:p>
    <w:p>
      <w:pPr>
        <w:pStyle w:val="Heading6"/>
      </w:pPr>
      <w:bookmarkStart w:id="668" w:name="_Toc349"/>
      <w:r>
        <w:t>اشارة</w:t>
      </w:r>
      <w:bookmarkEnd w:id="668"/>
    </w:p>
    <w:p>
      <w:pPr>
        <w:pStyle w:val="BookText"/>
      </w:pPr>
      <w:r>
        <w:rPr>
          <w:rFonts w:ascii="Amiri" w:hAnsi="Amiri" w:eastAsia="Amiri" w:cs="Amiri"/>
          <w:lang w:bidi="ar-SA"/>
          <w:color w:val="111111"/>
          <w:sz w:val="28"/>
          <w:szCs w:val="28"/>
          <w:rtl/>
        </w:rPr>
        <w:t xml:space="preserve">وأمّا الوجه الثاني فربما يورد عليه بوجهين: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92" w:name="pg6784_51365"/>
    <w:bookmarkEnd w:id="192"/>
    <w:p>
      <w:pPr>
        <w:pStyle w:val="Heading6"/>
      </w:pPr>
      <w:bookmarkStart w:id="669" w:name="_Toc350"/>
      <w:r>
        <w:t>[الوجه الأوّل للإیراد]</w:t>
      </w:r>
      <w:bookmarkEnd w:id="669"/>
    </w:p>
    <w:p>
      <w:pPr>
        <w:pStyle w:val="BookText"/>
      </w:pPr>
      <w:r>
        <w:rPr>
          <w:rFonts w:ascii="Amiri" w:hAnsi="Amiri" w:eastAsia="Amiri" w:cs="Amiri"/>
          <w:lang w:bidi="ar-SA"/>
          <w:color w:val="111111"/>
          <w:sz w:val="28"/>
          <w:szCs w:val="28"/>
          <w:rtl/>
        </w:rPr>
        <w:t xml:space="preserve">أحدهما: أنّ ذلك مبنيّ على أن يكون القربة</w:t>
      </w:r>
      <w:r>
        <w:rPr>
          <w:rStyle w:val="FootnoteReference"/>
        </w:rPr>
        <w:footnoteReference w:id="1266"/>
      </w:r>
      <w:r>
        <w:rPr>
          <w:rFonts w:ascii="IRNazanin" w:hAnsi="IRNazanin" w:eastAsia="IRNazanin" w:cs="IRNazanin"/>
          <w:lang w:bidi="fa-IR"/>
          <w:color w:val="111111"/>
          <w:sz w:val="28"/>
          <w:szCs w:val="28"/>
          <w:rtl/>
        </w:rPr>
        <w:t xml:space="preserve">من القيود اللاحقة للفعل ومن وجوه المطلوب وليس كذلك وإلّا لزم الدور، بل التحقیق أنّها من قيود الامتثال.</w:t>
      </w:r>
    </w:p>
    <w:p>
      <w:pPr>
        <w:pStyle w:val="Heading6"/>
      </w:pPr>
      <w:bookmarkStart w:id="670" w:name="_Toc351"/>
      <w:r>
        <w:t>[نقد الوجه الأوّل من الإیراد]</w:t>
      </w:r>
      <w:bookmarkEnd w:id="670"/>
    </w:p>
    <w:p>
      <w:pPr>
        <w:pStyle w:val="BookText"/>
      </w:pPr>
      <w:r>
        <w:rPr>
          <w:rFonts w:ascii="Amiri" w:hAnsi="Amiri" w:eastAsia="Amiri" w:cs="Amiri"/>
          <w:lang w:bidi="ar-SA"/>
          <w:color w:val="111111"/>
          <w:sz w:val="28"/>
          <w:szCs w:val="28"/>
          <w:rtl/>
        </w:rPr>
        <w:t xml:space="preserve">وفيه: أوّلاً: أنّ التحقیق أنّها</w:t>
      </w:r>
      <w:r>
        <w:rPr>
          <w:rStyle w:val="FootnoteReference"/>
        </w:rPr>
        <w:footnoteReference w:id="1267"/>
      </w:r>
      <w:r>
        <w:rPr>
          <w:rFonts w:ascii="IRNazanin" w:hAnsi="IRNazanin" w:eastAsia="IRNazanin" w:cs="IRNazanin"/>
          <w:lang w:bidi="fa-IR"/>
          <w:color w:val="111111"/>
          <w:sz w:val="28"/>
          <w:szCs w:val="28"/>
          <w:rtl/>
        </w:rPr>
        <w:t xml:space="preserve">من قيود المأمور به وأنّ الدّور مندفع؛ لأنّ قصد القربة وإن كان موقوفاً على وجود الأمر إلّا أنّ الأمر غير موقوفٍ على تحقّق قصد القربة في الخارج، بل یکفي أن يتصوّر الآمر الفعل مع قصد الأمر المتوجّه إليه لو كان متوجّهاً إليه ثم يأمر بذلك الفعل.</w:t>
      </w:r>
    </w:p>
    <w:p>
      <w:pPr>
        <w:pStyle w:val="BookText"/>
      </w:pPr>
      <w:r>
        <w:rPr>
          <w:rFonts w:ascii="Amiri" w:hAnsi="Amiri" w:eastAsia="Amiri" w:cs="Amiri"/>
          <w:lang w:bidi="ar-SA"/>
          <w:color w:val="111111"/>
          <w:sz w:val="28"/>
          <w:szCs w:val="28"/>
          <w:rtl/>
        </w:rPr>
        <w:t xml:space="preserve">غاية الأمر أنّه لا يعقل تحقّق القربة</w:t>
      </w:r>
      <w:r>
        <w:rPr>
          <w:rStyle w:val="FootnoteReference"/>
        </w:rPr>
        <w:footnoteReference w:id="1268"/>
      </w:r>
      <w:r>
        <w:rPr>
          <w:rFonts w:ascii="Amiri" w:hAnsi="Amiri" w:eastAsia="Amiri" w:cs="Amiri"/>
          <w:lang w:bidi="ar-SA"/>
          <w:color w:val="111111"/>
          <w:sz w:val="28"/>
          <w:szCs w:val="28"/>
          <w:rtl/>
        </w:rPr>
        <w:t xml:space="preserve">في الخارج إلّا بعد تحقّق الأمر وأنّ مقدورية الفعل إنّما هو بالأمر ولا بأس به.</w:t>
      </w:r>
    </w:p>
    <w:p>
      <w:pPr>
        <w:pStyle w:val="BookText"/>
      </w:pPr>
      <w:r>
        <w:rPr>
          <w:rFonts w:ascii="Amiri" w:hAnsi="Amiri" w:eastAsia="Amiri" w:cs="Amiri"/>
          <w:lang w:bidi="ar-SA"/>
          <w:color w:val="111111"/>
          <w:sz w:val="28"/>
          <w:szCs w:val="28"/>
          <w:rtl/>
        </w:rPr>
        <w:t xml:space="preserve">فنقول للآمر أن يقول: «إنّ الصّلاة مثلاً عبارة عن الأفعال المخصوصة وقصد الأمر المتعلّق بها إن تعلّق بها». ثم يقول: «ايت بالصلاة».</w:t>
      </w:r>
    </w:p>
    <w:p>
      <w:pPr>
        <w:pStyle w:val="BookText"/>
      </w:pPr>
      <w:r>
        <w:rPr>
          <w:rFonts w:ascii="Amiri" w:hAnsi="Amiri" w:eastAsia="Amiri" w:cs="Amiri"/>
          <w:lang w:bidi="ar-SA"/>
          <w:color w:val="111111"/>
          <w:sz w:val="28"/>
          <w:szCs w:val="28"/>
          <w:rtl/>
        </w:rPr>
        <w:t xml:space="preserve">مع أنّه يمكن قصد القربة بوجه آخر غير قصد الأمر بأن يقصد كون الفعل محبوباً للمولى أو موجباً للقرب إليه أو نحو ذلك من وجوه القصد الغير الموقوفة علىالأمر على ما بيّن في محلّه.</w:t>
      </w:r>
    </w:p>
    <w:p>
      <w:pPr>
        <w:pStyle w:val="BookText"/>
      </w:pPr>
      <w:r>
        <w:rPr>
          <w:rFonts w:ascii="IRNazanin" w:hAnsi="IRNazanin" w:eastAsia="IRNazanin" w:cs="IRNazanin"/>
          <w:lang w:bidi="fa-IR"/>
          <w:color w:val="111111"/>
          <w:sz w:val="28"/>
          <w:szCs w:val="28"/>
          <w:rtl/>
        </w:rPr>
        <w:t xml:space="preserve">وثانياً: لو سلّمنا أنّها معتبرة في طريق الامتثال فلا إشکال في أنّها ليست واجباً مستقلّاً بحيث لو أتى بالفعل لا معها كان الفعل صحيحاً، غاية الأمر أنّه عصى بترك القصد.</w:t>
      </w:r>
    </w:p>
    <w:p>
      <w:pPr>
        <w:pStyle w:val="BookText"/>
      </w:pPr>
      <w:r>
        <w:rPr>
          <w:rFonts w:ascii="Amiri" w:hAnsi="Amiri" w:eastAsia="Amiri" w:cs="Amiri"/>
          <w:lang w:bidi="ar-SA"/>
          <w:color w:val="111111"/>
          <w:sz w:val="28"/>
          <w:szCs w:val="28"/>
          <w:rtl/>
        </w:rPr>
        <w:t xml:space="preserve">بل معنى اعتبارها في طريق الامتثال أنّه لو لم يقصد القربة كان ما أتى به غير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93" w:name="pg6784_51366"/>
    <w:bookmarkEnd w:id="193"/>
    <w:p>
      <w:pPr>
        <w:pStyle w:val="BookText"/>
      </w:pPr>
      <w:r>
        <w:rPr>
          <w:rFonts w:ascii="IRNazanin" w:hAnsi="IRNazanin" w:eastAsia="IRNazanin" w:cs="IRNazanin"/>
          <w:lang w:bidi="fa-IR"/>
          <w:color w:val="111111"/>
          <w:sz w:val="28"/>
          <w:szCs w:val="28"/>
          <w:rtl/>
        </w:rPr>
        <w:t xml:space="preserve">المأمور به الواقعي وإن کان في نظرنا هو هو بأن يكون الأفعال المخصوصة في الواقع لها نحو وجود خاصّ لا يتحقّق في الخارج إلّا بقصد القربة، فيكون من المقدّمات العقلية فلو أتى بها لا بها</w:t>
      </w:r>
      <w:r>
        <w:rPr>
          <w:rStyle w:val="FootnoteReference"/>
        </w:rPr>
        <w:footnoteReference w:id="1269"/>
      </w:r>
      <w:r>
        <w:rPr>
          <w:rFonts w:ascii="Amiri" w:hAnsi="Amiri" w:eastAsia="Amiri" w:cs="Amiri"/>
          <w:lang w:bidi="ar-SA"/>
          <w:color w:val="111111"/>
          <w:sz w:val="28"/>
          <w:szCs w:val="28"/>
          <w:rtl/>
        </w:rPr>
        <w:t xml:space="preserve">لم يكن ما كان مطلوباً في الواقع فيكون القربة حينئذٍ معرِّفة لشرط واقعي وهو الخصوصيّة المعتبرة في الأفعال الخارجيّة فيكون الفعل مقيّداً بتلك الخصوصيّة وحينئذٍ يمكن أن يكون المطلوب الفعل المقيّد بها والترك المقيّد بها.</w:t>
      </w:r>
    </w:p>
    <w:p>
      <w:pPr>
        <w:pStyle w:val="BookText"/>
      </w:pPr>
      <w:r>
        <w:rPr>
          <w:rFonts w:ascii="IRNazanin" w:hAnsi="IRNazanin" w:eastAsia="IRNazanin" w:cs="IRNazanin"/>
          <w:lang w:bidi="fa-IR"/>
          <w:color w:val="111111"/>
          <w:sz w:val="28"/>
          <w:szCs w:val="28"/>
          <w:rtl/>
        </w:rPr>
        <w:t xml:space="preserve">غاية الأمر أنّه يجب تبديل قصد القربة بتلك الخصوصيّة فيكون التعبير بالقربة من باب أنّها معرّفة لتلك الخصوصيّة فيتمّ مطلب الموجّه أیضاً.</w:t>
      </w:r>
    </w:p>
    <w:p>
      <w:pPr>
        <w:pStyle w:val="Heading6"/>
      </w:pPr>
      <w:bookmarkStart w:id="671" w:name="_Toc352"/>
      <w:r>
        <w:t>[الوجه الثاني للإیراد]</w:t>
      </w:r>
      <w:bookmarkEnd w:id="671"/>
    </w:p>
    <w:p>
      <w:pPr>
        <w:pStyle w:val="BookText"/>
      </w:pPr>
      <w:r>
        <w:rPr>
          <w:rFonts w:ascii="Amiri" w:hAnsi="Amiri" w:eastAsia="Amiri" w:cs="Amiri"/>
          <w:lang w:bidi="ar-SA"/>
          <w:color w:val="111111"/>
          <w:sz w:val="28"/>
          <w:szCs w:val="28"/>
          <w:rtl/>
        </w:rPr>
        <w:t xml:space="preserve">الثاني: أنّا لو أغمضنا عمّا ذكر نقول: لا نعقل</w:t>
      </w:r>
      <w:r>
        <w:rPr>
          <w:rStyle w:val="FootnoteReference"/>
        </w:rPr>
        <w:footnoteReference w:id="1270"/>
      </w:r>
      <w:r>
        <w:rPr>
          <w:rFonts w:ascii="IRNazanin" w:hAnsi="IRNazanin" w:eastAsia="IRNazanin" w:cs="IRNazanin"/>
          <w:lang w:bidi="fa-IR"/>
          <w:color w:val="111111"/>
          <w:sz w:val="28"/>
          <w:szCs w:val="28"/>
          <w:rtl/>
        </w:rPr>
        <w:t xml:space="preserve">كون کلّ من فعل شي‌ء وتركه مقرِّبا فإنّه تناقض؛ إذ لو كان المقرّب فعله فلا قربة في تركه وبالعكس؛ إذ من الواضح محالية اتّصاف طرفي النقيض بالتقرّب.</w:t>
      </w:r>
    </w:p>
    <w:p>
      <w:pPr>
        <w:pStyle w:val="Heading6"/>
      </w:pPr>
      <w:bookmarkStart w:id="672" w:name="_Toc353"/>
      <w:r>
        <w:t>[نقد الوجه الثاني من الإیراد]</w:t>
      </w:r>
      <w:bookmarkEnd w:id="672"/>
    </w:p>
    <w:p>
      <w:pPr>
        <w:pStyle w:val="BookText"/>
      </w:pPr>
      <w:r>
        <w:rPr>
          <w:rFonts w:ascii="IRNazanin" w:hAnsi="IRNazanin" w:eastAsia="IRNazanin" w:cs="IRNazanin"/>
          <w:lang w:bidi="fa-IR"/>
          <w:color w:val="111111"/>
          <w:sz w:val="28"/>
          <w:szCs w:val="28"/>
          <w:rtl/>
        </w:rPr>
        <w:t xml:space="preserve">وفيه: أنّ المقرِّبية ليست من الصّفات الواقعية للأفعال والتّروك بل هي من جهة تعلّق أمر الشارع ونهيه فإذا فرض تعلّق أمره بکلّ من الفعل والترك كان کلّ منهما مقرِّباً.</w:t>
      </w:r>
    </w:p>
    <w:p>
      <w:pPr>
        <w:pStyle w:val="BookText"/>
      </w:pPr>
      <w:r>
        <w:rPr>
          <w:rFonts w:ascii="Amiri" w:hAnsi="Amiri" w:eastAsia="Amiri" w:cs="Amiri"/>
          <w:lang w:bidi="ar-SA"/>
          <w:color w:val="111111"/>
          <w:sz w:val="28"/>
          <w:szCs w:val="28"/>
          <w:rtl/>
        </w:rPr>
        <w:t xml:space="preserve">وإن قيل: إنّه لا بدّ أن يكون هناك مصلحة في المأمور به</w:t>
      </w:r>
      <w:r>
        <w:rPr>
          <w:rStyle w:val="FootnoteReference"/>
        </w:rPr>
        <w:footnoteReference w:id="1271"/>
      </w:r>
      <w:r>
        <w:rPr>
          <w:rFonts w:ascii="IRNazanin" w:hAnsi="IRNazanin" w:eastAsia="IRNazanin" w:cs="IRNazanin"/>
          <w:lang w:bidi="fa-IR"/>
          <w:color w:val="111111"/>
          <w:sz w:val="28"/>
          <w:szCs w:val="28"/>
          <w:rtl/>
        </w:rPr>
        <w:t xml:space="preserve">ولا يعقل أن يكون المصلحة في کلّ من الفعل والترك؛قلنا: يمكن أن يكون المصلحة في الأمر لا في المأمور به، مع أنّه إذا كانت القربة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94" w:name="pg6784_51367"/>
    <w:bookmarkEnd w:id="194"/>
    <w:p>
      <w:pPr>
        <w:pStyle w:val="BookText"/>
      </w:pPr>
      <w:r>
        <w:rPr>
          <w:rFonts w:ascii="IRNazanin" w:hAnsi="IRNazanin" w:eastAsia="IRNazanin" w:cs="IRNazanin"/>
          <w:lang w:bidi="fa-IR"/>
          <w:color w:val="111111"/>
          <w:sz w:val="28"/>
          <w:szCs w:val="28"/>
          <w:rtl/>
        </w:rPr>
        <w:t xml:space="preserve">قيداً للفعل والترك فيمكن كون کلّ منهما ذا مصلحة كما لا يخفى.</w:t>
      </w:r>
    </w:p>
    <w:p>
      <w:pPr>
        <w:pStyle w:val="Heading6"/>
      </w:pPr>
      <w:bookmarkStart w:id="673" w:name="_Toc354"/>
      <w:r>
        <w:t>[إیرادات أخر على کلام صاحب الفصول (رحمة الله‌علیه)]</w:t>
      </w:r>
      <w:bookmarkEnd w:id="673"/>
    </w:p>
    <w:p>
      <w:pPr>
        <w:pStyle w:val="BookText"/>
      </w:pPr>
      <w:r>
        <w:rPr>
          <w:rFonts w:ascii="Amiri" w:hAnsi="Amiri" w:eastAsia="Amiri" w:cs="Amiri"/>
          <w:lang w:bidi="ar-SA"/>
          <w:color w:val="111111"/>
          <w:sz w:val="28"/>
          <w:szCs w:val="28"/>
          <w:rtl/>
        </w:rPr>
        <w:t xml:space="preserve">هذا ويمكن أن يورد عليه:</w:t>
      </w:r>
    </w:p>
    <w:p>
      <w:pPr>
        <w:pStyle w:val="BookText"/>
      </w:pPr>
      <w:r>
        <w:rPr>
          <w:rFonts w:ascii="IRNazanin" w:hAnsi="IRNazanin" w:eastAsia="IRNazanin" w:cs="IRNazanin"/>
          <w:lang w:bidi="fa-IR"/>
          <w:color w:val="111111"/>
          <w:sz w:val="28"/>
          <w:szCs w:val="28"/>
          <w:rtl/>
        </w:rPr>
        <w:t xml:space="preserve">أوّلاً: بأنّ ما ذكره من التخيير بين الفعل والترك لا يحتاج إلى اعتبار قصد القربة في طرف الترك بل یکفي في الفرق بينه وبين الإباحة اعتبارها في الفعل فقط؛ إذ يتحقّق الواسطة حينئذٍ وهو الفعل لا بقصد القربة.</w:t>
      </w:r>
    </w:p>
    <w:p>
      <w:pPr>
        <w:pStyle w:val="BookText"/>
      </w:pPr>
      <w:r>
        <w:rPr>
          <w:rFonts w:ascii="Amiri" w:hAnsi="Amiri" w:eastAsia="Amiri" w:cs="Amiri"/>
          <w:lang w:bidi="ar-SA"/>
          <w:color w:val="111111"/>
          <w:sz w:val="28"/>
          <w:szCs w:val="28"/>
          <w:rtl/>
        </w:rPr>
        <w:t xml:space="preserve">بل يمكن أن يتصوّر التخيير بين الفعل والترك مع عدم اعتبار القربة أصلاً ويتحقّق الفرق</w:t>
      </w:r>
      <w:r>
        <w:rPr>
          <w:rStyle w:val="FootnoteReference"/>
        </w:rPr>
        <w:footnoteReference w:id="1272"/>
      </w:r>
      <w:r>
        <w:rPr>
          <w:rFonts w:ascii="IRNazanin" w:hAnsi="IRNazanin" w:eastAsia="IRNazanin" w:cs="IRNazanin"/>
          <w:lang w:bidi="fa-IR"/>
          <w:color w:val="111111"/>
          <w:sz w:val="28"/>
          <w:szCs w:val="28"/>
          <w:rtl/>
        </w:rPr>
        <w:t xml:space="preserve">بأنّ في الإباحة لا مصلحة في شي‌ء من الفعل والترك ولا طلب وهنا في کلّ منهما مصلحة وکلّ منهما مطلوبٌ على وجه التخيير ولا يضرّ عدم الواسطة كما إذا</w:t>
      </w:r>
      <w:r>
        <w:rPr>
          <w:rStyle w:val="FootnoteReference"/>
        </w:rPr>
        <w:footnoteReference w:id="1273"/>
      </w:r>
      <w:r>
        <w:rPr>
          <w:rFonts w:ascii="Amiri" w:hAnsi="Amiri" w:eastAsia="Amiri" w:cs="Amiri"/>
          <w:lang w:bidi="ar-SA"/>
          <w:color w:val="111111"/>
          <w:sz w:val="28"/>
          <w:szCs w:val="28"/>
          <w:rtl/>
        </w:rPr>
        <w:t xml:space="preserve">خيّر بين الضدّين الذين</w:t>
      </w:r>
      <w:r>
        <w:rPr>
          <w:rStyle w:val="FootnoteReference"/>
        </w:rPr>
        <w:footnoteReference w:id="1274"/>
      </w:r>
      <w:r>
        <w:rPr>
          <w:rFonts w:ascii="IRNazanin" w:hAnsi="IRNazanin" w:eastAsia="IRNazanin" w:cs="IRNazanin"/>
          <w:lang w:bidi="fa-IR"/>
          <w:color w:val="111111"/>
          <w:sz w:val="28"/>
          <w:szCs w:val="28"/>
          <w:rtl/>
        </w:rPr>
        <w:t xml:space="preserve">لا ثالث لهما.</w:t>
      </w:r>
    </w:p>
    <w:p>
      <w:pPr>
        <w:pStyle w:val="BookText"/>
      </w:pPr>
      <w:r>
        <w:rPr>
          <w:rFonts w:ascii="Amiri" w:hAnsi="Amiri" w:eastAsia="Amiri" w:cs="Amiri"/>
          <w:lang w:bidi="ar-SA"/>
          <w:color w:val="111111"/>
          <w:sz w:val="28"/>
          <w:szCs w:val="28"/>
          <w:rtl/>
        </w:rPr>
        <w:t xml:space="preserve">ودعوى أنّه لا حاجة إلى الأمر حينئذٍ؛ إذ مع عدمه يحصل واحد من الفعل والترك؛</w:t>
      </w:r>
    </w:p>
    <w:p>
      <w:pPr>
        <w:pStyle w:val="BookText"/>
      </w:pPr>
      <w:r>
        <w:rPr>
          <w:rFonts w:ascii="IRNazanin" w:hAnsi="IRNazanin" w:eastAsia="IRNazanin" w:cs="IRNazanin"/>
          <w:lang w:bidi="fa-IR"/>
          <w:color w:val="111111"/>
          <w:sz w:val="28"/>
          <w:szCs w:val="28"/>
          <w:rtl/>
        </w:rPr>
        <w:t xml:space="preserve">مدفوعة أوّلاً: بأنّ لازمه عدم إمکان التخيير بين الضدّين المذكورين مع أنّه ممكن قطعاً.</w:t>
      </w:r>
    </w:p>
    <w:p>
      <w:pPr>
        <w:pStyle w:val="BookText"/>
      </w:pPr>
      <w:r>
        <w:rPr>
          <w:rFonts w:ascii="IRNazanin" w:hAnsi="IRNazanin" w:eastAsia="IRNazanin" w:cs="IRNazanin"/>
          <w:lang w:bidi="fa-IR"/>
          <w:color w:val="111111"/>
          <w:sz w:val="28"/>
          <w:szCs w:val="28"/>
          <w:rtl/>
        </w:rPr>
        <w:t xml:space="preserve">وثانياً: بأنّ فائدة الأمر حينئذٍ إمکان التعبّد والإتیان بقصد القربة بخلاف ما إذا لم يأمر، مع أنّه يمكن أن يكون هناك مصلحة في نفس الأمر غير ما ذكر من إمکان التعبّد.</w:t>
      </w:r>
    </w:p>
    <w:p>
      <w:pPr>
        <w:pStyle w:val="BookText"/>
      </w:pPr>
      <w:r>
        <w:rPr>
          <w:rFonts w:ascii="IRNazanin" w:hAnsi="IRNazanin" w:eastAsia="IRNazanin" w:cs="IRNazanin"/>
          <w:lang w:bidi="fa-IR"/>
          <w:color w:val="111111"/>
          <w:sz w:val="28"/>
          <w:szCs w:val="28"/>
          <w:rtl/>
        </w:rPr>
        <w:t xml:space="preserve">بل إذا فرضنا إمکان</w:t>
      </w:r>
      <w:r>
        <w:rPr>
          <w:rStyle w:val="FootnoteReference"/>
        </w:rPr>
        <w:footnoteReference w:id="1275"/>
      </w:r>
      <w:r>
        <w:rPr>
          <w:rFonts w:ascii="IRNazanin" w:hAnsi="IRNazanin" w:eastAsia="IRNazanin" w:cs="IRNazanin"/>
          <w:lang w:bidi="fa-IR"/>
          <w:color w:val="111111"/>
          <w:sz w:val="28"/>
          <w:szCs w:val="28"/>
          <w:rtl/>
        </w:rPr>
        <w:t xml:space="preserve">كون المصلحة في کلّ من الفعل والترك والمفروض أنّ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تابع للمصلحة فلا مفرّ من الأمر حينئذٍ على وجه التخيير.</w:t>
      </w:r>
    </w:p>
    <w:p>
      <w:pPr>
        <w:pStyle w:val="BookText"/>
      </w:pPr>
      <w:r>
        <w:rPr>
          <w:rFonts w:ascii="IRNazanin" w:hAnsi="IRNazanin" w:eastAsia="IRNazanin" w:cs="IRNazanin"/>
          <w:lang w:bidi="fa-IR"/>
          <w:color w:val="111111"/>
          <w:sz w:val="28"/>
          <w:szCs w:val="28"/>
          <w:rtl/>
        </w:rPr>
        <w:t xml:space="preserve">ودعوى عدم إمکان ذلك مجازفة كدعوى عدم معقوليّة البعث إليهما.مع أنّ المکلّف منبعث بنفسه؛ إذ لازمه عدم الأمر فيما لو كان المکلّف آتياً بالفعل في علم الله تعالى، بل لو لوحظ ذلك ينسدّ باب التکلیف؛ إذ لا فائدة في البعث مع كونه في علم الله تعالى آتياً ولا إذا كان في علمه تاركاً.</w:t>
      </w:r>
    </w:p>
    <w:p>
      <w:pPr>
        <w:pStyle w:val="BookText"/>
      </w:pPr>
      <w:r>
        <w:rPr>
          <w:rFonts w:ascii="Amiri" w:hAnsi="Amiri" w:eastAsia="Amiri" w:cs="Amiri"/>
          <w:lang w:bidi="ar-SA"/>
          <w:color w:val="111111"/>
          <w:sz w:val="28"/>
          <w:szCs w:val="28"/>
          <w:rtl/>
        </w:rPr>
        <w:t xml:space="preserve">وإن قيل: إنّ الفائدة هي الإثابة والعقاب، قلنا: فكذا في المقام.</w:t>
      </w:r>
    </w:p>
    <w:p>
      <w:pPr>
        <w:pStyle w:val="BookText"/>
      </w:pPr>
      <w:r>
        <w:rPr>
          <w:rFonts w:ascii="Amiri" w:hAnsi="Amiri" w:eastAsia="Amiri" w:cs="Amiri"/>
          <w:lang w:bidi="ar-SA"/>
          <w:color w:val="111111"/>
          <w:sz w:val="28"/>
          <w:szCs w:val="28"/>
          <w:rtl/>
        </w:rPr>
        <w:t xml:space="preserve">وثانياً: أنّ ظاهر</w:t>
      </w:r>
      <w:r>
        <w:rPr>
          <w:rStyle w:val="FootnoteReference"/>
        </w:rPr>
        <w:footnoteReference w:id="1276"/>
      </w:r>
      <w:r>
        <w:rPr>
          <w:rFonts w:ascii="Amiri" w:hAnsi="Amiri" w:eastAsia="Amiri" w:cs="Amiri"/>
          <w:lang w:bidi="ar-SA"/>
          <w:color w:val="111111"/>
          <w:sz w:val="28"/>
          <w:szCs w:val="28"/>
          <w:rtl/>
        </w:rPr>
        <w:t xml:space="preserve">النّواهي المذكورة كون المطلوب مجرّد الترك فالتقييد باعتبار القربة مع عدم الإشارة إليه في شي‌ء من الأخبار بعيد غايته.</w:t>
      </w:r>
    </w:p>
    <w:p>
      <w:pPr>
        <w:pStyle w:val="BookText"/>
      </w:pPr>
      <w:r>
        <w:rPr>
          <w:rFonts w:ascii="IRNazanin" w:hAnsi="IRNazanin" w:eastAsia="IRNazanin" w:cs="IRNazanin"/>
          <w:lang w:bidi="fa-IR"/>
          <w:color w:val="111111"/>
          <w:sz w:val="28"/>
          <w:szCs w:val="28"/>
          <w:rtl/>
        </w:rPr>
        <w:t xml:space="preserve">وثالثاً: أنّ ظاهرها وجود منقصة ومرجوحيّة في الفعل وما ذكره راجع إلى مطلوبیّة الترك فقط من دون حزازة في الفعل، مع أنّ استعمال النّهي في الأمر بالترك خلاف ظاهر آخر؛ إذ ظاهر النّهي المنع من الفعل لا الأمر بالتّرك.</w:t>
      </w:r>
    </w:p>
    <w:p>
      <w:pPr>
        <w:pStyle w:val="BookText"/>
      </w:pPr>
      <w:r>
        <w:rPr>
          <w:rFonts w:ascii="IRNazanin" w:hAnsi="IRNazanin" w:eastAsia="IRNazanin" w:cs="IRNazanin"/>
          <w:lang w:bidi="fa-IR"/>
          <w:color w:val="111111"/>
          <w:sz w:val="28"/>
          <w:szCs w:val="28"/>
          <w:rtl/>
        </w:rPr>
        <w:t xml:space="preserve">ورابعاً: إذا كان المراد من النّهي طلب الترك على وجه التخيير فمن أين يستفاد أفضليته من الفعل؟! إلّا أن يقال: إنّه يستفاد من الإجماع أو بعض الأخبار مثل قوله (علیه‌السلام): «إفطارك لأخيك المؤمن أفضل من صيامك [تطوّعاً]</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r>
        <w:rPr>
          <w:rStyle w:val="FootnoteReference"/>
        </w:rPr>
        <w:footnoteReference w:id="1278"/>
      </w:r>
      <w:r>
        <w:rPr>
          <w:rFonts w:ascii="Amiri" w:hAnsi="Amiri" w:eastAsia="Amiri" w:cs="Amiri"/>
          <w:lang w:bidi="ar-SA"/>
          <w:color w:val="111111"/>
          <w:sz w:val="28"/>
          <w:szCs w:val="28"/>
          <w:rtl/>
        </w:rPr>
        <w:t xml:space="preserve">وهو كما ترى.</w:t>
      </w:r>
    </w:p>
    <w:p>
      <w:pPr>
        <w:pStyle w:val="BookText"/>
      </w:pPr>
      <w:r>
        <w:rPr>
          <w:rFonts w:ascii="Amiri" w:hAnsi="Amiri" w:eastAsia="Amiri" w:cs="Amiri"/>
          <w:lang w:bidi="ar-SA"/>
          <w:color w:val="111111"/>
          <w:sz w:val="28"/>
          <w:szCs w:val="28"/>
          <w:rtl/>
        </w:rPr>
        <w:t xml:space="preserve">أو يقال: إنّ التعبير عن الأمر بالنهي يستفاد منه الأفضلية المذكورة؛ إذ العدول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95" w:name="pg6784_51369"/>
    <w:bookmarkEnd w:id="195"/>
    <w:p>
      <w:pPr>
        <w:pStyle w:val="BookText"/>
      </w:pPr>
      <w:r>
        <w:rPr>
          <w:rFonts w:ascii="Amiri" w:hAnsi="Amiri" w:eastAsia="Amiri" w:cs="Amiri"/>
          <w:lang w:bidi="ar-SA"/>
          <w:color w:val="111111"/>
          <w:sz w:val="28"/>
          <w:szCs w:val="28"/>
          <w:rtl/>
        </w:rPr>
        <w:t xml:space="preserve">عن التعبير الأصلي إلى ما يكون ظاهراً في</w:t>
      </w:r>
      <w:r>
        <w:rPr>
          <w:rStyle w:val="FootnoteReference"/>
        </w:rPr>
        <w:footnoteReference w:id="1279"/>
      </w:r>
      <w:r>
        <w:rPr>
          <w:rFonts w:ascii="Amiri" w:hAnsi="Amiri" w:eastAsia="Amiri" w:cs="Amiri"/>
          <w:lang w:bidi="ar-SA"/>
          <w:color w:val="111111"/>
          <w:sz w:val="28"/>
          <w:szCs w:val="28"/>
          <w:rtl/>
        </w:rPr>
        <w:t xml:space="preserve">خلاف المطلوب لا بدّ له من نكتة.</w:t>
      </w:r>
    </w:p>
    <w:p>
      <w:pPr>
        <w:pStyle w:val="Heading6"/>
      </w:pPr>
      <w:bookmarkStart w:id="674" w:name="_Toc355"/>
      <w:r>
        <w:t>[الوجه السادس: ما اختاره الشيخ الأعظم الأنصاري (رحمة الله‌علیه)]</w:t>
      </w:r>
      <w:bookmarkEnd w:id="674"/>
    </w:p>
    <w:p>
      <w:pPr>
        <w:pStyle w:val="Heading6"/>
      </w:pPr>
      <w:bookmarkStart w:id="675" w:name="_Toc356"/>
      <w:r>
        <w:t>اشارة</w:t>
      </w:r>
      <w:bookmarkEnd w:id="675"/>
    </w:p>
    <w:p>
      <w:pPr>
        <w:pStyle w:val="BookText"/>
      </w:pPr>
      <w:r>
        <w:rPr>
          <w:rFonts w:ascii="Amiri" w:hAnsi="Amiri" w:eastAsia="Amiri" w:cs="Amiri"/>
          <w:lang w:bidi="ar-SA"/>
          <w:color w:val="111111"/>
          <w:sz w:val="28"/>
          <w:szCs w:val="28"/>
          <w:rtl/>
        </w:rPr>
        <w:t xml:space="preserve">السّادس: ما اختاره شيخ مشايخنا الشّيخ المحقّق الأنصاري</w:t>
      </w:r>
      <w:r>
        <w:rPr>
          <w:rStyle w:val="FootnoteReference"/>
        </w:rPr>
        <w:footnoteReference w:id="1280"/>
      </w:r>
      <w:r>
        <w:rPr>
          <w:rFonts w:ascii="IRNazanin" w:hAnsi="IRNazanin" w:eastAsia="IRNazanin" w:cs="IRNazanin"/>
          <w:lang w:bidi="fa-IR"/>
          <w:color w:val="111111"/>
          <w:sz w:val="28"/>
          <w:szCs w:val="28"/>
          <w:rtl/>
        </w:rPr>
        <w:t xml:space="preserve">وحاصله أنّ الکلام في مقامات؛ إذ تارة يكون المنهيّ عنه أخصّ مطلقاً مع وجود البدل، وتارة لا معه،وتارة يكون أعمّ من وجه كالطهارة بالماء المشتبه والصّلاة في بيوت الظّالمين.</w:t>
      </w:r>
    </w:p>
    <w:p>
      <w:pPr>
        <w:pStyle w:val="Heading6"/>
      </w:pPr>
      <w:bookmarkStart w:id="676" w:name="_Toc357"/>
      <w:r>
        <w:t>أمّا المقام الأوّل</w:t>
      </w:r>
      <w:bookmarkEnd w:id="676"/>
    </w:p>
    <w:p>
      <w:pPr>
        <w:pStyle w:val="BookText"/>
      </w:pPr>
      <w:r>
        <w:rPr>
          <w:rFonts w:ascii="Amiri" w:hAnsi="Amiri" w:eastAsia="Amiri" w:cs="Amiri"/>
          <w:lang w:bidi="ar-SA"/>
          <w:color w:val="111111"/>
          <w:sz w:val="28"/>
          <w:szCs w:val="28"/>
          <w:rtl/>
        </w:rPr>
        <w:t xml:space="preserve">فيحتاج بيان الحال فيه إلى مقدّمة هي أنّ المستفاد من إطلاق الأمر المتعلّق بالطّبيعة في موارده أمور ثلاثة:</w:t>
      </w:r>
    </w:p>
    <w:p>
      <w:pPr>
        <w:pStyle w:val="BookText"/>
      </w:pPr>
      <w:r>
        <w:rPr>
          <w:rFonts w:ascii="IRNazanin" w:hAnsi="IRNazanin" w:eastAsia="IRNazanin" w:cs="IRNazanin"/>
          <w:lang w:bidi="fa-IR"/>
          <w:color w:val="111111"/>
          <w:sz w:val="28"/>
          <w:szCs w:val="28"/>
          <w:rtl/>
        </w:rPr>
        <w:t xml:space="preserve">الأوّل: ترخيص المکلّف في إيجادها في ضمن أيّ فرد كان.</w:t>
      </w:r>
    </w:p>
    <w:p>
      <w:pPr>
        <w:pStyle w:val="BookText"/>
      </w:pPr>
      <w:r>
        <w:rPr>
          <w:rFonts w:ascii="IRNazanin" w:hAnsi="IRNazanin" w:eastAsia="IRNazanin" w:cs="IRNazanin"/>
          <w:lang w:bidi="fa-IR"/>
          <w:color w:val="111111"/>
          <w:sz w:val="28"/>
          <w:szCs w:val="28"/>
          <w:rtl/>
        </w:rPr>
        <w:t xml:space="preserve">الثاني: حصول الامتثال وسقوط الطلب بإتیان أي فرد كان بمعنى أنّها متساوية في مقام الامتثال.</w:t>
      </w:r>
    </w:p>
    <w:p>
      <w:pPr>
        <w:pStyle w:val="BookText"/>
      </w:pPr>
      <w:r>
        <w:rPr>
          <w:rFonts w:ascii="IRNazanin" w:hAnsi="IRNazanin" w:eastAsia="IRNazanin" w:cs="IRNazanin"/>
          <w:lang w:bidi="fa-IR"/>
          <w:color w:val="111111"/>
          <w:sz w:val="28"/>
          <w:szCs w:val="28"/>
          <w:rtl/>
        </w:rPr>
        <w:t xml:space="preserve">الثّالث: أنّها متساوية في الأجر والثواب فإذا فرضنا تعلّق النهي بفرد من أفراد تلك الطّبيعة فإمّا أن يكون ناظراً إلى التّرخيص التکلیفي أو الوضعي فلا</w:t>
      </w:r>
      <w:r>
        <w:rPr>
          <w:rStyle w:val="FootnoteReference"/>
        </w:rPr>
        <w:footnoteReference w:id="1281"/>
      </w:r>
      <w:r>
        <w:rPr>
          <w:rFonts w:ascii="Amiri" w:hAnsi="Amiri" w:eastAsia="Amiri" w:cs="Amiri"/>
          <w:lang w:bidi="ar-SA"/>
          <w:color w:val="111111"/>
          <w:sz w:val="28"/>
          <w:szCs w:val="28"/>
          <w:rtl/>
        </w:rPr>
        <w:t xml:space="preserve">مَحالة يكون تحريمياً.</w:t>
      </w:r>
    </w:p>
    <w:p>
      <w:pPr>
        <w:pStyle w:val="BookText"/>
      </w:pPr>
      <w:r>
        <w:rPr>
          <w:rFonts w:ascii="Amiri" w:hAnsi="Amiri" w:eastAsia="Amiri" w:cs="Amiri"/>
          <w:lang w:bidi="ar-SA"/>
          <w:color w:val="111111"/>
          <w:sz w:val="28"/>
          <w:szCs w:val="28"/>
          <w:rtl/>
        </w:rPr>
        <w:t xml:space="preserve">وهل يستفاد منه عدم وقوع الامتثال بالمنهي عنه أو يفيد التّحريم فقط أو يستفاد منه خصوص الفساد وعدم الامتثال ولا يستفاد منه التحريم؟</w:t>
      </w:r>
    </w:p>
    <w:p>
      <w:pPr>
        <w:pStyle w:val="BookText"/>
      </w:pPr>
      <w:r>
        <w:rPr>
          <w:rFonts w:ascii="Amiri" w:hAnsi="Amiri" w:eastAsia="Amiri" w:cs="Amiri"/>
          <w:lang w:bidi="ar-SA"/>
          <w:color w:val="111111"/>
          <w:sz w:val="28"/>
          <w:szCs w:val="28"/>
          <w:rtl/>
        </w:rPr>
        <w:t xml:space="preserve">وجوه يبحث عنها في مسألة دلالة النّهي على الفساد وإن لم يكن النّهي تحريميّاً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w:t>
      </w:r>
      <w:r>
        <w:rPr>
          <w:rStyle w:val="FootnoteReference"/>
        </w:rPr>
        <w:footnoteReference w:id="1282"/>
      </w:r>
      <w:r>
        <w:rPr>
          <w:rFonts w:ascii="IRNazanin" w:hAnsi="IRNazanin" w:eastAsia="IRNazanin" w:cs="IRNazanin"/>
          <w:lang w:bidi="fa-IR"/>
          <w:color w:val="111111"/>
          <w:sz w:val="28"/>
          <w:szCs w:val="28"/>
          <w:rtl/>
        </w:rPr>
        <w:t xml:space="preserve">ناظر إلى عدم استواء</w:t>
      </w:r>
      <w:r>
        <w:rPr>
          <w:rStyle w:val="FootnoteReference"/>
        </w:rPr>
        <w:footnoteReference w:id="1283"/>
      </w:r>
      <w:r>
        <w:rPr>
          <w:rFonts w:ascii="Amiri" w:hAnsi="Amiri" w:eastAsia="Amiri" w:cs="Amiri"/>
          <w:lang w:bidi="ar-SA"/>
          <w:color w:val="111111"/>
          <w:sz w:val="28"/>
          <w:szCs w:val="28"/>
          <w:rtl/>
        </w:rPr>
        <w:t xml:space="preserve">الأفراد في الأجر والثواب كما أنّ النّهي التحريمي كالنّهي عن الصلاة في الحرير يستفاد منه مجرّد المانعيّة ولا يستفاد منه التّحريم إلّا على وجه التشريع.</w:t>
      </w:r>
    </w:p>
    <w:p>
      <w:pPr>
        <w:pStyle w:val="BookText"/>
      </w:pPr>
      <w:r>
        <w:rPr>
          <w:rFonts w:ascii="Amiri" w:hAnsi="Amiri" w:eastAsia="Amiri" w:cs="Amiri"/>
          <w:lang w:bidi="ar-SA"/>
          <w:color w:val="111111"/>
          <w:sz w:val="28"/>
          <w:szCs w:val="28"/>
          <w:rtl/>
        </w:rPr>
        <w:t xml:space="preserve">ثمّ لو علم توجّه النّهي إلى إحدی</w:t>
      </w:r>
      <w:r>
        <w:rPr>
          <w:rStyle w:val="FootnoteReference"/>
        </w:rPr>
        <w:footnoteReference w:id="1284"/>
      </w:r>
      <w:r>
        <w:rPr>
          <w:rFonts w:ascii="Amiri" w:hAnsi="Amiri" w:eastAsia="Amiri" w:cs="Amiri"/>
          <w:lang w:bidi="ar-SA"/>
          <w:color w:val="111111"/>
          <w:sz w:val="28"/>
          <w:szCs w:val="28"/>
          <w:rtl/>
        </w:rPr>
        <w:t xml:space="preserve">المراتب المستفادة من الأمر فهو وإلّا فلو شك في ذلك فهل يحكم بالتحريم ويتبعه الفساد على القول بامتناع الاجتماع أو بالفساد فقط بمعنى أنّه يحمل على كونه ناظراً إلى الترخيص</w:t>
      </w:r>
      <w:r>
        <w:rPr>
          <w:rStyle w:val="FootnoteReference"/>
        </w:rPr>
        <w:footnoteReference w:id="1285"/>
      </w:r>
      <w:r>
        <w:rPr>
          <w:rFonts w:ascii="Amiri" w:hAnsi="Amiri" w:eastAsia="Amiri" w:cs="Amiri"/>
          <w:lang w:bidi="ar-SA"/>
          <w:color w:val="111111"/>
          <w:sz w:val="28"/>
          <w:szCs w:val="28"/>
          <w:rtl/>
        </w:rPr>
        <w:t xml:space="preserve">الوضعي أو بالكراهة المصطلحة أو غيرها؟</w:t>
      </w:r>
    </w:p>
    <w:p>
      <w:pPr>
        <w:pStyle w:val="BookText"/>
      </w:pPr>
      <w:r>
        <w:rPr>
          <w:rFonts w:ascii="IRNazanin" w:hAnsi="IRNazanin" w:eastAsia="IRNazanin" w:cs="IRNazanin"/>
          <w:lang w:bidi="fa-IR"/>
          <w:color w:val="111111"/>
          <w:sz w:val="28"/>
          <w:szCs w:val="28"/>
          <w:rtl/>
        </w:rPr>
        <w:t xml:space="preserve">وجوه، أظهرها الثاني؛ لأنّ الكراهة بمعنييها خلاف الظاهر والتحريم وإن کانظاهر النّهي إلّا أنّ النّهي الوارد في مقام توهّم الصحّة يستفاد منه الفساد كالأمر الوارد عقيب الحظر المستفاد منه الرّخصة فقط دون الوجوب.</w:t>
      </w:r>
    </w:p>
    <w:p>
      <w:pPr>
        <w:pStyle w:val="BookText"/>
      </w:pPr>
      <w:r>
        <w:rPr>
          <w:rFonts w:ascii="Amiri" w:hAnsi="Amiri" w:eastAsia="Amiri" w:cs="Amiri"/>
          <w:lang w:bidi="ar-SA"/>
          <w:color w:val="111111"/>
          <w:sz w:val="28"/>
          <w:szCs w:val="28"/>
          <w:rtl/>
        </w:rPr>
        <w:t xml:space="preserve">ودعوى أنّ النّهي كما يمكن أن يكون ناظراً إلى الصحّة كذا يمكن أن يكون</w:t>
      </w:r>
      <w:r>
        <w:rPr>
          <w:rStyle w:val="FootnoteReference"/>
        </w:rPr>
        <w:footnoteReference w:id="1286"/>
      </w:r>
      <w:r>
        <w:rPr>
          <w:rFonts w:ascii="IRNazanin" w:hAnsi="IRNazanin" w:eastAsia="IRNazanin" w:cs="IRNazanin"/>
          <w:lang w:bidi="fa-IR"/>
          <w:color w:val="111111"/>
          <w:sz w:val="28"/>
          <w:szCs w:val="28"/>
          <w:rtl/>
        </w:rPr>
        <w:t xml:space="preserve">ناظراً إلى الجواز المستفاد من إطلاق الأمر؛</w:t>
      </w:r>
    </w:p>
    <w:p>
      <w:pPr>
        <w:pStyle w:val="BookText"/>
      </w:pPr>
      <w:r>
        <w:rPr>
          <w:rFonts w:ascii="Amiri" w:hAnsi="Amiri" w:eastAsia="Amiri" w:cs="Amiri"/>
          <w:lang w:bidi="ar-SA"/>
          <w:color w:val="111111"/>
          <w:sz w:val="28"/>
          <w:szCs w:val="28"/>
          <w:rtl/>
        </w:rPr>
        <w:t xml:space="preserve">مدفوعة بأنّ رفع الجواز يلازم رفع الصحّة على القول بالامتناع فيكون نظير دوران الأمر بين الأقلّ والأكثر والأصل قاضٍ بعدم التحريم عرفاً كما في الأوامر الواردة في مقام بيان الأجزاء والشّرائط فإنّها محمولة على الإرشاد إلى الجزئية والشّرطية وحيث إنّ ظهور الأمر في الصحّة أكثر من ظهوره في تساوي الأفراد في الأجر والثواب فلذلك</w:t>
      </w:r>
      <w:r>
        <w:rPr>
          <w:rStyle w:val="FootnoteReference"/>
        </w:rPr>
        <w:footnoteReference w:id="1287"/>
      </w:r>
      <w:r>
        <w:rPr>
          <w:rFonts w:ascii="IRNazanin" w:hAnsi="IRNazanin" w:eastAsia="IRNazanin" w:cs="IRNazanin"/>
          <w:lang w:bidi="fa-IR"/>
          <w:color w:val="111111"/>
          <w:sz w:val="28"/>
          <w:szCs w:val="28"/>
          <w:rtl/>
        </w:rPr>
        <w:t xml:space="preserve">قلنا: إنّ الكراهة بکلا معنييها خلاف الظاهر.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96" w:name="pg6784_51371"/>
    <w:bookmarkEnd w:id="196"/>
    <w:p>
      <w:pPr>
        <w:pStyle w:val="BookText"/>
      </w:pPr>
      <w:r>
        <w:rPr>
          <w:rFonts w:ascii="Amiri" w:hAnsi="Amiri" w:eastAsia="Amiri" w:cs="Amiri"/>
          <w:lang w:bidi="ar-SA"/>
          <w:color w:val="111111"/>
          <w:sz w:val="28"/>
          <w:szCs w:val="28"/>
          <w:rtl/>
        </w:rPr>
        <w:t xml:space="preserve">نعم يصحّ ذلك فيما لو علم بإجماع ونحوه عدم الفساد فإنّ المنساق من النهي حينئذٍ عدم التساوي في المرتبة.</w:t>
      </w:r>
    </w:p>
    <w:p>
      <w:pPr>
        <w:pStyle w:val="BookText"/>
      </w:pPr>
      <w:r>
        <w:rPr>
          <w:rFonts w:ascii="IRNazanin" w:hAnsi="IRNazanin" w:eastAsia="IRNazanin" w:cs="IRNazanin"/>
          <w:lang w:bidi="fa-IR"/>
          <w:color w:val="111111"/>
          <w:sz w:val="28"/>
          <w:szCs w:val="28"/>
          <w:rtl/>
        </w:rPr>
        <w:t xml:space="preserve">وإذا تمهّد هذا فنقول:</w:t>
      </w:r>
    </w:p>
    <w:p>
      <w:pPr>
        <w:pStyle w:val="BookText"/>
      </w:pPr>
      <w:r>
        <w:rPr>
          <w:rFonts w:ascii="IRNazanin" w:hAnsi="IRNazanin" w:eastAsia="IRNazanin" w:cs="IRNazanin"/>
          <w:lang w:bidi="fa-IR"/>
          <w:color w:val="111111"/>
          <w:sz w:val="28"/>
          <w:szCs w:val="28"/>
          <w:rtl/>
        </w:rPr>
        <w:t xml:space="preserve">إنّ النّواهي المذكورة ليست على حقائقها من رجحان الترك ومرجوحيّة الفعل بل هي إرشاد إلى عدم تساوي الأفراد في الثّواب وليست خالية عن الطّلب بل هي للطّلب الإرشادي ولا يضرّ اجتماعه مع الوجوب لأنّ المقصود منه بيان قلّة الثواب فليس من الطّلب حقیقة وحينئذٍ فلا يلزم استعمال الإنشاء في الإخبار والمراد قلّة الثواب بالنّسبة إلى ما أعدّ للطّبيعة من حيث هي فلا يلزم عدم الانضباط.</w:t>
      </w:r>
    </w:p>
    <w:p>
      <w:pPr>
        <w:pStyle w:val="BookText"/>
      </w:pPr>
      <w:r>
        <w:rPr>
          <w:rFonts w:ascii="IRNazanin" w:hAnsi="IRNazanin" w:eastAsia="IRNazanin" w:cs="IRNazanin"/>
          <w:lang w:bidi="fa-IR"/>
          <w:color w:val="111111"/>
          <w:sz w:val="28"/>
          <w:szCs w:val="28"/>
          <w:rtl/>
        </w:rPr>
        <w:t xml:space="preserve">نعم يشکل في العبادة الّتي علم بعدم زيادة ثوابها على القدر الواجب، ويدفعه عدم العلم بمثلها في العبادات المكروهة واحتمال كون بعضها كذلك لا يجدي في</w:t>
      </w:r>
      <w:r>
        <w:rPr>
          <w:rStyle w:val="FootnoteReference"/>
        </w:rPr>
        <w:footnoteReference w:id="1288"/>
      </w:r>
      <w:r>
        <w:rPr>
          <w:rFonts w:ascii="IRNazanin" w:hAnsi="IRNazanin" w:eastAsia="IRNazanin" w:cs="IRNazanin"/>
          <w:lang w:bidi="fa-IR"/>
          <w:color w:val="111111"/>
          <w:sz w:val="28"/>
          <w:szCs w:val="28"/>
          <w:rtl/>
        </w:rPr>
        <w:t xml:space="preserve">النقض</w:t>
      </w:r>
      <w:r>
        <w:rPr>
          <w:rStyle w:val="FootnoteReference"/>
        </w:rPr>
        <w:footnoteReference w:id="1289"/>
      </w:r>
      <w:r>
        <w:rPr>
          <w:rFonts w:ascii="IRNazanin" w:hAnsi="IRNazanin" w:eastAsia="IRNazanin" w:cs="IRNazanin"/>
          <w:lang w:bidi="fa-IR"/>
          <w:color w:val="111111"/>
          <w:sz w:val="28"/>
          <w:szCs w:val="28"/>
          <w:rtl/>
        </w:rPr>
        <w:t xml:space="preserve">إذ مورد</w:t>
      </w:r>
      <w:r>
        <w:rPr>
          <w:rStyle w:val="FootnoteReference"/>
        </w:rPr>
        <w:footnoteReference w:id="1290"/>
      </w:r>
      <w:r>
        <w:rPr>
          <w:rFonts w:ascii="IRNazanin" w:hAnsi="IRNazanin" w:eastAsia="IRNazanin" w:cs="IRNazanin"/>
          <w:lang w:bidi="fa-IR"/>
          <w:color w:val="111111"/>
          <w:sz w:val="28"/>
          <w:szCs w:val="28"/>
          <w:rtl/>
        </w:rPr>
        <w:t xml:space="preserve">النقض</w:t>
      </w:r>
      <w:r>
        <w:rPr>
          <w:rStyle w:val="FootnoteReference"/>
        </w:rPr>
        <w:footnoteReference w:id="1291"/>
      </w:r>
      <w:r>
        <w:rPr>
          <w:rFonts w:ascii="IRNazanin" w:hAnsi="IRNazanin" w:eastAsia="IRNazanin" w:cs="IRNazanin"/>
          <w:lang w:bidi="fa-IR"/>
          <w:color w:val="111111"/>
          <w:sz w:val="28"/>
          <w:szCs w:val="28"/>
          <w:rtl/>
        </w:rPr>
        <w:t xml:space="preserve">ما يكون معلوماً أنّه كذلك وليس، وأیضاً العرف قاضبحمل النّواهي الواردة في مقام توهّم الاستواء على ما ذكرنا من القلّة.</w:t>
      </w:r>
    </w:p>
    <w:p>
      <w:pPr>
        <w:pStyle w:val="Heading6"/>
      </w:pPr>
      <w:bookmarkStart w:id="677" w:name="_Toc358"/>
      <w:r>
        <w:t>وأمّا المقام الثاني</w:t>
      </w:r>
      <w:bookmarkEnd w:id="677"/>
    </w:p>
    <w:p>
      <w:pPr>
        <w:pStyle w:val="BookText"/>
      </w:pPr>
      <w:r>
        <w:rPr>
          <w:rFonts w:ascii="Amiri" w:hAnsi="Amiri" w:eastAsia="Amiri" w:cs="Amiri"/>
          <w:lang w:bidi="ar-SA"/>
          <w:color w:val="111111"/>
          <w:sz w:val="28"/>
          <w:szCs w:val="28"/>
          <w:rtl/>
        </w:rPr>
        <w:t xml:space="preserve">وهوالعبادات الّتي لا بدل</w:t>
      </w:r>
      <w:r>
        <w:rPr>
          <w:rStyle w:val="FootnoteReference"/>
        </w:rPr>
        <w:footnoteReference w:id="1292"/>
      </w:r>
      <w:r>
        <w:rPr>
          <w:rFonts w:ascii="IRNazanin" w:hAnsi="IRNazanin" w:eastAsia="IRNazanin" w:cs="IRNazanin"/>
          <w:lang w:bidi="fa-IR"/>
          <w:color w:val="111111"/>
          <w:sz w:val="28"/>
          <w:szCs w:val="28"/>
          <w:rtl/>
        </w:rPr>
        <w:t xml:space="preserve">لها فنقول: الإشکال فيها يرد على المجوّز أیضاً ولایختصّ بالمانعين وحسم مادة الإشکال فيها يحتاج إلى تمهيد هو أنّه: يمكن أن يكون کلّ من فعل الشي‌ء وتركه معنوناً بعنوان ذي مصلحة مقتضية للأمر به فيكون مخيراً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 الفعل والترك کلّ بعنوان كالأکل المندرج تحت عنوان</w:t>
      </w:r>
      <w:r>
        <w:rPr>
          <w:rStyle w:val="FootnoteReference"/>
        </w:rPr>
        <w:footnoteReference w:id="1293"/>
      </w:r>
      <w:r>
        <w:rPr>
          <w:rFonts w:ascii="Amiri" w:hAnsi="Amiri" w:eastAsia="Amiri" w:cs="Amiri"/>
          <w:lang w:bidi="ar-SA"/>
          <w:color w:val="111111"/>
          <w:sz w:val="28"/>
          <w:szCs w:val="28"/>
          <w:rtl/>
        </w:rPr>
        <w:t xml:space="preserve">إجابة المؤمن وتركه المندرج تحت عنوان الصّوم.</w:t>
      </w:r>
    </w:p>
    <w:p>
      <w:pPr>
        <w:pStyle w:val="BookText"/>
      </w:pPr>
      <w:r>
        <w:rPr>
          <w:rFonts w:ascii="IRNazanin" w:hAnsi="IRNazanin" w:eastAsia="IRNazanin" w:cs="IRNazanin"/>
          <w:lang w:bidi="fa-IR"/>
          <w:color w:val="111111"/>
          <w:sz w:val="28"/>
          <w:szCs w:val="28"/>
          <w:rtl/>
        </w:rPr>
        <w:t xml:space="preserve">فحيث لا يمكن الجمع بين المتناقضين وجب الحكم بالتّخيير بينهما ولا يلزم من ذلك دخوله تحت الإباحة فإنّ ذلك إنّما يلزم مع عدم الواسطة وهي موجودة وهو الفعل والترك المجرّدان عن قصد العنوان المنضمّ إليهما فإنّ الإفطار بلا ملاحظة أنّه إجابة للمؤمن لا حسن فيه، كما أنّ تركه بلا ملاحظة عنوان الصّوم كذلك فالمقام نظير التخيير بين الفعل والترك المستفاد من حكم العقل في إنقاذ الغريقين حيث إنّه مخيّر بين فعل کلّ إنقاذ وتركه حيث إنّه حسن من حيث إنّه مجامع لعنوان إنقاذ الآخر.</w:t>
      </w:r>
    </w:p>
    <w:p>
      <w:pPr>
        <w:pStyle w:val="BookText"/>
      </w:pPr>
      <w:r>
        <w:rPr>
          <w:rFonts w:ascii="IRNazanin" w:hAnsi="IRNazanin" w:eastAsia="IRNazanin" w:cs="IRNazanin"/>
          <w:lang w:bidi="fa-IR"/>
          <w:color w:val="111111"/>
          <w:sz w:val="28"/>
          <w:szCs w:val="28"/>
          <w:rtl/>
        </w:rPr>
        <w:t xml:space="preserve">لكن فرق بينه وبين المقام وهو أنّ فعل الإنقاذ في أحدهما ليس عين عدم الإنقاذ في الآخر فإنّ وجود أحد الضدّين ليس عين عدم الآخر وأمّا فيما نحن فيه فترك الصّوم وفعل الأکل عين عنوان الإجابة.</w:t>
      </w:r>
    </w:p>
    <w:p>
      <w:pPr>
        <w:pStyle w:val="BookText"/>
      </w:pPr>
      <w:r>
        <w:rPr>
          <w:rFonts w:ascii="Amiri" w:hAnsi="Amiri" w:eastAsia="Amiri" w:cs="Amiri"/>
          <w:lang w:bidi="ar-SA"/>
          <w:color w:val="111111"/>
          <w:sz w:val="28"/>
          <w:szCs w:val="28"/>
          <w:rtl/>
        </w:rPr>
        <w:t xml:space="preserve">وبعد ذلك فنقول: إنّ الظاهر من ملاحظة النّواهي الواردة فيما لا بدل له أنّها من جهة احتفافها بعنوان آخر كما يظهر بالتصفح في مطاويها.</w:t>
      </w:r>
    </w:p>
    <w:p>
      <w:pPr>
        <w:pStyle w:val="BookText"/>
      </w:pPr>
      <w:r>
        <w:rPr>
          <w:rFonts w:ascii="Amiri" w:hAnsi="Amiri" w:eastAsia="Amiri" w:cs="Amiri"/>
          <w:lang w:bidi="ar-SA"/>
          <w:color w:val="111111"/>
          <w:sz w:val="28"/>
          <w:szCs w:val="28"/>
          <w:rtl/>
        </w:rPr>
        <w:t xml:space="preserve">فكراهة صوم الولد بدون إذن الوالد إنّما هي من جهة أنّه مخالفة له وكذا كراهة صوم الزوجة بدون إذن الزوج. وكراهة صوم الضيف من جهة أنّ تركه داخل تحت عنوان إجابة المؤمن وكذا صوم من دعي</w:t>
      </w:r>
      <w:r>
        <w:rPr>
          <w:rStyle w:val="FootnoteReference"/>
        </w:rPr>
        <w:footnoteReference w:id="1294"/>
      </w:r>
      <w:r>
        <w:rPr>
          <w:rFonts w:ascii="IRNazanin" w:hAnsi="IRNazanin" w:eastAsia="IRNazanin" w:cs="IRNazanin"/>
          <w:lang w:bidi="fa-IR"/>
          <w:color w:val="111111"/>
          <w:sz w:val="28"/>
          <w:szCs w:val="28"/>
          <w:rtl/>
        </w:rPr>
        <w:t xml:space="preserve">إلى طعام.</w:t>
      </w:r>
    </w:p>
    <w:p>
      <w:pPr>
        <w:pStyle w:val="BookText"/>
      </w:pPr>
      <w:r>
        <w:rPr>
          <w:rFonts w:ascii="IRNazanin" w:hAnsi="IRNazanin" w:eastAsia="IRNazanin" w:cs="IRNazanin"/>
          <w:lang w:bidi="fa-IR"/>
          <w:color w:val="111111"/>
          <w:sz w:val="28"/>
          <w:szCs w:val="28"/>
          <w:rtl/>
        </w:rPr>
        <w:t xml:space="preserve">وكراهة صوم عرفة من جهة أنّ تركه داخل تحت عنوان الاحتياط على ما يظهرمن الرواية عن أبي جعفر (علیه‌السلام): «أكره أن أصومه [یعني يوم</w:t>
      </w:r>
      <w:r>
        <w:rPr>
          <w:rStyle w:val="FootnoteReference"/>
        </w:rPr>
        <w:footnoteReference w:id="1295"/>
      </w:r>
      <w:r>
        <w:rPr>
          <w:rFonts w:ascii="Amiri" w:hAnsi="Amiri" w:eastAsia="Amiri" w:cs="Amiri"/>
          <w:lang w:bidi="ar-SA"/>
          <w:color w:val="111111"/>
          <w:sz w:val="28"/>
          <w:szCs w:val="28"/>
          <w:rtl/>
        </w:rPr>
        <w:t xml:space="preserve">عرفة]</w:t>
      </w:r>
      <w:r>
        <w:rPr>
          <w:rStyle w:val="FootnoteReference"/>
        </w:rPr>
        <w:footnoteReference w:id="1296"/>
      </w:r>
      <w:r>
        <w:rPr>
          <w:rFonts w:ascii="Amiri" w:hAnsi="Amiri" w:eastAsia="Amiri" w:cs="Amiri"/>
          <w:lang w:bidi="ar-SA"/>
          <w:color w:val="111111"/>
          <w:sz w:val="28"/>
          <w:szCs w:val="28"/>
          <w:rtl/>
        </w:rPr>
        <w:t xml:space="preserve">أتخوّف أن يكون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عرفة يوم [النحر]</w:t>
      </w:r>
      <w:r>
        <w:rPr>
          <w:rStyle w:val="FootnoteReference"/>
        </w:rPr>
        <w:footnoteReference w:id="1297"/>
      </w:r>
      <w:r>
        <w:rPr>
          <w:rFonts w:ascii="Amiri" w:hAnsi="Amiri" w:eastAsia="Amiri" w:cs="Amiri"/>
          <w:lang w:bidi="ar-SA"/>
          <w:color w:val="111111"/>
          <w:sz w:val="28"/>
          <w:szCs w:val="28"/>
          <w:rtl/>
        </w:rPr>
        <w:t xml:space="preserve">وليس بيوم صوم».</w:t>
      </w:r>
      <w:r>
        <w:rPr>
          <w:rStyle w:val="FootnoteReference"/>
        </w:rPr>
        <w:footnoteReference w:id="1298"/>
      </w:r>
    </w:p>
    <w:p>
      <w:pPr>
        <w:pStyle w:val="BookText"/>
      </w:pPr>
      <w:r>
        <w:rPr>
          <w:rFonts w:ascii="Amiri" w:hAnsi="Amiri" w:eastAsia="Amiri" w:cs="Amiri"/>
          <w:lang w:bidi="ar-SA"/>
          <w:color w:val="111111"/>
          <w:sz w:val="28"/>
          <w:szCs w:val="28"/>
          <w:rtl/>
        </w:rPr>
        <w:t xml:space="preserve">وكراهة صوم يوم عاشورا</w:t>
      </w:r>
      <w:r>
        <w:rPr>
          <w:rStyle w:val="FootnoteReference"/>
        </w:rPr>
        <w:footnoteReference w:id="1299"/>
      </w:r>
      <w:r>
        <w:rPr>
          <w:rFonts w:ascii="Amiri" w:hAnsi="Amiri" w:eastAsia="Amiri" w:cs="Amiri"/>
          <w:lang w:bidi="ar-SA"/>
          <w:color w:val="111111"/>
          <w:sz w:val="28"/>
          <w:szCs w:val="28"/>
          <w:rtl/>
        </w:rPr>
        <w:t xml:space="preserve">إنّما هي من جهة التشبيه ببني أميّة لعنهم الله، إلى غير ذلك. فنختار أنّه مخير بين الفعل بعنوان الصوم والترك بأحد العناوين المذكورة.</w:t>
      </w:r>
    </w:p>
    <w:p>
      <w:pPr>
        <w:pStyle w:val="BookText"/>
      </w:pPr>
      <w:r>
        <w:rPr>
          <w:rFonts w:ascii="Amiri" w:hAnsi="Amiri" w:eastAsia="Amiri" w:cs="Amiri"/>
          <w:lang w:bidi="ar-SA"/>
          <w:color w:val="111111"/>
          <w:sz w:val="28"/>
          <w:szCs w:val="28"/>
          <w:rtl/>
        </w:rPr>
        <w:t xml:space="preserve">فإن قلت: إنّ ذلك لا يتمّ فيما لا يكون هناك عنوان آخر كصوم السفر والصّلاة في الأوقات المكروهة.</w:t>
      </w:r>
    </w:p>
    <w:p>
      <w:pPr>
        <w:pStyle w:val="BookText"/>
      </w:pPr>
      <w:r>
        <w:rPr>
          <w:rFonts w:ascii="Amiri" w:hAnsi="Amiri" w:eastAsia="Amiri" w:cs="Amiri"/>
          <w:lang w:bidi="ar-SA"/>
          <w:color w:val="111111"/>
          <w:sz w:val="28"/>
          <w:szCs w:val="28"/>
          <w:rtl/>
        </w:rPr>
        <w:t xml:space="preserve">قلت: أوّلاً: يمكن انتزاع العنوان في جميع الموارد كعنوان التشبه بعبدة الشمس في الصلاة وقت الطلوع والغروب.</w:t>
      </w:r>
    </w:p>
    <w:p>
      <w:pPr>
        <w:pStyle w:val="BookText"/>
      </w:pPr>
      <w:r>
        <w:rPr>
          <w:rFonts w:ascii="Amiri" w:hAnsi="Amiri" w:eastAsia="Amiri" w:cs="Amiri"/>
          <w:lang w:bidi="ar-SA"/>
          <w:color w:val="111111"/>
          <w:sz w:val="28"/>
          <w:szCs w:val="28"/>
          <w:rtl/>
        </w:rPr>
        <w:t xml:space="preserve">وثانياً: نقول: العنوان الواقعي موجود ويمكن قصده إجمالاً؛ وذلك لأنّ حكم العقل بامتناع الاجتماع قاضٍ بذلك.</w:t>
      </w:r>
    </w:p>
    <w:p>
      <w:pPr>
        <w:pStyle w:val="BookText"/>
      </w:pPr>
      <w:r>
        <w:rPr>
          <w:rFonts w:ascii="IRNazanin" w:hAnsi="IRNazanin" w:eastAsia="IRNazanin" w:cs="IRNazanin"/>
          <w:lang w:bidi="fa-IR"/>
          <w:color w:val="111111"/>
          <w:sz w:val="28"/>
          <w:szCs w:val="28"/>
          <w:rtl/>
        </w:rPr>
        <w:t xml:space="preserve">فإن قلت: فعلى ذلك لا حاجة إلى الأمر والنهي؛ لأنّ المکلّف إمّا يفعل أو يترك.</w:t>
      </w:r>
    </w:p>
    <w:p>
      <w:pPr>
        <w:pStyle w:val="BookText"/>
      </w:pPr>
      <w:r>
        <w:rPr>
          <w:rFonts w:ascii="IRNazanin" w:hAnsi="IRNazanin" w:eastAsia="IRNazanin" w:cs="IRNazanin"/>
          <w:lang w:bidi="fa-IR"/>
          <w:color w:val="111111"/>
          <w:sz w:val="28"/>
          <w:szCs w:val="28"/>
          <w:rtl/>
        </w:rPr>
        <w:t xml:space="preserve">قلت: لعلّ الوجه أن يكون ذلك منه بداعي الامتثال ولا يرد الإشکال الوارد على صاحب الفصول؛ لأنّا اعتبرنا لحوق عنوان آخر لا عنوان القربة.</w:t>
      </w:r>
    </w:p>
    <w:p>
      <w:pPr>
        <w:pStyle w:val="BookText"/>
      </w:pPr>
      <w:r>
        <w:rPr>
          <w:rFonts w:ascii="Amiri" w:hAnsi="Amiri" w:eastAsia="Amiri" w:cs="Amiri"/>
          <w:lang w:bidi="ar-SA"/>
          <w:color w:val="111111"/>
          <w:sz w:val="28"/>
          <w:szCs w:val="28"/>
          <w:rtl/>
        </w:rPr>
        <w:t xml:space="preserve">وإن قيل: كيف يقصد ذلك العنوان وهو مجهول في بعض المقامات؟</w:t>
      </w:r>
    </w:p>
    <w:p>
      <w:pPr>
        <w:pStyle w:val="BookText"/>
      </w:pPr>
      <w:r>
        <w:rPr>
          <w:rFonts w:ascii="Amiri" w:hAnsi="Amiri" w:eastAsia="Amiri" w:cs="Amiri"/>
          <w:lang w:bidi="ar-SA"/>
          <w:color w:val="111111"/>
          <w:sz w:val="28"/>
          <w:szCs w:val="28"/>
          <w:rtl/>
        </w:rPr>
        <w:t xml:space="preserve">قلنا: قصد الأمر قصد له إجمالاً وهو كافٍ.</w:t>
      </w:r>
    </w:p>
    <w:p>
      <w:pPr>
        <w:pStyle w:val="BookText"/>
      </w:pPr>
      <w:r>
        <w:rPr>
          <w:rFonts w:ascii="Amiri" w:hAnsi="Amiri" w:eastAsia="Amiri" w:cs="Amiri"/>
          <w:lang w:bidi="ar-SA"/>
          <w:color w:val="111111"/>
          <w:sz w:val="28"/>
          <w:szCs w:val="28"/>
          <w:rtl/>
        </w:rPr>
        <w:t xml:space="preserve">ثمّ قال: ويرد على الوجه المذكور أمران:</w:t>
      </w:r>
    </w:p>
    <w:p>
      <w:pPr>
        <w:pStyle w:val="BookText"/>
      </w:pPr>
      <w:r>
        <w:rPr>
          <w:rFonts w:ascii="Amiri" w:hAnsi="Amiri" w:eastAsia="Amiri" w:cs="Amiri"/>
          <w:lang w:bidi="ar-SA"/>
          <w:color w:val="111111"/>
          <w:sz w:val="28"/>
          <w:szCs w:val="28"/>
          <w:rtl/>
        </w:rPr>
        <w:t xml:space="preserve">الأوّل: أنّ قضيّة ما ذكرت</w:t>
      </w:r>
      <w:r>
        <w:rPr>
          <w:rStyle w:val="FootnoteReference"/>
        </w:rPr>
        <w:footnoteReference w:id="1300"/>
      </w:r>
      <w:r>
        <w:rPr>
          <w:rFonts w:ascii="IRNazanin" w:hAnsi="IRNazanin" w:eastAsia="IRNazanin" w:cs="IRNazanin"/>
          <w:lang w:bidi="fa-IR"/>
          <w:color w:val="111111"/>
          <w:sz w:val="28"/>
          <w:szCs w:val="28"/>
          <w:rtl/>
        </w:rPr>
        <w:t xml:space="preserve">تساوي الفعل والترك وظاهر کلماتهم والأخبار مرجوحيّة الفعل وهي غير مستفادة</w:t>
      </w:r>
      <w:r>
        <w:rPr>
          <w:rStyle w:val="FootnoteReference"/>
        </w:rPr>
        <w:footnoteReference w:id="1301"/>
      </w:r>
      <w:r>
        <w:rPr>
          <w:rFonts w:ascii="Amiri" w:hAnsi="Amiri" w:eastAsia="Amiri" w:cs="Amiri"/>
          <w:lang w:bidi="ar-SA"/>
          <w:color w:val="111111"/>
          <w:sz w:val="28"/>
          <w:szCs w:val="28"/>
          <w:rtl/>
        </w:rPr>
        <w:t xml:space="preserve">ممّا ذكرت بل ولا أفضلية الترك.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97" w:name="pg6784_51374"/>
    <w:bookmarkEnd w:id="197"/>
    <w:p>
      <w:pPr>
        <w:pStyle w:val="BookText"/>
      </w:pPr>
      <w:r>
        <w:rPr>
          <w:rFonts w:ascii="IRNazanin" w:hAnsi="IRNazanin" w:eastAsia="IRNazanin" w:cs="IRNazanin"/>
          <w:lang w:bidi="fa-IR"/>
          <w:color w:val="111111"/>
          <w:sz w:val="28"/>
          <w:szCs w:val="28"/>
          <w:rtl/>
        </w:rPr>
        <w:t xml:space="preserve">ويدفعه أنّ الأفضلية يمكن استفادتها من بعض الأخبار أو من الإجماع أو من ترك الأئمة (علیهم‌السلام) لها أو من التعبير بالنّهي.</w:t>
      </w:r>
    </w:p>
    <w:p>
      <w:pPr>
        <w:pStyle w:val="BookText"/>
      </w:pPr>
      <w:r>
        <w:rPr>
          <w:rFonts w:ascii="Amiri" w:hAnsi="Amiri" w:eastAsia="Amiri" w:cs="Amiri"/>
          <w:lang w:bidi="ar-SA"/>
          <w:color w:val="111111"/>
          <w:sz w:val="28"/>
          <w:szCs w:val="28"/>
          <w:rtl/>
        </w:rPr>
        <w:t xml:space="preserve">الثاني: أنّ مناط هذا الإرشاد ربما يقال بتحقّقه في جميع العبادات المستحبة مع أفضلية بعضها من بعض.</w:t>
      </w:r>
    </w:p>
    <w:p>
      <w:pPr>
        <w:pStyle w:val="BookText"/>
      </w:pPr>
      <w:r>
        <w:rPr>
          <w:rFonts w:ascii="Amiri" w:hAnsi="Amiri" w:eastAsia="Amiri" w:cs="Amiri"/>
          <w:lang w:bidi="ar-SA"/>
          <w:color w:val="111111"/>
          <w:sz w:val="28"/>
          <w:szCs w:val="28"/>
          <w:rtl/>
        </w:rPr>
        <w:t xml:space="preserve">ويمكن دفعه بالتزامه فيما إذا كان أحدهما مقارناً للآخر كالإنقاذ.</w:t>
      </w:r>
    </w:p>
    <w:p>
      <w:pPr>
        <w:pStyle w:val="Heading6"/>
      </w:pPr>
      <w:bookmarkStart w:id="678" w:name="_Toc359"/>
      <w:r>
        <w:t>وأمّا المقام الثالث</w:t>
      </w:r>
      <w:bookmarkEnd w:id="678"/>
    </w:p>
    <w:p>
      <w:pPr>
        <w:pStyle w:val="BookText"/>
      </w:pPr>
      <w:r>
        <w:rPr>
          <w:rFonts w:ascii="IRNazanin" w:hAnsi="IRNazanin" w:eastAsia="IRNazanin" w:cs="IRNazanin"/>
          <w:lang w:bidi="fa-IR"/>
          <w:color w:val="111111"/>
          <w:sz w:val="28"/>
          <w:szCs w:val="28"/>
          <w:rtl/>
        </w:rPr>
        <w:t xml:space="preserve">وهو تصوير الكراهة في موارد العموم من وجه فالوجه فيها هو ما ذكر فيما لا بدل له والأفضلية أیضاً مستفادة من الوجوه المذكورة وليس التخيير شرعياً ليلزم الاستعمال في أكثر من معنى بل بحكم العقل.</w:t>
      </w:r>
      <w:r>
        <w:rPr>
          <w:rStyle w:val="FootnoteReference"/>
        </w:rPr>
        <w:footnoteReference w:id="1302"/>
      </w:r>
      <w:r>
        <w:rPr>
          <w:rFonts w:ascii="IRNazanin" w:hAnsi="IRNazanin" w:eastAsia="IRNazanin" w:cs="IRNazanin"/>
          <w:lang w:bidi="fa-IR"/>
          <w:color w:val="111111"/>
          <w:sz w:val="28"/>
          <w:szCs w:val="28"/>
          <w:rtl/>
        </w:rPr>
        <w:t xml:space="preserve">انتهى.</w:t>
      </w:r>
    </w:p>
    <w:p>
      <w:pPr>
        <w:pStyle w:val="Heading6"/>
      </w:pPr>
      <w:bookmarkStart w:id="679" w:name="_Toc360"/>
      <w:r>
        <w:t>[إیرادات على کلام الشیخ الأنصاري (رحمة الله‌علیه)]</w:t>
      </w:r>
      <w:bookmarkEnd w:id="679"/>
    </w:p>
    <w:p>
      <w:pPr>
        <w:pStyle w:val="Heading6"/>
      </w:pPr>
      <w:bookmarkStart w:id="680" w:name="_Toc361"/>
      <w:r>
        <w:t>اشارة</w:t>
      </w:r>
      <w:bookmarkEnd w:id="680"/>
    </w:p>
    <w:p>
      <w:pPr>
        <w:pStyle w:val="BookText"/>
      </w:pPr>
      <w:r>
        <w:rPr>
          <w:rFonts w:ascii="IRNazanin" w:hAnsi="IRNazanin" w:eastAsia="IRNazanin" w:cs="IRNazanin"/>
          <w:lang w:bidi="fa-IR"/>
          <w:color w:val="111111"/>
          <w:sz w:val="28"/>
          <w:szCs w:val="28"/>
          <w:rtl/>
        </w:rPr>
        <w:t xml:space="preserve">أقول: في کلامه (قدس‌سره) أنظار لا بأس بالإشارة إليها إجمالاً:</w:t>
      </w:r>
    </w:p>
    <w:p>
      <w:pPr>
        <w:pStyle w:val="Heading6"/>
      </w:pPr>
      <w:bookmarkStart w:id="681" w:name="_Toc362"/>
      <w:r>
        <w:t>[الإیراد الأوّل على کلام الشیخ الأنصاري (رحمة الله‌علیه)]</w:t>
      </w:r>
      <w:bookmarkEnd w:id="681"/>
    </w:p>
    <w:p>
      <w:pPr>
        <w:pStyle w:val="BookText"/>
      </w:pPr>
      <w:r>
        <w:rPr>
          <w:rFonts w:ascii="IRNazanin" w:hAnsi="IRNazanin" w:eastAsia="IRNazanin" w:cs="IRNazanin"/>
          <w:lang w:bidi="fa-IR"/>
          <w:color w:val="111111"/>
          <w:sz w:val="28"/>
          <w:szCs w:val="28"/>
          <w:rtl/>
        </w:rPr>
        <w:t xml:space="preserve">أحدها: أنّ المقدّمة المذكورة ممّا لا حاجة إليها؛ إذ لا فرق بين النهي التحريمي والتنزيهي في أنّهما ناظران إلى الترخيص في الفعل وأنّهما يمنعان عنه، غاية الأمر أنّ أحدهما على وجه المنع من النقيض والآخر على وجه الإذن فيه فمفاد کلّ منهما المنع من الفعل وإذا أبقي هذا المنع على ظاهره أفاد عدم صحّة العبادة لما يعتبر فيها من الرجحان وإذا لم يمكن</w:t>
      </w:r>
      <w:r>
        <w:rPr>
          <w:rStyle w:val="FootnoteReference"/>
        </w:rPr>
        <w:footnoteReference w:id="1303"/>
      </w:r>
      <w:r>
        <w:rPr>
          <w:rFonts w:ascii="Amiri" w:hAnsi="Amiri" w:eastAsia="Amiri" w:cs="Amiri"/>
          <w:lang w:bidi="ar-SA"/>
          <w:color w:val="111111"/>
          <w:sz w:val="28"/>
          <w:szCs w:val="28"/>
          <w:rtl/>
        </w:rPr>
        <w:t xml:space="preserve">الإبقاء على الظاهر ولا بدّ من التوجيه فلا فرق بينهما فكما يمكن أن يحمل النّهي التنزيهي على الإرشاد إلى نفي استواء الأفراد في الأجر والثواب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كذا يمكن أو يجب حمل النهي التحريمي أیضاً على الإرشاد إلى مفسدة ملزمة للترك</w:t>
      </w:r>
      <w:r>
        <w:rPr>
          <w:rStyle w:val="FootnoteReference"/>
        </w:rPr>
        <w:footnoteReference w:id="1304"/>
      </w:r>
      <w:r>
        <w:rPr>
          <w:rFonts w:ascii="Amiri" w:hAnsi="Amiri" w:eastAsia="Amiri" w:cs="Amiri"/>
          <w:lang w:bidi="ar-SA"/>
          <w:color w:val="111111"/>
          <w:sz w:val="28"/>
          <w:szCs w:val="28"/>
          <w:rtl/>
        </w:rPr>
        <w:t xml:space="preserve">بما هي.</w:t>
      </w:r>
    </w:p>
    <w:p>
      <w:pPr>
        <w:pStyle w:val="BookText"/>
      </w:pPr>
      <w:r>
        <w:rPr>
          <w:rFonts w:ascii="Amiri" w:hAnsi="Amiri" w:eastAsia="Amiri" w:cs="Amiri"/>
          <w:lang w:bidi="ar-SA"/>
          <w:color w:val="111111"/>
          <w:sz w:val="28"/>
          <w:szCs w:val="28"/>
          <w:rtl/>
        </w:rPr>
        <w:t xml:space="preserve">مثلاً إذا أمر بعبادة ونهى عن بعض أفرادها تحريميّاً ومع ذلك دلّ الدليل علىصحّة ذلك الفرد فبناء على القول بعدم جواز الاجتماع لا بدّ من أن يقال: إنّ في ذلك الفرد مصلحة ملزمة للفعل ومفسدة ملزمة للتّرك وإنّ الشارع قدّم المصلحة وجعل الحكم تابعاً لها في مقام الفعلية فأبقى الأمر على حاله وفي طرف النهي بقي الجهة من غير طلب فيكون النهي للإرشاد إلى تلك المفسدة وأنّها لو لم تكن مزاحمة بالمصلحة أوجبت</w:t>
      </w:r>
      <w:r>
        <w:rPr>
          <w:rStyle w:val="FootnoteReference"/>
        </w:rPr>
        <w:footnoteReference w:id="1305"/>
      </w:r>
      <w:r>
        <w:rPr>
          <w:rFonts w:ascii="IRNazanin" w:hAnsi="IRNazanin" w:eastAsia="IRNazanin" w:cs="IRNazanin"/>
          <w:lang w:bidi="fa-IR"/>
          <w:color w:val="111111"/>
          <w:sz w:val="28"/>
          <w:szCs w:val="28"/>
          <w:rtl/>
        </w:rPr>
        <w:t xml:space="preserve">الترك فيكون الفعل معها أقلّ ثواباً من المجرّد عن تلك المنقصة فلا خصوصيّة في النّهي التنزيهي في القابلية للرجوع إلى التساوي في الأجر فهما من حيث هما منافيان لبقاء الأمر وبعد التأویل والتوجيه لا منافاة</w:t>
      </w:r>
      <w:r>
        <w:rPr>
          <w:rStyle w:val="FootnoteReference"/>
        </w:rPr>
        <w:footnoteReference w:id="1306"/>
      </w:r>
      <w:r>
        <w:rPr>
          <w:rFonts w:ascii="Amiri" w:hAnsi="Amiri" w:eastAsia="Amiri" w:cs="Amiri"/>
          <w:lang w:bidi="ar-SA"/>
          <w:color w:val="111111"/>
          <w:sz w:val="28"/>
          <w:szCs w:val="28"/>
          <w:rtl/>
        </w:rPr>
        <w:t xml:space="preserve">لشي‌ء منهما.</w:t>
      </w:r>
    </w:p>
    <w:p>
      <w:pPr>
        <w:pStyle w:val="BookText"/>
      </w:pPr>
      <w:r>
        <w:rPr>
          <w:rFonts w:ascii="IRNazanin" w:hAnsi="IRNazanin" w:eastAsia="IRNazanin" w:cs="IRNazanin"/>
          <w:lang w:bidi="fa-IR"/>
          <w:color w:val="111111"/>
          <w:sz w:val="28"/>
          <w:szCs w:val="28"/>
          <w:rtl/>
        </w:rPr>
        <w:t xml:space="preserve">ثمّ من أين علم أنّ النهي ناظر إلى التساوي في الأجر؟ إذ يمكن أن يكون ناظراً إلى التساوي في الرجحان الّذي هو معنى الأمر حقیقة فيكون لإفادة عدم تاكّد الرجحان وعدم تساوي الأفراد فيه، بل هذا أولی؛ لأنّ الرجحان مستفاد من الأمر بحقیقة معناه بخلاف الأجر والثواب حيث إنّه لا نظر للأمر إليه أصلاً.</w:t>
      </w:r>
    </w:p>
    <w:p>
      <w:pPr>
        <w:pStyle w:val="BookText"/>
      </w:pPr>
      <w:r>
        <w:rPr>
          <w:rFonts w:ascii="Amiri" w:hAnsi="Amiri" w:eastAsia="Amiri" w:cs="Amiri"/>
          <w:lang w:bidi="ar-SA"/>
          <w:color w:val="111111"/>
          <w:sz w:val="28"/>
          <w:szCs w:val="28"/>
          <w:rtl/>
        </w:rPr>
        <w:t xml:space="preserve">ثمّ إنّ ما ذكره من: «أنّه لو كان النّهي ناظراً إلى الترخيص المستفاد من الإطلاق فلا محالة يكون تحريمياً وهل يستفاد منه»، إلى آخره،</w:t>
      </w:r>
      <w:r>
        <w:rPr>
          <w:rStyle w:val="FootnoteReference"/>
        </w:rPr>
        <w:footnoteReference w:id="1307"/>
      </w:r>
      <w:r>
        <w:rPr>
          <w:rFonts w:ascii="Amiri" w:hAnsi="Amiri" w:eastAsia="Amiri" w:cs="Amiri"/>
          <w:lang w:bidi="ar-SA"/>
          <w:color w:val="111111"/>
          <w:sz w:val="28"/>
          <w:szCs w:val="28"/>
          <w:rtl/>
        </w:rPr>
        <w:t xml:space="preserve">لا وجه له؛ إذ لو علم أنّه نهي تحريمي فبناء على امتناع الاجتماع يلزمه الفساد ولو علم أنّه إرشادي وأنّه إرشاد إلى المانعيّة فكذلك ولو شكّ في كونه تحريمياً أو إرشادياً فالمرجِع ما ذكره في قوله بعد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98" w:name="pg6784_51376"/>
    <w:bookmarkEnd w:id="198"/>
    <w:p>
      <w:pPr>
        <w:pStyle w:val="BookText"/>
      </w:pPr>
      <w:r>
        <w:rPr>
          <w:rFonts w:ascii="Amiri" w:hAnsi="Amiri" w:eastAsia="Amiri" w:cs="Amiri"/>
          <w:lang w:bidi="ar-SA"/>
          <w:color w:val="111111"/>
          <w:sz w:val="28"/>
          <w:szCs w:val="28"/>
          <w:rtl/>
        </w:rPr>
        <w:t xml:space="preserve">ذلك: «ثم لو علم توجّه»، إلى آخره، فلا وجه لقوله: «أو يفيد التحريم فقط»</w:t>
      </w:r>
      <w:r>
        <w:rPr>
          <w:rStyle w:val="FootnoteReference"/>
        </w:rPr>
        <w:footnoteReference w:id="1308"/>
      </w:r>
      <w:r>
        <w:rPr>
          <w:rFonts w:ascii="IRNazanin" w:hAnsi="IRNazanin" w:eastAsia="IRNazanin" w:cs="IRNazanin"/>
          <w:lang w:bidi="fa-IR"/>
          <w:color w:val="111111"/>
          <w:sz w:val="28"/>
          <w:szCs w:val="28"/>
          <w:rtl/>
        </w:rPr>
        <w:t xml:space="preserve">إذ بناءً على امتناع</w:t>
      </w:r>
      <w:r>
        <w:rPr>
          <w:rStyle w:val="FootnoteReference"/>
        </w:rPr>
        <w:footnoteReference w:id="1309"/>
      </w:r>
      <w:r>
        <w:rPr>
          <w:rFonts w:ascii="IRNazanin" w:hAnsi="IRNazanin" w:eastAsia="IRNazanin" w:cs="IRNazanin"/>
          <w:lang w:bidi="fa-IR"/>
          <w:color w:val="111111"/>
          <w:sz w:val="28"/>
          <w:szCs w:val="28"/>
          <w:rtl/>
        </w:rPr>
        <w:t xml:space="preserve">الاجتماع</w:t>
      </w:r>
      <w:r>
        <w:rPr>
          <w:rStyle w:val="FootnoteReference"/>
        </w:rPr>
        <w:footnoteReference w:id="1310"/>
      </w:r>
      <w:r>
        <w:rPr>
          <w:rFonts w:ascii="Amiri" w:hAnsi="Amiri" w:eastAsia="Amiri" w:cs="Amiri"/>
          <w:lang w:bidi="ar-SA"/>
          <w:color w:val="111111"/>
          <w:sz w:val="28"/>
          <w:szCs w:val="28"/>
          <w:rtl/>
        </w:rPr>
        <w:t xml:space="preserve">كما هو مذهبه أو مفروضه لا وجه للتحريم فقط.</w:t>
      </w:r>
    </w:p>
    <w:p>
      <w:pPr>
        <w:pStyle w:val="BookText"/>
      </w:pPr>
      <w:r>
        <w:rPr>
          <w:rFonts w:ascii="Amiri" w:hAnsi="Amiri" w:eastAsia="Amiri" w:cs="Amiri"/>
          <w:lang w:bidi="ar-SA"/>
          <w:color w:val="111111"/>
          <w:sz w:val="28"/>
          <w:szCs w:val="28"/>
          <w:rtl/>
        </w:rPr>
        <w:t xml:space="preserve">ثمّ لا وجه لقوله: «إنّ النهي الوارد في مقام توهّم الصحّة يستفاد منه الفساد»،</w:t>
      </w:r>
      <w:r>
        <w:rPr>
          <w:rStyle w:val="FootnoteReference"/>
        </w:rPr>
        <w:footnoteReference w:id="1311"/>
      </w:r>
      <w:r>
        <w:rPr>
          <w:rFonts w:ascii="IRNazanin" w:hAnsi="IRNazanin" w:eastAsia="IRNazanin" w:cs="IRNazanin"/>
          <w:lang w:bidi="fa-IR"/>
          <w:color w:val="111111"/>
          <w:sz w:val="28"/>
          <w:szCs w:val="28"/>
          <w:rtl/>
        </w:rPr>
        <w:t xml:space="preserve">بعد كون النهي حقیقة في التحريم تکلیفاً.</w:t>
      </w:r>
    </w:p>
    <w:p>
      <w:pPr>
        <w:pStyle w:val="BookText"/>
      </w:pPr>
      <w:r>
        <w:rPr>
          <w:rFonts w:ascii="Amiri" w:hAnsi="Amiri" w:eastAsia="Amiri" w:cs="Amiri"/>
          <w:lang w:bidi="ar-SA"/>
          <w:color w:val="111111"/>
          <w:sz w:val="28"/>
          <w:szCs w:val="28"/>
          <w:rtl/>
        </w:rPr>
        <w:t xml:space="preserve">نعم النواهي المتعلّقة بالعبادات يستفاد منها المانعيّة لكثرة استعمالها فيها فليسمجرّد الورود في مقام توهّم الصحّة كافياً في ذلك.</w:t>
      </w:r>
    </w:p>
    <w:p>
      <w:pPr>
        <w:pStyle w:val="BookText"/>
      </w:pPr>
      <w:r>
        <w:rPr>
          <w:rFonts w:ascii="Amiri" w:hAnsi="Amiri" w:eastAsia="Amiri" w:cs="Amiri"/>
          <w:lang w:bidi="ar-SA"/>
          <w:color w:val="111111"/>
          <w:sz w:val="28"/>
          <w:szCs w:val="28"/>
          <w:rtl/>
        </w:rPr>
        <w:t xml:space="preserve">ثمّ ما ذكره من أنّ الشّك راجع إلى الأقلّ والأكثر فيؤخذ بالأقلّ وهو نفي الصحّة فقط</w:t>
      </w:r>
      <w:r>
        <w:rPr>
          <w:rStyle w:val="FootnoteReference"/>
        </w:rPr>
        <w:footnoteReference w:id="1312"/>
      </w:r>
      <w:r>
        <w:rPr>
          <w:rFonts w:ascii="IRNazanin" w:hAnsi="IRNazanin" w:eastAsia="IRNazanin" w:cs="IRNazanin"/>
          <w:lang w:bidi="fa-IR"/>
          <w:color w:val="111111"/>
          <w:sz w:val="28"/>
          <w:szCs w:val="28"/>
          <w:rtl/>
        </w:rPr>
        <w:t xml:space="preserve">، إن کان مع قطع النظر عن الظهور في الإرشاد عرفاً فلا وجه له؛ لأنّ ظاهر النهي الحرمة، وإن کان بملاحظته فلا حاجة إلى الأصل؛ لأنّه إذا كان للإرشاد فلا يستفاد منه التحريم. فتدبّر.</w:t>
      </w:r>
    </w:p>
    <w:p>
      <w:pPr>
        <w:pStyle w:val="Heading6"/>
      </w:pPr>
      <w:bookmarkStart w:id="682" w:name="_Toc363"/>
      <w:r>
        <w:t>[الإیراد الثاني على کلام الشیخ الأنصاري (رحمة الله‌علیه)]</w:t>
      </w:r>
      <w:bookmarkEnd w:id="682"/>
    </w:p>
    <w:p>
      <w:pPr>
        <w:pStyle w:val="BookText"/>
      </w:pPr>
      <w:r>
        <w:rPr>
          <w:rFonts w:ascii="Amiri" w:hAnsi="Amiri" w:eastAsia="Amiri" w:cs="Amiri"/>
          <w:lang w:bidi="ar-SA"/>
          <w:color w:val="111111"/>
          <w:sz w:val="28"/>
          <w:szCs w:val="28"/>
          <w:rtl/>
        </w:rPr>
        <w:t xml:space="preserve">الثاني: أنّ الحمل على قلّة الثواب بالمعنى الّذي ذكره خلاف ظاهر النّواهي والحمل على</w:t>
      </w:r>
      <w:r>
        <w:rPr>
          <w:rStyle w:val="FootnoteReference"/>
        </w:rPr>
        <w:footnoteReference w:id="1313"/>
      </w:r>
      <w:r>
        <w:rPr>
          <w:rFonts w:ascii="Amiri" w:hAnsi="Amiri" w:eastAsia="Amiri" w:cs="Amiri"/>
          <w:lang w:bidi="ar-SA"/>
          <w:color w:val="111111"/>
          <w:sz w:val="28"/>
          <w:szCs w:val="28"/>
          <w:rtl/>
        </w:rPr>
        <w:t xml:space="preserve">الإرشاد إلى الحزازة والمنقصة أولى منه؛ لأنّه أقرب إلى معنى النهي.</w:t>
      </w:r>
    </w:p>
    <w:p>
      <w:pPr>
        <w:pStyle w:val="BookText"/>
      </w:pPr>
      <w:r>
        <w:rPr>
          <w:rFonts w:ascii="IRNazanin" w:hAnsi="IRNazanin" w:eastAsia="IRNazanin" w:cs="IRNazanin"/>
          <w:lang w:bidi="fa-IR"/>
          <w:color w:val="111111"/>
          <w:sz w:val="28"/>
          <w:szCs w:val="28"/>
          <w:rtl/>
        </w:rPr>
        <w:t xml:space="preserve">ثمّ لا وجه لتخصيصه الوجه المذكور بما له بدل؛ إذ يجري فيما لا بدل له أیضاً؛ إذ الإرشاد بالمعنى المذكور يجري فيه أیضاً؛ إذ ليس المراد من الطلب الإرشادي حينئذٍ الطلب الغيري.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99" w:name="pg6784_51377"/>
    <w:bookmarkEnd w:id="199"/>
    <w:p>
      <w:pPr>
        <w:pStyle w:val="BookText"/>
      </w:pPr>
      <w:r>
        <w:rPr>
          <w:rFonts w:ascii="IRNazanin" w:hAnsi="IRNazanin" w:eastAsia="IRNazanin" w:cs="IRNazanin"/>
          <w:lang w:bidi="fa-IR"/>
          <w:color w:val="111111"/>
          <w:sz w:val="28"/>
          <w:szCs w:val="28"/>
          <w:rtl/>
        </w:rPr>
        <w:t xml:space="preserve">كيف ولو كان المراد منه ذلك لم يجز الاجتماع؛ لأنّه طلب حقیقي مولوي وإن کان إرشادياً بوجه آخر. فالّذي يجوز فيه الاجتماع مع الوجوب هو الطلب الإرشادي الصوري وهو متصوّر فيما لا بدل له أیضاً.</w:t>
      </w:r>
    </w:p>
    <w:p>
      <w:pPr>
        <w:pStyle w:val="BookText"/>
      </w:pPr>
      <w:r>
        <w:rPr>
          <w:rFonts w:ascii="IRNazanin" w:hAnsi="IRNazanin" w:eastAsia="IRNazanin" w:cs="IRNazanin"/>
          <w:lang w:bidi="fa-IR"/>
          <w:color w:val="111111"/>
          <w:sz w:val="28"/>
          <w:szCs w:val="28"/>
          <w:rtl/>
        </w:rPr>
        <w:t xml:space="preserve">ثمّ لا وجه للإشکال الّذي ذكره فيما لا يكون ثوابه زائداً على المقدار المعتبر في الواجب ولا</w:t>
      </w:r>
      <w:r>
        <w:rPr>
          <w:rStyle w:val="FootnoteReference"/>
        </w:rPr>
        <w:footnoteReference w:id="1314"/>
      </w:r>
      <w:r>
        <w:rPr>
          <w:rFonts w:ascii="IRNazanin" w:hAnsi="IRNazanin" w:eastAsia="IRNazanin" w:cs="IRNazanin"/>
          <w:lang w:bidi="fa-IR"/>
          <w:color w:val="111111"/>
          <w:sz w:val="28"/>
          <w:szCs w:val="28"/>
          <w:rtl/>
        </w:rPr>
        <w:t xml:space="preserve">لجوابه حسبما عرفت سابقاً؛ إذ مجرّد قلّة الثواب الناشئة من النهي التنزيهي لا يزاحم مصلحة الواجب وثوابه وإن کان في أوّل درجة الوجوب.</w:t>
      </w:r>
    </w:p>
    <w:p>
      <w:pPr>
        <w:pStyle w:val="Heading6"/>
      </w:pPr>
      <w:bookmarkStart w:id="683" w:name="_Toc364"/>
      <w:r>
        <w:t>[الإیراد الثالث على کلام الشیخ الأنصاري (رحمة الله‌علیه)]</w:t>
      </w:r>
      <w:bookmarkEnd w:id="683"/>
    </w:p>
    <w:p>
      <w:pPr>
        <w:pStyle w:val="BookText"/>
      </w:pPr>
      <w:r>
        <w:rPr>
          <w:rFonts w:ascii="Amiri" w:hAnsi="Amiri" w:eastAsia="Amiri" w:cs="Amiri"/>
          <w:lang w:bidi="ar-SA"/>
          <w:color w:val="111111"/>
          <w:sz w:val="28"/>
          <w:szCs w:val="28"/>
          <w:rtl/>
        </w:rPr>
        <w:t xml:space="preserve">الثّالث: ما ذكره فيما لا بدل له إنّما تلقنه من صاحب الفصول،</w:t>
      </w:r>
      <w:r>
        <w:rPr>
          <w:rStyle w:val="FootnoteReference"/>
        </w:rPr>
        <w:footnoteReference w:id="1315"/>
      </w:r>
      <w:r>
        <w:rPr>
          <w:rFonts w:ascii="Amiri" w:hAnsi="Amiri" w:eastAsia="Amiri" w:cs="Amiri"/>
          <w:lang w:bidi="ar-SA"/>
          <w:color w:val="111111"/>
          <w:sz w:val="28"/>
          <w:szCs w:val="28"/>
          <w:rtl/>
        </w:rPr>
        <w:t xml:space="preserve">غاية الأمر أنّه بدّل قيد القربة بقيد انضمام عنوان آخر.</w:t>
      </w:r>
      <w:r>
        <w:rPr>
          <w:rStyle w:val="FootnoteReference"/>
        </w:rPr>
        <w:footnoteReference w:id="1316"/>
      </w:r>
      <w:r>
        <w:rPr>
          <w:rFonts w:ascii="IRNazanin" w:hAnsi="IRNazanin" w:eastAsia="IRNazanin" w:cs="IRNazanin"/>
          <w:lang w:bidi="fa-IR"/>
          <w:color w:val="111111"/>
          <w:sz w:val="28"/>
          <w:szCs w:val="28"/>
          <w:rtl/>
        </w:rPr>
        <w:t xml:space="preserve">فيرد عليه بعض ما ورد على صاحب الفصول مضافاً إلى أنّ مقتضى ما بيَّنه أنّ کلّاً من العنوانين مطلوب في حدّ نفسه فعلاً ولکلّ منهما مصلحة يجب تحصيلها عيناً فيكون کلّ من الفعل والترك بضميمة ذلك العنوان مطلوباً عينياً وإنّما جاء التخيير بحكم العقل من باب عدم إمکان الجمع وهذا يناسب مذهب المجوّزين.</w:t>
      </w:r>
    </w:p>
    <w:p>
      <w:pPr>
        <w:pStyle w:val="BookText"/>
      </w:pPr>
      <w:r>
        <w:rPr>
          <w:rFonts w:ascii="Amiri" w:hAnsi="Amiri" w:eastAsia="Amiri" w:cs="Amiri"/>
          <w:lang w:bidi="ar-SA"/>
          <w:color w:val="111111"/>
          <w:sz w:val="28"/>
          <w:szCs w:val="28"/>
          <w:rtl/>
        </w:rPr>
        <w:t xml:space="preserve">غاية الأمر أنّ العقل في المقام في مقام الفعلية يحكم</w:t>
      </w:r>
      <w:r>
        <w:rPr>
          <w:rStyle w:val="FootnoteReference"/>
        </w:rPr>
        <w:footnoteReference w:id="1317"/>
      </w:r>
      <w:r>
        <w:rPr>
          <w:rFonts w:ascii="Amiri" w:hAnsi="Amiri" w:eastAsia="Amiri" w:cs="Amiri"/>
          <w:lang w:bidi="ar-SA"/>
          <w:color w:val="111111"/>
          <w:sz w:val="28"/>
          <w:szCs w:val="28"/>
          <w:rtl/>
        </w:rPr>
        <w:t xml:space="preserve">بالتخيير وفي مقام النهي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التحريمي يحكم بوجوب تقديم النّهي في مقام الفعليّة لكن يبقى مصلحة عنوان الواجب فيمكن الحكم بالصحّة من جهتها بعد كون الأمر الشرعي مطلقاً وإن فرض أنّ التقييد العقلي يوجب التقييد</w:t>
      </w:r>
      <w:r>
        <w:rPr>
          <w:rStyle w:val="FootnoteReference"/>
        </w:rPr>
        <w:footnoteReference w:id="1318"/>
      </w:r>
      <w:r>
        <w:rPr>
          <w:rFonts w:ascii="IRNazanin" w:hAnsi="IRNazanin" w:eastAsia="IRNazanin" w:cs="IRNazanin"/>
          <w:lang w:bidi="fa-IR"/>
          <w:color w:val="111111"/>
          <w:sz w:val="28"/>
          <w:szCs w:val="28"/>
          <w:rtl/>
        </w:rPr>
        <w:t xml:space="preserve">الشرعي أیضاً فنقول: لا وجه للحكم في المقام بالتخيير أیضاً بل لا بدّ من الكسر والانكسار في مصلحتي الفعل والترك ومع التساوي فهو مباح ومع غلبة إحداهما فالحكم تابع له.</w:t>
      </w:r>
    </w:p>
    <w:p>
      <w:pPr>
        <w:pStyle w:val="BookText"/>
      </w:pPr>
      <w:r>
        <w:rPr>
          <w:rFonts w:ascii="IRNazanin" w:hAnsi="IRNazanin" w:eastAsia="IRNazanin" w:cs="IRNazanin"/>
          <w:lang w:bidi="fa-IR"/>
          <w:color w:val="111111"/>
          <w:sz w:val="28"/>
          <w:szCs w:val="28"/>
          <w:rtl/>
        </w:rPr>
        <w:t xml:space="preserve">والحاصل: أنّه إذا لم يقل في المقام بالكسر والانكسار مع كون کلّ من العنوانين في حدّ نفسه ذا مصلحة فعليّة موجبة للطلب الفعلي بل بالتخيير من جهة عدم إمکان الجمع فکذا في النهي التحريمي أيضاً</w:t>
      </w:r>
      <w:r>
        <w:rPr>
          <w:rStyle w:val="FootnoteReference"/>
        </w:rPr>
        <w:footnoteReference w:id="1319"/>
      </w:r>
      <w:r>
        <w:rPr>
          <w:rFonts w:ascii="IRNazanin" w:hAnsi="IRNazanin" w:eastAsia="IRNazanin" w:cs="IRNazanin"/>
          <w:lang w:bidi="fa-IR"/>
          <w:color w:val="111111"/>
          <w:sz w:val="28"/>
          <w:szCs w:val="28"/>
          <w:rtl/>
        </w:rPr>
        <w:t xml:space="preserve">عنوان المأمور به ذو مصلحة فعلية وعنوان المنهي عنه ذو مفسدة كذلك فلا يجوز القول بالكسر والانكسار ومجرّد تغليب أحدهما في مقام الحكم الفعلي لا يرفع الآخر من البين فلا بدّ من القول بالصحّة مع أنّ بعض العناوين المذكورة من قبيل النهي التحريمي يوجب مرجوحيّة الفعل لا مجرّد مطلوبیّة الترك مثل عنوان مخالفة الوالد وإيذائه ومخالفة الزوج وعصيانه والتشبّه ببني أميّة لعنة الله علیهم فإنّ الفعل معنون بهذه العناوين فيكون مكروهاً نظير كون الصّلاة محرّمة لأنّها غصب ولا تفاوت بينهما إلّا من حيث عدم الرخصة في الغصب والرخصة في هذه الأمور.وإن شئت قلت: لازم ما ذكره جواز الاجتماع إذا اجتمع</w:t>
      </w:r>
      <w:r>
        <w:rPr>
          <w:rStyle w:val="FootnoteReference"/>
        </w:rPr>
        <w:footnoteReference w:id="1320"/>
      </w:r>
      <w:r>
        <w:rPr>
          <w:rFonts w:ascii="Amiri" w:hAnsi="Amiri" w:eastAsia="Amiri" w:cs="Amiri"/>
          <w:lang w:bidi="ar-SA"/>
          <w:color w:val="111111"/>
          <w:sz w:val="28"/>
          <w:szCs w:val="28"/>
          <w:rtl/>
        </w:rPr>
        <w:t xml:space="preserve">المستحب مع المكروه؛ إذ مفروض المقام من قبيله فمقتضى ما ذكره أن يقال - فيما إذا كان الفعل مستحبّاً من جهة ومكروهاً من أخرى -:</w:t>
      </w:r>
    </w:p>
    <w:p>
      <w:pPr>
        <w:pStyle w:val="BookText"/>
      </w:pPr>
      <w:r>
        <w:rPr>
          <w:rFonts w:ascii="IRNazanin" w:hAnsi="IRNazanin" w:eastAsia="IRNazanin" w:cs="IRNazanin"/>
          <w:lang w:bidi="fa-IR"/>
          <w:color w:val="111111"/>
          <w:sz w:val="28"/>
          <w:szCs w:val="28"/>
          <w:rtl/>
        </w:rPr>
        <w:t xml:space="preserve">إنّ کلّاً من العنوانين في حدّ نفسه مطلوب والعقل بملاحظة عدم إمکان الجمع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00" w:name="pg6784_51379"/>
    <w:bookmarkEnd w:id="200"/>
    <w:p>
      <w:pPr>
        <w:pStyle w:val="BookText"/>
      </w:pPr>
      <w:r>
        <w:rPr>
          <w:rFonts w:ascii="Amiri" w:hAnsi="Amiri" w:eastAsia="Amiri" w:cs="Amiri"/>
          <w:lang w:bidi="ar-SA"/>
          <w:color w:val="111111"/>
          <w:sz w:val="28"/>
          <w:szCs w:val="28"/>
          <w:rtl/>
        </w:rPr>
        <w:t xml:space="preserve">يحكم بالتخيير ولا يجب التقييد، مع أنّه لا يقول به فلا وجه للتوجيه الّذي ذكره وكان الأولى أن لا يعيّن العنوان المنضمّ إلى الترك بأحد العنوانات المذكورة من إجابة المؤمن ومخالفة الوالد ونحوهما.</w:t>
      </w:r>
    </w:p>
    <w:p>
      <w:pPr>
        <w:pStyle w:val="BookText"/>
      </w:pPr>
      <w:r>
        <w:rPr>
          <w:rFonts w:ascii="IRNazanin" w:hAnsi="IRNazanin" w:eastAsia="IRNazanin" w:cs="IRNazanin"/>
          <w:lang w:bidi="fa-IR"/>
          <w:color w:val="111111"/>
          <w:sz w:val="28"/>
          <w:szCs w:val="28"/>
          <w:rtl/>
        </w:rPr>
        <w:t xml:space="preserve">ويقول: يمكن أن يكون الترك معنوناً بعنوان يكون مطلوباً على وجه التخيير بينه وبين عنوان الصوم والصلاة بأن يكون هناك مصلحة واحدة قائمة بکلّ منهما كما في سائر التخييرات</w:t>
      </w:r>
      <w:r>
        <w:rPr>
          <w:rStyle w:val="FootnoteReference"/>
        </w:rPr>
        <w:footnoteReference w:id="1321"/>
      </w:r>
      <w:r>
        <w:rPr>
          <w:rFonts w:ascii="IRNazanin" w:hAnsi="IRNazanin" w:eastAsia="IRNazanin" w:cs="IRNazanin"/>
          <w:lang w:bidi="fa-IR"/>
          <w:color w:val="111111"/>
          <w:sz w:val="28"/>
          <w:szCs w:val="28"/>
          <w:rtl/>
        </w:rPr>
        <w:t xml:space="preserve">الشرعیّة لكن لمّا كان بصدد إثبات كون الظاهر ذلك وهذا الّذي ذكرناه لا يمكن دعوى ظهوره عيّنه فيما ذكره ممّا يمكن دعوى ظهوره مع الغفلة عمّا يرد عليه ممّا ذكرنا.</w:t>
      </w:r>
    </w:p>
    <w:p>
      <w:pPr>
        <w:pStyle w:val="BookText"/>
      </w:pPr>
      <w:r>
        <w:rPr>
          <w:rFonts w:ascii="Amiri" w:hAnsi="Amiri" w:eastAsia="Amiri" w:cs="Amiri"/>
          <w:lang w:bidi="ar-SA"/>
          <w:color w:val="111111"/>
          <w:sz w:val="28"/>
          <w:szCs w:val="28"/>
          <w:rtl/>
        </w:rPr>
        <w:t xml:space="preserve">ثمّ لا وجه لما ذكره جواباً عن السؤال</w:t>
      </w:r>
      <w:r>
        <w:rPr>
          <w:rStyle w:val="FootnoteReference"/>
        </w:rPr>
        <w:footnoteReference w:id="1322"/>
      </w:r>
      <w:r>
        <w:rPr>
          <w:rFonts w:ascii="IRNazanin" w:hAnsi="IRNazanin" w:eastAsia="IRNazanin" w:cs="IRNazanin"/>
          <w:lang w:bidi="fa-IR"/>
          <w:color w:val="111111"/>
          <w:sz w:val="28"/>
          <w:szCs w:val="28"/>
          <w:rtl/>
        </w:rPr>
        <w:t xml:space="preserve">بأن لا حاجة إلى الأمر والنهي؛ إذ المطلوب حاصل مع عدم الأمر أیضاً.</w:t>
      </w:r>
    </w:p>
    <w:p>
      <w:pPr>
        <w:pStyle w:val="BookText"/>
      </w:pPr>
      <w:r>
        <w:rPr>
          <w:rFonts w:ascii="Amiri" w:hAnsi="Amiri" w:eastAsia="Amiri" w:cs="Amiri"/>
          <w:lang w:bidi="ar-SA"/>
          <w:color w:val="111111"/>
          <w:sz w:val="28"/>
          <w:szCs w:val="28"/>
          <w:rtl/>
        </w:rPr>
        <w:t xml:space="preserve">وذلك</w:t>
      </w:r>
      <w:r>
        <w:rPr>
          <w:rStyle w:val="FootnoteReference"/>
        </w:rPr>
        <w:footnoteReference w:id="1323"/>
      </w:r>
      <w:r>
        <w:rPr>
          <w:rFonts w:ascii="Amiri" w:hAnsi="Amiri" w:eastAsia="Amiri" w:cs="Amiri"/>
          <w:lang w:bidi="ar-SA"/>
          <w:color w:val="111111"/>
          <w:sz w:val="28"/>
          <w:szCs w:val="28"/>
          <w:rtl/>
        </w:rPr>
        <w:t xml:space="preserve">لأنّ هذا السؤال إنّما يرد إذا لم يكن هناك واسطة والمفروض أنّها موجودة فكان الأولى الجواب بوجودها؛ إذ فائدة الأمر حينئذٍ كما في سائر المقامات فلا وقع للسؤال ولا للجواب.</w:t>
      </w:r>
    </w:p>
    <w:p>
      <w:pPr>
        <w:pStyle w:val="BookText"/>
      </w:pPr>
      <w:r>
        <w:rPr>
          <w:rFonts w:ascii="Amiri" w:hAnsi="Amiri" w:eastAsia="Amiri" w:cs="Amiri"/>
          <w:lang w:bidi="ar-SA"/>
          <w:color w:val="111111"/>
          <w:sz w:val="28"/>
          <w:szCs w:val="28"/>
          <w:rtl/>
        </w:rPr>
        <w:t xml:space="preserve">ثمّ إنّ العناوين المذكورة ممّا يجب القصد إليها كما هو المفروض ولا إشارة في شي‌ء من الأخبار إلى لزوم ذلك بل إنّما حكمت بالكراهة على الإطلاق.</w:t>
      </w:r>
    </w:p>
    <w:p>
      <w:pPr>
        <w:pStyle w:val="Heading6"/>
      </w:pPr>
      <w:bookmarkStart w:id="684" w:name="_Toc365"/>
      <w:r>
        <w:t>[الإیراد الرابع على کلام الشیخ الأنصاري (رحمة الله‌علیه)]</w:t>
      </w:r>
      <w:bookmarkEnd w:id="684"/>
    </w:p>
    <w:p>
      <w:pPr>
        <w:pStyle w:val="BookText"/>
      </w:pPr>
      <w:r>
        <w:rPr>
          <w:rFonts w:ascii="Amiri" w:hAnsi="Amiri" w:eastAsia="Amiri" w:cs="Amiri"/>
          <w:lang w:bidi="ar-SA"/>
          <w:color w:val="111111"/>
          <w:sz w:val="28"/>
          <w:szCs w:val="28"/>
          <w:rtl/>
        </w:rPr>
        <w:t xml:space="preserve">الرّابع: أنّ ما ذكره من كون التوجيه في العموم من وجه كتوجيه ما لا بدل له</w:t>
      </w:r>
      <w:r>
        <w:rPr>
          <w:rStyle w:val="FootnoteReference"/>
        </w:rPr>
        <w:footnoteReference w:id="1324"/>
      </w:r>
      <w:r>
        <w:rPr>
          <w:rFonts w:ascii="Amiri" w:hAnsi="Amiri" w:eastAsia="Amiri" w:cs="Amiri"/>
          <w:lang w:bidi="ar-SA"/>
          <w:color w:val="111111"/>
          <w:sz w:val="28"/>
          <w:szCs w:val="28"/>
          <w:rtl/>
        </w:rPr>
        <w:t xml:space="preserve">لا وجه له؛ إذ لا وجه لدعوى كون الترك للصّلاة في بيوت الظالمين بدلاً عن فعلها إذا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بعنوان الاحتياط مثلاً؛ إذ لازمه جواز ترك الواجب، ولذا خصّ صاحب الفصول</w:t>
      </w:r>
      <w:r>
        <w:rPr>
          <w:rStyle w:val="FootnoteReference"/>
        </w:rPr>
        <w:footnoteReference w:id="1325"/>
      </w:r>
      <w:r>
        <w:rPr>
          <w:rFonts w:ascii="Amiri" w:hAnsi="Amiri" w:eastAsia="Amiri" w:cs="Amiri"/>
          <w:lang w:bidi="ar-SA"/>
          <w:color w:val="111111"/>
          <w:sz w:val="28"/>
          <w:szCs w:val="28"/>
          <w:rtl/>
        </w:rPr>
        <w:t xml:space="preserve">هذا التخيير بما لا بدل له من المستحبات ولم يقل بجريانه في الواجبات ولا في ذوي الأبدال من المستحبات.</w:t>
      </w:r>
    </w:p>
    <w:p>
      <w:pPr>
        <w:pStyle w:val="BookText"/>
      </w:pPr>
      <w:r>
        <w:rPr>
          <w:rFonts w:ascii="IRNazanin" w:hAnsi="IRNazanin" w:eastAsia="IRNazanin" w:cs="IRNazanin"/>
          <w:lang w:bidi="fa-IR"/>
          <w:color w:val="111111"/>
          <w:sz w:val="28"/>
          <w:szCs w:val="28"/>
          <w:rtl/>
        </w:rPr>
        <w:t xml:space="preserve">فإن قلت: إنّ الترك للصّلاة في بيوت الظالمين منضمّاً إلى الإتیان بها في غيرها بدل عن فعلها فيها.</w:t>
      </w:r>
    </w:p>
    <w:p>
      <w:pPr>
        <w:pStyle w:val="BookText"/>
      </w:pPr>
      <w:r>
        <w:rPr>
          <w:rFonts w:ascii="Amiri" w:hAnsi="Amiri" w:eastAsia="Amiri" w:cs="Amiri"/>
          <w:lang w:bidi="ar-SA"/>
          <w:color w:val="111111"/>
          <w:sz w:val="28"/>
          <w:szCs w:val="28"/>
          <w:rtl/>
        </w:rPr>
        <w:t xml:space="preserve">قلت: فعلى هذا يصير طرف التخيير الفعل في غيرها وهو كذلك ولا يكون للترك من حيث هو مدخلية فضمّه إلى الفعل لغو.</w:t>
      </w:r>
    </w:p>
    <w:p>
      <w:pPr>
        <w:pStyle w:val="BookText"/>
      </w:pPr>
      <w:r>
        <w:rPr>
          <w:rFonts w:ascii="IRNazanin" w:hAnsi="IRNazanin" w:eastAsia="IRNazanin" w:cs="IRNazanin"/>
          <w:lang w:bidi="fa-IR"/>
          <w:color w:val="111111"/>
          <w:sz w:val="28"/>
          <w:szCs w:val="28"/>
          <w:rtl/>
        </w:rPr>
        <w:t xml:space="preserve">ومن ذلك يظهر أنّ ما ذكره قبل ذلك من الالتزام بجريان التوجيه المذكور في کلّ مفضول بالنسبة إلى الأفضل لا وجه له أیضاً.</w:t>
      </w:r>
    </w:p>
    <w:p>
      <w:pPr>
        <w:pStyle w:val="BookText"/>
      </w:pPr>
      <w:r>
        <w:rPr>
          <w:rFonts w:ascii="Amiri" w:hAnsi="Amiri" w:eastAsia="Amiri" w:cs="Amiri"/>
          <w:lang w:bidi="ar-SA"/>
          <w:color w:val="111111"/>
          <w:sz w:val="28"/>
          <w:szCs w:val="28"/>
          <w:rtl/>
        </w:rPr>
        <w:t xml:space="preserve">فهذا التوجيه لو تمّ فإنّما يتمّ فيما لا بدل له من المستحبات ويمكن إجراؤه في ذوي الأبدال من المستحبات إذا أمكن دعوى كون تركها بدلاً عن فعلها كما أنّ فعلها في غير المكان أو الزمان المكروهين بدل عن فعلها فيهما لكن ليس لنا مورد يمكن ذلك فيه.</w:t>
      </w:r>
    </w:p>
    <w:p>
      <w:pPr>
        <w:pStyle w:val="BookText"/>
      </w:pPr>
      <w:r>
        <w:rPr>
          <w:rFonts w:ascii="IRNazanin" w:hAnsi="IRNazanin" w:eastAsia="IRNazanin" w:cs="IRNazanin"/>
          <w:lang w:bidi="fa-IR"/>
          <w:color w:val="111111"/>
          <w:sz w:val="28"/>
          <w:szCs w:val="28"/>
          <w:rtl/>
        </w:rPr>
        <w:t xml:space="preserve">والإنصاف أنّ التوجيه بقلّة الثواب کلّية على الوجه الّذي ذكرنا من كون النّهي للطلب على وجه الإرشاد إلى الحزازة في الفعل وعدم تاكّد رجحانه أولى من الجمیع.</w:t>
      </w:r>
    </w:p>
    <w:p>
      <w:pPr>
        <w:pStyle w:val="BookText"/>
      </w:pPr>
      <w:r>
        <w:rPr>
          <w:rFonts w:ascii="Amiri" w:hAnsi="Amiri" w:eastAsia="Amiri" w:cs="Amiri"/>
          <w:lang w:bidi="ar-SA"/>
          <w:color w:val="111111"/>
          <w:sz w:val="28"/>
          <w:szCs w:val="28"/>
          <w:rtl/>
        </w:rPr>
        <w:t xml:space="preserve">ويمكن أن يجاب عن بعض الموارد بتعلّق النهي بأمر خارج وعن بعضها بما ذكر من قلّة الثواب بالمعنى المذكور وعن بعضها بالطلب الغيري. هذا في العموم المطلق.</w:t>
      </w:r>
    </w:p>
    <w:p>
      <w:pPr>
        <w:pStyle w:val="BookText"/>
      </w:pPr>
      <w:r>
        <w:rPr>
          <w:rFonts w:ascii="Amiri" w:hAnsi="Amiri" w:eastAsia="Amiri" w:cs="Amiri"/>
          <w:lang w:bidi="ar-SA"/>
          <w:color w:val="111111"/>
          <w:sz w:val="28"/>
          <w:szCs w:val="28"/>
          <w:rtl/>
        </w:rPr>
        <w:t xml:space="preserve">وأمّا في العموم من وجه فالوجه ما ذكرناه أوّلاً من التخصيص العقلي وبقاء الجهة. فتدبّر</w:t>
      </w:r>
      <w:r>
        <w:rPr>
          <w:rStyle w:val="FootnoteReference"/>
        </w:rPr>
        <w:footnoteReference w:id="1326"/>
      </w:r>
    </w:p>
    <w:p>
      <w:pPr>
        <w:pStyle w:val="BookText"/>
      </w:pPr>
      <w:r>
        <w:rPr>
          <w:rFonts w:ascii="IRNazanin" w:hAnsi="IRNazanin" w:eastAsia="IRNazanin" w:cs="IRNazanin"/>
          <w:lang w:bidi="fa-IR"/>
          <w:color w:val="111111"/>
          <w:sz w:val="28"/>
          <w:szCs w:val="28"/>
          <w:rtl/>
        </w:rPr>
        <w:t xml:space="preserve">ثمّ هذا کلّه على مذهب المانعين.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على مذهب</w:t>
      </w:r>
      <w:r>
        <w:rPr>
          <w:rStyle w:val="FootnoteReference"/>
        </w:rPr>
        <w:footnoteReference w:id="1327"/>
      </w:r>
      <w:r>
        <w:rPr>
          <w:rFonts w:ascii="IRNazanin" w:hAnsi="IRNazanin" w:eastAsia="IRNazanin" w:cs="IRNazanin"/>
          <w:lang w:bidi="fa-IR"/>
          <w:color w:val="111111"/>
          <w:sz w:val="28"/>
          <w:szCs w:val="28"/>
          <w:rtl/>
        </w:rPr>
        <w:t xml:space="preserve">المجوّزين فنلتزم بالكراهة المصطلحة في موارد العموم من وجه ولا إشکال لتعدّد الجهة كما في النهي التحريمي سواء كانت المفسدة اللازمة للجهة المرجوحة</w:t>
      </w:r>
      <w:r>
        <w:rPr>
          <w:rStyle w:val="FootnoteReference"/>
        </w:rPr>
        <w:footnoteReference w:id="1328"/>
      </w:r>
      <w:r>
        <w:rPr>
          <w:rFonts w:ascii="Amiri" w:hAnsi="Amiri" w:eastAsia="Amiri" w:cs="Amiri"/>
          <w:lang w:bidi="ar-SA"/>
          <w:color w:val="111111"/>
          <w:sz w:val="28"/>
          <w:szCs w:val="28"/>
          <w:rtl/>
        </w:rPr>
        <w:t xml:space="preserve">ممّا يساوي المصلحة اللّازمة للعبادة فيصير الفرد عارياً عن الجهة الموجبة للأمر والنهي بعد ملاحظة الجهتين بمعنى أنّه لو أريد إيراد الحكم عليه لا يحكم إلّا بالإباحة أو كانت المفسدة أكثر أو أقلّ.</w:t>
      </w:r>
    </w:p>
    <w:p>
      <w:pPr>
        <w:pStyle w:val="BookText"/>
      </w:pPr>
      <w:r>
        <w:rPr>
          <w:rFonts w:ascii="Amiri" w:hAnsi="Amiri" w:eastAsia="Amiri" w:cs="Amiri"/>
          <w:lang w:bidi="ar-SA"/>
          <w:color w:val="111111"/>
          <w:sz w:val="28"/>
          <w:szCs w:val="28"/>
          <w:rtl/>
        </w:rPr>
        <w:t xml:space="preserve">وذلك لأنّ المعيار وجود المصلحة في عنوان المأمور به من حيث هو وهو موجود وليس الحكم وارداً على الفرد فلا يضرّ مرجوحيته في حدّ نفسه أو إباحته ولا يخفى أنّه لو كانت العبادة واجبة فلا مَحالة يكون المصلحة أقوى من مفسدة الكراهة في مقام الفعلية، إلّا أن يقال: يمكن أن يكون المفسدة أقوى وأولى بالمراعاة</w:t>
      </w:r>
      <w:r>
        <w:rPr>
          <w:rStyle w:val="FootnoteReference"/>
        </w:rPr>
        <w:footnoteReference w:id="1329"/>
      </w:r>
      <w:r>
        <w:rPr>
          <w:rFonts w:ascii="IRNazanin" w:hAnsi="IRNazanin" w:eastAsia="IRNazanin" w:cs="IRNazanin"/>
          <w:lang w:bidi="fa-IR"/>
          <w:color w:val="111111"/>
          <w:sz w:val="28"/>
          <w:szCs w:val="28"/>
          <w:rtl/>
        </w:rPr>
        <w:t xml:space="preserve">لأنّ المفروض أنّه يمكن إتیان الفرد الآخر في إحراز مصلحة الوجوب فيكون الأولى بعد هذه الملاحظة ترك الفرد ويكون مكروهاً صِرفاً.</w:t>
      </w:r>
    </w:p>
    <w:p>
      <w:pPr>
        <w:pStyle w:val="BookText"/>
      </w:pPr>
      <w:r>
        <w:rPr>
          <w:rFonts w:ascii="IRNazanin" w:hAnsi="IRNazanin" w:eastAsia="IRNazanin" w:cs="IRNazanin"/>
          <w:lang w:bidi="fa-IR"/>
          <w:color w:val="111111"/>
          <w:sz w:val="28"/>
          <w:szCs w:val="28"/>
          <w:rtl/>
        </w:rPr>
        <w:t xml:space="preserve">وكيف كان فبعد ورود الحكم على الطبيعة لا إشکال فإنّ الإتیان بالفرد راجح في جميع الصّور من حيث إنّه إتیان بالطبيعة ومأمور به من هذه الحيثيّة وإن کان منهياً عنه من حيث الطبيعة الأخرى.</w:t>
      </w:r>
    </w:p>
    <w:p>
      <w:pPr>
        <w:pStyle w:val="BookText"/>
      </w:pPr>
      <w:r>
        <w:rPr>
          <w:rFonts w:ascii="IRNazanin" w:hAnsi="IRNazanin" w:eastAsia="IRNazanin" w:cs="IRNazanin"/>
          <w:lang w:bidi="fa-IR"/>
          <w:color w:val="111111"/>
          <w:sz w:val="28"/>
          <w:szCs w:val="28"/>
          <w:rtl/>
        </w:rPr>
        <w:t xml:space="preserve">وأمّا في موارد العموم المطلق فلا إشکال فيما له بدل</w:t>
      </w:r>
      <w:r>
        <w:rPr>
          <w:rStyle w:val="FootnoteReference"/>
        </w:rPr>
        <w:footnoteReference w:id="1330"/>
      </w:r>
      <w:r>
        <w:rPr>
          <w:rFonts w:ascii="Amiri" w:hAnsi="Amiri" w:eastAsia="Amiri" w:cs="Amiri"/>
          <w:lang w:bidi="ar-SA"/>
          <w:color w:val="111111"/>
          <w:sz w:val="28"/>
          <w:szCs w:val="28"/>
          <w:rtl/>
        </w:rPr>
        <w:t xml:space="preserve">أیضاً ومرادنا ممّا له</w:t>
      </w:r>
      <w:r>
        <w:rPr>
          <w:rStyle w:val="FootnoteReference"/>
        </w:rPr>
        <w:footnoteReference w:id="1331"/>
      </w:r>
      <w:r>
        <w:rPr>
          <w:rFonts w:ascii="Amiri" w:hAnsi="Amiri" w:eastAsia="Amiri" w:cs="Amiri"/>
          <w:lang w:bidi="ar-SA"/>
          <w:color w:val="111111"/>
          <w:sz w:val="28"/>
          <w:szCs w:val="28"/>
          <w:rtl/>
        </w:rPr>
        <w:t xml:space="preserve">بدل ما يكون له</w:t>
      </w:r>
      <w:r>
        <w:rPr>
          <w:rStyle w:val="FootnoteReference"/>
        </w:rPr>
        <w:footnoteReference w:id="1332"/>
      </w:r>
      <w:r>
        <w:rPr>
          <w:rFonts w:ascii="IRNazanin" w:hAnsi="IRNazanin" w:eastAsia="IRNazanin" w:cs="IRNazanin"/>
          <w:lang w:bidi="fa-IR"/>
          <w:color w:val="111111"/>
          <w:sz w:val="28"/>
          <w:szCs w:val="28"/>
          <w:rtl/>
        </w:rPr>
        <w:t xml:space="preserve">بدل من سنخه بأن يكون للمطلوب أفراد كان أحدها مرجوحاً وكان المأمور به إيجادها بإيجاد واحد بأن يكون على وجه التّخيير العقلي لا کلّ بدل وإن کان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عبادة أخرى فإنّه لا ينفع في المقام كما لا يخفى فإنّه في هذه الصورة أیضاً يكون المطلوب الطبيعة الراجحة في حدّ نفسها والمرجوح الخصوصيّة المنضمّة</w:t>
      </w:r>
      <w:r>
        <w:rPr>
          <w:rStyle w:val="FootnoteReference"/>
        </w:rPr>
        <w:footnoteReference w:id="1333"/>
      </w:r>
      <w:r>
        <w:rPr>
          <w:rFonts w:ascii="Amiri" w:hAnsi="Amiri" w:eastAsia="Amiri" w:cs="Amiri"/>
          <w:lang w:bidi="ar-SA"/>
          <w:color w:val="111111"/>
          <w:sz w:val="28"/>
          <w:szCs w:val="28"/>
          <w:rtl/>
        </w:rPr>
        <w:t xml:space="preserve">إليها في بعض الموارد.</w:t>
      </w:r>
    </w:p>
    <w:p>
      <w:pPr>
        <w:pStyle w:val="BookText"/>
      </w:pPr>
      <w:r>
        <w:rPr>
          <w:rFonts w:ascii="IRNazanin" w:hAnsi="IRNazanin" w:eastAsia="IRNazanin" w:cs="IRNazanin"/>
          <w:lang w:bidi="fa-IR"/>
          <w:color w:val="111111"/>
          <w:sz w:val="28"/>
          <w:szCs w:val="28"/>
          <w:rtl/>
        </w:rPr>
        <w:t xml:space="preserve">ولا فرق أیضاً بين أن يكون مرجوحيّة الفرد أقوى من رجحان الأمر أو مساوياً أو أقلّ لما مرّ من أنّ الحكم وارد على الطبيعة وبإتیان الفرد المرجوح الصّرف يحصل امتثال الطبيعة كما في صورة كون الخصوصيّة محرّمة أیضاً؛ إذ النهي ليس وارداً على الفرد من حيث إنّه طبيعة بل من حيث خصوصيّته.</w:t>
      </w:r>
    </w:p>
    <w:p>
      <w:pPr>
        <w:pStyle w:val="BookText"/>
      </w:pPr>
      <w:r>
        <w:rPr>
          <w:rFonts w:ascii="Amiri" w:hAnsi="Amiri" w:eastAsia="Amiri" w:cs="Amiri"/>
          <w:lang w:bidi="ar-SA"/>
          <w:color w:val="111111"/>
          <w:sz w:val="28"/>
          <w:szCs w:val="28"/>
          <w:rtl/>
        </w:rPr>
        <w:t xml:space="preserve">وأمّا فيما لا بدل له كالصوم في السّفر والصلاة في الأوقات المكروهة</w:t>
      </w:r>
      <w:r>
        <w:rPr>
          <w:rStyle w:val="FootnoteReference"/>
        </w:rPr>
        <w:footnoteReference w:id="1334"/>
      </w:r>
      <w:r>
        <w:rPr>
          <w:rFonts w:ascii="IRNazanin" w:hAnsi="IRNazanin" w:eastAsia="IRNazanin" w:cs="IRNazanin"/>
          <w:lang w:bidi="fa-IR"/>
          <w:color w:val="111111"/>
          <w:sz w:val="28"/>
          <w:szCs w:val="28"/>
          <w:rtl/>
        </w:rPr>
        <w:t xml:space="preserve">حيث إنّهما مطلوبان والأفراد الأخر ليست أبدالاً لهذه بل لکلّ يوم صوم ولکلّ وقت وظيفة صلاة فيشکل الكراهة المصطلحة؛ لأنّه يعتبر في العبادة الرجحان المفقود على هذا التقدير ولايمكن قصد القربة ويكون من قبيل الاجتماع الآمري على فرض تعلّق الأمر فمع عدمه لا رجحان ومع وجوده يلزم الاجتماع الآمري.</w:t>
      </w:r>
    </w:p>
    <w:p>
      <w:pPr>
        <w:pStyle w:val="BookText"/>
      </w:pPr>
      <w:r>
        <w:rPr>
          <w:rFonts w:ascii="Amiri" w:hAnsi="Amiri" w:eastAsia="Amiri" w:cs="Amiri"/>
          <w:lang w:bidi="ar-SA"/>
          <w:color w:val="111111"/>
          <w:sz w:val="28"/>
          <w:szCs w:val="28"/>
          <w:rtl/>
        </w:rPr>
        <w:t xml:space="preserve">ولنا أن نقول: إنّا أیضاً</w:t>
      </w:r>
      <w:r>
        <w:rPr>
          <w:rStyle w:val="FootnoteReference"/>
        </w:rPr>
        <w:footnoteReference w:id="1335"/>
      </w:r>
      <w:r>
        <w:rPr>
          <w:rFonts w:ascii="Amiri" w:hAnsi="Amiri" w:eastAsia="Amiri" w:cs="Amiri"/>
          <w:lang w:bidi="ar-SA"/>
          <w:color w:val="111111"/>
          <w:sz w:val="28"/>
          <w:szCs w:val="28"/>
          <w:rtl/>
        </w:rPr>
        <w:t xml:space="preserve">في هذه الموارد نوجّه ونؤوّل</w:t>
      </w:r>
      <w:r>
        <w:rPr>
          <w:rStyle w:val="FootnoteReference"/>
        </w:rPr>
        <w:footnoteReference w:id="1336"/>
      </w:r>
      <w:r>
        <w:rPr>
          <w:rFonts w:ascii="IRNazanin" w:hAnsi="IRNazanin" w:eastAsia="IRNazanin" w:cs="IRNazanin"/>
          <w:lang w:bidi="fa-IR"/>
          <w:color w:val="111111"/>
          <w:sz w:val="28"/>
          <w:szCs w:val="28"/>
          <w:rtl/>
        </w:rPr>
        <w:t xml:space="preserve">بأحد التوجيهات المتقدمة من جعل النهي للإرشاد إلى قلّة الثواب أو نحوه أو جعل الأمر للإرشاد إلى المصلحة الموجودة فيه وإن کان بالفعل مكروهاً بلحاظ كون المفسدة أقوى من تلك المصلحة.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01" w:name="pg6784_51383"/>
    <w:bookmarkEnd w:id="201"/>
    <w:p>
      <w:pPr>
        <w:pStyle w:val="BookText"/>
      </w:pPr>
      <w:r>
        <w:rPr>
          <w:rFonts w:ascii="Amiri" w:hAnsi="Amiri" w:eastAsia="Amiri" w:cs="Amiri"/>
          <w:lang w:bidi="ar-SA"/>
          <w:color w:val="111111"/>
          <w:sz w:val="28"/>
          <w:szCs w:val="28"/>
          <w:rtl/>
        </w:rPr>
        <w:t xml:space="preserve">فإن قلت: فلا يتمّ الاستدلال بهذه النواهي.</w:t>
      </w:r>
    </w:p>
    <w:p>
      <w:pPr>
        <w:pStyle w:val="BookText"/>
      </w:pPr>
      <w:r>
        <w:rPr>
          <w:rFonts w:ascii="IRNazanin" w:hAnsi="IRNazanin" w:eastAsia="IRNazanin" w:cs="IRNazanin"/>
          <w:lang w:bidi="fa-IR"/>
          <w:color w:val="111111"/>
          <w:sz w:val="28"/>
          <w:szCs w:val="28"/>
          <w:rtl/>
        </w:rPr>
        <w:t xml:space="preserve">قلت: يکفينا في الاستدلال سائر الموارد ممّا له بدل لعدم الداعي إلى صرفها عن ظاهرها بخلاف هذه الموارد.</w:t>
      </w:r>
    </w:p>
    <w:p>
      <w:pPr>
        <w:pStyle w:val="BookText"/>
      </w:pPr>
      <w:r>
        <w:rPr>
          <w:rFonts w:ascii="Amiri" w:hAnsi="Amiri" w:eastAsia="Amiri" w:cs="Amiri"/>
          <w:lang w:bidi="ar-SA"/>
          <w:color w:val="111111"/>
          <w:sz w:val="28"/>
          <w:szCs w:val="28"/>
          <w:rtl/>
        </w:rPr>
        <w:t xml:space="preserve">ودعوى وحدة السياق فيها؛ مدفوعة بعدم مانعيتها.</w:t>
      </w:r>
    </w:p>
    <w:p>
      <w:pPr>
        <w:pStyle w:val="BookText"/>
      </w:pPr>
      <w:r>
        <w:rPr>
          <w:rFonts w:ascii="Amiri" w:hAnsi="Amiri" w:eastAsia="Amiri" w:cs="Amiri"/>
          <w:lang w:bidi="ar-SA"/>
          <w:color w:val="111111"/>
          <w:sz w:val="28"/>
          <w:szCs w:val="28"/>
          <w:rtl/>
        </w:rPr>
        <w:t xml:space="preserve">ألا ترى أنّ سياق النواهي الكراهية</w:t>
      </w:r>
      <w:r>
        <w:rPr>
          <w:rStyle w:val="FootnoteReference"/>
        </w:rPr>
        <w:footnoteReference w:id="1337"/>
      </w:r>
      <w:r>
        <w:rPr>
          <w:rFonts w:ascii="Amiri" w:hAnsi="Amiri" w:eastAsia="Amiri" w:cs="Amiri"/>
          <w:lang w:bidi="ar-SA"/>
          <w:color w:val="111111"/>
          <w:sz w:val="28"/>
          <w:szCs w:val="28"/>
          <w:rtl/>
        </w:rPr>
        <w:t xml:space="preserve">واحدة في العبادات وغيرها ومع ذلكيحملون</w:t>
      </w:r>
      <w:r>
        <w:rPr>
          <w:rStyle w:val="FootnoteReference"/>
        </w:rPr>
        <w:footnoteReference w:id="1338"/>
      </w:r>
      <w:r>
        <w:rPr>
          <w:rFonts w:ascii="IRNazanin" w:hAnsi="IRNazanin" w:eastAsia="IRNazanin" w:cs="IRNazanin"/>
          <w:lang w:bidi="fa-IR"/>
          <w:color w:val="111111"/>
          <w:sz w:val="28"/>
          <w:szCs w:val="28"/>
          <w:rtl/>
        </w:rPr>
        <w:t xml:space="preserve">النواهي في خصوص العبادات على الإرشاد للمانع العقلي فكذلك نحن نخصّ التأویل بهذه الموارد لوجود المانع فيها دون سائرها لعدم المانع ولو فرضنا الشّك في جواز الاجتماع في هذه الموارد أیضاً نُبقيها على ظواهرها فيها أیضاً.</w:t>
      </w:r>
    </w:p>
    <w:p>
      <w:pPr>
        <w:pStyle w:val="Heading6"/>
      </w:pPr>
      <w:bookmarkStart w:id="685" w:name="_Toc366"/>
      <w:r>
        <w:t>[الوجه السابع: التحقیق هو القول بالکراهة بالمعنى المصطلح]</w:t>
      </w:r>
      <w:bookmarkEnd w:id="685"/>
    </w:p>
    <w:p>
      <w:pPr>
        <w:pStyle w:val="Heading6"/>
      </w:pPr>
      <w:bookmarkStart w:id="686" w:name="_Toc367"/>
      <w:r>
        <w:t>اشارة</w:t>
      </w:r>
      <w:bookmarkEnd w:id="686"/>
    </w:p>
    <w:p>
      <w:pPr>
        <w:pStyle w:val="BookText"/>
      </w:pPr>
      <w:r>
        <w:rPr>
          <w:rFonts w:ascii="IRNazanin" w:hAnsi="IRNazanin" w:eastAsia="IRNazanin" w:cs="IRNazanin"/>
          <w:lang w:bidi="fa-IR"/>
          <w:color w:val="111111"/>
          <w:sz w:val="28"/>
          <w:szCs w:val="28"/>
          <w:rtl/>
        </w:rPr>
        <w:t xml:space="preserve">هذا، ولكن التحقیق كراهتها</w:t>
      </w:r>
      <w:r>
        <w:rPr>
          <w:rStyle w:val="FootnoteReference"/>
        </w:rPr>
        <w:footnoteReference w:id="1339"/>
      </w:r>
      <w:r>
        <w:rPr>
          <w:rFonts w:ascii="IRNazanin" w:hAnsi="IRNazanin" w:eastAsia="IRNazanin" w:cs="IRNazanin"/>
          <w:lang w:bidi="fa-IR"/>
          <w:color w:val="111111"/>
          <w:sz w:val="28"/>
          <w:szCs w:val="28"/>
          <w:rtl/>
        </w:rPr>
        <w:t xml:space="preserve">بالمعنى المصطلح أیضاً ولا يضرّ ذلك في كونها عبادة وفي قصد القربة.</w:t>
      </w:r>
    </w:p>
    <w:p>
      <w:pPr>
        <w:pStyle w:val="BookText"/>
      </w:pPr>
      <w:r>
        <w:rPr>
          <w:rFonts w:ascii="IRNazanin" w:hAnsi="IRNazanin" w:eastAsia="IRNazanin" w:cs="IRNazanin"/>
          <w:lang w:bidi="fa-IR"/>
          <w:color w:val="111111"/>
          <w:sz w:val="28"/>
          <w:szCs w:val="28"/>
          <w:rtl/>
        </w:rPr>
        <w:t xml:space="preserve">وبيان ذلك موقوف على مقدّمة هي أنّ المراد من العبادات الماهيات المخترعة لأجل التعبّد بها بمعنى أنّ أصل شرعها لذلك وبوجه آخر ما يعتبر فيه قصد الامتثال أو القربة أو نحوهما من الغايات المذكورة في محلّها ويعتبر فيها رجحان بحسب أصل ذاتها وحقیقتها وإلّا لما أمكن التعبّد بها ولا قصد القربة ولها وجودات واقعية ولوجوداتها آثار واقعية ولو بجعل الشارع مثل الفوز بالجنّة أو الوصول إلى درجة معيَّنة منها متى صحّت وأتى بها على وجهها ترتّب عليها ذلك الأثر</w:t>
      </w:r>
      <w:r>
        <w:rPr>
          <w:rStyle w:val="FootnoteReference"/>
        </w:rPr>
        <w:footnoteReference w:id="1340"/>
      </w:r>
    </w:p>
    <w:p>
      <w:pPr>
        <w:pStyle w:val="BookText"/>
      </w:pPr>
      <w:r>
        <w:rPr>
          <w:rFonts w:ascii="Amiri" w:hAnsi="Amiri" w:eastAsia="Amiri" w:cs="Amiri"/>
          <w:lang w:bidi="ar-SA"/>
          <w:color w:val="111111"/>
          <w:sz w:val="28"/>
          <w:szCs w:val="28"/>
          <w:rtl/>
        </w:rPr>
        <w:t xml:space="preserve">ويمكن أن ينضمّ إليها بحسب بعض وجوداتها خصوصيّات موجبة لمفسدة أو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منقصة من جهة أخرى لا دخل لها بمصلحتها بحيث لا يوجب دفع</w:t>
      </w:r>
      <w:r>
        <w:rPr>
          <w:rStyle w:val="FootnoteReference"/>
        </w:rPr>
        <w:footnoteReference w:id="1341"/>
      </w:r>
      <w:r>
        <w:rPr>
          <w:rFonts w:ascii="Amiri" w:hAnsi="Amiri" w:eastAsia="Amiri" w:cs="Amiri"/>
          <w:lang w:bidi="ar-SA"/>
          <w:color w:val="111111"/>
          <w:sz w:val="28"/>
          <w:szCs w:val="28"/>
          <w:rtl/>
        </w:rPr>
        <w:t xml:space="preserve">تلك المصلحة وذلك الأثر من البين بأن يكون مقولة تلك المفسدة مباينة لمقولة ذلك الأثر كأن تكون</w:t>
      </w:r>
      <w:r>
        <w:rPr>
          <w:rStyle w:val="FootnoteReference"/>
        </w:rPr>
        <w:footnoteReference w:id="1342"/>
      </w:r>
      <w:r>
        <w:rPr>
          <w:rFonts w:ascii="Amiri" w:hAnsi="Amiri" w:eastAsia="Amiri" w:cs="Amiri"/>
          <w:lang w:bidi="ar-SA"/>
          <w:color w:val="111111"/>
          <w:sz w:val="28"/>
          <w:szCs w:val="28"/>
          <w:rtl/>
        </w:rPr>
        <w:t xml:space="preserve">موجبة لعقاب أو لسخط أو لدخول النّار في مدّة مثلاً مع كونه بعد مستحقّا لذلك المقدار من الثواب.</w:t>
      </w:r>
    </w:p>
    <w:p>
      <w:pPr>
        <w:pStyle w:val="BookText"/>
      </w:pPr>
      <w:r>
        <w:rPr>
          <w:rFonts w:ascii="Amiri" w:hAnsi="Amiri" w:eastAsia="Amiri" w:cs="Amiri"/>
          <w:lang w:bidi="ar-SA"/>
          <w:color w:val="111111"/>
          <w:sz w:val="28"/>
          <w:szCs w:val="28"/>
          <w:rtl/>
        </w:rPr>
        <w:t xml:space="preserve">فحينئذٍ لو وجدت في الخارج مع هذه الخصوصيّة يترتّب عليها الأمران وذلك نظير السّكنجبين النافع لدفع الصفراء الموجب لضرر من جهة أخرى لا دخل له برفع الصّفراء.وحينئذٍ فإمّا أن تكون</w:t>
      </w:r>
      <w:r>
        <w:rPr>
          <w:rStyle w:val="FootnoteReference"/>
        </w:rPr>
        <w:footnoteReference w:id="1343"/>
      </w:r>
      <w:r>
        <w:rPr>
          <w:rFonts w:ascii="IRNazanin" w:hAnsi="IRNazanin" w:eastAsia="IRNazanin" w:cs="IRNazanin"/>
          <w:lang w:bidi="fa-IR"/>
          <w:color w:val="111111"/>
          <w:sz w:val="28"/>
          <w:szCs w:val="28"/>
          <w:rtl/>
        </w:rPr>
        <w:t xml:space="preserve">تلك العبادة مورداً للحكم من حيث هي مع إمکان إيجادها على وجه لا يترتّب عليها تلك المفسدة بأن يكون المطلوب الطبيعة بإيجاد واحد مع عدم الانحصار في الفرد المرجوح فلا إشکال، سواء كانت تلك الجهة من المفسدة ملزمة ومحرّمة أو غير ملزمة وسواء كان بينها</w:t>
      </w:r>
      <w:r>
        <w:rPr>
          <w:rStyle w:val="FootnoteReference"/>
        </w:rPr>
        <w:footnoteReference w:id="1344"/>
      </w:r>
      <w:r>
        <w:rPr>
          <w:rFonts w:ascii="Amiri" w:hAnsi="Amiri" w:eastAsia="Amiri" w:cs="Amiri"/>
          <w:lang w:bidi="ar-SA"/>
          <w:color w:val="111111"/>
          <w:sz w:val="28"/>
          <w:szCs w:val="28"/>
          <w:rtl/>
        </w:rPr>
        <w:t xml:space="preserve">وبين العبادة عموم من وجه أو مطلق؛</w:t>
      </w:r>
    </w:p>
    <w:p>
      <w:pPr>
        <w:pStyle w:val="BookText"/>
      </w:pPr>
      <w:r>
        <w:rPr>
          <w:rFonts w:ascii="Amiri" w:hAnsi="Amiri" w:eastAsia="Amiri" w:cs="Amiri"/>
          <w:lang w:bidi="ar-SA"/>
          <w:color w:val="111111"/>
          <w:sz w:val="28"/>
          <w:szCs w:val="28"/>
          <w:rtl/>
        </w:rPr>
        <w:t xml:space="preserve">وإمّا أن تكون</w:t>
      </w:r>
      <w:r>
        <w:rPr>
          <w:rStyle w:val="FootnoteReference"/>
        </w:rPr>
        <w:footnoteReference w:id="1345"/>
      </w:r>
      <w:r>
        <w:rPr>
          <w:rFonts w:ascii="IRNazanin" w:hAnsi="IRNazanin" w:eastAsia="IRNazanin" w:cs="IRNazanin"/>
          <w:lang w:bidi="fa-IR"/>
          <w:color w:val="111111"/>
          <w:sz w:val="28"/>
          <w:szCs w:val="28"/>
          <w:rtl/>
        </w:rPr>
        <w:t xml:space="preserve">مورداً للحكم على وجه العموم الاستغراقي بحيث يكون کلّ واحد من أفرادها مورداً للحكم وحينئذٍ لا بدّ من ملاحظة أنّ أيّاً من الجهتين أولى بالمراعاة</w:t>
      </w:r>
      <w:r>
        <w:rPr>
          <w:rStyle w:val="FootnoteReference"/>
        </w:rPr>
        <w:footnoteReference w:id="1346"/>
      </w:r>
      <w:r>
        <w:rPr>
          <w:rFonts w:ascii="Amiri" w:hAnsi="Amiri" w:eastAsia="Amiri" w:cs="Amiri"/>
          <w:lang w:bidi="ar-SA"/>
          <w:color w:val="111111"/>
          <w:sz w:val="28"/>
          <w:szCs w:val="28"/>
          <w:rtl/>
        </w:rPr>
        <w:t xml:space="preserve">؟ وأنّ المصلحة في الأمر أو في النهي؟ فيحكم على طبقة.</w:t>
      </w:r>
    </w:p>
    <w:p>
      <w:pPr>
        <w:pStyle w:val="BookText"/>
      </w:pPr>
      <w:r>
        <w:rPr>
          <w:rFonts w:ascii="IRNazanin" w:hAnsi="IRNazanin" w:eastAsia="IRNazanin" w:cs="IRNazanin"/>
          <w:lang w:bidi="fa-IR"/>
          <w:color w:val="111111"/>
          <w:sz w:val="28"/>
          <w:szCs w:val="28"/>
          <w:rtl/>
        </w:rPr>
        <w:t xml:space="preserve">فإن</w:t>
      </w:r>
      <w:r>
        <w:rPr>
          <w:rStyle w:val="FootnoteReference"/>
        </w:rPr>
        <w:footnoteReference w:id="1347"/>
      </w:r>
      <w:r>
        <w:rPr>
          <w:rFonts w:ascii="Amiri" w:hAnsi="Amiri" w:eastAsia="Amiri" w:cs="Amiri"/>
          <w:lang w:bidi="ar-SA"/>
          <w:color w:val="111111"/>
          <w:sz w:val="28"/>
          <w:szCs w:val="28"/>
          <w:rtl/>
        </w:rPr>
        <w:t xml:space="preserve">فرضنا كون الجهة المحرّمة أو الموجبة للكراهة أولى بالمراعاة</w:t>
      </w:r>
      <w:r>
        <w:rPr>
          <w:rStyle w:val="FootnoteReference"/>
        </w:rPr>
        <w:footnoteReference w:id="1348"/>
      </w:r>
      <w:r>
        <w:rPr>
          <w:rFonts w:ascii="Amiri" w:hAnsi="Amiri" w:eastAsia="Amiri" w:cs="Amiri"/>
          <w:lang w:bidi="ar-SA"/>
          <w:color w:val="111111"/>
          <w:sz w:val="28"/>
          <w:szCs w:val="28"/>
          <w:rtl/>
        </w:rPr>
        <w:t xml:space="preserve">نقول: إنّها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02" w:name="pg6784_51385"/>
    <w:bookmarkEnd w:id="202"/>
    <w:p>
      <w:pPr>
        <w:pStyle w:val="BookText"/>
      </w:pPr>
      <w:r>
        <w:rPr>
          <w:rFonts w:ascii="Amiri" w:hAnsi="Amiri" w:eastAsia="Amiri" w:cs="Amiri"/>
          <w:lang w:bidi="ar-SA"/>
          <w:color w:val="111111"/>
          <w:sz w:val="28"/>
          <w:szCs w:val="28"/>
          <w:rtl/>
        </w:rPr>
        <w:t xml:space="preserve">حرام صرف أو مكروه صرف وكذا إذا كان الحكم وارداً على الطبيعة مع الانحصار في الفرد المحرّم أو المرجوح.</w:t>
      </w:r>
    </w:p>
    <w:p>
      <w:pPr>
        <w:pStyle w:val="BookText"/>
      </w:pPr>
      <w:r>
        <w:rPr>
          <w:rFonts w:ascii="Amiri" w:hAnsi="Amiri" w:eastAsia="Amiri" w:cs="Amiri"/>
          <w:lang w:bidi="ar-SA"/>
          <w:color w:val="111111"/>
          <w:sz w:val="28"/>
          <w:szCs w:val="28"/>
          <w:rtl/>
        </w:rPr>
        <w:t xml:space="preserve">ولكن المصلحة الموجودة فيها المترتّبة على وجودها بعدُ بحالها إلّا ما يكون فرع تعلّق الأمر بها مثل ثواب امتثال الأمر فإنّه لا يمكن أن يترتّب إلّا مع</w:t>
      </w:r>
      <w:r>
        <w:rPr>
          <w:rStyle w:val="FootnoteReference"/>
        </w:rPr>
        <w:footnoteReference w:id="1349"/>
      </w:r>
      <w:r>
        <w:rPr>
          <w:rFonts w:ascii="IRNazanin" w:hAnsi="IRNazanin" w:eastAsia="IRNazanin" w:cs="IRNazanin"/>
          <w:lang w:bidi="fa-IR"/>
          <w:color w:val="111111"/>
          <w:sz w:val="28"/>
          <w:szCs w:val="28"/>
          <w:rtl/>
        </w:rPr>
        <w:t xml:space="preserve">وجود الأمر.</w:t>
      </w:r>
    </w:p>
    <w:p>
      <w:pPr>
        <w:pStyle w:val="BookText"/>
      </w:pPr>
      <w:r>
        <w:rPr>
          <w:rFonts w:ascii="IRNazanin" w:hAnsi="IRNazanin" w:eastAsia="IRNazanin" w:cs="IRNazanin"/>
          <w:lang w:bidi="fa-IR"/>
          <w:color w:val="111111"/>
          <w:sz w:val="28"/>
          <w:szCs w:val="28"/>
          <w:rtl/>
        </w:rPr>
        <w:t xml:space="preserve">فلو فرضنا أنّ المکلّف أتى بتلك الماهيّة فقد أتى بما هو عبادة أي بما هو موضوعٌ ومخترع</w:t>
      </w:r>
      <w:r>
        <w:rPr>
          <w:rStyle w:val="FootnoteReference"/>
        </w:rPr>
        <w:footnoteReference w:id="1350"/>
      </w:r>
      <w:r>
        <w:rPr>
          <w:rFonts w:ascii="IRNazanin" w:hAnsi="IRNazanin" w:eastAsia="IRNazanin" w:cs="IRNazanin"/>
          <w:lang w:bidi="fa-IR"/>
          <w:color w:val="111111"/>
          <w:sz w:val="28"/>
          <w:szCs w:val="28"/>
          <w:rtl/>
        </w:rPr>
        <w:t xml:space="preserve">للعبادة ويترتّب عليها الآثار والخواص ويترتّب المفاسد المترتّبة على تلك الخصوصيّة ومفسدة مخالفة النهي الفعلي أیضاً فيمكن أن تكون صحيحة؛ إذ الرجحان الذاتي موجود وقصد القربة أیضاً ممكن بلحاظ ذلك الرجحان فتكون</w:t>
      </w:r>
      <w:r>
        <w:rPr>
          <w:rStyle w:val="FootnoteReference"/>
        </w:rPr>
        <w:footnoteReference w:id="1351"/>
      </w:r>
      <w:r>
        <w:rPr>
          <w:rFonts w:ascii="IRNazanin" w:hAnsi="IRNazanin" w:eastAsia="IRNazanin" w:cs="IRNazanin"/>
          <w:lang w:bidi="fa-IR"/>
          <w:color w:val="111111"/>
          <w:sz w:val="28"/>
          <w:szCs w:val="28"/>
          <w:rtl/>
        </w:rPr>
        <w:t xml:space="preserve">عبادة من حيث الذات وصورة عبادة في مقام الفعلية؛ إذ المفروض حرمتها أو كراهتهافعلاً وتكون أیضاً مقرّبة من حيث ذاتها وغير مقرّبة بالفعل.</w:t>
      </w:r>
    </w:p>
    <w:p>
      <w:pPr>
        <w:pStyle w:val="Heading6"/>
      </w:pPr>
      <w:bookmarkStart w:id="687" w:name="_Toc368"/>
      <w:r>
        <w:t>[تصویر الکراهة فیما لا بدل له]</w:t>
      </w:r>
      <w:bookmarkEnd w:id="687"/>
    </w:p>
    <w:p>
      <w:pPr>
        <w:pStyle w:val="Heading6"/>
      </w:pPr>
      <w:bookmarkStart w:id="688" w:name="_Toc369"/>
      <w:r>
        <w:t>اشارة</w:t>
      </w:r>
      <w:bookmarkEnd w:id="688"/>
    </w:p>
    <w:p>
      <w:pPr>
        <w:pStyle w:val="BookText"/>
      </w:pPr>
      <w:r>
        <w:rPr>
          <w:rFonts w:ascii="Amiri" w:hAnsi="Amiri" w:eastAsia="Amiri" w:cs="Amiri"/>
          <w:lang w:bidi="ar-SA"/>
          <w:color w:val="111111"/>
          <w:sz w:val="28"/>
          <w:szCs w:val="28"/>
          <w:rtl/>
        </w:rPr>
        <w:t xml:space="preserve">إذا عرفت ذلك فنقول: يمكن تصوير الكراهة فيما لا بدل له بوجهين:</w:t>
      </w:r>
    </w:p>
    <w:p>
      <w:pPr>
        <w:pStyle w:val="Heading6"/>
      </w:pPr>
      <w:bookmarkStart w:id="689" w:name="_Toc370"/>
      <w:r>
        <w:t>[الوجه الأوّل لتصویر الکراهة فيما لا بدل له]</w:t>
      </w:r>
      <w:bookmarkEnd w:id="689"/>
    </w:p>
    <w:p>
      <w:pPr>
        <w:pStyle w:val="BookText"/>
      </w:pPr>
      <w:r>
        <w:rPr>
          <w:rFonts w:ascii="IRNazanin" w:hAnsi="IRNazanin" w:eastAsia="IRNazanin" w:cs="IRNazanin"/>
          <w:lang w:bidi="fa-IR"/>
          <w:color w:val="111111"/>
          <w:sz w:val="28"/>
          <w:szCs w:val="28"/>
          <w:rtl/>
        </w:rPr>
        <w:t xml:space="preserve">أحدهما: أن يقال: إنّ الأمر بالصوم والصّلاة مثلاً على وجه العموم الأفرادي وأنّ المطلوب صوم کلّ يوم والصلاة في کلّ وقت ويكون الفرد الكذائي مكروهاً صرفاً بلحاظ خصوصيّته وإن کان راجحاً بحسب أصل الذات بمعنى أنّ الشارع في مقام الفعلية راعى جانب المنقصة والمفسدة وجعلهما أولى بالمراعاة</w:t>
      </w:r>
      <w:r>
        <w:rPr>
          <w:rStyle w:val="FootnoteReference"/>
        </w:rPr>
        <w:footnoteReference w:id="1352"/>
      </w:r>
      <w:r>
        <w:rPr>
          <w:rFonts w:ascii="Amiri" w:hAnsi="Amiri" w:eastAsia="Amiri" w:cs="Amiri"/>
          <w:lang w:bidi="ar-SA"/>
          <w:color w:val="111111"/>
          <w:sz w:val="28"/>
          <w:szCs w:val="28"/>
          <w:rtl/>
        </w:rPr>
        <w:t xml:space="preserve">فنهى عن ذلك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03" w:name="pg6784_51386"/>
    <w:bookmarkEnd w:id="203"/>
    <w:p>
      <w:pPr>
        <w:pStyle w:val="BookText"/>
      </w:pPr>
      <w:r>
        <w:rPr>
          <w:rFonts w:ascii="IRNazanin" w:hAnsi="IRNazanin" w:eastAsia="IRNazanin" w:cs="IRNazanin"/>
          <w:lang w:bidi="fa-IR"/>
          <w:color w:val="111111"/>
          <w:sz w:val="28"/>
          <w:szCs w:val="28"/>
          <w:rtl/>
        </w:rPr>
        <w:t xml:space="preserve">الفرد.</w:t>
      </w:r>
    </w:p>
    <w:p>
      <w:pPr>
        <w:pStyle w:val="BookText"/>
      </w:pPr>
      <w:r>
        <w:rPr>
          <w:rFonts w:ascii="IRNazanin" w:hAnsi="IRNazanin" w:eastAsia="IRNazanin" w:cs="IRNazanin"/>
          <w:lang w:bidi="fa-IR"/>
          <w:color w:val="111111"/>
          <w:sz w:val="28"/>
          <w:szCs w:val="28"/>
          <w:rtl/>
        </w:rPr>
        <w:t xml:space="preserve">ولازمه عدم شمول العموم المذكور لهذا الفرد إلّا أنّه مع ذلك رخّص في الإتیان به كما هو المستفاد من نفس النهي التنزيهي فيجوز الإتیان به بقصد إحراز تلك المصلحة وتكون</w:t>
      </w:r>
      <w:r>
        <w:rPr>
          <w:rStyle w:val="FootnoteReference"/>
        </w:rPr>
        <w:footnoteReference w:id="1353"/>
      </w:r>
      <w:r>
        <w:rPr>
          <w:rFonts w:ascii="Amiri" w:hAnsi="Amiri" w:eastAsia="Amiri" w:cs="Amiri"/>
          <w:lang w:bidi="ar-SA"/>
          <w:color w:val="111111"/>
          <w:sz w:val="28"/>
          <w:szCs w:val="28"/>
          <w:rtl/>
        </w:rPr>
        <w:t xml:space="preserve">عبادة في الصورة لا بمعنى أنّه فاسد ومع ذلك هو بصورة العبادة بل بمعنى أنّه صلاة صحيحة لا يوجب القرب من حيث الأمر</w:t>
      </w:r>
      <w:r>
        <w:rPr>
          <w:rStyle w:val="FootnoteReference"/>
        </w:rPr>
        <w:footnoteReference w:id="1354"/>
      </w:r>
      <w:r>
        <w:rPr>
          <w:rFonts w:ascii="IRNazanin" w:hAnsi="IRNazanin" w:eastAsia="IRNazanin" w:cs="IRNazanin"/>
          <w:lang w:bidi="fa-IR"/>
          <w:color w:val="111111"/>
          <w:sz w:val="28"/>
          <w:szCs w:val="28"/>
          <w:rtl/>
        </w:rPr>
        <w:t xml:space="preserve">الفعلي لفرض عدم الأمر وإن کان يوجب القرب بمعنى تلك المصلحة فهي عبادة بحسب الذات حقیقة أعني أنّها من أفراد ما جعل واخترع للعبادة وصورة عبادة فعلاً أعني أنّها في مقام الفعلية ليست ممّا يتعبّد به فيكون المخترع والمجعول أوسع دائرة ممّا يكون مورداً للأمر.</w:t>
      </w:r>
    </w:p>
    <w:p>
      <w:pPr>
        <w:pStyle w:val="BookText"/>
      </w:pPr>
      <w:r>
        <w:rPr>
          <w:rFonts w:ascii="IRNazanin" w:hAnsi="IRNazanin" w:eastAsia="IRNazanin" w:cs="IRNazanin"/>
          <w:lang w:bidi="fa-IR"/>
          <w:color w:val="111111"/>
          <w:sz w:val="28"/>
          <w:szCs w:val="28"/>
          <w:rtl/>
        </w:rPr>
        <w:t xml:space="preserve">وقد عرفت سابقاً أنّ في قصد القربة یکفي قصد الإتیان بما هو محبوب من حيث هو وإن کان مبغوضاً بملاحظة ضمّ جهة أخرى وبملاحظة النهي الفعلي.</w:t>
      </w:r>
    </w:p>
    <w:p>
      <w:pPr>
        <w:pStyle w:val="BookText"/>
      </w:pPr>
      <w:r>
        <w:rPr>
          <w:rFonts w:ascii="IRNazanin" w:hAnsi="IRNazanin" w:eastAsia="IRNazanin" w:cs="IRNazanin"/>
          <w:lang w:bidi="fa-IR"/>
          <w:color w:val="111111"/>
          <w:sz w:val="28"/>
          <w:szCs w:val="28"/>
          <w:rtl/>
        </w:rPr>
        <w:t xml:space="preserve">وقد عرفت أیضاً سابقاً أنّه بناء على عدم جواز الاجتماع يمكن تصحيح العمل بهذا الوجه ففي الحقيقة هذا راجع إليه؛ لأنّا التزمنا بعدم الأمر، وللمقام أولوية ممّا مرّ من حيث إنّ النهي تنزيهي يبقى فيه الرخصة في الفعل بخلاف النهي التحريمي إذاقدّمناه على الأمر فإنّه لا يبقى معه الرّخصة.</w:t>
      </w:r>
    </w:p>
    <w:p>
      <w:pPr>
        <w:pStyle w:val="Heading6"/>
      </w:pPr>
      <w:bookmarkStart w:id="690" w:name="_Toc371"/>
      <w:r>
        <w:t>[الوجه الثاني لتصویر الکراهة فیما لا بدل له]</w:t>
      </w:r>
      <w:bookmarkEnd w:id="690"/>
    </w:p>
    <w:p>
      <w:pPr>
        <w:pStyle w:val="BookText"/>
      </w:pPr>
      <w:r>
        <w:rPr>
          <w:rFonts w:ascii="IRNazanin" w:hAnsi="IRNazanin" w:eastAsia="IRNazanin" w:cs="IRNazanin"/>
          <w:lang w:bidi="fa-IR"/>
          <w:color w:val="111111"/>
          <w:sz w:val="28"/>
          <w:szCs w:val="28"/>
          <w:rtl/>
        </w:rPr>
        <w:t xml:space="preserve">الثاني: أن يقال: إنّ الأمر ليس متعلّقاً بالصّوم والصّلاة على وجه العموم الاستغراقي بل على وجه الکلّية والقضيّة الطبيعية على وجه يستفاد منه مطلوبیّته بالطّلب التعييني أينما وجدت فکلّ فرد مطلوبٌ من حيث إنّه إيجاد للطّبيعة وفي جميع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04" w:name="pg6784_51387"/>
    <w:bookmarkEnd w:id="204"/>
    <w:p>
      <w:pPr>
        <w:pStyle w:val="BookText"/>
      </w:pPr>
      <w:r>
        <w:rPr>
          <w:rFonts w:ascii="Amiri" w:hAnsi="Amiri" w:eastAsia="Amiri" w:cs="Amiri"/>
          <w:lang w:bidi="ar-SA"/>
          <w:color w:val="111111"/>
          <w:sz w:val="28"/>
          <w:szCs w:val="28"/>
          <w:rtl/>
        </w:rPr>
        <w:t xml:space="preserve">الأوقات والأحوال يكون المطلوب هو الطبيعة.</w:t>
      </w:r>
    </w:p>
    <w:p>
      <w:pPr>
        <w:pStyle w:val="BookText"/>
      </w:pPr>
      <w:r>
        <w:rPr>
          <w:rFonts w:ascii="IRNazanin" w:hAnsi="IRNazanin" w:eastAsia="IRNazanin" w:cs="IRNazanin"/>
          <w:lang w:bidi="fa-IR"/>
          <w:color w:val="111111"/>
          <w:sz w:val="28"/>
          <w:szCs w:val="28"/>
          <w:rtl/>
        </w:rPr>
        <w:t xml:space="preserve">والمفروض أنّه يمكن إيجادها على وجه لا يستتبع المفسدة بأن يوجدها في زمان آخر أو مكان آخر فلو أتى بها مع تلك الضّميمة فقد أتى بالطّبيعة المطلوبة ويكون راجحاً من هذه الحيثيّة بالفعل أیضاً ويمكنه قصد امتثال الأمر المتعلّق بتلك الطّبيعة.</w:t>
      </w:r>
    </w:p>
    <w:p>
      <w:pPr>
        <w:pStyle w:val="BookText"/>
      </w:pPr>
      <w:r>
        <w:rPr>
          <w:rFonts w:ascii="IRNazanin" w:hAnsi="IRNazanin" w:eastAsia="IRNazanin" w:cs="IRNazanin"/>
          <w:lang w:bidi="fa-IR"/>
          <w:color w:val="111111"/>
          <w:sz w:val="28"/>
          <w:szCs w:val="28"/>
          <w:rtl/>
        </w:rPr>
        <w:t xml:space="preserve">فيكون حاله حال ما له بدل في أنّ الأمر تعلّق بالطّبيعة مع وجود المندوحة وإتیان الفرد المرجوح إنّما هو بسوء اختيار المکلّف.</w:t>
      </w:r>
    </w:p>
    <w:p>
      <w:pPr>
        <w:pStyle w:val="BookText"/>
      </w:pPr>
      <w:r>
        <w:rPr>
          <w:rFonts w:ascii="Amiri" w:hAnsi="Amiri" w:eastAsia="Amiri" w:cs="Amiri"/>
          <w:lang w:bidi="ar-SA"/>
          <w:color w:val="111111"/>
          <w:sz w:val="28"/>
          <w:szCs w:val="28"/>
          <w:rtl/>
        </w:rPr>
        <w:t xml:space="preserve">ولكن تماميّة هذا الوجه مبنيّ على كون الأمر بطبيعة الصوم والصّلاة على نحوالطّلب المطلق</w:t>
      </w:r>
      <w:r>
        <w:rPr>
          <w:rStyle w:val="FootnoteReference"/>
        </w:rPr>
        <w:footnoteReference w:id="1355"/>
      </w:r>
      <w:r>
        <w:rPr>
          <w:rFonts w:ascii="IRNazanin" w:hAnsi="IRNazanin" w:eastAsia="IRNazanin" w:cs="IRNazanin"/>
          <w:lang w:bidi="fa-IR"/>
          <w:color w:val="111111"/>
          <w:sz w:val="28"/>
          <w:szCs w:val="28"/>
          <w:rtl/>
        </w:rPr>
        <w:t xml:space="preserve">بأن يكون في کلّ يوم مأموراً بطبيعة الصّوم ولو في اليوم المكروه؛ لأنّه الممكن الإيجاد بلا منقصة بعد ذلك اليوم.</w:t>
      </w:r>
    </w:p>
    <w:p>
      <w:pPr>
        <w:pStyle w:val="BookText"/>
      </w:pPr>
      <w:r>
        <w:rPr>
          <w:rFonts w:ascii="IRNazanin" w:hAnsi="IRNazanin" w:eastAsia="IRNazanin" w:cs="IRNazanin"/>
          <w:lang w:bidi="fa-IR"/>
          <w:color w:val="111111"/>
          <w:sz w:val="28"/>
          <w:szCs w:val="28"/>
          <w:rtl/>
        </w:rPr>
        <w:t xml:space="preserve">وأمّا لو كان على نحو الطّلب المشروط فلا يكون الأمر متوجّهاً إليه في اليوم المكروه لعدم إمکان الإيجاد على الوجه المذكور فلا يمكنه قصد الأمر.</w:t>
      </w:r>
    </w:p>
    <w:p>
      <w:pPr>
        <w:pStyle w:val="Heading6"/>
      </w:pPr>
      <w:bookmarkStart w:id="691" w:name="_Toc372"/>
      <w:r>
        <w:t>[تنزیل کلام المحقّق القمي (رحمة الله‌علیه) على ما ذکرناه]</w:t>
      </w:r>
      <w:bookmarkEnd w:id="691"/>
    </w:p>
    <w:p>
      <w:pPr>
        <w:pStyle w:val="BookText"/>
      </w:pPr>
      <w:r>
        <w:rPr>
          <w:rFonts w:ascii="Amiri" w:hAnsi="Amiri" w:eastAsia="Amiri" w:cs="Amiri"/>
          <w:lang w:bidi="ar-SA"/>
          <w:color w:val="111111"/>
          <w:sz w:val="28"/>
          <w:szCs w:val="28"/>
          <w:rtl/>
        </w:rPr>
        <w:t xml:space="preserve">هذا ولا يخفى أنّه يمكن أن ينزل على ما ذكرنا ما ذكره المحقّق القمي (قدس‌سره) في المقام</w:t>
      </w:r>
      <w:r>
        <w:rPr>
          <w:rStyle w:val="FootnoteReference"/>
        </w:rPr>
        <w:footnoteReference w:id="1356"/>
      </w:r>
      <w:r>
        <w:rPr>
          <w:rFonts w:ascii="Amiri" w:hAnsi="Amiri" w:eastAsia="Amiri" w:cs="Amiri"/>
          <w:lang w:bidi="ar-SA"/>
          <w:color w:val="111111"/>
          <w:sz w:val="28"/>
          <w:szCs w:val="28"/>
          <w:rtl/>
        </w:rPr>
        <w:t xml:space="preserve">حيث قال: إنّ العقل لا يستبعد أن يكون لأصل العبادة مع قطع النظر عن الخصوصيّات رجحان وللخصوصيّة مرجوحيّة، إلى آخر ما قال.</w:t>
      </w:r>
      <w:r>
        <w:rPr>
          <w:rStyle w:val="FootnoteReference"/>
        </w:rPr>
        <w:footnoteReference w:id="1357"/>
      </w:r>
    </w:p>
    <w:p>
      <w:pPr>
        <w:pStyle w:val="BookText"/>
      </w:pPr>
      <w:r>
        <w:rPr>
          <w:rFonts w:ascii="IRNazanin" w:hAnsi="IRNazanin" w:eastAsia="IRNazanin" w:cs="IRNazanin"/>
          <w:lang w:bidi="fa-IR"/>
          <w:color w:val="111111"/>
          <w:sz w:val="28"/>
          <w:szCs w:val="28"/>
          <w:rtl/>
        </w:rPr>
        <w:t xml:space="preserve">فإنّ ظاهره وإن کان هو الكسر والانكسار بين المصلحة والمفسدة ولكن يمكنأن يكون مراده من ذلك تبعية الحكم الفعلي لما هو أولى بالمراعاة</w:t>
      </w:r>
      <w:r>
        <w:rPr>
          <w:rStyle w:val="FootnoteReference"/>
        </w:rPr>
        <w:footnoteReference w:id="1358"/>
      </w:r>
      <w:r>
        <w:rPr>
          <w:rFonts w:ascii="IRNazanin" w:hAnsi="IRNazanin" w:eastAsia="IRNazanin" w:cs="IRNazanin"/>
          <w:lang w:bidi="fa-IR"/>
          <w:color w:val="111111"/>
          <w:sz w:val="28"/>
          <w:szCs w:val="28"/>
          <w:rtl/>
        </w:rPr>
        <w:t xml:space="preserve">مع بقاء کلّ منهما على حاله؛ إذ حينئذٍ لا يرد عليه شي‌ء.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صرّح بأنّ القدر المسلم من الرجحان في العبادة هو الرجحان في أصل الذات.</w:t>
      </w:r>
      <w:r>
        <w:rPr>
          <w:rStyle w:val="FootnoteReference"/>
        </w:rPr>
        <w:footnoteReference w:id="1359"/>
      </w:r>
    </w:p>
    <w:p>
      <w:pPr>
        <w:pStyle w:val="BookText"/>
      </w:pPr>
      <w:r>
        <w:rPr>
          <w:rFonts w:ascii="Amiri" w:hAnsi="Amiri" w:eastAsia="Amiri" w:cs="Amiri"/>
          <w:lang w:bidi="ar-SA"/>
          <w:color w:val="111111"/>
          <w:sz w:val="28"/>
          <w:szCs w:val="28"/>
          <w:rtl/>
        </w:rPr>
        <w:t xml:space="preserve">وما ذكره في قصد القربة من أنّه لا يعتبر حصول القربة في العبادة وإلّا لما صحّ أكثر عباداتنا،</w:t>
      </w:r>
      <w:r>
        <w:rPr>
          <w:rStyle w:val="FootnoteReference"/>
        </w:rPr>
        <w:footnoteReference w:id="1360"/>
      </w:r>
      <w:r>
        <w:rPr>
          <w:rFonts w:ascii="IRNazanin" w:hAnsi="IRNazanin" w:eastAsia="IRNazanin" w:cs="IRNazanin"/>
          <w:lang w:bidi="fa-IR"/>
          <w:color w:val="111111"/>
          <w:sz w:val="28"/>
          <w:szCs w:val="28"/>
          <w:rtl/>
        </w:rPr>
        <w:t xml:space="preserve">غرضه أنّه لا يعتبر حصول القرب بالفعل وإن کان يمكن قصد القربة بلحاظ الرجحان الحاصل من حيث الذات فيكون ناظراً إلى الوجه الأوّل الّذي ذكرنا.</w:t>
      </w:r>
    </w:p>
    <w:p>
      <w:pPr>
        <w:pStyle w:val="BookText"/>
      </w:pPr>
      <w:r>
        <w:rPr>
          <w:rFonts w:ascii="Amiri" w:hAnsi="Amiri" w:eastAsia="Amiri" w:cs="Amiri"/>
          <w:lang w:bidi="ar-SA"/>
          <w:color w:val="111111"/>
          <w:sz w:val="28"/>
          <w:szCs w:val="28"/>
          <w:rtl/>
        </w:rPr>
        <w:t xml:space="preserve">وما ذكره ثانياً من أنّه لا ينحصر معناه في طلب القرب بل من معانيه موافقة الأمر وأنّه يقصد ذلك</w:t>
      </w:r>
      <w:r>
        <w:rPr>
          <w:rStyle w:val="FootnoteReference"/>
        </w:rPr>
        <w:footnoteReference w:id="1361"/>
      </w:r>
      <w:r>
        <w:rPr>
          <w:rFonts w:ascii="Amiri" w:hAnsi="Amiri" w:eastAsia="Amiri" w:cs="Amiri"/>
          <w:lang w:bidi="ar-SA"/>
          <w:color w:val="111111"/>
          <w:sz w:val="28"/>
          <w:szCs w:val="28"/>
          <w:rtl/>
        </w:rPr>
        <w:t xml:space="preserve">فلعلّه ناظر إلى الوجه الثاني.</w:t>
      </w:r>
    </w:p>
    <w:p>
      <w:pPr>
        <w:pStyle w:val="BookText"/>
      </w:pPr>
      <w:r>
        <w:rPr>
          <w:rFonts w:ascii="IRNazanin" w:hAnsi="IRNazanin" w:eastAsia="IRNazanin" w:cs="IRNazanin"/>
          <w:lang w:bidi="fa-IR"/>
          <w:color w:val="111111"/>
          <w:sz w:val="28"/>
          <w:szCs w:val="28"/>
          <w:rtl/>
        </w:rPr>
        <w:t xml:space="preserve">وما ذكره ثالثاً من أنّ صورة العبادة تکفي</w:t>
      </w:r>
      <w:r>
        <w:rPr>
          <w:rStyle w:val="FootnoteReference"/>
        </w:rPr>
        <w:footnoteReference w:id="1362"/>
      </w:r>
      <w:r>
        <w:rPr>
          <w:rFonts w:ascii="Amiri" w:hAnsi="Amiri" w:eastAsia="Amiri" w:cs="Amiri"/>
          <w:lang w:bidi="ar-SA"/>
          <w:color w:val="111111"/>
          <w:sz w:val="28"/>
          <w:szCs w:val="28"/>
          <w:rtl/>
        </w:rPr>
        <w:t xml:space="preserve">في قصد القربة</w:t>
      </w:r>
      <w:r>
        <w:rPr>
          <w:rStyle w:val="FootnoteReference"/>
        </w:rPr>
        <w:footnoteReference w:id="1363"/>
      </w:r>
      <w:r>
        <w:rPr>
          <w:rFonts w:ascii="IRNazanin" w:hAnsi="IRNazanin" w:eastAsia="IRNazanin" w:cs="IRNazanin"/>
          <w:lang w:bidi="fa-IR"/>
          <w:color w:val="111111"/>
          <w:sz w:val="28"/>
          <w:szCs w:val="28"/>
          <w:rtl/>
        </w:rPr>
        <w:t xml:space="preserve">ليس غرضه الصّورة المجرّدة عن الصحّة بل مراده أنّه يمكن أن يصحّ العمل على وجه العبادة؛ لكونه عبادة بحسب الذات وإن کان لا يتعبّد به بالفعل لعدم الأمر فهو صورة بالنسبة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05" w:name="pg6784_51389"/>
    <w:bookmarkEnd w:id="205"/>
    <w:p>
      <w:pPr>
        <w:pStyle w:val="BookText"/>
      </w:pPr>
      <w:r>
        <w:rPr>
          <w:rFonts w:ascii="IRNazanin" w:hAnsi="IRNazanin" w:eastAsia="IRNazanin" w:cs="IRNazanin"/>
          <w:lang w:bidi="fa-IR"/>
          <w:color w:val="111111"/>
          <w:sz w:val="28"/>
          <w:szCs w:val="28"/>
          <w:rtl/>
        </w:rPr>
        <w:t xml:space="preserve">إلى مقام الفعلية وحقیقة بالنّسبة إلى مقام الذّات حسبما ذكرنا</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Heading6"/>
      </w:pPr>
      <w:bookmarkStart w:id="692" w:name="_Toc373"/>
      <w:r>
        <w:t>[اندفاع الإیراد عن المحقّق القمّي (رحمة الله‌علیه)]</w:t>
      </w:r>
      <w:bookmarkEnd w:id="692"/>
    </w:p>
    <w:p>
      <w:pPr>
        <w:pStyle w:val="BookText"/>
      </w:pPr>
      <w:r>
        <w:rPr>
          <w:rFonts w:ascii="Amiri" w:hAnsi="Amiri" w:eastAsia="Amiri" w:cs="Amiri"/>
          <w:lang w:bidi="ar-SA"/>
          <w:color w:val="111111"/>
          <w:sz w:val="28"/>
          <w:szCs w:val="28"/>
          <w:rtl/>
        </w:rPr>
        <w:t xml:space="preserve">وحينئذٍ يندفع عنه جميع ما أورد عليه من النّقض:</w:t>
      </w:r>
    </w:p>
    <w:p>
      <w:pPr>
        <w:pStyle w:val="BookText"/>
      </w:pPr>
      <w:r>
        <w:rPr>
          <w:rFonts w:ascii="Amiri" w:hAnsi="Amiri" w:eastAsia="Amiri" w:cs="Amiri"/>
          <w:lang w:bidi="ar-SA"/>
          <w:color w:val="111111"/>
          <w:sz w:val="28"/>
          <w:szCs w:val="28"/>
          <w:rtl/>
        </w:rPr>
        <w:t xml:space="preserve">أوّلاً: بما إذا كان العمل محرّماً وأنّ لازمه الحكم بالصحّة للرجحان في أصل الذات؛ إذ نقول:</w:t>
      </w:r>
    </w:p>
    <w:p>
      <w:pPr>
        <w:pStyle w:val="BookText"/>
      </w:pPr>
      <w:r>
        <w:rPr>
          <w:rFonts w:ascii="Amiri" w:hAnsi="Amiri" w:eastAsia="Amiri" w:cs="Amiri"/>
          <w:lang w:bidi="ar-SA"/>
          <w:color w:val="111111"/>
          <w:sz w:val="28"/>
          <w:szCs w:val="28"/>
          <w:rtl/>
        </w:rPr>
        <w:t xml:space="preserve">أوّلاً: إنّا نلتزم</w:t>
      </w:r>
      <w:r>
        <w:rPr>
          <w:rStyle w:val="FootnoteReference"/>
        </w:rPr>
        <w:footnoteReference w:id="1365"/>
      </w:r>
      <w:r>
        <w:rPr>
          <w:rFonts w:ascii="Amiri" w:hAnsi="Amiri" w:eastAsia="Amiri" w:cs="Amiri"/>
          <w:lang w:bidi="ar-SA"/>
          <w:color w:val="111111"/>
          <w:sz w:val="28"/>
          <w:szCs w:val="28"/>
          <w:rtl/>
        </w:rPr>
        <w:t xml:space="preserve">بذلك وأنّه لو كانت الطّبيعة منحصرة في الفرد المحرّم لا أمر ولا رخصة ومع ذلك لو أتى بها بقصد رجحانها الذاتي صحّت.</w:t>
      </w:r>
    </w:p>
    <w:p>
      <w:pPr>
        <w:pStyle w:val="BookText"/>
      </w:pPr>
      <w:r>
        <w:rPr>
          <w:rFonts w:ascii="Amiri" w:hAnsi="Amiri" w:eastAsia="Amiri" w:cs="Amiri"/>
          <w:lang w:bidi="ar-SA"/>
          <w:color w:val="111111"/>
          <w:sz w:val="28"/>
          <w:szCs w:val="28"/>
          <w:rtl/>
        </w:rPr>
        <w:t xml:space="preserve">وثانياً: فرق بين المحرّم والمكروه حيث إنّه لا رخصة في المحرّم وفي المكروه الرخصة موجودة، فيمكن أن يقال: إنّها كاشفة عن بقاء الرجحان الذاتي وأنّ المقام من باب تزاحم المصلحة والمفسدة بخلاف صورة الحرمة فإنّه يمكن أن يكون من قبيل التخصيص الشرعي.</w:t>
      </w:r>
    </w:p>
    <w:p>
      <w:pPr>
        <w:pStyle w:val="BookText"/>
      </w:pPr>
      <w:r>
        <w:rPr>
          <w:rFonts w:ascii="Amiri" w:hAnsi="Amiri" w:eastAsia="Amiri" w:cs="Amiri"/>
          <w:lang w:bidi="ar-SA"/>
          <w:color w:val="111111"/>
          <w:sz w:val="28"/>
          <w:szCs w:val="28"/>
          <w:rtl/>
        </w:rPr>
        <w:t xml:space="preserve">فلا بدّ في الحكم بالصحّة من إحراز كونه من باب التّزاحم من الخارج، ومن</w:t>
      </w:r>
      <w:r>
        <w:rPr>
          <w:rStyle w:val="FootnoteReference"/>
        </w:rPr>
        <w:footnoteReference w:id="1366"/>
      </w:r>
      <w:r>
        <w:rPr>
          <w:rFonts w:ascii="Amiri" w:hAnsi="Amiri" w:eastAsia="Amiri" w:cs="Amiri"/>
          <w:lang w:bidi="ar-SA"/>
          <w:color w:val="111111"/>
          <w:sz w:val="28"/>
          <w:szCs w:val="28"/>
          <w:rtl/>
        </w:rPr>
        <w:t xml:space="preserve">أنّه لا يعقل كون العبادة مرجوحة والمفروض أنّه كذلك لمكان ما ذكره من الكسر والانكسار، ومن أنّه لا معنى لقصد القربة مع عدم الأمر ومع العلم بعدم حصول القرب، ومن أنّ صورة العبادة مع عدم الصحّة لا فائدة فيها إلى غير ذلك.</w:t>
      </w:r>
    </w:p>
    <w:p>
      <w:pPr>
        <w:pStyle w:val="Heading6"/>
      </w:pPr>
      <w:bookmarkStart w:id="693" w:name="_Toc374"/>
      <w:r>
        <w:t>[رجوع کلام صاحب الفصول (رحمة الله‌علیه) إلى ما ذکرناه]</w:t>
      </w:r>
      <w:bookmarkEnd w:id="693"/>
    </w:p>
    <w:p>
      <w:pPr>
        <w:pStyle w:val="BookText"/>
      </w:pPr>
      <w:r>
        <w:rPr>
          <w:rFonts w:ascii="Amiri" w:hAnsi="Amiri" w:eastAsia="Amiri" w:cs="Amiri"/>
          <w:lang w:bidi="ar-SA"/>
          <w:color w:val="111111"/>
          <w:sz w:val="28"/>
          <w:szCs w:val="28"/>
          <w:rtl/>
        </w:rPr>
        <w:t xml:space="preserve">ثمّ لا يخفى أنّه إلى ما ذكرنا يرجع ما ذكره في الفصول في آخر المطلب حيث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06" w:name="pg6784_51390"/>
    <w:bookmarkEnd w:id="206"/>
    <w:p>
      <w:pPr>
        <w:pStyle w:val="BookText"/>
      </w:pPr>
      <w:r>
        <w:rPr>
          <w:rFonts w:ascii="IRNazanin" w:hAnsi="IRNazanin" w:eastAsia="IRNazanin" w:cs="IRNazanin"/>
          <w:lang w:bidi="fa-IR"/>
          <w:color w:val="111111"/>
          <w:sz w:val="28"/>
          <w:szCs w:val="28"/>
          <w:rtl/>
        </w:rPr>
        <w:t xml:space="preserve">قال: بل التحقیق على القول بتعلّق الأحکام، إلى آخره،</w:t>
      </w:r>
      <w:r>
        <w:rPr>
          <w:rStyle w:val="FootnoteReference"/>
        </w:rPr>
        <w:footnoteReference w:id="1367"/>
      </w:r>
      <w:r>
        <w:rPr>
          <w:rFonts w:ascii="IRNazanin" w:hAnsi="IRNazanin" w:eastAsia="IRNazanin" w:cs="IRNazanin"/>
          <w:lang w:bidi="fa-IR"/>
          <w:color w:val="111111"/>
          <w:sz w:val="28"/>
          <w:szCs w:val="28"/>
          <w:rtl/>
        </w:rPr>
        <w:t xml:space="preserve">وهو بعينه مراد المحقّق القمي (رحمة الله‌علیه)</w:t>
      </w:r>
    </w:p>
    <w:p>
      <w:pPr>
        <w:pStyle w:val="BookText"/>
      </w:pPr>
      <w:r>
        <w:rPr>
          <w:rFonts w:ascii="Amiri" w:hAnsi="Amiri" w:eastAsia="Amiri" w:cs="Amiri"/>
          <w:lang w:bidi="ar-SA"/>
          <w:color w:val="111111"/>
          <w:sz w:val="28"/>
          <w:szCs w:val="28"/>
          <w:rtl/>
        </w:rPr>
        <w:t xml:space="preserve">كما عرفت فلا وجه للإيراد عليه بما أورده.</w:t>
      </w:r>
    </w:p>
    <w:p>
      <w:pPr>
        <w:pStyle w:val="BookText"/>
      </w:pPr>
      <w:r>
        <w:rPr>
          <w:rFonts w:ascii="IRNazanin" w:hAnsi="IRNazanin" w:eastAsia="IRNazanin" w:cs="IRNazanin"/>
          <w:lang w:bidi="fa-IR"/>
          <w:color w:val="111111"/>
          <w:sz w:val="28"/>
          <w:szCs w:val="28"/>
          <w:rtl/>
        </w:rPr>
        <w:t xml:space="preserve">ثم إنّ التوجيهات الّتي ذكرها وأورد عليها کلّها يمكن تصحيحها على مذهب المجوّزين وما أورد عليها إنّما هو على مذهب المانعين والمحقّق القمي (رحمة الله‌علیه) إنّما يتکلّم على مذهبه وليس المقام مقام الإيراد على أصل المذهب.</w:t>
      </w:r>
    </w:p>
    <w:p>
      <w:pPr>
        <w:pStyle w:val="BookText"/>
      </w:pPr>
      <w:r>
        <w:rPr>
          <w:rFonts w:ascii="Amiri" w:hAnsi="Amiri" w:eastAsia="Amiri" w:cs="Amiri"/>
          <w:lang w:bidi="ar-SA"/>
          <w:color w:val="111111"/>
          <w:sz w:val="28"/>
          <w:szCs w:val="28"/>
          <w:rtl/>
        </w:rPr>
        <w:t xml:space="preserve">نعم ما ذكره من توجيه ملاحظة الأجزاء والجملة إنّما يصحّ بناء على عدم لحاظالكسر والانكسار بل بما ذكرنا من تبعية الحكم الفعلي لما هو الأصلح رعايته</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وممّا ذكرنا ظهر أنّه لم ينهج منهج الإنصاف مع المحقّق القمي (رحمة الله‌علیه) حيث قال: إنّه سلك مسلك الاعتساف.</w:t>
      </w:r>
      <w:r>
        <w:rPr>
          <w:rStyle w:val="FootnoteReference"/>
        </w:rPr>
        <w:footnoteReference w:id="1369"/>
      </w:r>
    </w:p>
    <w:p>
      <w:pPr>
        <w:pStyle w:val="BookText"/>
      </w:pPr>
      <w:r>
        <w:rPr>
          <w:rFonts w:ascii="IRNazanin" w:hAnsi="IRNazanin" w:eastAsia="IRNazanin" w:cs="IRNazanin"/>
          <w:lang w:bidi="fa-IR"/>
          <w:color w:val="111111"/>
          <w:sz w:val="28"/>
          <w:szCs w:val="28"/>
          <w:rtl/>
        </w:rPr>
        <w:t xml:space="preserve">ثمّ ممّا ذكرنا ظهر وجه ترك الأئمة (علیهم‌السلام): الصّلاة والصّوم في الأزمنة المكروهة من غير إشکال وأنّه لمكان كونها مكروهة صرفة.</w:t>
      </w:r>
    </w:p>
    <w:p>
      <w:pPr>
        <w:pStyle w:val="BookText"/>
      </w:pPr>
      <w:r>
        <w:rPr>
          <w:rFonts w:ascii="IRNazanin" w:hAnsi="IRNazanin" w:eastAsia="IRNazanin" w:cs="IRNazanin"/>
          <w:lang w:bidi="fa-IR"/>
          <w:color w:val="111111"/>
          <w:sz w:val="28"/>
          <w:szCs w:val="28"/>
          <w:rtl/>
        </w:rPr>
        <w:t xml:space="preserve">ولو ورد منهم (علیهم‌السلام) أمر بهما</w:t>
      </w:r>
      <w:r>
        <w:rPr>
          <w:rStyle w:val="FootnoteReference"/>
        </w:rPr>
        <w:footnoteReference w:id="1370"/>
      </w:r>
      <w:r>
        <w:rPr>
          <w:rFonts w:ascii="Amiri" w:hAnsi="Amiri" w:eastAsia="Amiri" w:cs="Amiri"/>
          <w:lang w:bidi="ar-SA"/>
          <w:color w:val="111111"/>
          <w:sz w:val="28"/>
          <w:szCs w:val="28"/>
          <w:rtl/>
        </w:rPr>
        <w:t xml:space="preserve">بالخصوص يمكن أن ينزل على الرخصة أو الإرشاد إلى الصحّة.</w:t>
      </w:r>
    </w:p>
    <w:p>
      <w:pPr>
        <w:pStyle w:val="BookText"/>
      </w:pPr>
      <w:r>
        <w:rPr>
          <w:rFonts w:ascii="IRNazanin" w:hAnsi="IRNazanin" w:eastAsia="IRNazanin" w:cs="IRNazanin"/>
          <w:lang w:bidi="fa-IR"/>
          <w:color w:val="111111"/>
          <w:sz w:val="28"/>
          <w:szCs w:val="28"/>
          <w:rtl/>
        </w:rPr>
        <w:t xml:space="preserve">ولو ورد عملهم (علیهم‌السلام) وأنّهم صلّوا أو صاموا كما ورد في الصوم في السّفر في شعبان</w:t>
      </w:r>
      <w:r>
        <w:rPr>
          <w:rStyle w:val="FootnoteReference"/>
        </w:rPr>
        <w:footnoteReference w:id="1371"/>
      </w:r>
      <w:r>
        <w:rPr>
          <w:rFonts w:ascii="Amiri" w:hAnsi="Amiri" w:eastAsia="Amiri" w:cs="Amiri"/>
          <w:lang w:bidi="ar-SA"/>
          <w:color w:val="111111"/>
          <w:sz w:val="28"/>
          <w:szCs w:val="28"/>
          <w:rtl/>
        </w:rPr>
        <w:t xml:space="preserve">فيمكن أن ينزل على التّعليم لبيان الرّخصة أو على النذر أو نحو ذلك. فتدبّر.</w:t>
      </w:r>
    </w:p>
    <w:p>
      <w:pPr>
        <w:pStyle w:val="Heading6"/>
      </w:pPr>
      <w:bookmarkStart w:id="694" w:name="_Toc375"/>
      <w:r>
        <w:t>[الثاني من الموارد الواقعة في الشرع اجتماع الوجوبين والوجوب والاستحباب]</w:t>
      </w:r>
      <w:bookmarkEnd w:id="694"/>
    </w:p>
    <w:p>
      <w:pPr>
        <w:pStyle w:val="BookText"/>
      </w:pPr>
      <w:r>
        <w:rPr>
          <w:rFonts w:ascii="Amiri" w:hAnsi="Amiri" w:eastAsia="Amiri" w:cs="Amiri"/>
          <w:lang w:bidi="ar-SA"/>
          <w:color w:val="111111"/>
          <w:sz w:val="28"/>
          <w:szCs w:val="28"/>
          <w:rtl/>
        </w:rPr>
        <w:t xml:space="preserve">الثاني: من الموارد الواقعة في الشرع اجتماع الوجوبين واجتماع الوجوب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والاستحباب سواء كانا تعیينيين أو تخييريين أو مختلفين والتقريب ما مرّ في العبادات المكروهة والمانعون إن استقلّ عقلهم بعدم جواز الاجتماع فلا بدّ لهم من التوجيه والتأویل.</w:t>
      </w:r>
    </w:p>
    <w:p>
      <w:pPr>
        <w:pStyle w:val="BookText"/>
      </w:pPr>
      <w:r>
        <w:rPr>
          <w:rFonts w:ascii="Amiri" w:hAnsi="Amiri" w:eastAsia="Amiri" w:cs="Amiri"/>
          <w:lang w:bidi="ar-SA"/>
          <w:color w:val="111111"/>
          <w:sz w:val="28"/>
          <w:szCs w:val="28"/>
          <w:rtl/>
        </w:rPr>
        <w:t xml:space="preserve">وأوجه ما يمكن أن يقال بناء على مذهبهم هو الحكم بعدم شمول شي‌ء من الطلبين للمورد إذا كان النّسبة هو العموم من وجه وأنّه محكوم بالوجوب المتأكّد من جهة وجود مناط الحكمين، والمناطان يجتمعان فيوجبان</w:t>
      </w:r>
      <w:r>
        <w:rPr>
          <w:rStyle w:val="FootnoteReference"/>
        </w:rPr>
        <w:footnoteReference w:id="1372"/>
      </w:r>
      <w:r>
        <w:rPr>
          <w:rFonts w:ascii="IRNazanin" w:hAnsi="IRNazanin" w:eastAsia="IRNazanin" w:cs="IRNazanin"/>
          <w:lang w:bidi="fa-IR"/>
          <w:color w:val="111111"/>
          <w:sz w:val="28"/>
          <w:szCs w:val="28"/>
          <w:rtl/>
        </w:rPr>
        <w:t xml:space="preserve">الطّلب الوجوبي المتأكّد فيكون كما لو كان هناك مصلحتان داعيتان إلى طلب شي‌ء على وجه الوجوب أوعلى وجه الاستحباب في أحدهما والوجوب في آخر بحيث لو انفرد کلّ واحدة</w:t>
      </w:r>
      <w:r>
        <w:rPr>
          <w:rStyle w:val="FootnoteReference"/>
        </w:rPr>
        <w:footnoteReference w:id="1373"/>
      </w:r>
      <w:r>
        <w:rPr>
          <w:rFonts w:ascii="Amiri" w:hAnsi="Amiri" w:eastAsia="Amiri" w:cs="Amiri"/>
          <w:lang w:bidi="ar-SA"/>
          <w:color w:val="111111"/>
          <w:sz w:val="28"/>
          <w:szCs w:val="28"/>
          <w:rtl/>
        </w:rPr>
        <w:t xml:space="preserve">منهما اقتضت لحكم كما لو فرضنا أنّه محتاج إلى إسهال البلغم والصّفراء والسّكنجبين مسهل لهما فإنّه يجب شربه متأكّداً من جهة وجود الفائدتين.</w:t>
      </w:r>
    </w:p>
    <w:p>
      <w:pPr>
        <w:pStyle w:val="BookText"/>
      </w:pPr>
      <w:r>
        <w:rPr>
          <w:rFonts w:ascii="Amiri" w:hAnsi="Amiri" w:eastAsia="Amiri" w:cs="Amiri"/>
          <w:lang w:bidi="ar-SA"/>
          <w:color w:val="111111"/>
          <w:sz w:val="28"/>
          <w:szCs w:val="28"/>
          <w:rtl/>
        </w:rPr>
        <w:t xml:space="preserve">والحاصل: أنّ شيئاً من الدّليلين غير شامل للمورد إلّا أنّ المفروض لمّا كان صورة التزاحم</w:t>
      </w:r>
      <w:r>
        <w:rPr>
          <w:rStyle w:val="FootnoteReference"/>
        </w:rPr>
        <w:footnoteReference w:id="1374"/>
      </w:r>
      <w:r>
        <w:rPr>
          <w:rFonts w:ascii="Amiri" w:hAnsi="Amiri" w:eastAsia="Amiri" w:cs="Amiri"/>
          <w:lang w:bidi="ar-SA"/>
          <w:color w:val="111111"/>
          <w:sz w:val="28"/>
          <w:szCs w:val="28"/>
          <w:rtl/>
        </w:rPr>
        <w:t xml:space="preserve">فيحكم بالوجوب لوجود المناطين سواء في الوجوبين والمختلفين.</w:t>
      </w:r>
    </w:p>
    <w:p>
      <w:pPr>
        <w:pStyle w:val="BookText"/>
      </w:pPr>
      <w:r>
        <w:rPr>
          <w:rFonts w:ascii="IRNazanin" w:hAnsi="IRNazanin" w:eastAsia="IRNazanin" w:cs="IRNazanin"/>
          <w:lang w:bidi="fa-IR"/>
          <w:color w:val="111111"/>
          <w:sz w:val="28"/>
          <w:szCs w:val="28"/>
          <w:rtl/>
        </w:rPr>
        <w:t xml:space="preserve">نعم إذا كان الآمر متعدّداً كما إذا أمر الوالد بشي‌ء والوالدة أیضاً به وجوباً أو ندباً أو مختلفاً فالطلب متعدّد لكن المورد لا یتّصف إلّا بمطلوبیّة واحدة متأكدة.</w:t>
      </w:r>
    </w:p>
    <w:p>
      <w:pPr>
        <w:pStyle w:val="BookText"/>
      </w:pPr>
      <w:r>
        <w:rPr>
          <w:rFonts w:ascii="Amiri" w:hAnsi="Amiri" w:eastAsia="Amiri" w:cs="Amiri"/>
          <w:lang w:bidi="ar-SA"/>
          <w:color w:val="111111"/>
          <w:sz w:val="28"/>
          <w:szCs w:val="28"/>
          <w:rtl/>
        </w:rPr>
        <w:t xml:space="preserve">والفرق بينه وبين صورة اتّحاد الآمر أنّه لا يعقل فيها بناء على الامتناع اجتماع إرادتين بالنسبة إلى شي‌ء واحد لآمر واحد كما لا يعقل اتّصاف محلّ واحد بحكمين.</w:t>
      </w:r>
    </w:p>
    <w:p>
      <w:pPr>
        <w:pStyle w:val="BookText"/>
      </w:pPr>
      <w:r>
        <w:rPr>
          <w:rFonts w:ascii="IRNazanin" w:hAnsi="IRNazanin" w:eastAsia="IRNazanin" w:cs="IRNazanin"/>
          <w:lang w:bidi="fa-IR"/>
          <w:color w:val="111111"/>
          <w:sz w:val="28"/>
          <w:szCs w:val="28"/>
          <w:rtl/>
        </w:rPr>
        <w:t xml:space="preserve">وفي صورة تعدّد الآمر يمكن اجتماع الإرادتين ولكن المحلّ متّصف بحكم واحد إذا قلنا بأنّ الموجود فيه شخص واحد من الحكم وإلّا فيمكن التزام تعدّد الحكم أیضاً كما سيأتي الإشارة إليه.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النسبة بالعموم المطلق فيحمل الأمر الندبي على الإرشاد إلى كثرة الثواب أو تأكّد الرجحان أو نحو ذلك على حذو ما مرّ في العبادات المكروهة، وفي الوجوبين إذا كان أحدهما أخصّ يحمل على التخصيص</w:t>
      </w:r>
      <w:r>
        <w:rPr>
          <w:rStyle w:val="FootnoteReference"/>
        </w:rPr>
        <w:footnoteReference w:id="1375"/>
      </w:r>
      <w:r>
        <w:rPr>
          <w:rFonts w:ascii="Amiri" w:hAnsi="Amiri" w:eastAsia="Amiri" w:cs="Amiri"/>
          <w:lang w:bidi="ar-SA"/>
          <w:color w:val="111111"/>
          <w:sz w:val="28"/>
          <w:szCs w:val="28"/>
          <w:rtl/>
        </w:rPr>
        <w:t xml:space="preserve">فيكون المراد من العامّ غير هذا الفرد.</w:t>
      </w:r>
    </w:p>
    <w:p>
      <w:pPr>
        <w:pStyle w:val="BookText"/>
      </w:pPr>
      <w:r>
        <w:rPr>
          <w:rFonts w:ascii="IRNazanin" w:hAnsi="IRNazanin" w:eastAsia="IRNazanin" w:cs="IRNazanin"/>
          <w:lang w:bidi="fa-IR"/>
          <w:color w:val="111111"/>
          <w:sz w:val="28"/>
          <w:szCs w:val="28"/>
          <w:rtl/>
        </w:rPr>
        <w:t xml:space="preserve">مثلاً إذا قال: «أکرم العلماء» ثم قال: «أکرم زيداً» فيحمل الأوّل على ما عدا زيد</w:t>
      </w:r>
      <w:r>
        <w:rPr>
          <w:rStyle w:val="FootnoteReference"/>
        </w:rPr>
        <w:footnoteReference w:id="1376"/>
      </w:r>
      <w:r>
        <w:rPr>
          <w:rFonts w:ascii="IRNazanin" w:hAnsi="IRNazanin" w:eastAsia="IRNazanin" w:cs="IRNazanin"/>
          <w:lang w:bidi="fa-IR"/>
          <w:color w:val="111111"/>
          <w:sz w:val="28"/>
          <w:szCs w:val="28"/>
          <w:rtl/>
        </w:rPr>
        <w:t xml:space="preserve">ويمكن جعله إرشاداً إلى كثرة الثواب وتأكّد الطّلب أیضاً وإذا كان المورد واحداً شخصاً</w:t>
      </w:r>
      <w:r>
        <w:rPr>
          <w:rStyle w:val="FootnoteReference"/>
        </w:rPr>
        <w:footnoteReference w:id="1377"/>
      </w:r>
      <w:r>
        <w:rPr>
          <w:rFonts w:ascii="IRNazanin" w:hAnsi="IRNazanin" w:eastAsia="IRNazanin" w:cs="IRNazanin"/>
          <w:lang w:bidi="fa-IR"/>
          <w:color w:val="111111"/>
          <w:sz w:val="28"/>
          <w:szCs w:val="28"/>
          <w:rtl/>
        </w:rPr>
        <w:t xml:space="preserve">كأن يقول: «أکرم زيداً» ثم يقول: «أکرم زيداً» فيحمل الوارد ثانياً على الإرشاد إلى التأكّد وكثرة الثواب سواء كان الثاني أیضاً وجوبياً أو ندبياً.</w:t>
      </w:r>
    </w:p>
    <w:p>
      <w:pPr>
        <w:pStyle w:val="BookText"/>
      </w:pPr>
      <w:r>
        <w:rPr>
          <w:rFonts w:ascii="IRNazanin" w:hAnsi="IRNazanin" w:eastAsia="IRNazanin" w:cs="IRNazanin"/>
          <w:lang w:bidi="fa-IR"/>
          <w:color w:val="111111"/>
          <w:sz w:val="28"/>
          <w:szCs w:val="28"/>
          <w:rtl/>
        </w:rPr>
        <w:t xml:space="preserve">ومن ذلك يظهر ما إذا كان المورد عامّاً من وجه لكن كان الطّلبان تعيينيينكأن يقول: «أکرم العالم» و«أکرم الهاشمي» بحيث يكون المراد الطبيعة السّارية في جميع الأفراد وكان المطلوب إکرام الجميع فإنّه يحكم بعدم شمول شي‌ء من الخطابين لمورد الاجتماع</w:t>
      </w:r>
      <w:r>
        <w:rPr>
          <w:rStyle w:val="FootnoteReference"/>
        </w:rPr>
        <w:footnoteReference w:id="1378"/>
      </w:r>
      <w:r>
        <w:rPr>
          <w:rFonts w:ascii="Amiri" w:hAnsi="Amiri" w:eastAsia="Amiri" w:cs="Amiri"/>
          <w:lang w:bidi="ar-SA"/>
          <w:color w:val="111111"/>
          <w:sz w:val="28"/>
          <w:szCs w:val="28"/>
          <w:rtl/>
        </w:rPr>
        <w:t xml:space="preserve">وأنّه مطلوب متأكداً</w:t>
      </w:r>
      <w:r>
        <w:rPr>
          <w:rStyle w:val="FootnoteReference"/>
        </w:rPr>
        <w:footnoteReference w:id="1379"/>
      </w:r>
      <w:r>
        <w:rPr>
          <w:rFonts w:ascii="Amiri" w:hAnsi="Amiri" w:eastAsia="Amiri" w:cs="Amiri"/>
          <w:lang w:bidi="ar-SA"/>
          <w:color w:val="111111"/>
          <w:sz w:val="28"/>
          <w:szCs w:val="28"/>
          <w:rtl/>
        </w:rPr>
        <w:t xml:space="preserve">من جهة وجود المناطين.</w:t>
      </w:r>
    </w:p>
    <w:p>
      <w:pPr>
        <w:pStyle w:val="BookText"/>
      </w:pPr>
      <w:r>
        <w:rPr>
          <w:rFonts w:ascii="Amiri" w:hAnsi="Amiri" w:eastAsia="Amiri" w:cs="Amiri"/>
          <w:lang w:bidi="ar-SA"/>
          <w:color w:val="111111"/>
          <w:sz w:val="28"/>
          <w:szCs w:val="28"/>
          <w:rtl/>
        </w:rPr>
        <w:t xml:space="preserve">ويمكن أن يقال بشمول الخطاب الوارد أوّلاً دون الثاني إلّا بمناطه.</w:t>
      </w:r>
    </w:p>
    <w:p>
      <w:pPr>
        <w:pStyle w:val="BookText"/>
      </w:pPr>
      <w:r>
        <w:rPr>
          <w:rFonts w:ascii="IRNazanin" w:hAnsi="IRNazanin" w:eastAsia="IRNazanin" w:cs="IRNazanin"/>
          <w:lang w:bidi="fa-IR"/>
          <w:color w:val="111111"/>
          <w:sz w:val="28"/>
          <w:szCs w:val="28"/>
          <w:rtl/>
        </w:rPr>
        <w:t xml:space="preserve">ويمكن أن يقال: إنّ الشامل أحدهما المعين عند الله تعالى والآخر غير شامل إلّا بمناطه. ويمكن إجراء هذا الوجه في التخييريين أیضاً.</w:t>
      </w:r>
    </w:p>
    <w:p>
      <w:pPr>
        <w:pStyle w:val="BookText"/>
      </w:pPr>
      <w:r>
        <w:rPr>
          <w:rFonts w:ascii="Amiri" w:hAnsi="Amiri" w:eastAsia="Amiri" w:cs="Amiri"/>
          <w:lang w:bidi="ar-SA"/>
          <w:color w:val="111111"/>
          <w:sz w:val="28"/>
          <w:szCs w:val="28"/>
          <w:rtl/>
        </w:rPr>
        <w:t xml:space="preserve">وبالجملة بناء على مذهب المانعين لا يمكن إيراد الإرادتين على محلّ واحد سواء كان المورد واحداً شخصاً</w:t>
      </w:r>
      <w:r>
        <w:rPr>
          <w:rStyle w:val="FootnoteReference"/>
        </w:rPr>
        <w:footnoteReference w:id="1380"/>
      </w:r>
      <w:r>
        <w:rPr>
          <w:rFonts w:ascii="Amiri" w:hAnsi="Amiri" w:eastAsia="Amiri" w:cs="Amiri"/>
          <w:lang w:bidi="ar-SA"/>
          <w:color w:val="111111"/>
          <w:sz w:val="28"/>
          <w:szCs w:val="28"/>
          <w:rtl/>
        </w:rPr>
        <w:t xml:space="preserve">أو عامّاً من وجه أو مطلقاً فإنّهما أیضاً بناء على مذهبهم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07" w:name="pg6784_51393"/>
    <w:bookmarkEnd w:id="207"/>
    <w:p>
      <w:pPr>
        <w:pStyle w:val="BookText"/>
      </w:pPr>
      <w:r>
        <w:rPr>
          <w:rFonts w:ascii="Amiri" w:hAnsi="Amiri" w:eastAsia="Amiri" w:cs="Amiri"/>
          <w:lang w:bidi="ar-SA"/>
          <w:color w:val="111111"/>
          <w:sz w:val="28"/>
          <w:szCs w:val="28"/>
          <w:rtl/>
        </w:rPr>
        <w:t xml:space="preserve">يرجعان إلى الواحد الشخصي فلا بدّ إمّا من الحمل على الإرشاد في أحدهما وهو إنّما يكون فيما لو كان خاصّاً والآخر عامّاً أو كان متأخّراً والآخر متقدّماً وإمّا من الحكم بعدم شمولهما وأنّ المورد محكوم بالوجوب من جهة تعدّد المناط.</w:t>
      </w:r>
    </w:p>
    <w:p>
      <w:pPr>
        <w:pStyle w:val="Heading6"/>
      </w:pPr>
      <w:bookmarkStart w:id="695" w:name="_Toc376"/>
      <w:r>
        <w:t>[توجیه الشیخ الأنصاري (رحمة الله‌علیه)]</w:t>
      </w:r>
      <w:bookmarkEnd w:id="695"/>
    </w:p>
    <w:p>
      <w:pPr>
        <w:pStyle w:val="BookText"/>
      </w:pPr>
      <w:r>
        <w:rPr>
          <w:rFonts w:ascii="Amiri" w:hAnsi="Amiri" w:eastAsia="Amiri" w:cs="Amiri"/>
          <w:lang w:bidi="ar-SA"/>
          <w:color w:val="111111"/>
          <w:sz w:val="28"/>
          <w:szCs w:val="28"/>
          <w:rtl/>
        </w:rPr>
        <w:t xml:space="preserve">هذا وللشّيخ المحقّق الانصاري</w:t>
      </w:r>
      <w:r>
        <w:rPr>
          <w:rStyle w:val="FootnoteReference"/>
        </w:rPr>
        <w:footnoteReference w:id="1381"/>
      </w:r>
      <w:r>
        <w:rPr>
          <w:rFonts w:ascii="IRNazanin" w:hAnsi="IRNazanin" w:eastAsia="IRNazanin" w:cs="IRNazanin"/>
          <w:lang w:bidi="fa-IR"/>
          <w:color w:val="111111"/>
          <w:sz w:val="28"/>
          <w:szCs w:val="28"/>
          <w:rtl/>
        </w:rPr>
        <w:t xml:space="preserve">على ما في بعض التقريرات توجيه آخر وهو الفرق بين التعيينیين والمختلفين والتخييريين، قال ما حاصله:</w:t>
      </w:r>
    </w:p>
    <w:p>
      <w:pPr>
        <w:pStyle w:val="BookText"/>
      </w:pPr>
      <w:r>
        <w:rPr>
          <w:rFonts w:ascii="IRNazanin" w:hAnsi="IRNazanin" w:eastAsia="IRNazanin" w:cs="IRNazanin"/>
          <w:lang w:bidi="fa-IR"/>
          <w:color w:val="111111"/>
          <w:sz w:val="28"/>
          <w:szCs w:val="28"/>
          <w:rtl/>
        </w:rPr>
        <w:t xml:space="preserve">أنّه لا کلام في امتناع اجتماع الوجوب والاستحباب العينيين على وجه يكون الطّلبان قائمين بنفس الطّالب فإنّه إمّا يوجب اجتماع المثلين أو اجتماع الضدّين.</w:t>
      </w:r>
    </w:p>
    <w:p>
      <w:pPr>
        <w:pStyle w:val="BookText"/>
      </w:pPr>
      <w:r>
        <w:rPr>
          <w:rFonts w:ascii="Amiri" w:hAnsi="Amiri" w:eastAsia="Amiri" w:cs="Amiri"/>
          <w:lang w:bidi="ar-SA"/>
          <w:color w:val="111111"/>
          <w:sz w:val="28"/>
          <w:szCs w:val="28"/>
          <w:rtl/>
        </w:rPr>
        <w:t xml:space="preserve">وذلك لأنّه إن قيل باتّحاد الطلب والإرادة وفسّر</w:t>
      </w:r>
      <w:r>
        <w:rPr>
          <w:rStyle w:val="FootnoteReference"/>
        </w:rPr>
        <w:footnoteReference w:id="1382"/>
      </w:r>
      <w:r>
        <w:rPr>
          <w:rFonts w:ascii="Amiri" w:hAnsi="Amiri" w:eastAsia="Amiri" w:cs="Amiri"/>
          <w:lang w:bidi="ar-SA"/>
          <w:color w:val="111111"/>
          <w:sz w:val="28"/>
          <w:szCs w:val="28"/>
          <w:rtl/>
        </w:rPr>
        <w:t xml:space="preserve">الإرادة باعتقاد النفع فيرجع إلى العلم ويكون الاختلاف بين الوجوب والاستحباب حينئذٍ باختلاف المراد فيكوناجتماعهما اجتماعاً للمثلين وهو محال.</w:t>
      </w:r>
    </w:p>
    <w:p>
      <w:pPr>
        <w:pStyle w:val="BookText"/>
      </w:pPr>
      <w:r>
        <w:rPr>
          <w:rFonts w:ascii="Amiri" w:hAnsi="Amiri" w:eastAsia="Amiri" w:cs="Amiri"/>
          <w:lang w:bidi="ar-SA"/>
          <w:color w:val="111111"/>
          <w:sz w:val="28"/>
          <w:szCs w:val="28"/>
          <w:rtl/>
        </w:rPr>
        <w:t xml:space="preserve">ودعوى أنّ المتّصف بالمطلوبیّة هو الماهيّة</w:t>
      </w:r>
      <w:r>
        <w:rPr>
          <w:rStyle w:val="FootnoteReference"/>
        </w:rPr>
        <w:footnoteReference w:id="1383"/>
      </w:r>
      <w:r>
        <w:rPr>
          <w:rFonts w:ascii="Amiri" w:hAnsi="Amiri" w:eastAsia="Amiri" w:cs="Amiri"/>
          <w:lang w:bidi="ar-SA"/>
          <w:color w:val="111111"/>
          <w:sz w:val="28"/>
          <w:szCs w:val="28"/>
          <w:rtl/>
        </w:rPr>
        <w:t xml:space="preserve">الذهنية لامتناع اتّصاف الخارجيّة بها لكونها موجودة فيلزم تحصيل الحاصل والماهيّة</w:t>
      </w:r>
      <w:r>
        <w:rPr>
          <w:rStyle w:val="FootnoteReference"/>
        </w:rPr>
        <w:footnoteReference w:id="1384"/>
      </w:r>
      <w:r>
        <w:rPr>
          <w:rFonts w:ascii="Amiri" w:hAnsi="Amiri" w:eastAsia="Amiri" w:cs="Amiri"/>
          <w:lang w:bidi="ar-SA"/>
          <w:color w:val="111111"/>
          <w:sz w:val="28"/>
          <w:szCs w:val="28"/>
          <w:rtl/>
        </w:rPr>
        <w:t xml:space="preserve">الذهنيّة تختلف باعتبار الملاحظات؛</w:t>
      </w:r>
    </w:p>
    <w:p>
      <w:pPr>
        <w:pStyle w:val="BookText"/>
      </w:pPr>
      <w:r>
        <w:rPr>
          <w:rFonts w:ascii="Amiri" w:hAnsi="Amiri" w:eastAsia="Amiri" w:cs="Amiri"/>
          <w:lang w:bidi="ar-SA"/>
          <w:color w:val="111111"/>
          <w:sz w:val="28"/>
          <w:szCs w:val="28"/>
          <w:rtl/>
        </w:rPr>
        <w:t xml:space="preserve">مدفوعة بأنّ تعدّد الملاحظة إن لم يكن بلحاظ تعدّد العناوين بل كان بمجرّد تصوّرها تارة للطلب الوجوبي وأخرى للطّلب الندبي فلا فائدة فيه؛ إذ مرجعه إلى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تغاير التصوّرين وتعدّد الطلب محتاج إلى تعدّد المتصوّر وإن کان بلحاظ اختلاف العناوين فهو سديد إلّا أنّ غاية ذلك اختلاف ما تعلّق به الطلب وهو العنوان الملحوظ للآمر.</w:t>
      </w:r>
    </w:p>
    <w:p>
      <w:pPr>
        <w:pStyle w:val="BookText"/>
      </w:pPr>
      <w:r>
        <w:rPr>
          <w:rFonts w:ascii="IRNazanin" w:hAnsi="IRNazanin" w:eastAsia="IRNazanin" w:cs="IRNazanin"/>
          <w:lang w:bidi="fa-IR"/>
          <w:color w:val="111111"/>
          <w:sz w:val="28"/>
          <w:szCs w:val="28"/>
          <w:rtl/>
        </w:rPr>
        <w:t xml:space="preserve">واللّازم اختلاف ما يسقط به الطّلب وهو الّذي ينتزع منه المطلوبیّة أیضاً ولا اختلاف فيه فيلزم اجتماع المثلين فيه.</w:t>
      </w:r>
    </w:p>
    <w:p>
      <w:pPr>
        <w:pStyle w:val="BookText"/>
      </w:pPr>
      <w:r>
        <w:rPr>
          <w:rFonts w:ascii="Amiri" w:hAnsi="Amiri" w:eastAsia="Amiri" w:cs="Amiri"/>
          <w:lang w:bidi="ar-SA"/>
          <w:color w:val="111111"/>
          <w:sz w:val="28"/>
          <w:szCs w:val="28"/>
          <w:rtl/>
        </w:rPr>
        <w:t xml:space="preserve">ومن ذلك ظهر أنّ ذلك كافٍ في إبطال الاجتماع وإن لم يلاحظ حال الطّالب حتّى يقال: إنّا لا نعقل كيفية الطّلب الصّادر من الله تعالى.</w:t>
      </w:r>
    </w:p>
    <w:p>
      <w:pPr>
        <w:pStyle w:val="BookText"/>
      </w:pPr>
      <w:r>
        <w:rPr>
          <w:rFonts w:ascii="IRNazanin" w:hAnsi="IRNazanin" w:eastAsia="IRNazanin" w:cs="IRNazanin"/>
          <w:lang w:bidi="fa-IR"/>
          <w:color w:val="111111"/>
          <w:sz w:val="28"/>
          <w:szCs w:val="28"/>
          <w:rtl/>
        </w:rPr>
        <w:t xml:space="preserve">وإن قيل بمغايرة الطّلب والإرادة أو قيل بعدم رجوع الإرادة إلى العلم فهو وإن کان كما ذكرنا من كونهما من اجتماع المثلين وأنّ سنخهما واحد إلّا أنّه يمكن أن يقال: إنّ اختلافهما حينئذٍ</w:t>
      </w:r>
      <w:r>
        <w:rPr>
          <w:rStyle w:val="FootnoteReference"/>
        </w:rPr>
        <w:footnoteReference w:id="1385"/>
      </w:r>
      <w:r>
        <w:rPr>
          <w:rFonts w:ascii="Amiri" w:hAnsi="Amiri" w:eastAsia="Amiri" w:cs="Amiri"/>
          <w:lang w:bidi="ar-SA"/>
          <w:color w:val="111111"/>
          <w:sz w:val="28"/>
          <w:szCs w:val="28"/>
          <w:rtl/>
        </w:rPr>
        <w:t xml:space="preserve">من قبيل اختلاف العلم والظّن حيث إنّ اختلافهما ليس بواسطة اختلاف المعلوم والمظنون بل باختلاف نفسهما</w:t>
      </w:r>
      <w:r>
        <w:rPr>
          <w:rStyle w:val="FootnoteReference"/>
        </w:rPr>
        <w:footnoteReference w:id="1386"/>
      </w:r>
      <w:r>
        <w:rPr>
          <w:rFonts w:ascii="Amiri" w:hAnsi="Amiri" w:eastAsia="Amiri" w:cs="Amiri"/>
          <w:lang w:bidi="ar-SA"/>
          <w:color w:val="111111"/>
          <w:sz w:val="28"/>
          <w:szCs w:val="28"/>
          <w:rtl/>
        </w:rPr>
        <w:t xml:space="preserve">فعلى هذا يكون اجتماعهما من باب اجتماع الضدّين.</w:t>
      </w:r>
    </w:p>
    <w:p>
      <w:pPr>
        <w:pStyle w:val="BookText"/>
      </w:pPr>
      <w:r>
        <w:rPr>
          <w:rFonts w:ascii="Amiri" w:hAnsi="Amiri" w:eastAsia="Amiri" w:cs="Amiri"/>
          <w:lang w:bidi="ar-SA"/>
          <w:color w:val="111111"/>
          <w:sz w:val="28"/>
          <w:szCs w:val="28"/>
          <w:rtl/>
        </w:rPr>
        <w:t xml:space="preserve">هذا مع قطع النظر عن الخصوصيّة المائزة للاستحباب عن الوجوب وإلّا فمع ملاحظتها</w:t>
      </w:r>
      <w:r>
        <w:rPr>
          <w:rStyle w:val="FootnoteReference"/>
        </w:rPr>
        <w:footnoteReference w:id="1387"/>
      </w:r>
      <w:r>
        <w:rPr>
          <w:rFonts w:ascii="Amiri" w:hAnsi="Amiri" w:eastAsia="Amiri" w:cs="Amiri"/>
          <w:lang w:bidi="ar-SA"/>
          <w:color w:val="111111"/>
          <w:sz w:val="28"/>
          <w:szCs w:val="28"/>
          <w:rtl/>
        </w:rPr>
        <w:t xml:space="preserve">فيلزم</w:t>
      </w:r>
      <w:r>
        <w:rPr>
          <w:rStyle w:val="FootnoteReference"/>
        </w:rPr>
        <w:footnoteReference w:id="1388"/>
      </w:r>
      <w:r>
        <w:rPr>
          <w:rFonts w:ascii="IRNazanin" w:hAnsi="IRNazanin" w:eastAsia="IRNazanin" w:cs="IRNazanin"/>
          <w:lang w:bidi="fa-IR"/>
          <w:color w:val="111111"/>
          <w:sz w:val="28"/>
          <w:szCs w:val="28"/>
          <w:rtl/>
        </w:rPr>
        <w:t xml:space="preserve">اجتماع الضدّين مطلقاً سواء على القول بتعلّق الأحکام بالطبائع أو الأفراد؛ إذ الأحکام کلّها متضادّة</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ما تبيّن أنّ اجتماعهما إمّا اجتماع للضدّين أو المثلين وکلاهما محال، فنقول: لا بدّ من توجيه ما ورد من هذا القبيل مثل الوضوء لغاية واجبة ومندوبة بالحمل على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تأكّد الطلب بمعنى أنّ کلّاً من الطلبين متحقّق إلّا أنّ المحلّ فعلاً متّصف بمطلوبیّة واحدة متأكّدة نظير السواد الضعيف والشديد حيث إنّ الضّعيف يضمحلّ في جنب الشديد فيكون الحاصل هو الوجوب الفعلي والندب يكون بمجرّد الجهة.</w:t>
      </w:r>
    </w:p>
    <w:p>
      <w:pPr>
        <w:pStyle w:val="BookText"/>
      </w:pPr>
      <w:r>
        <w:rPr>
          <w:rFonts w:ascii="IRNazanin" w:hAnsi="IRNazanin" w:eastAsia="IRNazanin" w:cs="IRNazanin"/>
          <w:lang w:bidi="fa-IR"/>
          <w:color w:val="111111"/>
          <w:sz w:val="28"/>
          <w:szCs w:val="28"/>
          <w:rtl/>
        </w:rPr>
        <w:t xml:space="preserve">وذلك لأنّ جهات الأحکام الغير</w:t>
      </w:r>
      <w:r>
        <w:rPr>
          <w:rStyle w:val="FootnoteReference"/>
        </w:rPr>
        <w:footnoteReference w:id="1390"/>
      </w:r>
      <w:r>
        <w:rPr>
          <w:rFonts w:ascii="IRNazanin" w:hAnsi="IRNazanin" w:eastAsia="IRNazanin" w:cs="IRNazanin"/>
          <w:lang w:bidi="fa-IR"/>
          <w:color w:val="111111"/>
          <w:sz w:val="28"/>
          <w:szCs w:val="28"/>
          <w:rtl/>
        </w:rPr>
        <w:t xml:space="preserve">الإلزاميّة إذا اجتمعت مع الإلزاميّة يكون الحكم الفعلي مستنداً إلى الثانية ويكون الأولى موجودة بدون الفعلية إلّا أنّها كافية في الثواب والعقاب ويجوز الإتیان بنيّة الأمر الاستحبابي.</w:t>
      </w:r>
    </w:p>
    <w:p>
      <w:pPr>
        <w:pStyle w:val="BookText"/>
      </w:pPr>
      <w:r>
        <w:rPr>
          <w:rFonts w:ascii="IRNazanin" w:hAnsi="IRNazanin" w:eastAsia="IRNazanin" w:cs="IRNazanin"/>
          <w:lang w:bidi="fa-IR"/>
          <w:color w:val="111111"/>
          <w:sz w:val="28"/>
          <w:szCs w:val="28"/>
          <w:rtl/>
        </w:rPr>
        <w:t xml:space="preserve">فظهر أنّ اجتماع الحكمين فعلاً غير ممکن وإنّما الممكن اجتماع الجهتين؛ إذ في مقام الفعلية يحصل من الاجتماع التأكّد.</w:t>
      </w:r>
    </w:p>
    <w:p>
      <w:pPr>
        <w:pStyle w:val="BookText"/>
      </w:pPr>
      <w:r>
        <w:rPr>
          <w:rFonts w:ascii="IRNazanin" w:hAnsi="IRNazanin" w:eastAsia="IRNazanin" w:cs="IRNazanin"/>
          <w:lang w:bidi="fa-IR"/>
          <w:color w:val="111111"/>
          <w:sz w:val="28"/>
          <w:szCs w:val="28"/>
          <w:rtl/>
        </w:rPr>
        <w:t xml:space="preserve">نعم الآثار المستندة إلى الاستحباب من الثواب والامتثال موجودة وكذا الکلام في اجتماع الوجوبين كأمر کلّ من الوالدين بشي‌ء واحد فإنّه يوجب التأكّد.</w:t>
      </w:r>
    </w:p>
    <w:p>
      <w:pPr>
        <w:pStyle w:val="BookText"/>
      </w:pPr>
      <w:r>
        <w:rPr>
          <w:rFonts w:ascii="Amiri" w:hAnsi="Amiri" w:eastAsia="Amiri" w:cs="Amiri"/>
          <w:lang w:bidi="ar-SA"/>
          <w:color w:val="111111"/>
          <w:sz w:val="28"/>
          <w:szCs w:val="28"/>
          <w:rtl/>
        </w:rPr>
        <w:t xml:space="preserve">فإن قلت: لا معنى للتأكّد بعد تعارض الطّلبين وحكم العقل بالامتناع؛ إذ لا بدّ من التساقط فلا يثبت وجوب فضلاً عن التّأكّد.</w:t>
      </w:r>
    </w:p>
    <w:p>
      <w:pPr>
        <w:pStyle w:val="BookText"/>
      </w:pPr>
      <w:r>
        <w:rPr>
          <w:rFonts w:ascii="Amiri" w:hAnsi="Amiri" w:eastAsia="Amiri" w:cs="Amiri"/>
          <w:lang w:bidi="ar-SA"/>
          <w:color w:val="111111"/>
          <w:sz w:val="28"/>
          <w:szCs w:val="28"/>
          <w:rtl/>
        </w:rPr>
        <w:t xml:space="preserve">قلت: بعد تسليم اختلاف مراتب الطّلب شدّةً وضعفاً لا وجه لما ذكر فإنّ اجتماعهما يقتضي مرتبة أشدّ فلا تعارض ولا تساقط.</w:t>
      </w:r>
    </w:p>
    <w:p>
      <w:pPr>
        <w:pStyle w:val="BookText"/>
      </w:pPr>
      <w:r>
        <w:rPr>
          <w:rFonts w:ascii="Amiri" w:hAnsi="Amiri" w:eastAsia="Amiri" w:cs="Amiri"/>
          <w:lang w:bidi="ar-SA"/>
          <w:color w:val="111111"/>
          <w:sz w:val="28"/>
          <w:szCs w:val="28"/>
          <w:rtl/>
        </w:rPr>
        <w:t xml:space="preserve">مع أنّه يمكن أن يقال: إنّ التعارض إنّما هو في استناد الأثر إليهما على وجه الاستقلال وبعد التعارض يحكم بالتساقط في الاستقلال دون أصل الوجود فيكون كما لو عقد الوليّان لشخص واحد.</w:t>
      </w:r>
    </w:p>
    <w:p>
      <w:pPr>
        <w:pStyle w:val="BookText"/>
      </w:pPr>
      <w:r>
        <w:rPr>
          <w:rFonts w:ascii="Amiri" w:hAnsi="Amiri" w:eastAsia="Amiri" w:cs="Amiri"/>
          <w:lang w:bidi="ar-SA"/>
          <w:color w:val="111111"/>
          <w:sz w:val="28"/>
          <w:szCs w:val="28"/>
          <w:rtl/>
        </w:rPr>
        <w:t xml:space="preserve">وبالجملة فلا محذور في تأكّد الطّلب سواء قلنا بوجود المصالح كما هو مذهب العدلية أو لا كما هو مذهب الأشعري.</w:t>
      </w:r>
      <w:r>
        <w:rPr>
          <w:rStyle w:val="FootnoteReference"/>
        </w:rPr>
        <w:footnoteReference w:id="1391"/>
      </w:r>
    </w:p>
    <w:p>
      <w:pPr>
        <w:pStyle w:val="BookText"/>
      </w:pPr>
      <w:r>
        <w:rPr>
          <w:rFonts w:ascii="Amiri" w:hAnsi="Amiri" w:eastAsia="Amiri" w:cs="Amiri"/>
          <w:lang w:bidi="ar-SA"/>
          <w:color w:val="111111"/>
          <w:sz w:val="28"/>
          <w:szCs w:val="28"/>
          <w:rtl/>
        </w:rPr>
        <w:t xml:space="preserve">هذا في العينيين وأمّا إذا كان الوجوب تخييرياً والاستحباب عينياً كالصّلاة في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فيمكن حمله على الإرشاد إلى مزية حاصلة في ذلك الفرد.</w:t>
      </w:r>
    </w:p>
    <w:p>
      <w:pPr>
        <w:pStyle w:val="BookText"/>
      </w:pPr>
      <w:r>
        <w:rPr>
          <w:rFonts w:ascii="IRNazanin" w:hAnsi="IRNazanin" w:eastAsia="IRNazanin" w:cs="IRNazanin"/>
          <w:lang w:bidi="fa-IR"/>
          <w:color w:val="111111"/>
          <w:sz w:val="28"/>
          <w:szCs w:val="28"/>
          <w:rtl/>
        </w:rPr>
        <w:t xml:space="preserve">ويمكن أن يجاب أیضاً بعدم التضادّ بين الوجوب والاستحباب المذكورين.</w:t>
      </w:r>
    </w:p>
    <w:p>
      <w:pPr>
        <w:pStyle w:val="BookText"/>
      </w:pPr>
      <w:r>
        <w:rPr>
          <w:rFonts w:ascii="Amiri" w:hAnsi="Amiri" w:eastAsia="Amiri" w:cs="Amiri"/>
          <w:lang w:bidi="ar-SA"/>
          <w:color w:val="111111"/>
          <w:sz w:val="28"/>
          <w:szCs w:val="28"/>
          <w:rtl/>
        </w:rPr>
        <w:t xml:space="preserve">وذلك لأنّ الاستحباب وارد على الفعل بوصف اتّصافه بالوجوب فهما متضادّان إذا كانا</w:t>
      </w:r>
      <w:r>
        <w:rPr>
          <w:rStyle w:val="FootnoteReference"/>
        </w:rPr>
        <w:footnoteReference w:id="1392"/>
      </w:r>
      <w:r>
        <w:rPr>
          <w:rFonts w:ascii="Amiri" w:hAnsi="Amiri" w:eastAsia="Amiri" w:cs="Amiri"/>
          <w:lang w:bidi="ar-SA"/>
          <w:color w:val="111111"/>
          <w:sz w:val="28"/>
          <w:szCs w:val="28"/>
          <w:rtl/>
        </w:rPr>
        <w:t xml:space="preserve">في عرض واحد بأن يكون الفعل في نفسه واجباً ومستحبّاً.</w:t>
      </w:r>
    </w:p>
    <w:p>
      <w:pPr>
        <w:pStyle w:val="BookText"/>
      </w:pPr>
      <w:r>
        <w:rPr>
          <w:rFonts w:ascii="Amiri" w:hAnsi="Amiri" w:eastAsia="Amiri" w:cs="Amiri"/>
          <w:lang w:bidi="ar-SA"/>
          <w:color w:val="111111"/>
          <w:sz w:val="28"/>
          <w:szCs w:val="28"/>
          <w:rtl/>
        </w:rPr>
        <w:t xml:space="preserve">وأمّا إذا كان واجباً في نفسه ومستحبّاً بعد اتّصافه بالوجوب فيكون الاستحباب في طول الوجوب ولا منافاة بينهما</w:t>
      </w:r>
      <w:r>
        <w:rPr>
          <w:rStyle w:val="FootnoteReference"/>
        </w:rPr>
        <w:footnoteReference w:id="1393"/>
      </w:r>
    </w:p>
    <w:p>
      <w:pPr>
        <w:pStyle w:val="BookText"/>
      </w:pPr>
      <w:r>
        <w:rPr>
          <w:rFonts w:ascii="Amiri" w:hAnsi="Amiri" w:eastAsia="Amiri" w:cs="Amiri"/>
          <w:lang w:bidi="ar-SA"/>
          <w:color w:val="111111"/>
          <w:sz w:val="28"/>
          <w:szCs w:val="28"/>
          <w:rtl/>
        </w:rPr>
        <w:t xml:space="preserve">والسرّ في ذلك أنّ الوجوب التخييري مشوبٌ بجواز الترك إلى البدل</w:t>
      </w:r>
      <w:r>
        <w:rPr>
          <w:rStyle w:val="FootnoteReference"/>
        </w:rPr>
        <w:footnoteReference w:id="1394"/>
      </w:r>
      <w:r>
        <w:rPr>
          <w:rFonts w:ascii="IRNazanin" w:hAnsi="IRNazanin" w:eastAsia="IRNazanin" w:cs="IRNazanin"/>
          <w:lang w:bidi="fa-IR"/>
          <w:color w:val="111111"/>
          <w:sz w:val="28"/>
          <w:szCs w:val="28"/>
          <w:rtl/>
        </w:rPr>
        <w:t xml:space="preserve">كما أنّه متّصف بعدم جواز الترك لا إلى بدل فبالاعتبار الثاني لا یتّصف</w:t>
      </w:r>
      <w:r>
        <w:rPr>
          <w:rStyle w:val="FootnoteReference"/>
        </w:rPr>
        <w:footnoteReference w:id="1395"/>
      </w:r>
      <w:r>
        <w:rPr>
          <w:rFonts w:ascii="IRNazanin" w:hAnsi="IRNazanin" w:eastAsia="IRNazanin" w:cs="IRNazanin"/>
          <w:lang w:bidi="fa-IR"/>
          <w:color w:val="111111"/>
          <w:sz w:val="28"/>
          <w:szCs w:val="28"/>
          <w:rtl/>
        </w:rPr>
        <w:t xml:space="preserve">بالاستحباب وأمّا بالاعتبار الأوّل فیتّصف به؛ لأنّ ذلك الجواز إن کان بلا رجحان ولا مرجوحيّة فالفعل مباحٌ وإن کان راجحاً فالفعل مكروهٌ وإن کان مرجوحاً فهو</w:t>
      </w:r>
      <w:r>
        <w:rPr>
          <w:rStyle w:val="FootnoteReference"/>
        </w:rPr>
        <w:footnoteReference w:id="1396"/>
      </w:r>
      <w:r>
        <w:rPr>
          <w:rFonts w:ascii="IRNazanin" w:hAnsi="IRNazanin" w:eastAsia="IRNazanin" w:cs="IRNazanin"/>
          <w:lang w:bidi="fa-IR"/>
          <w:color w:val="111111"/>
          <w:sz w:val="28"/>
          <w:szCs w:val="28"/>
          <w:rtl/>
        </w:rPr>
        <w:t xml:space="preserve">مستحب وإنّما لا یتّصف بالحرمة لأنّ جواز الترك ينافي حرمته وإلّا انقلب الواجب التخييري تعيينيّاً.</w:t>
      </w:r>
    </w:p>
    <w:p>
      <w:pPr>
        <w:pStyle w:val="BookText"/>
      </w:pPr>
      <w:r>
        <w:rPr>
          <w:rFonts w:ascii="Amiri" w:hAnsi="Amiri" w:eastAsia="Amiri" w:cs="Amiri"/>
          <w:lang w:bidi="ar-SA"/>
          <w:color w:val="111111"/>
          <w:sz w:val="28"/>
          <w:szCs w:val="28"/>
          <w:rtl/>
        </w:rPr>
        <w:t xml:space="preserve">والحاصل: أنّ جواز الترك لا يخلو عن رجحان أو مرجوحيّة أو مساواة</w:t>
      </w:r>
      <w:r>
        <w:rPr>
          <w:rStyle w:val="FootnoteReference"/>
        </w:rPr>
        <w:footnoteReference w:id="1397"/>
      </w:r>
      <w:r>
        <w:rPr>
          <w:rFonts w:ascii="Amiri" w:hAnsi="Amiri" w:eastAsia="Amiri" w:cs="Amiri"/>
          <w:lang w:bidi="ar-SA"/>
          <w:color w:val="111111"/>
          <w:sz w:val="28"/>
          <w:szCs w:val="28"/>
          <w:rtl/>
        </w:rPr>
        <w:t xml:space="preserve">ولا بدّ فيه من أحد هذه ومحلّ الوجوب حينئذٍ الفعل باعتبار تركه لا إلى بدل ومحلّ الاستحباب هو باعتبار تركه إلى بدل ولا تضادّ بينهما.</w:t>
      </w:r>
    </w:p>
    <w:p>
      <w:pPr>
        <w:pStyle w:val="BookText"/>
      </w:pPr>
      <w:r>
        <w:rPr>
          <w:rFonts w:ascii="Amiri" w:hAnsi="Amiri" w:eastAsia="Amiri" w:cs="Amiri"/>
          <w:lang w:bidi="ar-SA"/>
          <w:color w:val="111111"/>
          <w:sz w:val="28"/>
          <w:szCs w:val="28"/>
          <w:rtl/>
        </w:rPr>
        <w:t xml:space="preserve">وأمّا التخييريان فحالهما حال اجتماع الوجوب التخييري مع الكراهة فيما إذا كان بين العنوانين عموم من وجه وقد عرفت أنّ أوجه الوجوه فيه هو القول بوجود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08" w:name="pg6784_51397"/>
    <w:bookmarkEnd w:id="208"/>
    <w:p>
      <w:pPr>
        <w:pStyle w:val="BookText"/>
      </w:pPr>
      <w:r>
        <w:rPr>
          <w:rFonts w:ascii="Amiri" w:hAnsi="Amiri" w:eastAsia="Amiri" w:cs="Amiri"/>
          <w:lang w:bidi="ar-SA"/>
          <w:color w:val="111111"/>
          <w:sz w:val="28"/>
          <w:szCs w:val="28"/>
          <w:rtl/>
        </w:rPr>
        <w:t xml:space="preserve">الجهة</w:t>
      </w:r>
      <w:r>
        <w:rPr>
          <w:rStyle w:val="FootnoteReference"/>
        </w:rPr>
        <w:footnoteReference w:id="1398"/>
      </w:r>
      <w:r>
        <w:rPr>
          <w:rFonts w:ascii="Amiri" w:hAnsi="Amiri" w:eastAsia="Amiri" w:cs="Amiri"/>
          <w:lang w:bidi="ar-SA"/>
          <w:color w:val="111111"/>
          <w:sz w:val="28"/>
          <w:szCs w:val="28"/>
          <w:rtl/>
        </w:rPr>
        <w:t xml:space="preserve">ولا يمكن الحمل على الإرشاد إلى الأفضلية للزوم استعمال اللّفظ في معنيين؛ إذ من المعلوم أنّه مستعمل في الطّلب بالنسبة إلى غير مورد الاجتماع.</w:t>
      </w:r>
      <w:r>
        <w:rPr>
          <w:rStyle w:val="FootnoteReference"/>
        </w:rPr>
        <w:footnoteReference w:id="1399"/>
      </w:r>
      <w:r>
        <w:rPr>
          <w:rFonts w:ascii="IRNazanin" w:hAnsi="IRNazanin" w:eastAsia="IRNazanin" w:cs="IRNazanin"/>
          <w:lang w:bidi="fa-IR"/>
          <w:color w:val="111111"/>
          <w:sz w:val="28"/>
          <w:szCs w:val="28"/>
          <w:rtl/>
        </w:rPr>
        <w:t xml:space="preserve">انتهى.</w:t>
      </w:r>
    </w:p>
    <w:p>
      <w:pPr>
        <w:pStyle w:val="Heading6"/>
      </w:pPr>
      <w:bookmarkStart w:id="696" w:name="_Toc377"/>
      <w:r>
        <w:t>[إیرادات في کلام الشیخ الأنصاري (رحمة الله‌علیه)]</w:t>
      </w:r>
      <w:bookmarkEnd w:id="696"/>
    </w:p>
    <w:p>
      <w:pPr>
        <w:pStyle w:val="Heading6"/>
      </w:pPr>
      <w:bookmarkStart w:id="697" w:name="_Toc378"/>
      <w:r>
        <w:t>اشارة</w:t>
      </w:r>
      <w:bookmarkEnd w:id="697"/>
    </w:p>
    <w:p>
      <w:pPr>
        <w:pStyle w:val="BookText"/>
      </w:pPr>
      <w:r>
        <w:rPr>
          <w:rFonts w:ascii="IRNazanin" w:hAnsi="IRNazanin" w:eastAsia="IRNazanin" w:cs="IRNazanin"/>
          <w:lang w:bidi="fa-IR"/>
          <w:color w:val="111111"/>
          <w:sz w:val="28"/>
          <w:szCs w:val="28"/>
          <w:rtl/>
        </w:rPr>
        <w:t xml:space="preserve">أقول</w:t>
      </w:r>
      <w:r>
        <w:rPr>
          <w:rStyle w:val="FootnoteReference"/>
        </w:rPr>
        <w:footnoteReference w:id="1400"/>
      </w:r>
      <w:r>
        <w:rPr>
          <w:rFonts w:ascii="IRNazanin" w:hAnsi="IRNazanin" w:eastAsia="IRNazanin" w:cs="IRNazanin"/>
          <w:lang w:bidi="fa-IR"/>
          <w:color w:val="111111"/>
          <w:sz w:val="28"/>
          <w:szCs w:val="28"/>
          <w:rtl/>
        </w:rPr>
        <w:t xml:space="preserve">في کلامه (قدس‌سره) أنظار:</w:t>
      </w:r>
    </w:p>
    <w:p>
      <w:pPr>
        <w:pStyle w:val="Heading6"/>
      </w:pPr>
      <w:bookmarkStart w:id="698" w:name="_Toc379"/>
      <w:r>
        <w:t>[الإیراد الأوّل في کلام الشیخ الأنصاري (رحمة الله‌علیه)]</w:t>
      </w:r>
      <w:bookmarkEnd w:id="698"/>
    </w:p>
    <w:p>
      <w:pPr>
        <w:pStyle w:val="BookText"/>
      </w:pPr>
      <w:r>
        <w:rPr>
          <w:rFonts w:ascii="Amiri" w:hAnsi="Amiri" w:eastAsia="Amiri" w:cs="Amiri"/>
          <w:lang w:bidi="ar-SA"/>
          <w:color w:val="111111"/>
          <w:sz w:val="28"/>
          <w:szCs w:val="28"/>
          <w:rtl/>
        </w:rPr>
        <w:t xml:space="preserve">أحدها: لا وجه لما ذكره من كون اجتماع الوجوب والاستحباب من اجتماع المثلين؛ وذلك لأنّه على فرض جعل الطّلب عين الإرادة المفسرة بالعلم لا يكون الاختلاف بمجرّد اختلاف المعلوم والمراد.</w:t>
      </w:r>
    </w:p>
    <w:p>
      <w:pPr>
        <w:pStyle w:val="BookText"/>
      </w:pPr>
      <w:r>
        <w:rPr>
          <w:rFonts w:ascii="Amiri" w:hAnsi="Amiri" w:eastAsia="Amiri" w:cs="Amiri"/>
          <w:lang w:bidi="ar-SA"/>
          <w:color w:val="111111"/>
          <w:sz w:val="28"/>
          <w:szCs w:val="28"/>
          <w:rtl/>
        </w:rPr>
        <w:t xml:space="preserve">بل الوجوب هو العلم الخاصّ أي العلم بالمصلحة الملزمة والاستحباب هو العلم بالمصلحة الغير الملزمة.</w:t>
      </w:r>
    </w:p>
    <w:p>
      <w:pPr>
        <w:pStyle w:val="BookText"/>
      </w:pPr>
      <w:r>
        <w:rPr>
          <w:rFonts w:ascii="IRNazanin" w:hAnsi="IRNazanin" w:eastAsia="IRNazanin" w:cs="IRNazanin"/>
          <w:lang w:bidi="fa-IR"/>
          <w:color w:val="111111"/>
          <w:sz w:val="28"/>
          <w:szCs w:val="28"/>
          <w:rtl/>
        </w:rPr>
        <w:t xml:space="preserve">فالتقيد بالمضاف إليه داخل في حقیقتهما فيكون الاختلاف بينهما بنفسهما كما إذا جعلنا الطّلب غير الإرادة أو جعلنا الإرادة غير</w:t>
      </w:r>
      <w:r>
        <w:rPr>
          <w:rStyle w:val="FootnoteReference"/>
        </w:rPr>
        <w:footnoteReference w:id="1401"/>
      </w:r>
      <w:r>
        <w:rPr>
          <w:rFonts w:ascii="IRNazanin" w:hAnsi="IRNazanin" w:eastAsia="IRNazanin" w:cs="IRNazanin"/>
          <w:lang w:bidi="fa-IR"/>
          <w:color w:val="111111"/>
          <w:sz w:val="28"/>
          <w:szCs w:val="28"/>
          <w:rtl/>
        </w:rPr>
        <w:t xml:space="preserve">العلم.</w:t>
      </w:r>
    </w:p>
    <w:p>
      <w:pPr>
        <w:pStyle w:val="BookText"/>
      </w:pPr>
      <w:r>
        <w:rPr>
          <w:rFonts w:ascii="IRNazanin" w:hAnsi="IRNazanin" w:eastAsia="IRNazanin" w:cs="IRNazanin"/>
          <w:lang w:bidi="fa-IR"/>
          <w:color w:val="111111"/>
          <w:sz w:val="28"/>
          <w:szCs w:val="28"/>
          <w:rtl/>
        </w:rPr>
        <w:t xml:space="preserve">وأیضاً لا وجه لما ذكره في قوله: هذا مع قطع النّظر عن الخصوصيّة المائزة</w:t>
      </w:r>
      <w:r>
        <w:rPr>
          <w:rStyle w:val="FootnoteReference"/>
        </w:rPr>
        <w:footnoteReference w:id="1402"/>
      </w:r>
    </w:p>
    <w:p>
      <w:pPr>
        <w:pStyle w:val="BookText"/>
      </w:pPr>
      <w:r>
        <w:rPr>
          <w:rFonts w:ascii="IRNazanin" w:hAnsi="IRNazanin" w:eastAsia="IRNazanin" w:cs="IRNazanin"/>
          <w:lang w:bidi="fa-IR"/>
          <w:color w:val="111111"/>
          <w:sz w:val="28"/>
          <w:szCs w:val="28"/>
          <w:rtl/>
        </w:rPr>
        <w:t xml:space="preserve">إذ أوّلاً: نقول إنّه مناف لما ذكره أوّلاً من أنّ الاختلاف إنّما هو في المعلوم والمراد؛ إذ لازمه أنّ الخصوصيّة غير داخلة في حقیقة الطّلبين.</w:t>
      </w:r>
    </w:p>
    <w:p>
      <w:pPr>
        <w:pStyle w:val="BookText"/>
      </w:pPr>
      <w:r>
        <w:rPr>
          <w:rFonts w:ascii="Amiri" w:hAnsi="Amiri" w:eastAsia="Amiri" w:cs="Amiri"/>
          <w:lang w:bidi="ar-SA"/>
          <w:color w:val="111111"/>
          <w:sz w:val="28"/>
          <w:szCs w:val="28"/>
          <w:rtl/>
        </w:rPr>
        <w:t xml:space="preserve">وثانياً: لا معنى لعدم ملاحظتها وجعل الحكمين من قبيل المثلين؛ إذ هي بمنزلة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09" w:name="pg6784_51398"/>
    <w:bookmarkEnd w:id="209"/>
    <w:p>
      <w:pPr>
        <w:pStyle w:val="BookText"/>
      </w:pPr>
      <w:r>
        <w:rPr>
          <w:rFonts w:ascii="IRNazanin" w:hAnsi="IRNazanin" w:eastAsia="IRNazanin" w:cs="IRNazanin"/>
          <w:lang w:bidi="fa-IR"/>
          <w:color w:val="111111"/>
          <w:sz w:val="28"/>
          <w:szCs w:val="28"/>
          <w:rtl/>
        </w:rPr>
        <w:t xml:space="preserve">الفصل لکلّ واحد من الأحکام ولا يتحصّل الشي‌ء بدون فصله فمع قطع النّظر عنها لا يكون الوجوب وجوباً ولا الاستحباب استحباباً.</w:t>
      </w:r>
    </w:p>
    <w:p>
      <w:pPr>
        <w:pStyle w:val="BookText"/>
      </w:pPr>
      <w:r>
        <w:rPr>
          <w:rFonts w:ascii="IRNazanin" w:hAnsi="IRNazanin" w:eastAsia="IRNazanin" w:cs="IRNazanin"/>
          <w:lang w:bidi="fa-IR"/>
          <w:color w:val="111111"/>
          <w:sz w:val="28"/>
          <w:szCs w:val="28"/>
          <w:rtl/>
        </w:rPr>
        <w:t xml:space="preserve">فالتحقیق: أنّ الأحکام الخمسة متضادّة</w:t>
      </w:r>
      <w:r>
        <w:rPr>
          <w:rStyle w:val="FootnoteReference"/>
        </w:rPr>
        <w:footnoteReference w:id="1403"/>
      </w:r>
      <w:r>
        <w:rPr>
          <w:rFonts w:ascii="Amiri" w:hAnsi="Amiri" w:eastAsia="Amiri" w:cs="Amiri"/>
          <w:lang w:bidi="ar-SA"/>
          <w:color w:val="111111"/>
          <w:sz w:val="28"/>
          <w:szCs w:val="28"/>
          <w:rtl/>
        </w:rPr>
        <w:t xml:space="preserve">على جميع المذاهب في الطّلب والإرادة سواء جعلناها بسيطة أو مركبة من الجنس والفصل كما هو واضح.</w:t>
      </w:r>
    </w:p>
    <w:p>
      <w:pPr>
        <w:pStyle w:val="BookText"/>
      </w:pPr>
      <w:r>
        <w:rPr>
          <w:rFonts w:ascii="IRNazanin" w:hAnsi="IRNazanin" w:eastAsia="IRNazanin" w:cs="IRNazanin"/>
          <w:lang w:bidi="fa-IR"/>
          <w:color w:val="111111"/>
          <w:sz w:val="28"/>
          <w:szCs w:val="28"/>
          <w:rtl/>
        </w:rPr>
        <w:t xml:space="preserve">هذا، مع أنّ جعل الإرادة التکلیفية عين العلم الّذي هو عين الذات الواجب كماترى. وللکلام فيه مقام آخر.</w:t>
      </w:r>
    </w:p>
    <w:p>
      <w:pPr>
        <w:pStyle w:val="Heading6"/>
      </w:pPr>
      <w:bookmarkStart w:id="699" w:name="_Toc380"/>
      <w:r>
        <w:t>[الإیراد الثاني في کلام الشیخ الأنصاري (رحمة الله‌علیه)]</w:t>
      </w:r>
      <w:bookmarkEnd w:id="699"/>
    </w:p>
    <w:p>
      <w:pPr>
        <w:pStyle w:val="BookText"/>
      </w:pPr>
      <w:r>
        <w:rPr>
          <w:rFonts w:ascii="IRNazanin" w:hAnsi="IRNazanin" w:eastAsia="IRNazanin" w:cs="IRNazanin"/>
          <w:lang w:bidi="fa-IR"/>
          <w:color w:val="111111"/>
          <w:sz w:val="28"/>
          <w:szCs w:val="28"/>
          <w:rtl/>
        </w:rPr>
        <w:t xml:space="preserve">ثانيها: ما ذكره في بيان التوجيه للطّلبين التعيينيين من إفادة التأكّد، ظاهره أنّ کلّاً من الطّلبين آت ومتحقّق إلّا أنّ المحلّ لا یتّصف بهما بوصف كونهما طلبين شخصيين نظير السّوادين الواردين على المحلّ حيث إنّ کلّاً منهما وارد إلّا أنّ المحلّ لا یتّصف بشخصين من السّواد.</w:t>
      </w:r>
    </w:p>
    <w:p>
      <w:pPr>
        <w:pStyle w:val="BookText"/>
      </w:pPr>
      <w:r>
        <w:rPr>
          <w:rFonts w:ascii="Amiri" w:hAnsi="Amiri" w:eastAsia="Amiri" w:cs="Amiri"/>
          <w:lang w:bidi="ar-SA"/>
          <w:color w:val="111111"/>
          <w:sz w:val="28"/>
          <w:szCs w:val="28"/>
          <w:rtl/>
        </w:rPr>
        <w:t xml:space="preserve">ولذا ذكر أنّ الثواب والعقاب والامتثال متحقّق وأنّه</w:t>
      </w:r>
      <w:r>
        <w:rPr>
          <w:rStyle w:val="FootnoteReference"/>
        </w:rPr>
        <w:footnoteReference w:id="1404"/>
      </w:r>
      <w:r>
        <w:rPr>
          <w:rFonts w:ascii="IRNazanin" w:hAnsi="IRNazanin" w:eastAsia="IRNazanin" w:cs="IRNazanin"/>
          <w:lang w:bidi="fa-IR"/>
          <w:color w:val="111111"/>
          <w:sz w:val="28"/>
          <w:szCs w:val="28"/>
          <w:rtl/>
        </w:rPr>
        <w:t xml:space="preserve">يجوز الإتیان بقصد الأمر الندبي</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وهذا البيان كما ترى إنّما يناسب مذهب المجوّزين دون المانعين؛ إذ بناء على مذهبهم لا يمكن تأتّي الطّلبين فيلزم التساقط، غاية الأمر أنّ جهتيهما موجودتان بناء على كون المقام من باب التزاحم وعليه يشکل إجزاؤه بناءً على مذهب الأشعري الّذي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يقول بالمصلحة والمفسدة إلّا على توجيه بعيد حسبما عرفت سابقاً.</w:t>
      </w:r>
    </w:p>
    <w:p>
      <w:pPr>
        <w:pStyle w:val="BookText"/>
      </w:pPr>
      <w:r>
        <w:rPr>
          <w:rFonts w:ascii="Amiri" w:hAnsi="Amiri" w:eastAsia="Amiri" w:cs="Amiri"/>
          <w:lang w:bidi="ar-SA"/>
          <w:color w:val="111111"/>
          <w:sz w:val="28"/>
          <w:szCs w:val="28"/>
          <w:rtl/>
        </w:rPr>
        <w:t xml:space="preserve">فما ذكره في السّؤال وارد، والجواب الّذي ذكره لا يتمّ كما لا يخفى.</w:t>
      </w:r>
    </w:p>
    <w:p>
      <w:pPr>
        <w:pStyle w:val="BookText"/>
      </w:pPr>
      <w:r>
        <w:rPr>
          <w:rFonts w:ascii="IRNazanin" w:hAnsi="IRNazanin" w:eastAsia="IRNazanin" w:cs="IRNazanin"/>
          <w:lang w:bidi="fa-IR"/>
          <w:color w:val="111111"/>
          <w:sz w:val="28"/>
          <w:szCs w:val="28"/>
          <w:rtl/>
        </w:rPr>
        <w:t xml:space="preserve">هذا مع أنّ جعل المقام من قبيل السواد الضعيف والشديد يقتضي أن يكون الطلبان متعدّدين في مقام الفعلية بحسب اتّصاف المحلّ أیضاً؛ إذ فرق بين المقام وبين الأعراض الخارجيّة من قبيل السواد والبياض، فاجتماع شخصين من الأعراض غير جائز إلّا أنّ اجتماع شخصين من الطلب لا بأس به؛ لأنّ وجوده وجود اعتباري وحقیقته صرف الاعتبار.</w:t>
      </w:r>
    </w:p>
    <w:p>
      <w:pPr>
        <w:pStyle w:val="BookText"/>
      </w:pPr>
      <w:r>
        <w:rPr>
          <w:rFonts w:ascii="IRNazanin" w:hAnsi="IRNazanin" w:eastAsia="IRNazanin" w:cs="IRNazanin"/>
          <w:lang w:bidi="fa-IR"/>
          <w:color w:val="111111"/>
          <w:sz w:val="28"/>
          <w:szCs w:val="28"/>
          <w:rtl/>
        </w:rPr>
        <w:t xml:space="preserve">فيمكن أن يقال: إنّ المحلّ متّصف بوجوبين إذا أمر به الوالد والوالدة وليس نظیر</w:t>
      </w:r>
      <w:r>
        <w:rPr>
          <w:rStyle w:val="FootnoteReference"/>
        </w:rPr>
        <w:footnoteReference w:id="1406"/>
      </w:r>
      <w:r>
        <w:rPr>
          <w:rFonts w:ascii="Amiri" w:hAnsi="Amiri" w:eastAsia="Amiri" w:cs="Amiri"/>
          <w:lang w:bidi="ar-SA"/>
          <w:color w:val="111111"/>
          <w:sz w:val="28"/>
          <w:szCs w:val="28"/>
          <w:rtl/>
        </w:rPr>
        <w:t xml:space="preserve">السواد الوارد على السواد؛ إذ التشخّص هناك إنّما هو بلحاظ الوجود الخارجي المتأصّل الّذي لا اعتبار للاعتبار فيه.</w:t>
      </w:r>
    </w:p>
    <w:p>
      <w:pPr>
        <w:pStyle w:val="BookText"/>
      </w:pPr>
      <w:r>
        <w:rPr>
          <w:rFonts w:ascii="Amiri" w:hAnsi="Amiri" w:eastAsia="Amiri" w:cs="Amiri"/>
          <w:lang w:bidi="ar-SA"/>
          <w:color w:val="111111"/>
          <w:sz w:val="28"/>
          <w:szCs w:val="28"/>
          <w:rtl/>
        </w:rPr>
        <w:t xml:space="preserve">ومن المعلوم أنّه في الخارج سواد واحد ولو كان بعضه من قبل الأمر الكذائيوالآخر من قبل</w:t>
      </w:r>
      <w:r>
        <w:rPr>
          <w:rStyle w:val="FootnoteReference"/>
        </w:rPr>
        <w:footnoteReference w:id="1407"/>
      </w:r>
      <w:r>
        <w:rPr>
          <w:rFonts w:ascii="Amiri" w:hAnsi="Amiri" w:eastAsia="Amiri" w:cs="Amiri"/>
          <w:lang w:bidi="ar-SA"/>
          <w:color w:val="111111"/>
          <w:sz w:val="28"/>
          <w:szCs w:val="28"/>
          <w:rtl/>
        </w:rPr>
        <w:t xml:space="preserve">آخر؛ نظير ورود قطرة من ماء هذا الكوز على قطرة من ماء كوز آخر فإنّ اختلاف الكوزين واختلاف المائين في الخارج لا يضرّ بوحدة القطرتين بعد الانضمام؛ إذ التشخّص إنّما هو بلحاظ الوجود الخارجي دون لحاظ كونه من هذا الكوز أو من ذاك</w:t>
      </w:r>
      <w:r>
        <w:rPr>
          <w:rStyle w:val="FootnoteReference"/>
        </w:rPr>
        <w:footnoteReference w:id="1408"/>
      </w:r>
      <w:r>
        <w:rPr>
          <w:rFonts w:ascii="Amiri" w:hAnsi="Amiri" w:eastAsia="Amiri" w:cs="Amiri"/>
          <w:lang w:bidi="ar-SA"/>
          <w:color w:val="111111"/>
          <w:sz w:val="28"/>
          <w:szCs w:val="28"/>
          <w:rtl/>
        </w:rPr>
        <w:t xml:space="preserve">أو من ماء زيد أو عمرو.</w:t>
      </w:r>
    </w:p>
    <w:p>
      <w:pPr>
        <w:pStyle w:val="BookText"/>
      </w:pPr>
      <w:r>
        <w:rPr>
          <w:rFonts w:ascii="IRNazanin" w:hAnsi="IRNazanin" w:eastAsia="IRNazanin" w:cs="IRNazanin"/>
          <w:lang w:bidi="fa-IR"/>
          <w:color w:val="111111"/>
          <w:sz w:val="28"/>
          <w:szCs w:val="28"/>
          <w:rtl/>
        </w:rPr>
        <w:t xml:space="preserve">وأمّا الوجوب الوارد على المحلّ فتشخّصه إنّما هو باعتبار المعتبر الّذي هو الآمر وإذا كان الآمر متعدّداً أو واحداً وكان اعتباره متعدّداً يكون الوجوب أیضاً متعدّداً من حيث تحقّقه في المحلّ كما أنّه متعدّد من حيث لحاظه الصّدوري قطعاً إذا كان الآمر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متعدّداً أو كان المتعلّق في لحاظ</w:t>
      </w:r>
      <w:r>
        <w:rPr>
          <w:rStyle w:val="FootnoteReference"/>
        </w:rPr>
        <w:footnoteReference w:id="1409"/>
      </w:r>
      <w:r>
        <w:rPr>
          <w:rFonts w:ascii="IRNazanin" w:hAnsi="IRNazanin" w:eastAsia="IRNazanin" w:cs="IRNazanin"/>
          <w:lang w:bidi="fa-IR"/>
          <w:color w:val="111111"/>
          <w:sz w:val="28"/>
          <w:szCs w:val="28"/>
          <w:rtl/>
        </w:rPr>
        <w:t xml:space="preserve">الآمر الواحد متعدّداً كما على القول بتعلّق الأحکام بالطّبائع. فتدبّر.</w:t>
      </w:r>
    </w:p>
    <w:p>
      <w:pPr>
        <w:pStyle w:val="BookText"/>
      </w:pPr>
      <w:r>
        <w:rPr>
          <w:rFonts w:ascii="Amiri" w:hAnsi="Amiri" w:eastAsia="Amiri" w:cs="Amiri"/>
          <w:lang w:bidi="ar-SA"/>
          <w:color w:val="111111"/>
          <w:sz w:val="28"/>
          <w:szCs w:val="28"/>
          <w:rtl/>
        </w:rPr>
        <w:t xml:space="preserve">والحاصل: أنّ هذا البيان الّذي ذكره إنّما يناسب مذهب المجوّزين وعلى مذهب المانعين لا يمكن أن يقال: إنّه يترتّب عليه ثوابان أو عقابان؛ لعدم تعدّد الطلب الّذي هو ملاك الأمرين.</w:t>
      </w:r>
    </w:p>
    <w:p>
      <w:pPr>
        <w:pStyle w:val="BookText"/>
      </w:pPr>
      <w:r>
        <w:rPr>
          <w:rFonts w:ascii="IRNazanin" w:hAnsi="IRNazanin" w:eastAsia="IRNazanin" w:cs="IRNazanin"/>
          <w:lang w:bidi="fa-IR"/>
          <w:color w:val="111111"/>
          <w:sz w:val="28"/>
          <w:szCs w:val="28"/>
          <w:rtl/>
        </w:rPr>
        <w:t xml:space="preserve">وكذا لا يجوز الإتیان بقصد الأمر الندبي إذا قلنا: إنّ الامتثال فرع الأمر.</w:t>
      </w:r>
    </w:p>
    <w:p>
      <w:pPr>
        <w:pStyle w:val="BookText"/>
      </w:pPr>
      <w:r>
        <w:rPr>
          <w:rFonts w:ascii="Amiri" w:hAnsi="Amiri" w:eastAsia="Amiri" w:cs="Amiri"/>
          <w:lang w:bidi="ar-SA"/>
          <w:color w:val="111111"/>
          <w:sz w:val="28"/>
          <w:szCs w:val="28"/>
          <w:rtl/>
        </w:rPr>
        <w:t xml:space="preserve">نعم على ما ذكرنا سابقاً من كفاية الجهة في قصد القربة وإن لم يكن هناك أمر يتمّ ما ذكر، لكنّه لا يقول به.</w:t>
      </w:r>
      <w:r>
        <w:rPr>
          <w:rStyle w:val="FootnoteReference"/>
        </w:rPr>
        <w:footnoteReference w:id="1410"/>
      </w:r>
    </w:p>
    <w:p>
      <w:pPr>
        <w:pStyle w:val="BookText"/>
      </w:pPr>
      <w:r>
        <w:rPr>
          <w:rFonts w:ascii="IRNazanin" w:hAnsi="IRNazanin" w:eastAsia="IRNazanin" w:cs="IRNazanin"/>
          <w:lang w:bidi="fa-IR"/>
          <w:color w:val="111111"/>
          <w:sz w:val="28"/>
          <w:szCs w:val="28"/>
          <w:rtl/>
        </w:rPr>
        <w:t xml:space="preserve">ولکن في کتاب الطهارة، ج3، ص426 ما ربما یوهم خلاف هذا. فراجع وتدبّر.</w:t>
      </w:r>
    </w:p>
    <w:p>
      <w:pPr>
        <w:pStyle w:val="BookText"/>
      </w:pPr>
      <w:r>
        <w:rPr>
          <w:rFonts w:ascii="Amiri" w:hAnsi="Amiri" w:eastAsia="Amiri" w:cs="Amiri"/>
          <w:lang w:bidi="ar-SA"/>
          <w:color w:val="111111"/>
          <w:sz w:val="28"/>
          <w:szCs w:val="28"/>
          <w:rtl/>
        </w:rPr>
        <w:t xml:space="preserve">وقال في مطارح الأنظار، ج1، ص584 و585: «قلنا: إنّ صحّة العبادة لا يحتاج إلى تعلّق الأمر بها إذا كانت مندرجة تحت عنوان مأمور به، بل يكفي في صحّتها انطباقها على ذلك العنوان». وفي ج1، ص585: «وما يقال: من توقّف صحّة العبادة على الأمر فليس معناه إلّا ورود الأمر على عنوان تلك العبادة وطبيعتها، مثلاً إذا قال الآمر: «ائتني برجل» فالمأمور به هنا إنّما هو الإتيان بالكلّي المنطبق على خصوصيّات الإتيان بحسب الزمان والمكان والمأتيّ به».</w:t>
      </w:r>
    </w:p>
    <w:p>
      <w:pPr>
        <w:pStyle w:val="BookText"/>
      </w:pPr>
      <w:r>
        <w:rPr>
          <w:rFonts w:ascii="IRNazanin" w:hAnsi="IRNazanin" w:eastAsia="IRNazanin" w:cs="IRNazanin"/>
          <w:lang w:bidi="fa-IR"/>
          <w:color w:val="111111"/>
          <w:sz w:val="28"/>
          <w:szCs w:val="28"/>
          <w:rtl/>
        </w:rPr>
        <w:t xml:space="preserve">والمطلب یحتاج إلى تأمّل وتدبّر.</w:t>
      </w:r>
    </w:p>
    <w:p>
      <w:pPr>
        <w:pStyle w:val="BookText"/>
      </w:pPr>
      <w:r>
        <w:rPr>
          <w:rFonts w:ascii="Amiri" w:hAnsi="Amiri" w:eastAsia="Amiri" w:cs="Amiri"/>
          <w:lang w:bidi="ar-SA"/>
          <w:color w:val="111111"/>
          <w:sz w:val="28"/>
          <w:szCs w:val="28"/>
          <w:rtl/>
        </w:rPr>
        <w:t xml:space="preserve">فتدبّر.</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10" w:name="pg6784_51401"/>
    <w:bookmarkEnd w:id="210"/>
    <w:p>
      <w:pPr>
        <w:pStyle w:val="BookText"/>
      </w:pPr>
      <w:r>
        <w:rPr>
          <w:rFonts w:ascii="Amiri" w:hAnsi="Amiri" w:eastAsia="Amiri" w:cs="Amiri"/>
          <w:lang w:bidi="ar-SA"/>
          <w:color w:val="111111"/>
          <w:sz w:val="28"/>
          <w:szCs w:val="28"/>
          <w:rtl/>
        </w:rPr>
        <w:t xml:space="preserve">هذا ويظهر منه في كتاب الطّهارة في بحث تداخل الأغسال موافقته لما ذكرنا من أنّ الموجود مجرّد الجهة وأنّ الأمر الندبي غير موجود والتأكّد إنّما يجي‌ء من مجرّد الجهة.</w:t>
      </w:r>
      <w:r>
        <w:rPr>
          <w:rStyle w:val="FootnoteReference"/>
        </w:rPr>
        <w:footnoteReference w:id="1411"/>
      </w:r>
      <w:r>
        <w:rPr>
          <w:rFonts w:ascii="IRNazanin" w:hAnsi="IRNazanin" w:eastAsia="IRNazanin" w:cs="IRNazanin"/>
          <w:lang w:bidi="fa-IR"/>
          <w:color w:val="111111"/>
          <w:sz w:val="28"/>
          <w:szCs w:val="28"/>
          <w:rtl/>
        </w:rPr>
        <w:t xml:space="preserve">فراجع.</w:t>
      </w:r>
      <w:r>
        <w:rPr>
          <w:rStyle w:val="FootnoteReference"/>
        </w:rPr>
        <w:footnoteReference w:id="1412"/>
      </w:r>
    </w:p>
    <w:p>
      <w:pPr>
        <w:pStyle w:val="BookText"/>
      </w:pPr>
      <w:r>
        <w:rPr>
          <w:rFonts w:ascii="Amiri" w:hAnsi="Amiri" w:eastAsia="Amiri" w:cs="Amiri"/>
          <w:lang w:bidi="ar-SA"/>
          <w:color w:val="111111"/>
          <w:sz w:val="28"/>
          <w:szCs w:val="28"/>
          <w:rtl/>
        </w:rPr>
        <w:t xml:space="preserve">نعم البيان المذكور أو القريب منه</w:t>
      </w:r>
      <w:r>
        <w:rPr>
          <w:rStyle w:val="FootnoteReference"/>
        </w:rPr>
        <w:footnoteReference w:id="1413"/>
      </w:r>
      <w:r>
        <w:rPr>
          <w:rFonts w:ascii="Amiri" w:hAnsi="Amiri" w:eastAsia="Amiri" w:cs="Amiri"/>
          <w:lang w:bidi="ar-SA"/>
          <w:color w:val="111111"/>
          <w:sz w:val="28"/>
          <w:szCs w:val="28"/>
          <w:rtl/>
        </w:rPr>
        <w:t xml:space="preserve">صريح الشيخ محمدتقي (قدس‌سره) في الحاشية</w:t>
      </w:r>
      <w:r>
        <w:rPr>
          <w:rStyle w:val="FootnoteReference"/>
        </w:rPr>
        <w:footnoteReference w:id="1414"/>
      </w:r>
      <w:r>
        <w:rPr>
          <w:rFonts w:ascii="Amiri" w:hAnsi="Amiri" w:eastAsia="Amiri" w:cs="Amiri"/>
          <w:lang w:bidi="ar-SA"/>
          <w:color w:val="111111"/>
          <w:sz w:val="28"/>
          <w:szCs w:val="28"/>
          <w:rtl/>
        </w:rPr>
        <w:t xml:space="preserve">في بحث التداخل وسيأتي النقل عنه. فانتظر.</w:t>
      </w:r>
    </w:p>
    <w:p>
      <w:pPr>
        <w:pStyle w:val="Heading6"/>
      </w:pPr>
      <w:bookmarkStart w:id="700" w:name="_Toc381"/>
      <w:r>
        <w:t>[الإیراد الثالث في کلام الشیخ الأنصاري (رحمة الله‌علیه)]</w:t>
      </w:r>
      <w:bookmarkEnd w:id="700"/>
    </w:p>
    <w:p>
      <w:pPr>
        <w:pStyle w:val="BookText"/>
      </w:pPr>
      <w:r>
        <w:rPr>
          <w:rFonts w:ascii="Amiri" w:hAnsi="Amiri" w:eastAsia="Amiri" w:cs="Amiri"/>
          <w:lang w:bidi="ar-SA"/>
          <w:color w:val="111111"/>
          <w:sz w:val="28"/>
          <w:szCs w:val="28"/>
          <w:rtl/>
        </w:rPr>
        <w:t xml:space="preserve">ثالثها: أنّ ما ذكره في المختلفين من جواز الاجتماع وعدم التضادّ؛</w:t>
      </w:r>
    </w:p>
    <w:p>
      <w:pPr>
        <w:pStyle w:val="BookText"/>
      </w:pPr>
      <w:r>
        <w:rPr>
          <w:rFonts w:ascii="Amiri" w:hAnsi="Amiri" w:eastAsia="Amiri" w:cs="Amiri"/>
          <w:lang w:bidi="ar-SA"/>
          <w:color w:val="111111"/>
          <w:sz w:val="28"/>
          <w:szCs w:val="28"/>
          <w:rtl/>
        </w:rPr>
        <w:t xml:space="preserve">فيه: أوّلاً: أنّ جواز الترك الّذي يكون في الوجوب التخييري ليس أمراً وراء الوجوب حتّى يقال: إنّه إمّا مع الرجحان أو المرجوحيّة أو المساواة</w:t>
      </w:r>
      <w:r>
        <w:rPr>
          <w:rStyle w:val="FootnoteReference"/>
        </w:rPr>
        <w:footnoteReference w:id="1415"/>
      </w:r>
      <w:r>
        <w:rPr>
          <w:rFonts w:ascii="Amiri" w:hAnsi="Amiri" w:eastAsia="Amiri" w:cs="Amiri"/>
          <w:lang w:bidi="ar-SA"/>
          <w:color w:val="111111"/>
          <w:sz w:val="28"/>
          <w:szCs w:val="28"/>
          <w:rtl/>
        </w:rPr>
        <w:t xml:space="preserve">بل هو عين مفاد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الوجوب التخييري فإذا كان مع الرجحان فلازمه كون ذلك الفرد مفضولاً بالنسبة إلىسائر الأفراد وإذا كان مرجوحاً كان ذلك الفرد أفضل فيرجع</w:t>
      </w:r>
      <w:r>
        <w:rPr>
          <w:rStyle w:val="FootnoteReference"/>
        </w:rPr>
        <w:footnoteReference w:id="1416"/>
      </w:r>
      <w:r>
        <w:rPr>
          <w:rFonts w:ascii="Amiri" w:hAnsi="Amiri" w:eastAsia="Amiri" w:cs="Amiri"/>
          <w:lang w:bidi="ar-SA"/>
          <w:color w:val="111111"/>
          <w:sz w:val="28"/>
          <w:szCs w:val="28"/>
          <w:rtl/>
        </w:rPr>
        <w:t xml:space="preserve">الأرجحية والمرجوحيّة إلى أفضلية الفرد</w:t>
      </w:r>
      <w:r>
        <w:rPr>
          <w:rStyle w:val="FootnoteReference"/>
        </w:rPr>
        <w:footnoteReference w:id="1417"/>
      </w:r>
      <w:r>
        <w:rPr>
          <w:rFonts w:ascii="Amiri" w:hAnsi="Amiri" w:eastAsia="Amiri" w:cs="Amiri"/>
          <w:lang w:bidi="ar-SA"/>
          <w:color w:val="111111"/>
          <w:sz w:val="28"/>
          <w:szCs w:val="28"/>
          <w:rtl/>
        </w:rPr>
        <w:t xml:space="preserve">ومفضوليته بناء على مذهب المانعين وليس أمراً</w:t>
      </w:r>
    </w:p>
    <w:p>
      <w:pPr>
        <w:pStyle w:val="BookText"/>
      </w:pPr>
      <w:r>
        <w:rPr>
          <w:rFonts w:ascii="Amiri" w:hAnsi="Amiri" w:eastAsia="Amiri" w:cs="Amiri"/>
          <w:lang w:bidi="ar-SA"/>
          <w:color w:val="111111"/>
          <w:sz w:val="28"/>
          <w:szCs w:val="28"/>
          <w:rtl/>
        </w:rPr>
        <w:t xml:space="preserve">آخر وحكماً آخر حتّى يكون من الاجتماع.</w:t>
      </w:r>
    </w:p>
    <w:p>
      <w:pPr>
        <w:pStyle w:val="BookText"/>
      </w:pPr>
      <w:r>
        <w:rPr>
          <w:rFonts w:ascii="Amiri" w:hAnsi="Amiri" w:eastAsia="Amiri" w:cs="Amiri"/>
          <w:lang w:bidi="ar-SA"/>
          <w:color w:val="111111"/>
          <w:sz w:val="28"/>
          <w:szCs w:val="28"/>
          <w:rtl/>
        </w:rPr>
        <w:t xml:space="preserve">وكون الترك واقعة من الوقائع فلا بدّ</w:t>
      </w:r>
      <w:r>
        <w:rPr>
          <w:rStyle w:val="FootnoteReference"/>
        </w:rPr>
        <w:footnoteReference w:id="1418"/>
      </w:r>
      <w:r>
        <w:rPr>
          <w:rFonts w:ascii="Amiri" w:hAnsi="Amiri" w:eastAsia="Amiri" w:cs="Amiri"/>
          <w:lang w:bidi="ar-SA"/>
          <w:color w:val="111111"/>
          <w:sz w:val="28"/>
          <w:szCs w:val="28"/>
          <w:rtl/>
        </w:rPr>
        <w:t xml:space="preserve">فيه من حكم، ممنوع إذا أريد ذلك مع قطع النظر عن الفعل وحكمه.</w:t>
      </w:r>
    </w:p>
    <w:p>
      <w:pPr>
        <w:pStyle w:val="BookText"/>
      </w:pPr>
      <w:r>
        <w:rPr>
          <w:rFonts w:ascii="IRNazanin" w:hAnsi="IRNazanin" w:eastAsia="IRNazanin" w:cs="IRNazanin"/>
          <w:lang w:bidi="fa-IR"/>
          <w:color w:val="111111"/>
          <w:sz w:val="28"/>
          <w:szCs w:val="28"/>
          <w:rtl/>
        </w:rPr>
        <w:t xml:space="preserve">والحاصل: أنّ ما ذكره إنّما يتمّ إذا كان الجواز خارجاً عن حقیقة الوجوب حتّى يمكن أن يكون حكماً آخر ومن المعلوم أنّ نحو الوجوب التخييري مشوب بجواز الترك فهو داخل في حقیقته فلا يرجع إلى حكم آخر غير الوجوب كما هو المقصود.</w:t>
      </w:r>
    </w:p>
    <w:p>
      <w:pPr>
        <w:pStyle w:val="BookText"/>
      </w:pPr>
      <w:r>
        <w:rPr>
          <w:rFonts w:ascii="IRNazanin" w:hAnsi="IRNazanin" w:eastAsia="IRNazanin" w:cs="IRNazanin"/>
          <w:lang w:bidi="fa-IR"/>
          <w:color w:val="111111"/>
          <w:sz w:val="28"/>
          <w:szCs w:val="28"/>
          <w:rtl/>
        </w:rPr>
        <w:t xml:space="preserve">وثانياً: أنّ ما ذكره من البيان يقتضي جواز اجتماع الكراهة والإباحة أیضاً مع الوجوب فلا وجه لما ذكره سابقاً من التوجيه في</w:t>
      </w:r>
      <w:r>
        <w:rPr>
          <w:rStyle w:val="FootnoteReference"/>
        </w:rPr>
        <w:footnoteReference w:id="1419"/>
      </w:r>
      <w:r>
        <w:rPr>
          <w:rFonts w:ascii="IRNazanin" w:hAnsi="IRNazanin" w:eastAsia="IRNazanin" w:cs="IRNazanin"/>
          <w:lang w:bidi="fa-IR"/>
          <w:color w:val="111111"/>
          <w:sz w:val="28"/>
          <w:szCs w:val="28"/>
          <w:rtl/>
        </w:rPr>
        <w:t xml:space="preserve">العبادات</w:t>
      </w:r>
      <w:r>
        <w:rPr>
          <w:rStyle w:val="FootnoteReference"/>
        </w:rPr>
        <w:footnoteReference w:id="1420"/>
      </w:r>
      <w:r>
        <w:rPr>
          <w:rFonts w:ascii="Amiri" w:hAnsi="Amiri" w:eastAsia="Amiri" w:cs="Amiri"/>
          <w:lang w:bidi="ar-SA"/>
          <w:color w:val="111111"/>
          <w:sz w:val="28"/>
          <w:szCs w:val="28"/>
          <w:rtl/>
        </w:rPr>
        <w:t xml:space="preserve">المكروهة.</w:t>
      </w:r>
    </w:p>
    <w:p>
      <w:pPr>
        <w:pStyle w:val="BookText"/>
      </w:pPr>
      <w:r>
        <w:rPr>
          <w:rFonts w:ascii="IRNazanin" w:hAnsi="IRNazanin" w:eastAsia="IRNazanin" w:cs="IRNazanin"/>
          <w:lang w:bidi="fa-IR"/>
          <w:color w:val="111111"/>
          <w:sz w:val="28"/>
          <w:szCs w:val="28"/>
          <w:rtl/>
        </w:rPr>
        <w:t xml:space="preserve">وربما يورد عليه أیضاً بأنّ لازمه جريان ذلك في التخيير الشرعي مع الاستحباب أیضاً مع أنّ الظاهر انعقاد إجماعهم على عدم الجواز.</w:t>
      </w:r>
    </w:p>
    <w:p>
      <w:pPr>
        <w:pStyle w:val="BookText"/>
      </w:pPr>
      <w:r>
        <w:rPr>
          <w:rFonts w:ascii="Amiri" w:hAnsi="Amiri" w:eastAsia="Amiri" w:cs="Amiri"/>
          <w:lang w:bidi="ar-SA"/>
          <w:color w:val="111111"/>
          <w:sz w:val="28"/>
          <w:szCs w:val="28"/>
          <w:rtl/>
        </w:rPr>
        <w:t xml:space="preserve">قلت: الإجماع ممنوع فإنّ بعض الخصال في الكفارات قد يكون مستحباً نظير استحباب الصّلاة في المسجد ولا فرق.</w:t>
      </w:r>
    </w:p>
    <w:p>
      <w:pPr>
        <w:pStyle w:val="BookText"/>
      </w:pPr>
      <w:r>
        <w:rPr>
          <w:rFonts w:ascii="IRNazanin" w:hAnsi="IRNazanin" w:eastAsia="IRNazanin" w:cs="IRNazanin"/>
          <w:lang w:bidi="fa-IR"/>
          <w:color w:val="111111"/>
          <w:sz w:val="28"/>
          <w:szCs w:val="28"/>
          <w:rtl/>
        </w:rPr>
        <w:t xml:space="preserve">وربما يورد عليه أیضاً: بأنّه مستلزم لجواز اتّصاف الفعل بوجوبين فيما لو نذر إيجاد الواجب في مكان خاصّ فإنّ الفعل باعتبار تركه لا إلى بدل متّصف بالوجوب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11" w:name="pg6784_51403"/>
    <w:bookmarkEnd w:id="211"/>
    <w:p>
      <w:pPr>
        <w:pStyle w:val="BookText"/>
      </w:pPr>
      <w:r>
        <w:rPr>
          <w:rFonts w:ascii="Amiri" w:hAnsi="Amiri" w:eastAsia="Amiri" w:cs="Amiri"/>
          <w:lang w:bidi="ar-SA"/>
          <w:color w:val="111111"/>
          <w:sz w:val="28"/>
          <w:szCs w:val="28"/>
          <w:rtl/>
        </w:rPr>
        <w:t xml:space="preserve">الأصلي وباعتبار تركه إلى بدل متّصف بالوجوب النذري وهو محال.</w:t>
      </w:r>
    </w:p>
    <w:p>
      <w:pPr>
        <w:pStyle w:val="BookText"/>
      </w:pPr>
      <w:r>
        <w:rPr>
          <w:rFonts w:ascii="IRNazanin" w:hAnsi="IRNazanin" w:eastAsia="IRNazanin" w:cs="IRNazanin"/>
          <w:lang w:bidi="fa-IR"/>
          <w:color w:val="111111"/>
          <w:sz w:val="28"/>
          <w:szCs w:val="28"/>
          <w:rtl/>
        </w:rPr>
        <w:t xml:space="preserve">وفيه أیضاً: أنّه يمكن الالتزام به ولا دليل على المنع عنه بعد الالتزام في الوجوب والاستحباب بل يجب القول به مع أنّه يمكن إبداء الفرق بما أشار إلیه (قدس‌سره) من أنّه لو كان الترك حراماً انقلب الواجب التخييري تعيينیاً.ودعوى تعدّد الجهة؛ مدفوعة بأنّ لازمه جواز الاجتماع في الجميع.</w:t>
      </w:r>
    </w:p>
    <w:p>
      <w:pPr>
        <w:pStyle w:val="Heading6"/>
      </w:pPr>
      <w:bookmarkStart w:id="701" w:name="_Toc382"/>
      <w:r>
        <w:t>[الإیراد الرابع في کلام الشیخ الأنصاري (رحمة الله‌علیه)]</w:t>
      </w:r>
      <w:bookmarkEnd w:id="701"/>
    </w:p>
    <w:p>
      <w:pPr>
        <w:pStyle w:val="BookText"/>
      </w:pPr>
      <w:r>
        <w:rPr>
          <w:rFonts w:ascii="Amiri" w:hAnsi="Amiri" w:eastAsia="Amiri" w:cs="Amiri"/>
          <w:lang w:bidi="ar-SA"/>
          <w:color w:val="111111"/>
          <w:sz w:val="28"/>
          <w:szCs w:val="28"/>
          <w:rtl/>
        </w:rPr>
        <w:t xml:space="preserve">رابعها: ما ذكره في التخييريين من عدم وجود الحكم وبقاء الجهة.</w:t>
      </w:r>
    </w:p>
    <w:p>
      <w:pPr>
        <w:pStyle w:val="BookText"/>
      </w:pPr>
      <w:r>
        <w:rPr>
          <w:rFonts w:ascii="Amiri" w:hAnsi="Amiri" w:eastAsia="Amiri" w:cs="Amiri"/>
          <w:lang w:bidi="ar-SA"/>
          <w:color w:val="111111"/>
          <w:sz w:val="28"/>
          <w:szCs w:val="28"/>
          <w:rtl/>
        </w:rPr>
        <w:t xml:space="preserve">فيه: أنّه يمكن الحكم فيهما بما ذكره في العينيّين من التأكّد</w:t>
      </w:r>
      <w:r>
        <w:rPr>
          <w:rStyle w:val="FootnoteReference"/>
        </w:rPr>
        <w:footnoteReference w:id="1421"/>
      </w:r>
      <w:r>
        <w:rPr>
          <w:rFonts w:ascii="IRNazanin" w:hAnsi="IRNazanin" w:eastAsia="IRNazanin" w:cs="IRNazanin"/>
          <w:lang w:bidi="fa-IR"/>
          <w:color w:val="111111"/>
          <w:sz w:val="28"/>
          <w:szCs w:val="28"/>
          <w:rtl/>
        </w:rPr>
        <w:t xml:space="preserve">فالفرد المجمع للکلّيين يكون محلّاً لحكمين تخييريين ويكون طلبه المتعلّق به طلباً متأكّداً لمكان إيجابه</w:t>
      </w:r>
      <w:r>
        <w:rPr>
          <w:rStyle w:val="FootnoteReference"/>
        </w:rPr>
        <w:footnoteReference w:id="1422"/>
      </w:r>
      <w:r>
        <w:rPr>
          <w:rFonts w:ascii="Amiri" w:hAnsi="Amiri" w:eastAsia="Amiri" w:cs="Amiri"/>
          <w:lang w:bidi="ar-SA"/>
          <w:color w:val="111111"/>
          <w:sz w:val="28"/>
          <w:szCs w:val="28"/>
          <w:rtl/>
        </w:rPr>
        <w:t xml:space="preserve">تخييراً وندبه كذلك ولا يلزم منه استعمال اللفظ في معنيين</w:t>
      </w:r>
      <w:r>
        <w:rPr>
          <w:rStyle w:val="FootnoteReference"/>
        </w:rPr>
        <w:footnoteReference w:id="1423"/>
      </w:r>
      <w:r>
        <w:rPr>
          <w:rFonts w:ascii="IRNazanin" w:hAnsi="IRNazanin" w:eastAsia="IRNazanin" w:cs="IRNazanin"/>
          <w:lang w:bidi="fa-IR"/>
          <w:color w:val="111111"/>
          <w:sz w:val="28"/>
          <w:szCs w:val="28"/>
          <w:rtl/>
        </w:rPr>
        <w:t xml:space="preserve">كما لا يخفی؛ إذ التأكّد إنّما يجي‌ء بعد بقاء کلّ من الطّلبين على حاله فيكون أمراً قهرياً وإلّا فيلزم هذا المحذور في بعض أفراد العينيین أیضاً كما إذا قال: «أکرم العلماء وجوباً وأکرم الهاشميين ندباً» فإنّ في العالم الهاشمي اجتمع حكمان عينيان فيفيد التأكّد ولو كان التأكّد باستعمال اللّفظ في الإرشاد لزم استعمال الطّلبين في معنيين</w:t>
      </w:r>
      <w:r>
        <w:rPr>
          <w:rStyle w:val="FootnoteReference"/>
        </w:rPr>
        <w:footnoteReference w:id="1424"/>
      </w:r>
      <w:r>
        <w:rPr>
          <w:rFonts w:ascii="Amiri" w:hAnsi="Amiri" w:eastAsia="Amiri" w:cs="Amiri"/>
          <w:lang w:bidi="ar-SA"/>
          <w:color w:val="111111"/>
          <w:sz w:val="28"/>
          <w:szCs w:val="28"/>
          <w:rtl/>
        </w:rPr>
        <w:t xml:space="preserve">لعدم كون الطّلب إرشادياً بالنسبة إلى سائر الأفراد.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12" w:name="pg6784_51404"/>
    <w:bookmarkEnd w:id="212"/>
    <w:p>
      <w:pPr>
        <w:pStyle w:val="BookText"/>
      </w:pPr>
      <w:r>
        <w:rPr>
          <w:rFonts w:ascii="IRNazanin" w:hAnsi="IRNazanin" w:eastAsia="IRNazanin" w:cs="IRNazanin"/>
          <w:lang w:bidi="fa-IR"/>
          <w:color w:val="111111"/>
          <w:sz w:val="28"/>
          <w:szCs w:val="28"/>
          <w:rtl/>
        </w:rPr>
        <w:t xml:space="preserve">والحاصل: أنّ ما ذكره في التعیينيين</w:t>
      </w:r>
      <w:r>
        <w:rPr>
          <w:rStyle w:val="FootnoteReference"/>
        </w:rPr>
        <w:footnoteReference w:id="1425"/>
      </w:r>
      <w:r>
        <w:rPr>
          <w:rFonts w:ascii="Amiri" w:hAnsi="Amiri" w:eastAsia="Amiri" w:cs="Amiri"/>
          <w:lang w:bidi="ar-SA"/>
          <w:color w:val="111111"/>
          <w:sz w:val="28"/>
          <w:szCs w:val="28"/>
          <w:rtl/>
        </w:rPr>
        <w:t xml:space="preserve">غير الحمل على الإرشاد قطعاً ومن المعلوم جريانه في التخييريين فلا وجه لإجراء ما ذكره في العامّين من وجه في العبادات المكروهة فيهما.</w:t>
      </w:r>
    </w:p>
    <w:p>
      <w:pPr>
        <w:pStyle w:val="BookText"/>
      </w:pPr>
      <w:r>
        <w:rPr>
          <w:rFonts w:ascii="Amiri" w:hAnsi="Amiri" w:eastAsia="Amiri" w:cs="Amiri"/>
          <w:lang w:bidi="ar-SA"/>
          <w:color w:val="111111"/>
          <w:sz w:val="28"/>
          <w:szCs w:val="28"/>
          <w:rtl/>
        </w:rPr>
        <w:t xml:space="preserve">بل يمكن أن يقال: لازم ما ذكره في التعيينيين من التأكّد القهري في مقام الفعلية القول بنظيره في العبادات المكروهة في العامّين من وجه فإنّ لازم الطلبين الطلب الغير</w:t>
      </w:r>
      <w:r>
        <w:rPr>
          <w:rStyle w:val="FootnoteReference"/>
        </w:rPr>
        <w:footnoteReference w:id="1426"/>
      </w:r>
      <w:r>
        <w:rPr>
          <w:rFonts w:ascii="Amiri" w:hAnsi="Amiri" w:eastAsia="Amiri" w:cs="Amiri"/>
          <w:lang w:bidi="ar-SA"/>
          <w:color w:val="111111"/>
          <w:sz w:val="28"/>
          <w:szCs w:val="28"/>
          <w:rtl/>
        </w:rPr>
        <w:t xml:space="preserve">المتأكد</w:t>
      </w:r>
      <w:r>
        <w:rPr>
          <w:rStyle w:val="FootnoteReference"/>
        </w:rPr>
        <w:footnoteReference w:id="1427"/>
      </w:r>
      <w:r>
        <w:rPr>
          <w:rFonts w:ascii="IRNazanin" w:hAnsi="IRNazanin" w:eastAsia="IRNazanin" w:cs="IRNazanin"/>
          <w:lang w:bidi="fa-IR"/>
          <w:color w:val="111111"/>
          <w:sz w:val="28"/>
          <w:szCs w:val="28"/>
          <w:rtl/>
        </w:rPr>
        <w:t xml:space="preserve">والطّلب الناقص عن مرتبته. فلا تغفل.</w:t>
      </w:r>
    </w:p>
    <w:p>
      <w:pPr>
        <w:pStyle w:val="Heading6"/>
      </w:pPr>
      <w:bookmarkStart w:id="702" w:name="_Toc383"/>
      <w:r>
        <w:t>[توجیه وتفصیل لصاحب الفصول (رحمة الله‌علیه)]</w:t>
      </w:r>
      <w:bookmarkEnd w:id="702"/>
    </w:p>
    <w:p>
      <w:pPr>
        <w:pStyle w:val="BookText"/>
      </w:pPr>
      <w:r>
        <w:rPr>
          <w:rFonts w:ascii="IRNazanin" w:hAnsi="IRNazanin" w:eastAsia="IRNazanin" w:cs="IRNazanin"/>
          <w:lang w:bidi="fa-IR"/>
          <w:color w:val="111111"/>
          <w:sz w:val="28"/>
          <w:szCs w:val="28"/>
          <w:rtl/>
        </w:rPr>
        <w:t xml:space="preserve">ولصاحب الفصول</w:t>
      </w:r>
      <w:r>
        <w:rPr>
          <w:rStyle w:val="FootnoteReference"/>
        </w:rPr>
        <w:footnoteReference w:id="1428"/>
      </w:r>
      <w:r>
        <w:rPr>
          <w:rFonts w:ascii="Amiri" w:hAnsi="Amiri" w:eastAsia="Amiri" w:cs="Amiri"/>
          <w:lang w:bidi="ar-SA"/>
          <w:color w:val="111111"/>
          <w:sz w:val="28"/>
          <w:szCs w:val="28"/>
          <w:rtl/>
        </w:rPr>
        <w:t xml:space="preserve">في المقام توجيه وتفصيل آخر وحاصله: أنّه إمّا أن يكون الوجوب والاستحباب نفسيين أو غيريين مع اتّحاد الغير أو مع اختلافه أو مختلفين.</w:t>
      </w:r>
    </w:p>
    <w:p>
      <w:pPr>
        <w:pStyle w:val="BookText"/>
      </w:pPr>
      <w:r>
        <w:rPr>
          <w:rFonts w:ascii="Amiri" w:hAnsi="Amiri" w:eastAsia="Amiri" w:cs="Amiri"/>
          <w:lang w:bidi="ar-SA"/>
          <w:color w:val="111111"/>
          <w:sz w:val="28"/>
          <w:szCs w:val="28"/>
          <w:rtl/>
        </w:rPr>
        <w:t xml:space="preserve">ففي النفسيين والغيريين</w:t>
      </w:r>
      <w:r>
        <w:rPr>
          <w:rStyle w:val="FootnoteReference"/>
        </w:rPr>
        <w:footnoteReference w:id="1429"/>
      </w:r>
      <w:r>
        <w:rPr>
          <w:rFonts w:ascii="Amiri" w:hAnsi="Amiri" w:eastAsia="Amiri" w:cs="Amiri"/>
          <w:lang w:bidi="ar-SA"/>
          <w:color w:val="111111"/>
          <w:sz w:val="28"/>
          <w:szCs w:val="28"/>
          <w:rtl/>
        </w:rPr>
        <w:t xml:space="preserve">مع اتّحاد الغير لا يجوز الاجتماع لمنافاة</w:t>
      </w:r>
      <w:r>
        <w:rPr>
          <w:rStyle w:val="FootnoteReference"/>
        </w:rPr>
        <w:footnoteReference w:id="1430"/>
      </w:r>
      <w:r>
        <w:rPr>
          <w:rFonts w:ascii="Amiri" w:hAnsi="Amiri" w:eastAsia="Amiri" w:cs="Amiri"/>
          <w:lang w:bidi="ar-SA"/>
          <w:color w:val="111111"/>
          <w:sz w:val="28"/>
          <w:szCs w:val="28"/>
          <w:rtl/>
        </w:rPr>
        <w:t xml:space="preserve">المنع من الترك مع عدمه إذا كانا نفسيين أو مع اتّحاد الغير.</w:t>
      </w:r>
    </w:p>
    <w:p>
      <w:pPr>
        <w:pStyle w:val="BookText"/>
      </w:pPr>
      <w:r>
        <w:rPr>
          <w:rFonts w:ascii="Amiri" w:hAnsi="Amiri" w:eastAsia="Amiri" w:cs="Amiri"/>
          <w:lang w:bidi="ar-SA"/>
          <w:color w:val="111111"/>
          <w:sz w:val="28"/>
          <w:szCs w:val="28"/>
          <w:rtl/>
        </w:rPr>
        <w:t xml:space="preserve">وذلك لأنّه لا يمكن أن يكون فعل واحد ممنوع الترك في نفسه وغير ممنوعه كذلك، أو ممنوع الترك باعتبار إيصاله إلى فعل آخر وغير ممنوعه</w:t>
      </w:r>
      <w:r>
        <w:rPr>
          <w:rStyle w:val="FootnoteReference"/>
        </w:rPr>
        <w:footnoteReference w:id="1431"/>
      </w:r>
      <w:r>
        <w:rPr>
          <w:rFonts w:ascii="Amiri" w:hAnsi="Amiri" w:eastAsia="Amiri" w:cs="Amiri"/>
          <w:lang w:bidi="ar-SA"/>
          <w:color w:val="111111"/>
          <w:sz w:val="28"/>
          <w:szCs w:val="28"/>
          <w:rtl/>
        </w:rPr>
        <w:t xml:space="preserve">كذلك.</w:t>
      </w:r>
    </w:p>
    <w:p>
      <w:pPr>
        <w:pStyle w:val="BookText"/>
      </w:pPr>
      <w:r>
        <w:rPr>
          <w:rFonts w:ascii="Amiri" w:hAnsi="Amiri" w:eastAsia="Amiri" w:cs="Amiri"/>
          <w:lang w:bidi="ar-SA"/>
          <w:color w:val="111111"/>
          <w:sz w:val="28"/>
          <w:szCs w:val="28"/>
          <w:rtl/>
        </w:rPr>
        <w:t xml:space="preserve">وما ورد من هذا القبيل كالصّلاة في المسجد محمول على الأفضلية.</w:t>
      </w:r>
    </w:p>
    <w:p>
      <w:pPr>
        <w:pStyle w:val="BookText"/>
      </w:pPr>
      <w:r>
        <w:rPr>
          <w:rFonts w:ascii="Amiri" w:hAnsi="Amiri" w:eastAsia="Amiri" w:cs="Amiri"/>
          <w:lang w:bidi="ar-SA"/>
          <w:color w:val="111111"/>
          <w:sz w:val="28"/>
          <w:szCs w:val="28"/>
          <w:rtl/>
        </w:rPr>
        <w:t xml:space="preserve">وأمّا مع كونهما غيريين مع اختلاف الغير أو كونهما مختلفين فإن فسّرنا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الاستحباب برجحان الفعل مع عدم المنع من الترك جاز الاجتماع؛ إذ لو امتنع لكان إمّا باعتبار الرجحان ولا حجر من هذه الجهة؛ إذ انضمام الرجحان إلى الرّجحان لا يوجب إلّا تأكّد الرجحان، أو باعتبار ما تقوّما به من</w:t>
      </w:r>
      <w:r>
        <w:rPr>
          <w:rStyle w:val="FootnoteReference"/>
        </w:rPr>
        <w:footnoteReference w:id="1432"/>
      </w:r>
      <w:r>
        <w:rPr>
          <w:rFonts w:ascii="IRNazanin" w:hAnsi="IRNazanin" w:eastAsia="IRNazanin" w:cs="IRNazanin"/>
          <w:lang w:bidi="fa-IR"/>
          <w:color w:val="111111"/>
          <w:sz w:val="28"/>
          <w:szCs w:val="28"/>
          <w:rtl/>
        </w:rPr>
        <w:t xml:space="preserve">المنع من النقيض وعدمه ولا حجر أیضاً لعدم المنافاة</w:t>
      </w:r>
      <w:r>
        <w:rPr>
          <w:rStyle w:val="FootnoteReference"/>
        </w:rPr>
        <w:footnoteReference w:id="1433"/>
      </w:r>
      <w:r>
        <w:rPr>
          <w:rFonts w:ascii="Amiri" w:hAnsi="Amiri" w:eastAsia="Amiri" w:cs="Amiri"/>
          <w:lang w:bidi="ar-SA"/>
          <w:color w:val="111111"/>
          <w:sz w:val="28"/>
          <w:szCs w:val="28"/>
          <w:rtl/>
        </w:rPr>
        <w:t xml:space="preserve">بين المنع من ترك الفعل</w:t>
      </w:r>
      <w:r>
        <w:rPr>
          <w:rStyle w:val="FootnoteReference"/>
        </w:rPr>
        <w:footnoteReference w:id="1434"/>
      </w:r>
      <w:r>
        <w:rPr>
          <w:rFonts w:ascii="Amiri" w:hAnsi="Amiri" w:eastAsia="Amiri" w:cs="Amiri"/>
          <w:lang w:bidi="ar-SA"/>
          <w:color w:val="111111"/>
          <w:sz w:val="28"/>
          <w:szCs w:val="28"/>
          <w:rtl/>
        </w:rPr>
        <w:t xml:space="preserve">لنفسه أو لغيره وبين عدم المنع</w:t>
      </w:r>
      <w:r>
        <w:rPr>
          <w:rStyle w:val="FootnoteReference"/>
        </w:rPr>
        <w:footnoteReference w:id="1435"/>
      </w:r>
      <w:r>
        <w:rPr>
          <w:rFonts w:ascii="Amiri" w:hAnsi="Amiri" w:eastAsia="Amiri" w:cs="Amiri"/>
          <w:lang w:bidi="ar-SA"/>
          <w:color w:val="111111"/>
          <w:sz w:val="28"/>
          <w:szCs w:val="28"/>
          <w:rtl/>
        </w:rPr>
        <w:t xml:space="preserve">لغيره أو لأمر آخر فإنّ عدم المنع حينئذٍ راجع إلى عدم اقتضاء ذلك الاعتبار للمنع وهو لا ينافي اقتضاء اعتبار آخر له.</w:t>
      </w:r>
    </w:p>
    <w:p>
      <w:pPr>
        <w:pStyle w:val="BookText"/>
      </w:pPr>
      <w:r>
        <w:rPr>
          <w:rFonts w:ascii="IRNazanin" w:hAnsi="IRNazanin" w:eastAsia="IRNazanin" w:cs="IRNazanin"/>
          <w:lang w:bidi="fa-IR"/>
          <w:color w:val="111111"/>
          <w:sz w:val="28"/>
          <w:szCs w:val="28"/>
          <w:rtl/>
        </w:rPr>
        <w:t xml:space="preserve">ودعوى أنّه يمكن أن يقال بمثله في النفسيين أیضاً؛ إذ يمكن أن يكون فعل ممنوع الترك من جهة ملاحظة مصلحة فيه وغير ممنوعه بملاحظة جهة أخری</w:t>
      </w:r>
      <w:r>
        <w:rPr>
          <w:rStyle w:val="FootnoteReference"/>
        </w:rPr>
        <w:footnoteReference w:id="1436"/>
      </w:r>
    </w:p>
    <w:p>
      <w:pPr>
        <w:pStyle w:val="BookText"/>
      </w:pPr>
      <w:r>
        <w:rPr>
          <w:rFonts w:ascii="IRNazanin" w:hAnsi="IRNazanin" w:eastAsia="IRNazanin" w:cs="IRNazanin"/>
          <w:lang w:bidi="fa-IR"/>
          <w:color w:val="111111"/>
          <w:sz w:val="28"/>
          <w:szCs w:val="28"/>
          <w:rtl/>
        </w:rPr>
        <w:t xml:space="preserve">مدفوعة بأنّ المعتبر في المندوب النفسي عدم المنع النفسي لا عدم استناد المنعإلى شي‌ء مثل وقوع الصّلاة مثلاً في المسجد فإنّ هذا لا یکفي في تحصيل ماهيّة المندوب. وهذا بخلاف الواجب والمندوب الغيريين فإنّ المنع وعدمه من جهة ذلك الغير یکفي في الحكم بوجوبه أو استحبابه.</w:t>
      </w:r>
    </w:p>
    <w:p>
      <w:pPr>
        <w:pStyle w:val="BookText"/>
      </w:pPr>
      <w:r>
        <w:rPr>
          <w:rFonts w:ascii="Amiri" w:hAnsi="Amiri" w:eastAsia="Amiri" w:cs="Amiri"/>
          <w:lang w:bidi="ar-SA"/>
          <w:color w:val="111111"/>
          <w:sz w:val="28"/>
          <w:szCs w:val="28"/>
          <w:rtl/>
        </w:rPr>
        <w:t xml:space="preserve">وإن فسّرنا الاستحباب برجحان الفعل مع الإذن في الترك لم يجز الاجتماع مطلقاً.</w:t>
      </w:r>
    </w:p>
    <w:p>
      <w:pPr>
        <w:pStyle w:val="BookText"/>
      </w:pPr>
      <w:r>
        <w:rPr>
          <w:rFonts w:ascii="Amiri" w:hAnsi="Amiri" w:eastAsia="Amiri" w:cs="Amiri"/>
          <w:lang w:bidi="ar-SA"/>
          <w:color w:val="111111"/>
          <w:sz w:val="28"/>
          <w:szCs w:val="28"/>
          <w:rtl/>
        </w:rPr>
        <w:t xml:space="preserve">وذلك لأنّ الإذن في الترك مطلقاً كما هو المعتبر في الاستحباب ينافي عدمه المعتبر في الوجوب مطلقاً.</w:t>
      </w:r>
    </w:p>
    <w:p>
      <w:pPr>
        <w:pStyle w:val="BookText"/>
      </w:pPr>
      <w:r>
        <w:rPr>
          <w:rFonts w:ascii="IRNazanin" w:hAnsi="IRNazanin" w:eastAsia="IRNazanin" w:cs="IRNazanin"/>
          <w:lang w:bidi="fa-IR"/>
          <w:color w:val="111111"/>
          <w:sz w:val="28"/>
          <w:szCs w:val="28"/>
          <w:rtl/>
        </w:rPr>
        <w:t xml:space="preserve">قال: والحدّ الأوّل أسدّ وأولی؛ لأنّ الرجحان لما كان من الصفات المشتملة على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13" w:name="pg6784_51406"/>
    <w:bookmarkEnd w:id="213"/>
    <w:p>
      <w:pPr>
        <w:pStyle w:val="BookText"/>
      </w:pPr>
      <w:r>
        <w:rPr>
          <w:rFonts w:ascii="IRNazanin" w:hAnsi="IRNazanin" w:eastAsia="IRNazanin" w:cs="IRNazanin"/>
          <w:lang w:bidi="fa-IR"/>
          <w:color w:val="111111"/>
          <w:sz w:val="28"/>
          <w:szCs w:val="28"/>
          <w:rtl/>
        </w:rPr>
        <w:t xml:space="preserve">المراتب المختلفة بالشدة والضّعف فالنوع الكامل منه يشتمل على المنع من النقيض والناقص منه لا يشتمل علیه، وأمّا كون الترك مأذوناً فيه أو لا، فخارج عن حقیقة الرجحان ومقوّماته بل هو من المقارنات الاتفاقية.</w:t>
      </w:r>
      <w:r>
        <w:rPr>
          <w:rStyle w:val="FootnoteReference"/>
        </w:rPr>
        <w:footnoteReference w:id="1437"/>
      </w:r>
    </w:p>
    <w:p>
      <w:pPr>
        <w:pStyle w:val="Heading6"/>
      </w:pPr>
      <w:bookmarkStart w:id="703" w:name="_Toc384"/>
      <w:r>
        <w:t>[نقد على رأي صاحب الفصول (رحمة الله‌علیه)]</w:t>
      </w:r>
      <w:bookmarkEnd w:id="703"/>
    </w:p>
    <w:p>
      <w:pPr>
        <w:pStyle w:val="BookText"/>
      </w:pPr>
      <w:r>
        <w:rPr>
          <w:rFonts w:ascii="Amiri" w:hAnsi="Amiri" w:eastAsia="Amiri" w:cs="Amiri"/>
          <w:lang w:bidi="ar-SA"/>
          <w:color w:val="111111"/>
          <w:sz w:val="28"/>
          <w:szCs w:val="28"/>
          <w:rtl/>
        </w:rPr>
        <w:t xml:space="preserve">قلت: أمّا ما ذكره في النفسيين فهو كذلك بناءً على مذهب المانعين.</w:t>
      </w:r>
    </w:p>
    <w:p>
      <w:pPr>
        <w:pStyle w:val="BookText"/>
      </w:pPr>
      <w:r>
        <w:rPr>
          <w:rFonts w:ascii="Amiri" w:hAnsi="Amiri" w:eastAsia="Amiri" w:cs="Amiri"/>
          <w:lang w:bidi="ar-SA"/>
          <w:color w:val="111111"/>
          <w:sz w:val="28"/>
          <w:szCs w:val="28"/>
          <w:rtl/>
        </w:rPr>
        <w:t xml:space="preserve">وأمّا ما ذكره من الغيريين والمختلفين، ففيه: أنّ مجرّد كون الغير مقتضياً لوجوب</w:t>
      </w:r>
      <w:r>
        <w:rPr>
          <w:rStyle w:val="FootnoteReference"/>
        </w:rPr>
        <w:footnoteReference w:id="1438"/>
      </w:r>
      <w:r>
        <w:rPr>
          <w:rFonts w:ascii="IRNazanin" w:hAnsi="IRNazanin" w:eastAsia="IRNazanin" w:cs="IRNazanin"/>
          <w:lang w:bidi="fa-IR"/>
          <w:color w:val="111111"/>
          <w:sz w:val="28"/>
          <w:szCs w:val="28"/>
          <w:rtl/>
        </w:rPr>
        <w:t xml:space="preserve">الشيء أو ندبه لا یکفي في الحكم بهما بل لا بدّ من كونه مطلوب الفعل مع المنع أو مع عدمه فعلاً ومن المعلوم</w:t>
      </w:r>
      <w:r>
        <w:rPr>
          <w:rStyle w:val="FootnoteReference"/>
        </w:rPr>
        <w:footnoteReference w:id="1439"/>
      </w:r>
      <w:r>
        <w:rPr>
          <w:rFonts w:ascii="IRNazanin" w:hAnsi="IRNazanin" w:eastAsia="IRNazanin" w:cs="IRNazanin"/>
          <w:lang w:bidi="fa-IR"/>
          <w:color w:val="111111"/>
          <w:sz w:val="28"/>
          <w:szCs w:val="28"/>
          <w:rtl/>
        </w:rPr>
        <w:t xml:space="preserve">عدم إمکان كون فعل واحد ممنوع الترك وغيره.</w:t>
      </w:r>
    </w:p>
    <w:p>
      <w:pPr>
        <w:pStyle w:val="BookText"/>
      </w:pPr>
      <w:r>
        <w:rPr>
          <w:rFonts w:ascii="IRNazanin" w:hAnsi="IRNazanin" w:eastAsia="IRNazanin" w:cs="IRNazanin"/>
          <w:lang w:bidi="fa-IR"/>
          <w:color w:val="111111"/>
          <w:sz w:val="28"/>
          <w:szCs w:val="28"/>
          <w:rtl/>
        </w:rPr>
        <w:t xml:space="preserve">والسرّ في ذلك أنّ الطلب الغيري عبارة عن مطلوبیّة الفعل لأجل ملاحظة ذلك الغير فيكون ذلك الغير في الحقيقة بمنزلة العلّة المقتضية لإيجاب الشي‌ء أو ندبه فلا بدّ من كون ذلك الوجوب أو الندب أمراً متحقّقاً فعلاً كما</w:t>
      </w:r>
      <w:r>
        <w:rPr>
          <w:rStyle w:val="FootnoteReference"/>
        </w:rPr>
        <w:footnoteReference w:id="1440"/>
      </w:r>
      <w:r>
        <w:rPr>
          <w:rFonts w:ascii="IRNazanin" w:hAnsi="IRNazanin" w:eastAsia="IRNazanin" w:cs="IRNazanin"/>
          <w:lang w:bidi="fa-IR"/>
          <w:color w:val="111111"/>
          <w:sz w:val="28"/>
          <w:szCs w:val="28"/>
          <w:rtl/>
        </w:rPr>
        <w:t xml:space="preserve">أنّ مجرّد وجود جهة الوجوب أو الاستحباب النفسيين لا یکفي في الحكم بتحقّقهما فكذلك في الغيريينلا یکفي وجود ذلك الغير واقتضاؤه</w:t>
      </w:r>
      <w:r>
        <w:rPr>
          <w:rStyle w:val="FootnoteReference"/>
        </w:rPr>
        <w:footnoteReference w:id="1441"/>
      </w:r>
      <w:r>
        <w:rPr>
          <w:rFonts w:ascii="Amiri" w:hAnsi="Amiri" w:eastAsia="Amiri" w:cs="Amiri"/>
          <w:lang w:bidi="ar-SA"/>
          <w:color w:val="111111"/>
          <w:sz w:val="28"/>
          <w:szCs w:val="28"/>
          <w:rtl/>
        </w:rPr>
        <w:t xml:space="preserve">في حدّ نفسه بل لا بدّ من الفعلية.</w:t>
      </w:r>
    </w:p>
    <w:p>
      <w:pPr>
        <w:pStyle w:val="BookText"/>
      </w:pPr>
      <w:r>
        <w:rPr>
          <w:rFonts w:ascii="IRNazanin" w:hAnsi="IRNazanin" w:eastAsia="IRNazanin" w:cs="IRNazanin"/>
          <w:lang w:bidi="fa-IR"/>
          <w:color w:val="111111"/>
          <w:sz w:val="28"/>
          <w:szCs w:val="28"/>
          <w:rtl/>
        </w:rPr>
        <w:t xml:space="preserve">ولا فرق بين جعل الفصل عدم المنع من الترك أو الإذن فيه، ولو كانت الجهة المقتضية كافية أمكن أن يقال: بناء على التفسير الثاني أیضاً إنّ الجهة المقتضية للإذن كافية.</w:t>
      </w:r>
    </w:p>
    <w:p>
      <w:pPr>
        <w:pStyle w:val="BookText"/>
      </w:pPr>
      <w:r>
        <w:rPr>
          <w:rFonts w:ascii="Amiri" w:hAnsi="Amiri" w:eastAsia="Amiri" w:cs="Amiri"/>
          <w:lang w:bidi="ar-SA"/>
          <w:color w:val="111111"/>
          <w:sz w:val="28"/>
          <w:szCs w:val="28"/>
          <w:rtl/>
        </w:rPr>
        <w:t xml:space="preserve">ثم ما ذكره من التفسيرين وجعل الأوّل أولى والحكم بمغايرتهما لا وجه له؛ لأنّ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الظاهر أنّ المتحقّق في الخارج أمر بسيط يمكن تحليله إلى الرجحان مع عدم المنع أو الرجحان مع الإذن، لا أنّ حقیقته مختلفة عليهما، فالإذن وعدمه والمنع وعدمه من الأمور الاعتباريّة بعد تحقّق أمر بسيط في الخارج غير مختلف الحال لا</w:t>
      </w:r>
      <w:r>
        <w:rPr>
          <w:rStyle w:val="FootnoteReference"/>
        </w:rPr>
        <w:footnoteReference w:id="1442"/>
      </w:r>
      <w:r>
        <w:rPr>
          <w:rFonts w:ascii="IRNazanin" w:hAnsi="IRNazanin" w:eastAsia="IRNazanin" w:cs="IRNazanin"/>
          <w:lang w:bidi="fa-IR"/>
          <w:color w:val="111111"/>
          <w:sz w:val="28"/>
          <w:szCs w:val="28"/>
          <w:rtl/>
        </w:rPr>
        <w:t xml:space="preserve">أنّ هناك معنيین وحقیقتین</w:t>
      </w:r>
      <w:r>
        <w:rPr>
          <w:rStyle w:val="FootnoteReference"/>
        </w:rPr>
        <w:footnoteReference w:id="1443"/>
      </w:r>
      <w:r>
        <w:rPr>
          <w:rFonts w:ascii="IRNazanin" w:hAnsi="IRNazanin" w:eastAsia="IRNazanin" w:cs="IRNazanin"/>
          <w:lang w:bidi="fa-IR"/>
          <w:color w:val="111111"/>
          <w:sz w:val="28"/>
          <w:szCs w:val="28"/>
          <w:rtl/>
        </w:rPr>
        <w:t xml:space="preserve">في عالم التصوّر وإنّما الإشکال في أنّ الاستحباب أيّهما هو وذلك كما أنّ الإيجاب طلب بسيط ينتزع منه تارة المنع من الترك وتارة عدم الإذن فيه ولا يتصوّر هناك معنيان مختلفان وحقیقتان كذلك.</w:t>
      </w:r>
    </w:p>
    <w:p>
      <w:pPr>
        <w:pStyle w:val="BookText"/>
      </w:pPr>
      <w:r>
        <w:rPr>
          <w:rFonts w:ascii="IRNazanin" w:hAnsi="IRNazanin" w:eastAsia="IRNazanin" w:cs="IRNazanin"/>
          <w:lang w:bidi="fa-IR"/>
          <w:color w:val="111111"/>
          <w:sz w:val="28"/>
          <w:szCs w:val="28"/>
          <w:rtl/>
        </w:rPr>
        <w:t xml:space="preserve">ودعوى</w:t>
      </w:r>
      <w:r>
        <w:rPr>
          <w:rStyle w:val="FootnoteReference"/>
        </w:rPr>
        <w:footnoteReference w:id="1444"/>
      </w:r>
      <w:r>
        <w:rPr>
          <w:rFonts w:ascii="Amiri" w:hAnsi="Amiri" w:eastAsia="Amiri" w:cs="Amiri"/>
          <w:lang w:bidi="ar-SA"/>
          <w:color w:val="111111"/>
          <w:sz w:val="28"/>
          <w:szCs w:val="28"/>
          <w:rtl/>
        </w:rPr>
        <w:t xml:space="preserve">الفرق بينه وبين الندب بأنّ في الوجوب لا بدّ من الالتفات إلى الترك والمنع عنه أو إنشاء عدم الإذن ولو في التحليل بمعنى إنشاء الطلب على وجه ينتزع منه ذلك بخلاف الندب حيث إنّه يكفيه إنشاء الطّلب الراجح من غير التفات إلى شي‌ء فيكون مجرّد عدم المنع كافياً في فصله ولو كان من جهة عدم الالتفات إليه أصلاً فحينئذٍ</w:t>
      </w:r>
      <w:r>
        <w:rPr>
          <w:rStyle w:val="FootnoteReference"/>
        </w:rPr>
        <w:footnoteReference w:id="1445"/>
      </w:r>
      <w:r>
        <w:rPr>
          <w:rFonts w:ascii="Amiri" w:hAnsi="Amiri" w:eastAsia="Amiri" w:cs="Amiri"/>
          <w:lang w:bidi="ar-SA"/>
          <w:color w:val="111111"/>
          <w:sz w:val="28"/>
          <w:szCs w:val="28"/>
          <w:rtl/>
        </w:rPr>
        <w:t xml:space="preserve">نقول: إنّ الطلب الندبي يتصوّر على وجهين؛ إذ تارة يطلب على وجه ينتزع منه الإذن وتارة يطلب على وجه لا ينتزع منه</w:t>
      </w:r>
      <w:r>
        <w:rPr>
          <w:rStyle w:val="FootnoteReference"/>
        </w:rPr>
        <w:footnoteReference w:id="1446"/>
      </w:r>
      <w:r>
        <w:rPr>
          <w:rFonts w:ascii="Amiri" w:hAnsi="Amiri" w:eastAsia="Amiri" w:cs="Amiri"/>
          <w:lang w:bidi="ar-SA"/>
          <w:color w:val="111111"/>
          <w:sz w:val="28"/>
          <w:szCs w:val="28"/>
          <w:rtl/>
        </w:rPr>
        <w:t xml:space="preserve">إلّا مجرّد عدم المنع بمعنى عدم الالتفات إليه أصلاً</w:t>
      </w:r>
      <w:r>
        <w:rPr>
          <w:rStyle w:val="FootnoteReference"/>
        </w:rPr>
        <w:footnoteReference w:id="1447"/>
      </w:r>
      <w:r>
        <w:rPr>
          <w:rFonts w:ascii="Amiri" w:hAnsi="Amiri" w:eastAsia="Amiri" w:cs="Amiri"/>
          <w:lang w:bidi="ar-SA"/>
          <w:color w:val="111111"/>
          <w:sz w:val="28"/>
          <w:szCs w:val="28"/>
          <w:rtl/>
        </w:rPr>
        <w:t xml:space="preserve">لا إنشاء عدم المنع حتّى يساوق الإذن؛</w:t>
      </w:r>
    </w:p>
    <w:p>
      <w:pPr>
        <w:pStyle w:val="BookText"/>
      </w:pPr>
      <w:r>
        <w:rPr>
          <w:rFonts w:ascii="Amiri" w:hAnsi="Amiri" w:eastAsia="Amiri" w:cs="Amiri"/>
          <w:lang w:bidi="ar-SA"/>
          <w:color w:val="111111"/>
          <w:sz w:val="28"/>
          <w:szCs w:val="28"/>
          <w:rtl/>
        </w:rPr>
        <w:t xml:space="preserve">مدفوعة بأنّ الطلب على وجه عدم الالتفات إلى المنع وعدمه ولو في حاقّ الذهن محال؛ إذ لا يعقل إرادة الشي‌ء من دون أن يرجع إلى الرضا بالترك وعدمه.كيف وهو إيجاد القدر المشترك والجنس بلا فصل.</w:t>
      </w:r>
    </w:p>
    <w:p>
      <w:pPr>
        <w:pStyle w:val="BookText"/>
      </w:pPr>
      <w:r>
        <w:rPr>
          <w:rFonts w:ascii="Amiri" w:hAnsi="Amiri" w:eastAsia="Amiri" w:cs="Amiri"/>
          <w:lang w:bidi="ar-SA"/>
          <w:color w:val="111111"/>
          <w:sz w:val="28"/>
          <w:szCs w:val="28"/>
          <w:rtl/>
        </w:rPr>
        <w:t xml:space="preserve">وعلى فرض تعقّله بدعوى أنّ الطّلب غير الإرادة بل هو مجرّد الإنشاء ويمكن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إنشاء القدر المشترك فنمنع كونه استحباباً بل هو حكم سادس فيكون الأحکام التکلیفية على هذا ستّة. فتدبّر.</w:t>
      </w:r>
    </w:p>
    <w:p>
      <w:pPr>
        <w:pStyle w:val="BookText"/>
      </w:pPr>
      <w:r>
        <w:rPr>
          <w:rFonts w:ascii="IRNazanin" w:hAnsi="IRNazanin" w:eastAsia="IRNazanin" w:cs="IRNazanin"/>
          <w:lang w:bidi="fa-IR"/>
          <w:color w:val="111111"/>
          <w:sz w:val="28"/>
          <w:szCs w:val="28"/>
          <w:rtl/>
        </w:rPr>
        <w:t xml:space="preserve">ثم إنّ ما ذكره - من أنّ المندوب النفسي يعتبر فيه عدم المنع النفسي فلا يجتمع مع الواجب النفسي الّذي يعتبر فيه المنع من النقيض لنفسه؛ إذ المنع من النقيض لنفسه وعدمه كذلك لا يجتمعان بخلاف الغيري فإنّه يمكن أن يكون بالاعتبار ويجتمع مع النفسي أو غيري آخر، وجعل السرّ فيه أنّ الرجحان النفسي لا يتعدّد بتعدّد الجهات المقتضية له إلّا في التحليل الّذي ليس مبنى اعتبار الأحکام عليه بل يتقوى بتكثرها ويكون الحاصل رجحان واحد -؛</w:t>
      </w:r>
      <w:r>
        <w:rPr>
          <w:rStyle w:val="FootnoteReference"/>
        </w:rPr>
        <w:footnoteReference w:id="1448"/>
      </w:r>
    </w:p>
    <w:p>
      <w:pPr>
        <w:pStyle w:val="BookText"/>
      </w:pPr>
      <w:r>
        <w:rPr>
          <w:rFonts w:ascii="IRNazanin" w:hAnsi="IRNazanin" w:eastAsia="IRNazanin" w:cs="IRNazanin"/>
          <w:lang w:bidi="fa-IR"/>
          <w:color w:val="111111"/>
          <w:sz w:val="28"/>
          <w:szCs w:val="28"/>
          <w:rtl/>
        </w:rPr>
        <w:t xml:space="preserve">يرد عليه: أنّ في النفسيين أیضاً يمكن اعتبار الجهات؛ إذ يمكن أن يقال: إنّ هذا الفرد مثلاً راجح ومانع من النقيض لنفسه وغير مانع عنه لنفسه حيث إنّ نفسه نفسان بلحاظ تعدّد الجهات ولا يلزم ملاحظة مجموع الجهات ثم الحكم على طبقها.</w:t>
      </w:r>
    </w:p>
    <w:p>
      <w:pPr>
        <w:pStyle w:val="BookText"/>
      </w:pPr>
      <w:r>
        <w:rPr>
          <w:rFonts w:ascii="IRNazanin" w:hAnsi="IRNazanin" w:eastAsia="IRNazanin" w:cs="IRNazanin"/>
          <w:lang w:bidi="fa-IR"/>
          <w:color w:val="111111"/>
          <w:sz w:val="28"/>
          <w:szCs w:val="28"/>
          <w:rtl/>
        </w:rPr>
        <w:t xml:space="preserve">نعم يجب ذلك إذا لم يرجع کلّ بعض من تلك الجهات إلى عنوان مستقلّ للحكم كما إذا كان العنوان واحداً وكان فيه مصالح عديدة فإنّه يلاحظ المجموع في لحوق الحكم ويتقوّى بتكثرها حينئذٍ.</w:t>
      </w:r>
    </w:p>
    <w:p>
      <w:pPr>
        <w:pStyle w:val="BookText"/>
      </w:pPr>
      <w:r>
        <w:rPr>
          <w:rFonts w:ascii="IRNazanin" w:hAnsi="IRNazanin" w:eastAsia="IRNazanin" w:cs="IRNazanin"/>
          <w:lang w:bidi="fa-IR"/>
          <w:color w:val="111111"/>
          <w:sz w:val="28"/>
          <w:szCs w:val="28"/>
          <w:rtl/>
        </w:rPr>
        <w:t xml:space="preserve">لكن المفروض في مقامنا تعدّد العنوان ففيه يجب ملاحظة کلّ من تلك المصالح والحكم بمقتضاه فيكون الفرد المجمع كأنّه متعدّد.</w:t>
      </w:r>
    </w:p>
    <w:p>
      <w:pPr>
        <w:pStyle w:val="BookText"/>
      </w:pPr>
      <w:r>
        <w:rPr>
          <w:rFonts w:ascii="Amiri" w:hAnsi="Amiri" w:eastAsia="Amiri" w:cs="Amiri"/>
          <w:lang w:bidi="ar-SA"/>
          <w:color w:val="111111"/>
          <w:sz w:val="28"/>
          <w:szCs w:val="28"/>
          <w:rtl/>
        </w:rPr>
        <w:t xml:space="preserve">فلا فرق حينئذٍ بين النفسين وغيرهما فيما ذكره وملاك الفرق الّذي ذكره هو التفكيك بينهما بجعل المنع وعدمه في النفسيّين</w:t>
      </w:r>
      <w:r>
        <w:rPr>
          <w:rStyle w:val="FootnoteReference"/>
        </w:rPr>
        <w:footnoteReference w:id="1449"/>
      </w:r>
      <w:r>
        <w:rPr>
          <w:rFonts w:ascii="Amiri" w:hAnsi="Amiri" w:eastAsia="Amiri" w:cs="Amiri"/>
          <w:lang w:bidi="ar-SA"/>
          <w:color w:val="111111"/>
          <w:sz w:val="28"/>
          <w:szCs w:val="28"/>
          <w:rtl/>
        </w:rPr>
        <w:t xml:space="preserve">فعليّاً وفي الغيريين والمختلفين مجرّد الاقتضاء ولو لم يكن فعلياً ولا وجه لهذا التفكيك كما عرفت من أنّ الطلب الغيري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أیضاً لا بدّ وأن يكون</w:t>
      </w:r>
      <w:r>
        <w:rPr>
          <w:rStyle w:val="FootnoteReference"/>
        </w:rPr>
        <w:footnoteReference w:id="1450"/>
      </w:r>
      <w:r>
        <w:rPr>
          <w:rFonts w:ascii="Amiri" w:hAnsi="Amiri" w:eastAsia="Amiri" w:cs="Amiri"/>
          <w:lang w:bidi="ar-SA"/>
          <w:color w:val="111111"/>
          <w:sz w:val="28"/>
          <w:szCs w:val="28"/>
          <w:rtl/>
        </w:rPr>
        <w:t xml:space="preserve">ممنوع الترك أو غيره فعلاً وإلّا فبمجرّد</w:t>
      </w:r>
      <w:r>
        <w:rPr>
          <w:rStyle w:val="FootnoteReference"/>
        </w:rPr>
        <w:footnoteReference w:id="1451"/>
      </w:r>
      <w:r>
        <w:rPr>
          <w:rFonts w:ascii="Amiri" w:hAnsi="Amiri" w:eastAsia="Amiri" w:cs="Amiri"/>
          <w:lang w:bidi="ar-SA"/>
          <w:color w:val="111111"/>
          <w:sz w:val="28"/>
          <w:szCs w:val="28"/>
          <w:rtl/>
        </w:rPr>
        <w:t xml:space="preserve">اقتضاء ذلك الغيرلوجوبه أو ندبه لا يصدق عليه المطلوب الغيري ومعنى</w:t>
      </w:r>
      <w:r>
        <w:rPr>
          <w:rStyle w:val="FootnoteReference"/>
        </w:rPr>
        <w:footnoteReference w:id="1452"/>
      </w:r>
      <w:r>
        <w:rPr>
          <w:rFonts w:ascii="IRNazanin" w:hAnsi="IRNazanin" w:eastAsia="IRNazanin" w:cs="IRNazanin"/>
          <w:lang w:bidi="fa-IR"/>
          <w:color w:val="111111"/>
          <w:sz w:val="28"/>
          <w:szCs w:val="28"/>
          <w:rtl/>
        </w:rPr>
        <w:t xml:space="preserve">مطلوبیّة المقدّمة ليس على مجرّد الاقتضاء كما لا يخفى.</w:t>
      </w:r>
    </w:p>
    <w:p>
      <w:pPr>
        <w:pStyle w:val="BookText"/>
      </w:pPr>
      <w:r>
        <w:rPr>
          <w:rFonts w:ascii="IRNazanin" w:hAnsi="IRNazanin" w:eastAsia="IRNazanin" w:cs="IRNazanin"/>
          <w:lang w:bidi="fa-IR"/>
          <w:color w:val="111111"/>
          <w:sz w:val="28"/>
          <w:szCs w:val="28"/>
          <w:rtl/>
        </w:rPr>
        <w:t xml:space="preserve">وقد يجاب عن إشکال اجتماع الوجوب والاستحباب في مثل الصّلاة في المسجد ونحوه من الواجبات التخييرية</w:t>
      </w:r>
      <w:r>
        <w:rPr>
          <w:rStyle w:val="FootnoteReference"/>
        </w:rPr>
        <w:footnoteReference w:id="1453"/>
      </w:r>
      <w:r>
        <w:rPr>
          <w:rFonts w:ascii="Amiri" w:hAnsi="Amiri" w:eastAsia="Amiri" w:cs="Amiri"/>
          <w:lang w:bidi="ar-SA"/>
          <w:color w:val="111111"/>
          <w:sz w:val="28"/>
          <w:szCs w:val="28"/>
          <w:rtl/>
        </w:rPr>
        <w:t xml:space="preserve">الّتي يكون بعض أفرادها مستحباً بأنّ مورد الاستحباب اختيار الفرد الأفضل ومورد الوجوب هو أصل الفعل فلم يتّحد المحلّ.</w:t>
      </w:r>
    </w:p>
    <w:p>
      <w:pPr>
        <w:pStyle w:val="BookText"/>
      </w:pPr>
      <w:r>
        <w:rPr>
          <w:rFonts w:ascii="Amiri" w:hAnsi="Amiri" w:eastAsia="Amiri" w:cs="Amiri"/>
          <w:lang w:bidi="ar-SA"/>
          <w:color w:val="111111"/>
          <w:sz w:val="28"/>
          <w:szCs w:val="28"/>
          <w:rtl/>
        </w:rPr>
        <w:t xml:space="preserve">وأورد في الفصول</w:t>
      </w:r>
      <w:r>
        <w:rPr>
          <w:rStyle w:val="FootnoteReference"/>
        </w:rPr>
        <w:footnoteReference w:id="1454"/>
      </w:r>
      <w:r>
        <w:rPr>
          <w:rFonts w:ascii="Amiri" w:hAnsi="Amiri" w:eastAsia="Amiri" w:cs="Amiri"/>
          <w:lang w:bidi="ar-SA"/>
          <w:color w:val="111111"/>
          <w:sz w:val="28"/>
          <w:szCs w:val="28"/>
          <w:rtl/>
        </w:rPr>
        <w:t xml:space="preserve">عليه:</w:t>
      </w:r>
    </w:p>
    <w:p>
      <w:pPr>
        <w:pStyle w:val="BookText"/>
      </w:pPr>
      <w:r>
        <w:rPr>
          <w:rFonts w:ascii="Amiri" w:hAnsi="Amiri" w:eastAsia="Amiri" w:cs="Amiri"/>
          <w:lang w:bidi="ar-SA"/>
          <w:color w:val="111111"/>
          <w:sz w:val="28"/>
          <w:szCs w:val="28"/>
          <w:rtl/>
        </w:rPr>
        <w:t xml:space="preserve">بأنّه متّضح الفساد؛ لأنّه إن أراد</w:t>
      </w:r>
      <w:r>
        <w:rPr>
          <w:rStyle w:val="FootnoteReference"/>
        </w:rPr>
        <w:footnoteReference w:id="1455"/>
      </w:r>
      <w:r>
        <w:rPr>
          <w:rFonts w:ascii="Amiri" w:hAnsi="Amiri" w:eastAsia="Amiri" w:cs="Amiri"/>
          <w:lang w:bidi="ar-SA"/>
          <w:color w:val="111111"/>
          <w:sz w:val="28"/>
          <w:szCs w:val="28"/>
          <w:rtl/>
        </w:rPr>
        <w:t xml:space="preserve">بالاختيار الإرادة فمع فساده في نفسه يوجب الخروج عن محلّ</w:t>
      </w:r>
      <w:r>
        <w:rPr>
          <w:rStyle w:val="FootnoteReference"/>
        </w:rPr>
        <w:footnoteReference w:id="1456"/>
      </w:r>
      <w:r>
        <w:rPr>
          <w:rFonts w:ascii="IRNazanin" w:hAnsi="IRNazanin" w:eastAsia="IRNazanin" w:cs="IRNazanin"/>
          <w:lang w:bidi="fa-IR"/>
          <w:color w:val="111111"/>
          <w:sz w:val="28"/>
          <w:szCs w:val="28"/>
          <w:rtl/>
        </w:rPr>
        <w:t xml:space="preserve">النزاع لأنّ الکلام ليس في استحباب إرادة الواجب، وإن أراد شيئاً آخر فهو ممّا لا يساعد عليه النظر</w:t>
      </w:r>
      <w:r>
        <w:rPr>
          <w:rStyle w:val="FootnoteReference"/>
        </w:rPr>
        <w:footnoteReference w:id="1457"/>
      </w:r>
      <w:r>
        <w:rPr>
          <w:rFonts w:ascii="Amiri" w:hAnsi="Amiri" w:eastAsia="Amiri" w:cs="Amiri"/>
          <w:lang w:bidi="ar-SA"/>
          <w:color w:val="111111"/>
          <w:sz w:val="28"/>
          <w:szCs w:val="28"/>
          <w:rtl/>
        </w:rPr>
        <w:t xml:space="preserve">الصحيح على إدراكه.</w:t>
      </w:r>
      <w:r>
        <w:rPr>
          <w:rStyle w:val="FootnoteReference"/>
        </w:rPr>
        <w:footnoteReference w:id="1458"/>
      </w:r>
    </w:p>
    <w:p>
      <w:pPr>
        <w:pStyle w:val="BookText"/>
      </w:pPr>
      <w:r>
        <w:rPr>
          <w:rFonts w:ascii="IRNazanin" w:hAnsi="IRNazanin" w:eastAsia="IRNazanin" w:cs="IRNazanin"/>
          <w:lang w:bidi="fa-IR"/>
          <w:color w:val="111111"/>
          <w:sz w:val="28"/>
          <w:szCs w:val="28"/>
          <w:rtl/>
        </w:rPr>
        <w:t xml:space="preserve">قلت: مراده غير الإرادة قطعاً وأنّ الاستحباب تعلّق بعنوان اختيار الفرد الكذائي، لكن يرد عليه أنّ عنوان الاختيار وإن کان مغايراً لعنوان أصل الفعل إلّا أنّهما متّحدان في الوجود الخارجي.</w:t>
      </w:r>
    </w:p>
    <w:p>
      <w:pPr>
        <w:pStyle w:val="BookText"/>
      </w:pPr>
      <w:r>
        <w:rPr>
          <w:rFonts w:ascii="IRNazanin" w:hAnsi="IRNazanin" w:eastAsia="IRNazanin" w:cs="IRNazanin"/>
          <w:lang w:bidi="fa-IR"/>
          <w:color w:val="111111"/>
          <w:sz w:val="28"/>
          <w:szCs w:val="28"/>
          <w:rtl/>
        </w:rPr>
        <w:t xml:space="preserve">فهذا الوجه إنّما يدفع إشکال الاجتماع مع كون المتعلّق واحداً حيث إنّ الصّلاة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المسجد ليس عنواناً آخر والمجوّز أیضاً في الإشکال؛ إذ هو إنّما يجوّز مع تعدّد الجهة وتعدّد العنوان، فهو مناسب لمذهب المجوّزين لا المانعين فإنّ تعدّد العنوان عندهم لايجدي.</w:t>
      </w:r>
    </w:p>
    <w:p>
      <w:pPr>
        <w:pStyle w:val="BookText"/>
      </w:pPr>
      <w:r>
        <w:rPr>
          <w:rFonts w:ascii="Amiri" w:hAnsi="Amiri" w:eastAsia="Amiri" w:cs="Amiri"/>
          <w:lang w:bidi="ar-SA"/>
          <w:color w:val="111111"/>
          <w:sz w:val="28"/>
          <w:szCs w:val="28"/>
          <w:rtl/>
        </w:rPr>
        <w:t xml:space="preserve">هذا ويمكن أن يوجه الوجه المذكور بأنّ الاختيار من العناوين الثانوية المغايرة</w:t>
      </w:r>
      <w:r>
        <w:rPr>
          <w:rStyle w:val="FootnoteReference"/>
        </w:rPr>
        <w:footnoteReference w:id="1459"/>
      </w:r>
      <w:r>
        <w:rPr>
          <w:rFonts w:ascii="Amiri" w:hAnsi="Amiri" w:eastAsia="Amiri" w:cs="Amiri"/>
          <w:lang w:bidi="ar-SA"/>
          <w:color w:val="111111"/>
          <w:sz w:val="28"/>
          <w:szCs w:val="28"/>
          <w:rtl/>
        </w:rPr>
        <w:t xml:space="preserve">للعناوين الأوّلية في الوجود الخارجي؛ إذ وجودها في الخارج بنحو من الاعتبار كما مرّ سابقاً فهو نظير الإحراق الّذي هو موجود في الخارج لا بوجود الإلقاءبل بوجود مغاير معه، فعلى هذا لا يلزم الاجتماع في محلّ واحد.</w:t>
      </w:r>
    </w:p>
    <w:p>
      <w:pPr>
        <w:pStyle w:val="BookText"/>
      </w:pPr>
      <w:r>
        <w:rPr>
          <w:rFonts w:ascii="IRNazanin" w:hAnsi="IRNazanin" w:eastAsia="IRNazanin" w:cs="IRNazanin"/>
          <w:lang w:bidi="fa-IR"/>
          <w:color w:val="111111"/>
          <w:sz w:val="28"/>
          <w:szCs w:val="28"/>
          <w:rtl/>
        </w:rPr>
        <w:t xml:space="preserve">وهذا الوجه وإن کان خلاف ظاهر الأدلّة؛ إذ ظاهرها أنّ المستحب عنوان الصلاة في المسجد لا عنوان الاختيار، إلّا أنّ ارتكابه ممّا لا بدّ منه بناء على مذهب المانعين.</w:t>
      </w:r>
    </w:p>
    <w:p>
      <w:pPr>
        <w:pStyle w:val="BookText"/>
      </w:pPr>
      <w:r>
        <w:rPr>
          <w:rFonts w:ascii="IRNazanin" w:hAnsi="IRNazanin" w:eastAsia="IRNazanin" w:cs="IRNazanin"/>
          <w:lang w:bidi="fa-IR"/>
          <w:color w:val="111111"/>
          <w:sz w:val="28"/>
          <w:szCs w:val="28"/>
          <w:rtl/>
        </w:rPr>
        <w:t xml:space="preserve">ومن ذلك يظهر إمکان تصحيح ما ذكر</w:t>
      </w:r>
      <w:r>
        <w:rPr>
          <w:rStyle w:val="FootnoteReference"/>
        </w:rPr>
        <w:footnoteReference w:id="1460"/>
      </w:r>
      <w:r>
        <w:rPr>
          <w:rFonts w:ascii="Amiri" w:hAnsi="Amiri" w:eastAsia="Amiri" w:cs="Amiri"/>
          <w:lang w:bidi="ar-SA"/>
          <w:color w:val="111111"/>
          <w:sz w:val="28"/>
          <w:szCs w:val="28"/>
          <w:rtl/>
        </w:rPr>
        <w:t xml:space="preserve">في مثل المقام من توجيه آخر هو أنّ الأمر الاستحبابي تعلّق بتحصيل الرجحان الثابت في الفعل الزائد على الرجحان الوجوبي فإنّه رجحان يرجح تحصيله على التعيين</w:t>
      </w:r>
      <w:r>
        <w:rPr>
          <w:rStyle w:val="FootnoteReference"/>
        </w:rPr>
        <w:footnoteReference w:id="1461"/>
      </w:r>
      <w:r>
        <w:rPr>
          <w:rFonts w:ascii="Amiri" w:hAnsi="Amiri" w:eastAsia="Amiri" w:cs="Amiri"/>
          <w:lang w:bidi="ar-SA"/>
          <w:color w:val="111111"/>
          <w:sz w:val="28"/>
          <w:szCs w:val="28"/>
          <w:rtl/>
        </w:rPr>
        <w:t xml:space="preserve">مع جواز تركه لا إلى بدل مطلقاً.</w:t>
      </w:r>
    </w:p>
    <w:p>
      <w:pPr>
        <w:pStyle w:val="BookText"/>
      </w:pPr>
      <w:r>
        <w:rPr>
          <w:rFonts w:ascii="IRNazanin" w:hAnsi="IRNazanin" w:eastAsia="IRNazanin" w:cs="IRNazanin"/>
          <w:lang w:bidi="fa-IR"/>
          <w:color w:val="111111"/>
          <w:sz w:val="28"/>
          <w:szCs w:val="28"/>
          <w:rtl/>
        </w:rPr>
        <w:t xml:space="preserve">ولا يرد أنّ ذلك يجري أیضاً فيما لا تخيير فيه فإنّه أیضاً يمكن أن يحلّل إلى أصل الرجحان والزيادة عليه إذا فرض فيه ذلك بأن يكون هناك واجب تعييني مشتمل</w:t>
      </w:r>
      <w:r>
        <w:rPr>
          <w:rStyle w:val="FootnoteReference"/>
        </w:rPr>
        <w:footnoteReference w:id="1462"/>
      </w:r>
      <w:r>
        <w:rPr>
          <w:rFonts w:ascii="IRNazanin" w:hAnsi="IRNazanin" w:eastAsia="IRNazanin" w:cs="IRNazanin"/>
          <w:lang w:bidi="fa-IR"/>
          <w:color w:val="111111"/>
          <w:sz w:val="28"/>
          <w:szCs w:val="28"/>
          <w:rtl/>
        </w:rPr>
        <w:t xml:space="preserve">على مصلحة أصل الوجوب وعلى مصلحة زائدة عليه فينبغي أن يكون مستحباً أیضاً باعتبار تحصيل تلك الزيادة مع أنّه ليس كذلك قطعاً.</w:t>
      </w:r>
    </w:p>
    <w:p>
      <w:pPr>
        <w:pStyle w:val="BookText"/>
      </w:pPr>
      <w:r>
        <w:rPr>
          <w:rFonts w:ascii="Amiri" w:hAnsi="Amiri" w:eastAsia="Amiri" w:cs="Amiri"/>
          <w:lang w:bidi="ar-SA"/>
          <w:color w:val="111111"/>
          <w:sz w:val="28"/>
          <w:szCs w:val="28"/>
          <w:rtl/>
        </w:rPr>
        <w:t xml:space="preserve">وذلك - أعني عدم الورود - لأنّ امتياز تلك الزيادة هنا بمقابلة البدل يصلح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وجهاً لاعتبارها منفردة بخلاف الواجب التعييني، فيمكن أن يقال: إنّ عنوان تحصيل تلك</w:t>
      </w:r>
      <w:r>
        <w:rPr>
          <w:rStyle w:val="FootnoteReference"/>
        </w:rPr>
        <w:footnoteReference w:id="1463"/>
      </w:r>
      <w:r>
        <w:rPr>
          <w:rFonts w:ascii="Amiri" w:hAnsi="Amiri" w:eastAsia="Amiri" w:cs="Amiri"/>
          <w:lang w:bidi="ar-SA"/>
          <w:color w:val="111111"/>
          <w:sz w:val="28"/>
          <w:szCs w:val="28"/>
          <w:rtl/>
        </w:rPr>
        <w:t xml:space="preserve">الزيادة عنوان آخر ثانوي بالنسبة إلى عنوان أصل الفعل.</w:t>
      </w:r>
    </w:p>
    <w:p>
      <w:pPr>
        <w:pStyle w:val="BookText"/>
      </w:pPr>
      <w:r>
        <w:rPr>
          <w:rFonts w:ascii="Amiri" w:hAnsi="Amiri" w:eastAsia="Amiri" w:cs="Amiri"/>
          <w:lang w:bidi="ar-SA"/>
          <w:color w:val="111111"/>
          <w:sz w:val="28"/>
          <w:szCs w:val="28"/>
          <w:rtl/>
        </w:rPr>
        <w:t xml:space="preserve">وإن منع ذلك نقول: إنّه عنوان مغاير في الوجود له فيمكن أن يتعلّق به الاستحباب ويتعلّق الوجوب بأصل الفعل.</w:t>
      </w:r>
    </w:p>
    <w:p>
      <w:pPr>
        <w:pStyle w:val="BookText"/>
      </w:pPr>
      <w:r>
        <w:rPr>
          <w:rFonts w:ascii="IRNazanin" w:hAnsi="IRNazanin" w:eastAsia="IRNazanin" w:cs="IRNazanin"/>
          <w:lang w:bidi="fa-IR"/>
          <w:color w:val="111111"/>
          <w:sz w:val="28"/>
          <w:szCs w:val="28"/>
          <w:rtl/>
        </w:rPr>
        <w:t xml:space="preserve">ولا يرد عليه ما أورد عليه في الفصول: بأنّ تحصيل الرجحان الزائد عين تحصيل الرجحان الوجوبي فيبقى الإشکال بحاله.</w:t>
      </w:r>
      <w:r>
        <w:rPr>
          <w:rStyle w:val="FootnoteReference"/>
        </w:rPr>
        <w:footnoteReference w:id="1464"/>
      </w:r>
    </w:p>
    <w:p>
      <w:pPr>
        <w:pStyle w:val="BookText"/>
      </w:pPr>
      <w:r>
        <w:rPr>
          <w:rFonts w:ascii="Amiri" w:hAnsi="Amiri" w:eastAsia="Amiri" w:cs="Amiri"/>
          <w:lang w:bidi="ar-SA"/>
          <w:color w:val="111111"/>
          <w:sz w:val="28"/>
          <w:szCs w:val="28"/>
          <w:rtl/>
        </w:rPr>
        <w:t xml:space="preserve">وذلك لأنّ تحصيل الرجحان الوجوبي ليس مورداً للطلب بل المورد للوجوب هو أصل الفعل.</w:t>
      </w:r>
    </w:p>
    <w:p>
      <w:pPr>
        <w:pStyle w:val="BookText"/>
      </w:pPr>
      <w:r>
        <w:rPr>
          <w:rFonts w:ascii="Amiri" w:hAnsi="Amiri" w:eastAsia="Amiri" w:cs="Amiri"/>
          <w:lang w:bidi="ar-SA"/>
          <w:color w:val="111111"/>
          <w:sz w:val="28"/>
          <w:szCs w:val="28"/>
          <w:rtl/>
        </w:rPr>
        <w:t xml:space="preserve">وفي طرف الاستحباب نقول: إنّ مورده ليس أصل الفعل بل تحصيل الرجحانالزائد</w:t>
      </w:r>
      <w:r>
        <w:rPr>
          <w:rStyle w:val="FootnoteReference"/>
        </w:rPr>
        <w:footnoteReference w:id="1465"/>
      </w:r>
      <w:r>
        <w:rPr>
          <w:rFonts w:ascii="Amiri" w:hAnsi="Amiri" w:eastAsia="Amiri" w:cs="Amiri"/>
          <w:lang w:bidi="ar-SA"/>
          <w:color w:val="111111"/>
          <w:sz w:val="28"/>
          <w:szCs w:val="28"/>
          <w:rtl/>
        </w:rPr>
        <w:t xml:space="preserve">فتدبّر وتأمّل فإنّ كون عنوان التحصيل المذكور ثانوياً أو مغايراً في الوجود لعنوان أصل الفعل يمكن منعه.</w:t>
      </w:r>
    </w:p>
    <w:p>
      <w:pPr>
        <w:pStyle w:val="BookText"/>
      </w:pPr>
      <w:r>
        <w:rPr>
          <w:rFonts w:ascii="IRNazanin" w:hAnsi="IRNazanin" w:eastAsia="IRNazanin" w:cs="IRNazanin"/>
          <w:lang w:bidi="fa-IR"/>
          <w:color w:val="111111"/>
          <w:sz w:val="28"/>
          <w:szCs w:val="28"/>
          <w:rtl/>
        </w:rPr>
        <w:t xml:space="preserve">هذا ويمكن أن يجاب عن أصل الإشکال بوجه آخر وهو أنّ ملاك المنع من اجتماع الأمر والنهي ليس تضادّ الأحکام حتّى يقال: إنّ</w:t>
      </w:r>
      <w:r>
        <w:rPr>
          <w:rStyle w:val="FootnoteReference"/>
        </w:rPr>
        <w:footnoteReference w:id="1466"/>
      </w:r>
      <w:r>
        <w:rPr>
          <w:rFonts w:ascii="IRNazanin" w:hAnsi="IRNazanin" w:eastAsia="IRNazanin" w:cs="IRNazanin"/>
          <w:lang w:bidi="fa-IR"/>
          <w:color w:val="111111"/>
          <w:sz w:val="28"/>
          <w:szCs w:val="28"/>
          <w:rtl/>
        </w:rPr>
        <w:t xml:space="preserve">لازمه عدم جواز اجتماع الوجوب والاستحباب.</w:t>
      </w:r>
    </w:p>
    <w:p>
      <w:pPr>
        <w:pStyle w:val="BookText"/>
      </w:pPr>
      <w:r>
        <w:rPr>
          <w:rFonts w:ascii="IRNazanin" w:hAnsi="IRNazanin" w:eastAsia="IRNazanin" w:cs="IRNazanin"/>
          <w:lang w:bidi="fa-IR"/>
          <w:color w:val="111111"/>
          <w:sz w:val="28"/>
          <w:szCs w:val="28"/>
          <w:rtl/>
        </w:rPr>
        <w:t xml:space="preserve">بل الوجه فيه لزوم التکلیف بالمحال ولو بالنّسبة إلى خصوص ذلك الفرد؛ إذ لا يمكن للمکلّف الامتثال فيه وإن أمكنه بالنسبة إلى غير ذلك الفرد، ومن هنا يعلم عدم كفاية مجرّد المندوحة بإتیان غيره.</w:t>
      </w:r>
    </w:p>
    <w:p>
      <w:pPr>
        <w:pStyle w:val="BookText"/>
      </w:pPr>
      <w:r>
        <w:rPr>
          <w:rFonts w:ascii="IRNazanin" w:hAnsi="IRNazanin" w:eastAsia="IRNazanin" w:cs="IRNazanin"/>
          <w:lang w:bidi="fa-IR"/>
          <w:color w:val="111111"/>
          <w:sz w:val="28"/>
          <w:szCs w:val="28"/>
          <w:rtl/>
        </w:rPr>
        <w:t xml:space="preserve">وهذا الوجه لا يتمّ إلّا في اجتماع کلّ من الوجوب والاستحباب مع کلّ من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الحرمة والكراهة ففي الوجوب والندب والحرمة والكراهة غير جارٍ فنختار أنّ الفعل واجب بالفعل حقیقة ومستحب كذلك وإن منعنا من اجتماع الأمر والنهي.</w:t>
      </w:r>
    </w:p>
    <w:p>
      <w:pPr>
        <w:pStyle w:val="BookText"/>
      </w:pPr>
      <w:r>
        <w:rPr>
          <w:rFonts w:ascii="IRNazanin" w:hAnsi="IRNazanin" w:eastAsia="IRNazanin" w:cs="IRNazanin"/>
          <w:lang w:bidi="fa-IR"/>
          <w:color w:val="111111"/>
          <w:sz w:val="28"/>
          <w:szCs w:val="28"/>
          <w:rtl/>
        </w:rPr>
        <w:t xml:space="preserve">ويمكن أن يقال بوجه آخر وهو أن يدّعى أنّ التضادّ متحقّق بين المذكورات لا بين الوجوب والاستحباب والحرمة والكراهة ونحو ذلك؛ لأنّ ملاكه هو عدم اجتماع الإرادة والكراهة؛ إذ هما متضادّان. وأمّا الإرادة الحتميّة وغيرها فهما خلافان لا ضدّان ولا مثلان فالتضادّ إنّما يجي‌ء من قبل جنس الأحکام لا من قبل فصلها وإن کان فصل الوجوب والحرمة أیضاً متضادّين.</w:t>
      </w:r>
    </w:p>
    <w:p>
      <w:pPr>
        <w:pStyle w:val="BookText"/>
      </w:pPr>
      <w:r>
        <w:rPr>
          <w:rFonts w:ascii="IRNazanin" w:hAnsi="IRNazanin" w:eastAsia="IRNazanin" w:cs="IRNazanin"/>
          <w:lang w:bidi="fa-IR"/>
          <w:color w:val="111111"/>
          <w:sz w:val="28"/>
          <w:szCs w:val="28"/>
          <w:rtl/>
        </w:rPr>
        <w:t xml:space="preserve">فإن قلت: لازم هذا الوجه</w:t>
      </w:r>
      <w:r>
        <w:rPr>
          <w:rStyle w:val="FootnoteReference"/>
        </w:rPr>
        <w:footnoteReference w:id="1467"/>
      </w:r>
      <w:r>
        <w:rPr>
          <w:rFonts w:ascii="IRNazanin" w:hAnsi="IRNazanin" w:eastAsia="IRNazanin" w:cs="IRNazanin"/>
          <w:lang w:bidi="fa-IR"/>
          <w:color w:val="111111"/>
          <w:sz w:val="28"/>
          <w:szCs w:val="28"/>
          <w:rtl/>
        </w:rPr>
        <w:t xml:space="preserve">جواز اجتماع الوجوب والاستحباب مع اتّحاد الجهة أیضاً مع أنّك لا تقول به.</w:t>
      </w:r>
    </w:p>
    <w:p>
      <w:pPr>
        <w:pStyle w:val="BookText"/>
      </w:pPr>
      <w:r>
        <w:rPr>
          <w:rFonts w:ascii="IRNazanin" w:hAnsi="IRNazanin" w:eastAsia="IRNazanin" w:cs="IRNazanin"/>
          <w:lang w:bidi="fa-IR"/>
          <w:color w:val="111111"/>
          <w:sz w:val="28"/>
          <w:szCs w:val="28"/>
          <w:rtl/>
        </w:rPr>
        <w:t xml:space="preserve">قلت: نلتزم بجوازه بناء على مذهب الأشعري الّذي لا يقول بتبعية الأحکام للمصالح، وأمّا بناء على مذهب العدلية فلا يجوز لا من جهة التضادّ بل من جهة أنّ الجهات المقتضية للطلب الوجوبي والندبي يجب ملاحظتها أجمع والحكم على طبقها إذا لم ترجع إلى عنوانين وفائدتها حينئذٍ تأكّد الطلب وتقوّيه.مثلاً إذا كان في السّكنجبين مصلحة ملزمة وهي إسهال الصفراء</w:t>
      </w:r>
      <w:r>
        <w:rPr>
          <w:rStyle w:val="FootnoteReference"/>
        </w:rPr>
        <w:footnoteReference w:id="1468"/>
      </w:r>
      <w:r>
        <w:rPr>
          <w:rFonts w:ascii="IRNazanin" w:hAnsi="IRNazanin" w:eastAsia="IRNazanin" w:cs="IRNazanin"/>
          <w:lang w:bidi="fa-IR"/>
          <w:color w:val="111111"/>
          <w:sz w:val="28"/>
          <w:szCs w:val="28"/>
          <w:rtl/>
        </w:rPr>
        <w:t xml:space="preserve">وغير ملزمة وهي إسهال البلغم فإن کان الحكم معلّقاً على عنواني الإسهالين يكون شربه مستحباً وواجباً، وأمّا إذا كان الحكم معلّقاً على عنوان السكنجبين من دون العنوانين المذكورين بأن يكونا علة مقتضية للحكم يكون الشرب واجباً مؤكّداً، وهذا واضح، ففي صورة اتّحاد العنوان لا يمكن تعدّد الحكم بملاحظة نشوه عن المصلحة؛ إذ لاتلاحظ متعدّداً.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قلت: إن كنت تقول بالجواز من جهة أنّ مورد الحكمين هو العنوانان</w:t>
      </w:r>
      <w:r>
        <w:rPr>
          <w:rStyle w:val="FootnoteReference"/>
        </w:rPr>
        <w:footnoteReference w:id="1469"/>
      </w:r>
      <w:r>
        <w:rPr>
          <w:rFonts w:ascii="IRNazanin" w:hAnsi="IRNazanin" w:eastAsia="IRNazanin" w:cs="IRNazanin"/>
          <w:lang w:bidi="fa-IR"/>
          <w:color w:val="111111"/>
          <w:sz w:val="28"/>
          <w:szCs w:val="28"/>
          <w:rtl/>
        </w:rPr>
        <w:t xml:space="preserve">المختلفان وإن اتّحدا في المصداق؛ إذ هو لا يضرّ من جهة أنّه ليس محلّاً حقیقة للحكمين فلازمه جواز الاجتماع في الوجوب والحرمة أیضاً.</w:t>
      </w:r>
    </w:p>
    <w:p>
      <w:pPr>
        <w:pStyle w:val="BookText"/>
      </w:pPr>
      <w:r>
        <w:rPr>
          <w:rFonts w:ascii="IRNazanin" w:hAnsi="IRNazanin" w:eastAsia="IRNazanin" w:cs="IRNazanin"/>
          <w:lang w:bidi="fa-IR"/>
          <w:color w:val="111111"/>
          <w:sz w:val="28"/>
          <w:szCs w:val="28"/>
          <w:rtl/>
        </w:rPr>
        <w:t xml:space="preserve">وإن كنت تقول بذلك مع لحاظ أنّ المحلّ لهما هو الفرد والمصداق كما هو بناء مذهب المانعين فكيف يسوغ اتّصاف الفعل الخارجي حينئذٍ بالوجوب والاستحباب فعلاً كما هو مقتضى بيانك؛ إذ غاية الأمر جواز اجتماع الأمر الوجوبي والأمر الندبي. لكنّ المحلّ لا یتّصف فعلاً إلّا بالوجوب؛ لأنّه يصدق عليه أنّه لا يجوز تركه فلا يمكن أن يقال إنّه جائز الترك فعلاً فيكون مورداً للأمر الندبي إلّا أنّه لا يوجب اتّصافه فعلاً بالاستحباب حسبما سيأتي بيانه في نقل کلام الشيخ محمد تقي (قدس‌سره) في حاشية المعالم.</w:t>
      </w:r>
      <w:r>
        <w:rPr>
          <w:rStyle w:val="FootnoteReference"/>
        </w:rPr>
        <w:footnoteReference w:id="1470"/>
      </w:r>
    </w:p>
    <w:p>
      <w:pPr>
        <w:pStyle w:val="BookText"/>
      </w:pPr>
      <w:r>
        <w:rPr>
          <w:rFonts w:ascii="Amiri" w:hAnsi="Amiri" w:eastAsia="Amiri" w:cs="Amiri"/>
          <w:lang w:bidi="ar-SA"/>
          <w:color w:val="111111"/>
          <w:sz w:val="28"/>
          <w:szCs w:val="28"/>
          <w:rtl/>
        </w:rPr>
        <w:t xml:space="preserve">قلت: المراد أنّ الفرد متّصف بالفعل بالوجوب والاستحباب كما أنّه محلّ للطلبين والأمرين ولا بأس به؛ لأنّ الوجوب</w:t>
      </w:r>
      <w:r>
        <w:rPr>
          <w:rStyle w:val="FootnoteReference"/>
        </w:rPr>
        <w:footnoteReference w:id="1471"/>
      </w:r>
      <w:r>
        <w:rPr>
          <w:rFonts w:ascii="Amiri" w:hAnsi="Amiri" w:eastAsia="Amiri" w:cs="Amiri"/>
          <w:lang w:bidi="ar-SA"/>
          <w:color w:val="111111"/>
          <w:sz w:val="28"/>
          <w:szCs w:val="28"/>
          <w:rtl/>
        </w:rPr>
        <w:t xml:space="preserve">إذا كان من جميع الجهات ينافي الندب وهكذا</w:t>
      </w:r>
      <w:r>
        <w:rPr>
          <w:rStyle w:val="FootnoteReference"/>
        </w:rPr>
        <w:footnoteReference w:id="1472"/>
      </w:r>
      <w:r>
        <w:rPr>
          <w:rFonts w:ascii="Amiri" w:hAnsi="Amiri" w:eastAsia="Amiri" w:cs="Amiri"/>
          <w:lang w:bidi="ar-SA"/>
          <w:color w:val="111111"/>
          <w:sz w:val="28"/>
          <w:szCs w:val="28"/>
          <w:rtl/>
        </w:rPr>
        <w:t xml:space="preserve">الندب من جميع الجهات ينافي الوجوب.</w:t>
      </w:r>
    </w:p>
    <w:p>
      <w:pPr>
        <w:pStyle w:val="BookText"/>
      </w:pPr>
      <w:r>
        <w:rPr>
          <w:rFonts w:ascii="IRNazanin" w:hAnsi="IRNazanin" w:eastAsia="IRNazanin" w:cs="IRNazanin"/>
          <w:lang w:bidi="fa-IR"/>
          <w:color w:val="111111"/>
          <w:sz w:val="28"/>
          <w:szCs w:val="28"/>
          <w:rtl/>
        </w:rPr>
        <w:t xml:space="preserve">وأمّا الاتّصاف بکلّ منهما في الجملة فعلاً فلا بأس به.ألا ترى أنّه لا منافاة</w:t>
      </w:r>
      <w:r>
        <w:rPr>
          <w:rStyle w:val="FootnoteReference"/>
        </w:rPr>
        <w:footnoteReference w:id="1473"/>
      </w:r>
      <w:r>
        <w:rPr>
          <w:rFonts w:ascii="IRNazanin" w:hAnsi="IRNazanin" w:eastAsia="IRNazanin" w:cs="IRNazanin"/>
          <w:lang w:bidi="fa-IR"/>
          <w:color w:val="111111"/>
          <w:sz w:val="28"/>
          <w:szCs w:val="28"/>
          <w:rtl/>
        </w:rPr>
        <w:t xml:space="preserve">بين إيراد حكم فعلي على الطبيعة وإيراد ضدّه أیضاً عليها فعلاً إذا أخذت في الجملة كأن يقال: «الإنسان في الدار» و«الإنسان ليس في الدّار» فالأوّل بلحاظ وجود زيد فيها والثاني بلحاظ عدم وجود عمرو فيها، وأمّا إذا أخذت مطلقة فلا يصح.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يقال من أنّ النهي المتعلّق بالطبيعة يقتضي ترك جميع الأفراد فهو من جهة أخذها مطلقة لا مهملة، ففي المقام أیضاً يصحّ أن يقال: إنّ الفعل واجب بالفعل وليس بواجب بالفعل؛ لأنّ کلّاً منهما ملحوظٌ ببعض الجهات، فمجرّد الاستحباب والوجوب لا تضادّ بينهما وإنّما التضادّ بين مطلقيهما، أعني ما أخذ منهما من جميع الجهات.</w:t>
      </w:r>
    </w:p>
    <w:p>
      <w:pPr>
        <w:pStyle w:val="BookText"/>
      </w:pPr>
      <w:r>
        <w:rPr>
          <w:rFonts w:ascii="IRNazanin" w:hAnsi="IRNazanin" w:eastAsia="IRNazanin" w:cs="IRNazanin"/>
          <w:lang w:bidi="fa-IR"/>
          <w:color w:val="111111"/>
          <w:sz w:val="28"/>
          <w:szCs w:val="28"/>
          <w:rtl/>
        </w:rPr>
        <w:t xml:space="preserve">فإن قلت: إذا كان الملاك عدم المنافاة بين المهملتين فاللازم الجواز في الوجوب والحرمة أیضاً؛ إذ هما أیضاً كذلك إذا أخذا مهملين</w:t>
      </w:r>
      <w:r>
        <w:rPr>
          <w:rStyle w:val="FootnoteReference"/>
        </w:rPr>
        <w:footnoteReference w:id="1474"/>
      </w:r>
      <w:r>
        <w:rPr>
          <w:rFonts w:ascii="IRNazanin" w:hAnsi="IRNazanin" w:eastAsia="IRNazanin" w:cs="IRNazanin"/>
          <w:lang w:bidi="fa-IR"/>
          <w:color w:val="111111"/>
          <w:sz w:val="28"/>
          <w:szCs w:val="28"/>
          <w:rtl/>
        </w:rPr>
        <w:t xml:space="preserve">ومن بعض الجهات.</w:t>
      </w:r>
    </w:p>
    <w:p>
      <w:pPr>
        <w:pStyle w:val="BookText"/>
      </w:pPr>
      <w:r>
        <w:rPr>
          <w:rFonts w:ascii="IRNazanin" w:hAnsi="IRNazanin" w:eastAsia="IRNazanin" w:cs="IRNazanin"/>
          <w:lang w:bidi="fa-IR"/>
          <w:color w:val="111111"/>
          <w:sz w:val="28"/>
          <w:szCs w:val="28"/>
          <w:rtl/>
        </w:rPr>
        <w:t xml:space="preserve">قلت: ليس الملاك مجرّد ذلك وإنّما يجدي هذا إذا قلنا بعدم المنافاة بين الأمرين من حيث صدورهما عن الآمر وانحصر الإشکال في اتّصاف المحلّ بهما بالفعل كما هو المفروض بعد ما ذكرنا. وفي الوجوب والحرمة الإشکال في صدور الإرادة والكراهة عن الآمر بالنسبة إلى محلّ واحد؛ إذ قد عرفت أنّهما ضدّان لا يجتمعان.</w:t>
      </w:r>
    </w:p>
    <w:p>
      <w:pPr>
        <w:pStyle w:val="BookText"/>
      </w:pPr>
      <w:r>
        <w:rPr>
          <w:rFonts w:ascii="IRNazanin" w:hAnsi="IRNazanin" w:eastAsia="IRNazanin" w:cs="IRNazanin"/>
          <w:lang w:bidi="fa-IR"/>
          <w:color w:val="111111"/>
          <w:sz w:val="28"/>
          <w:szCs w:val="28"/>
          <w:rtl/>
        </w:rPr>
        <w:t xml:space="preserve">نعم بناء على الوجه الأوّل من ادعاء عدم التضادّ بين مطلق الأحکام فالأمر كذلك مع قطع النظر عن التکلیف بالمحال؛ إذ مع قطع النظر عنه يمكن أن یتّصف المحلّ بالوجوب والحرمة معاً کلّ من جهة وفي الجملة بناء على عدم التضادّ بين الإرادة والكراهة. لكن هذا البناء فاسدٌ، إلّا أن يقال: إنّ الطلب غير الإرادة. فتأمّل وراجع ما سبق في أوّل المسألة.</w:t>
      </w:r>
    </w:p>
    <w:p>
      <w:pPr>
        <w:pStyle w:val="BookText"/>
      </w:pPr>
      <w:r>
        <w:rPr>
          <w:rFonts w:ascii="Amiri" w:hAnsi="Amiri" w:eastAsia="Amiri" w:cs="Amiri"/>
          <w:lang w:bidi="ar-SA"/>
          <w:color w:val="111111"/>
          <w:sz w:val="28"/>
          <w:szCs w:val="28"/>
          <w:rtl/>
        </w:rPr>
        <w:t xml:space="preserve">ومن البيان المذكور ظهر اندفاع ما ربما يمكن أن يقال: إنّ لازم ما ذكرت عدم جواز اجتماع الوجوبين والندبين؛ إذ هما مثلان واجتماعهما كاجتماع الضدّين محال.</w:t>
      </w:r>
    </w:p>
    <w:p>
      <w:pPr>
        <w:pStyle w:val="BookText"/>
      </w:pPr>
      <w:r>
        <w:rPr>
          <w:rFonts w:ascii="Amiri" w:hAnsi="Amiri" w:eastAsia="Amiri" w:cs="Amiri"/>
          <w:lang w:bidi="ar-SA"/>
          <w:color w:val="111111"/>
          <w:sz w:val="28"/>
          <w:szCs w:val="28"/>
          <w:rtl/>
        </w:rPr>
        <w:t xml:space="preserve">مع أنّه إذا جاز اجتماع الوجوب والندب فاجتماع الوجوبين والندبين بالأولى.وذلك - مع أنّه لا أولوية كما لا يخفى - لأنّ المثلين الوجوبان</w:t>
      </w:r>
      <w:r>
        <w:rPr>
          <w:rStyle w:val="FootnoteReference"/>
        </w:rPr>
        <w:footnoteReference w:id="1475"/>
      </w:r>
      <w:r>
        <w:rPr>
          <w:rFonts w:ascii="Amiri" w:hAnsi="Amiri" w:eastAsia="Amiri" w:cs="Amiri"/>
          <w:lang w:bidi="ar-SA"/>
          <w:color w:val="111111"/>
          <w:sz w:val="28"/>
          <w:szCs w:val="28"/>
          <w:rtl/>
        </w:rPr>
        <w:t xml:space="preserve">من جميع الجهات وعلى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14" w:name="pg6784_51415"/>
    <w:bookmarkEnd w:id="214"/>
    <w:p>
      <w:pPr>
        <w:pStyle w:val="BookText"/>
      </w:pPr>
      <w:r>
        <w:rPr>
          <w:rFonts w:ascii="IRNazanin" w:hAnsi="IRNazanin" w:eastAsia="IRNazanin" w:cs="IRNazanin"/>
          <w:lang w:bidi="fa-IR"/>
          <w:color w:val="111111"/>
          <w:sz w:val="28"/>
          <w:szCs w:val="28"/>
          <w:rtl/>
        </w:rPr>
        <w:t xml:space="preserve">الإطلاق وأمّا الوجوبان مع أخذ کلّ منهما في الجملة فهما خلافان وكذا الندبان كذلك.</w:t>
      </w:r>
    </w:p>
    <w:p>
      <w:pPr>
        <w:pStyle w:val="BookText"/>
      </w:pPr>
      <w:r>
        <w:rPr>
          <w:rFonts w:ascii="IRNazanin" w:hAnsi="IRNazanin" w:eastAsia="IRNazanin" w:cs="IRNazanin"/>
          <w:lang w:bidi="fa-IR"/>
          <w:color w:val="111111"/>
          <w:sz w:val="28"/>
          <w:szCs w:val="28"/>
          <w:rtl/>
        </w:rPr>
        <w:t xml:space="preserve">فإن قلت: القياس على جواز توارد الوجود والعدم على الطّبيعة المأخوذة مهملة في غير المحلّ من حيث إنّ الطبيعة المأخوذة كذلك أمر کلّي فيكون في الحقيقة محلّ الوجود أو الحكم الوجودي بعض الأفراد ومحلّ العدم أو الحكم العدمي فرد آخر، وأمّا في مقامنا فالمفروض وحدة المحلّ شخصاً فكيف يجوز توارد الحكمين عليه فعلاً؟</w:t>
      </w:r>
    </w:p>
    <w:p>
      <w:pPr>
        <w:pStyle w:val="BookText"/>
      </w:pPr>
      <w:r>
        <w:rPr>
          <w:rFonts w:ascii="Amiri" w:hAnsi="Amiri" w:eastAsia="Amiri" w:cs="Amiri"/>
          <w:lang w:bidi="ar-SA"/>
          <w:color w:val="111111"/>
          <w:sz w:val="28"/>
          <w:szCs w:val="28"/>
          <w:rtl/>
        </w:rPr>
        <w:t xml:space="preserve">قلت: يجوز إيراد الحكمين على</w:t>
      </w:r>
      <w:r>
        <w:rPr>
          <w:rStyle w:val="FootnoteReference"/>
        </w:rPr>
        <w:footnoteReference w:id="1476"/>
      </w:r>
      <w:r>
        <w:rPr>
          <w:rFonts w:ascii="Amiri" w:hAnsi="Amiri" w:eastAsia="Amiri" w:cs="Amiri"/>
          <w:lang w:bidi="ar-SA"/>
          <w:color w:val="111111"/>
          <w:sz w:val="28"/>
          <w:szCs w:val="28"/>
          <w:rtl/>
        </w:rPr>
        <w:t xml:space="preserve">الطبيعة بوصف</w:t>
      </w:r>
      <w:r>
        <w:rPr>
          <w:rStyle w:val="FootnoteReference"/>
        </w:rPr>
        <w:footnoteReference w:id="1477"/>
      </w:r>
      <w:r>
        <w:rPr>
          <w:rFonts w:ascii="Amiri" w:hAnsi="Amiri" w:eastAsia="Amiri" w:cs="Amiri"/>
          <w:lang w:bidi="ar-SA"/>
          <w:color w:val="111111"/>
          <w:sz w:val="28"/>
          <w:szCs w:val="28"/>
          <w:rtl/>
        </w:rPr>
        <w:t xml:space="preserve">كونها أمراً واحداً وذلك إذا أخذت في المقامين من حيث هي هي</w:t>
      </w:r>
      <w:r>
        <w:rPr>
          <w:rStyle w:val="FootnoteReference"/>
        </w:rPr>
        <w:footnoteReference w:id="1478"/>
      </w:r>
    </w:p>
    <w:p>
      <w:pPr>
        <w:pStyle w:val="BookText"/>
      </w:pPr>
      <w:r>
        <w:rPr>
          <w:rFonts w:ascii="IRNazanin" w:hAnsi="IRNazanin" w:eastAsia="IRNazanin" w:cs="IRNazanin"/>
          <w:lang w:bidi="fa-IR"/>
          <w:color w:val="111111"/>
          <w:sz w:val="28"/>
          <w:szCs w:val="28"/>
          <w:rtl/>
        </w:rPr>
        <w:t xml:space="preserve">وإن شئت التطبيق على المقام نقول: إنّ الإهمال معتبر في الوجود والعدم یعني يجوز أن یتّصف الطبيعة من حيث هي هي بالوجود والعدم أو الحكمين أحدهما وجودي والآخر عدمي إذا أخذا في الجملة فكما</w:t>
      </w:r>
      <w:r>
        <w:rPr>
          <w:rStyle w:val="FootnoteReference"/>
        </w:rPr>
        <w:footnoteReference w:id="1479"/>
      </w:r>
      <w:r>
        <w:rPr>
          <w:rFonts w:ascii="Amiri" w:hAnsi="Amiri" w:eastAsia="Amiri" w:cs="Amiri"/>
          <w:lang w:bidi="ar-SA"/>
          <w:color w:val="111111"/>
          <w:sz w:val="28"/>
          <w:szCs w:val="28"/>
          <w:rtl/>
        </w:rPr>
        <w:t xml:space="preserve">يمكن</w:t>
      </w:r>
      <w:r>
        <w:rPr>
          <w:rStyle w:val="FootnoteReference"/>
        </w:rPr>
        <w:footnoteReference w:id="1480"/>
      </w:r>
      <w:r>
        <w:rPr>
          <w:rFonts w:ascii="IRNazanin" w:hAnsi="IRNazanin" w:eastAsia="IRNazanin" w:cs="IRNazanin"/>
          <w:lang w:bidi="fa-IR"/>
          <w:color w:val="111111"/>
          <w:sz w:val="28"/>
          <w:szCs w:val="28"/>
          <w:rtl/>
        </w:rPr>
        <w:t xml:space="preserve">اعتبار الإهمال في الطّبيعة كذا اعتباره في الحكمين الواردين عليها أیضاً. فتدبّر.</w:t>
      </w:r>
    </w:p>
    <w:p>
      <w:pPr>
        <w:pStyle w:val="Heading6"/>
      </w:pPr>
      <w:bookmarkStart w:id="704" w:name="_Toc385"/>
      <w:r>
        <w:t>[في الاستدلال على الاجتماع بتداخل الأغسال]</w:t>
      </w:r>
      <w:bookmarkEnd w:id="704"/>
    </w:p>
    <w:p>
      <w:pPr>
        <w:pStyle w:val="BookText"/>
      </w:pPr>
      <w:r>
        <w:rPr>
          <w:rFonts w:ascii="Amiri" w:hAnsi="Amiri" w:eastAsia="Amiri" w:cs="Amiri"/>
          <w:lang w:bidi="ar-SA"/>
          <w:color w:val="111111"/>
          <w:sz w:val="28"/>
          <w:szCs w:val="28"/>
          <w:rtl/>
        </w:rPr>
        <w:t xml:space="preserve">ومن تلك الموارد:</w:t>
      </w:r>
    </w:p>
    <w:p>
      <w:pPr>
        <w:pStyle w:val="BookText"/>
      </w:pPr>
      <w:r>
        <w:rPr>
          <w:rFonts w:ascii="IRNazanin" w:hAnsi="IRNazanin" w:eastAsia="IRNazanin" w:cs="IRNazanin"/>
          <w:lang w:bidi="fa-IR"/>
          <w:color w:val="111111"/>
          <w:sz w:val="28"/>
          <w:szCs w:val="28"/>
          <w:rtl/>
        </w:rPr>
        <w:t xml:space="preserve">تداخل الأغسال والوضوءات واجباتها ومندوباتها ومختلفاتها والاستدلال بها مبنيّ على جعلها حقائق مختلفة: إمّا مع قطع النظر عن النية أیضاً وحينئذٍ يكون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النية على القاعدة وتكون</w:t>
      </w:r>
      <w:r>
        <w:rPr>
          <w:rStyle w:val="FootnoteReference"/>
        </w:rPr>
        <w:footnoteReference w:id="1481"/>
      </w:r>
      <w:r>
        <w:rPr>
          <w:rFonts w:ascii="Amiri" w:hAnsi="Amiri" w:eastAsia="Amiri" w:cs="Amiri"/>
          <w:lang w:bidi="ar-SA"/>
          <w:color w:val="111111"/>
          <w:sz w:val="28"/>
          <w:szCs w:val="28"/>
          <w:rtl/>
        </w:rPr>
        <w:t xml:space="preserve">متصادقة في مورد الاجتماع ويستكشف ذلك عن أدلّة</w:t>
      </w:r>
      <w:r>
        <w:rPr>
          <w:rStyle w:val="FootnoteReference"/>
        </w:rPr>
        <w:footnoteReference w:id="1482"/>
      </w:r>
      <w:r>
        <w:rPr>
          <w:rFonts w:ascii="IRNazanin" w:hAnsi="IRNazanin" w:eastAsia="IRNazanin" w:cs="IRNazanin"/>
          <w:lang w:bidi="fa-IR"/>
          <w:color w:val="111111"/>
          <w:sz w:val="28"/>
          <w:szCs w:val="28"/>
          <w:rtl/>
        </w:rPr>
        <w:t xml:space="preserve">التداخل، وإمّا مع ملاحظة النية بأن يكون حقیقة الغسل واحدة لكن يكون المعتبر في کلّ غسل قصد خصوصيّة عنوان السّبب فيكون مغايرتها بلحاظ النية وعنوان الإتیان بها جمعة أو جنابة، فالمأتي به بقصد الأمرين أو الأمور مورد الاجتماع.</w:t>
      </w:r>
    </w:p>
    <w:p>
      <w:pPr>
        <w:pStyle w:val="BookText"/>
      </w:pPr>
      <w:r>
        <w:rPr>
          <w:rFonts w:ascii="IRNazanin" w:hAnsi="IRNazanin" w:eastAsia="IRNazanin" w:cs="IRNazanin"/>
          <w:lang w:bidi="fa-IR"/>
          <w:color w:val="111111"/>
          <w:sz w:val="28"/>
          <w:szCs w:val="28"/>
          <w:rtl/>
        </w:rPr>
        <w:t xml:space="preserve">وأمّا إذا جعلنا حقیقتها واحدة وجعلنا التداخل قهرياً ولم نعتبر قصد العنوان أیضاً بأن تكون</w:t>
      </w:r>
      <w:r>
        <w:rPr>
          <w:rStyle w:val="FootnoteReference"/>
        </w:rPr>
        <w:footnoteReference w:id="1483"/>
      </w:r>
      <w:r>
        <w:rPr>
          <w:rFonts w:ascii="IRNazanin" w:hAnsi="IRNazanin" w:eastAsia="IRNazanin" w:cs="IRNazanin"/>
          <w:lang w:bidi="fa-IR"/>
          <w:color w:val="111111"/>
          <w:sz w:val="28"/>
          <w:szCs w:val="28"/>
          <w:rtl/>
        </w:rPr>
        <w:t xml:space="preserve">الجنابة مثلاً سبباً لوجوب الغسل والحيض كذلك وهكذا كما في أسباب الوضوء فالمجوّز أیضاً يحتاج إلى التأویل والتوجيه.</w:t>
      </w:r>
    </w:p>
    <w:p>
      <w:pPr>
        <w:pStyle w:val="BookText"/>
      </w:pPr>
      <w:r>
        <w:rPr>
          <w:rFonts w:ascii="IRNazanin" w:hAnsi="IRNazanin" w:eastAsia="IRNazanin" w:cs="IRNazanin"/>
          <w:lang w:bidi="fa-IR"/>
          <w:color w:val="111111"/>
          <w:sz w:val="28"/>
          <w:szCs w:val="28"/>
          <w:rtl/>
        </w:rPr>
        <w:t xml:space="preserve">وذلك لأنّه إنّما يجوز الاجتماع مع تعدّد الجهة بحيث يكون مورد کلّ من الطلبين غير الآخر ولا يكفيه تعدّد العلة والجهة التعلیليّة، وحينئذٍ نقول: الظاهر أنّ حقائقها متغايرة.</w:t>
      </w:r>
    </w:p>
    <w:p>
      <w:pPr>
        <w:pStyle w:val="BookText"/>
      </w:pPr>
      <w:r>
        <w:rPr>
          <w:rFonts w:ascii="IRNazanin" w:hAnsi="IRNazanin" w:eastAsia="IRNazanin" w:cs="IRNazanin"/>
          <w:lang w:bidi="fa-IR"/>
          <w:color w:val="111111"/>
          <w:sz w:val="28"/>
          <w:szCs w:val="28"/>
          <w:rtl/>
        </w:rPr>
        <w:t xml:space="preserve">وذلك لظهور إجماعهم على اعتبار النية عن الجميع في التداخل وأنّه يجوز التعدّد بأفراد کلّ بنية، ولظاهر قوله (علیه‌السلام): «إذا اجتمعت لله</w:t>
      </w:r>
      <w:r>
        <w:rPr>
          <w:rStyle w:val="FootnoteReference"/>
        </w:rPr>
        <w:footnoteReference w:id="1484"/>
      </w:r>
      <w:r>
        <w:rPr>
          <w:rFonts w:ascii="Amiri" w:hAnsi="Amiri" w:eastAsia="Amiri" w:cs="Amiri"/>
          <w:lang w:bidi="ar-SA"/>
          <w:color w:val="111111"/>
          <w:sz w:val="28"/>
          <w:szCs w:val="28"/>
          <w:rtl/>
        </w:rPr>
        <w:t xml:space="preserve">عليك حقوق»</w:t>
      </w:r>
      <w:r>
        <w:rPr>
          <w:rStyle w:val="FootnoteReference"/>
        </w:rPr>
        <w:footnoteReference w:id="1485"/>
      </w:r>
      <w:r>
        <w:rPr>
          <w:rFonts w:ascii="IRNazanin" w:hAnsi="IRNazanin" w:eastAsia="IRNazanin" w:cs="IRNazanin"/>
          <w:lang w:bidi="fa-IR"/>
          <w:color w:val="111111"/>
          <w:sz w:val="28"/>
          <w:szCs w:val="28"/>
          <w:rtl/>
        </w:rPr>
        <w:t xml:space="preserve">وقوله (علیه‌السلام) «أجزأك عنها غسل واحد»</w:t>
      </w:r>
      <w:r>
        <w:rPr>
          <w:rStyle w:val="FootnoteReference"/>
        </w:rPr>
        <w:footnoteReference w:id="1486"/>
      </w:r>
      <w:r>
        <w:rPr>
          <w:rFonts w:ascii="IRNazanin" w:hAnsi="IRNazanin" w:eastAsia="IRNazanin" w:cs="IRNazanin"/>
          <w:lang w:bidi="fa-IR"/>
          <w:color w:val="111111"/>
          <w:sz w:val="28"/>
          <w:szCs w:val="28"/>
          <w:rtl/>
        </w:rPr>
        <w:t xml:space="preserve">فإنّ كونها حقوقاً وكون الاكتفاء بواحد على وجه الإجزاء دالّان على التعدّد والتغاير، ولظاهر قوله (علیه‌السلام) «کلّ غسل قبله وضوء</w:t>
      </w:r>
      <w:r>
        <w:rPr>
          <w:rStyle w:val="FootnoteReference"/>
        </w:rPr>
        <w:footnoteReference w:id="1487"/>
      </w:r>
      <w:r>
        <w:rPr>
          <w:rFonts w:ascii="Amiri" w:hAnsi="Amiri" w:eastAsia="Amiri" w:cs="Amiri"/>
          <w:lang w:bidi="ar-SA"/>
          <w:color w:val="111111"/>
          <w:sz w:val="28"/>
          <w:szCs w:val="28"/>
          <w:rtl/>
        </w:rPr>
        <w:t xml:space="preserve">إلّا غسل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الجنابة»</w:t>
      </w:r>
      <w:r>
        <w:rPr>
          <w:rStyle w:val="FootnoteReference"/>
        </w:rPr>
        <w:footnoteReference w:id="1488"/>
      </w:r>
      <w:r>
        <w:rPr>
          <w:rFonts w:ascii="IRNazanin" w:hAnsi="IRNazanin" w:eastAsia="IRNazanin" w:cs="IRNazanin"/>
          <w:lang w:bidi="fa-IR"/>
          <w:color w:val="111111"/>
          <w:sz w:val="28"/>
          <w:szCs w:val="28"/>
          <w:rtl/>
        </w:rPr>
        <w:t xml:space="preserve">فإنّ مقتضاه تعدّد الأغسال وتغايرها، وأیضاً هو ظاهر الإضافة إلى العناوين المذكورة في کلمات العلماء والأخبار كقولهم «غسل الجنابة» و«غسل الحيض» ونحو</w:t>
      </w:r>
      <w:r>
        <w:rPr>
          <w:rStyle w:val="FootnoteReference"/>
        </w:rPr>
        <w:footnoteReference w:id="1489"/>
      </w:r>
      <w:r>
        <w:rPr>
          <w:rFonts w:ascii="Amiri" w:hAnsi="Amiri" w:eastAsia="Amiri" w:cs="Amiri"/>
          <w:lang w:bidi="ar-SA"/>
          <w:color w:val="111111"/>
          <w:sz w:val="28"/>
          <w:szCs w:val="28"/>
          <w:rtl/>
        </w:rPr>
        <w:t xml:space="preserve">ذلك ولو كانت واحدة</w:t>
      </w:r>
      <w:r>
        <w:rPr>
          <w:rStyle w:val="FootnoteReference"/>
        </w:rPr>
        <w:footnoteReference w:id="1490"/>
      </w:r>
      <w:r>
        <w:rPr>
          <w:rFonts w:ascii="Amiri" w:hAnsi="Amiri" w:eastAsia="Amiri" w:cs="Amiri"/>
          <w:lang w:bidi="ar-SA"/>
          <w:color w:val="111111"/>
          <w:sz w:val="28"/>
          <w:szCs w:val="28"/>
          <w:rtl/>
        </w:rPr>
        <w:t xml:space="preserve">كانت مثل الوضوء حيث لايقال: «وضوء النوم» و«وضوء البول»، وغير ذلك.</w:t>
      </w:r>
    </w:p>
    <w:p>
      <w:pPr>
        <w:pStyle w:val="BookText"/>
      </w:pPr>
      <w:r>
        <w:rPr>
          <w:rFonts w:ascii="IRNazanin" w:hAnsi="IRNazanin" w:eastAsia="IRNazanin" w:cs="IRNazanin"/>
          <w:lang w:bidi="fa-IR"/>
          <w:color w:val="111111"/>
          <w:sz w:val="28"/>
          <w:szCs w:val="28"/>
          <w:rtl/>
        </w:rPr>
        <w:t xml:space="preserve">فهذه الأمور دالّة إمّا على تعدّد حقائقها بما عدا النية أیضاً غاية الأمر كونها متصادقة من جهة الكشف عن أخبار التداخل، وإمّا على تعدّدها بملاحظة النيّة وأنّه ليس التداخل قهرياً بحيث يكون أسباب الغسل كأسباب الوضوء فيكون التداخل المذكور دليلاً على جواز اجتماع الحكمين من المثلين أو الضدّين.</w:t>
      </w:r>
    </w:p>
    <w:p>
      <w:pPr>
        <w:pStyle w:val="BookText"/>
      </w:pPr>
      <w:r>
        <w:rPr>
          <w:rFonts w:ascii="IRNazanin" w:hAnsi="IRNazanin" w:eastAsia="IRNazanin" w:cs="IRNazanin"/>
          <w:lang w:bidi="fa-IR"/>
          <w:color w:val="111111"/>
          <w:sz w:val="28"/>
          <w:szCs w:val="28"/>
          <w:rtl/>
        </w:rPr>
        <w:t xml:space="preserve">ولو فرض كون التداخل في بعض المقامات قهرياً فنحن أیضاً نلتزم بالتأویل لما مرّ من عدم جواز الاجتماع مع عدم</w:t>
      </w:r>
      <w:r>
        <w:rPr>
          <w:rStyle w:val="FootnoteReference"/>
        </w:rPr>
        <w:footnoteReference w:id="1491"/>
      </w:r>
      <w:r>
        <w:rPr>
          <w:rFonts w:ascii="Amiri" w:hAnsi="Amiri" w:eastAsia="Amiri" w:cs="Amiri"/>
          <w:lang w:bidi="ar-SA"/>
          <w:color w:val="111111"/>
          <w:sz w:val="28"/>
          <w:szCs w:val="28"/>
          <w:rtl/>
        </w:rPr>
        <w:t xml:space="preserve">تعدّد</w:t>
      </w:r>
      <w:r>
        <w:rPr>
          <w:rStyle w:val="FootnoteReference"/>
        </w:rPr>
        <w:footnoteReference w:id="1492"/>
      </w:r>
      <w:r>
        <w:rPr>
          <w:rFonts w:ascii="IRNazanin" w:hAnsi="IRNazanin" w:eastAsia="IRNazanin" w:cs="IRNazanin"/>
          <w:lang w:bidi="fa-IR"/>
          <w:color w:val="111111"/>
          <w:sz w:val="28"/>
          <w:szCs w:val="28"/>
          <w:rtl/>
        </w:rPr>
        <w:t xml:space="preserve">الجهة التقييدية، فنقول: إنّه إمّا محمول على التداخل السّببي ولا إشکال لعدم</w:t>
      </w:r>
      <w:r>
        <w:rPr>
          <w:rStyle w:val="FootnoteReference"/>
        </w:rPr>
        <w:footnoteReference w:id="1493"/>
      </w:r>
      <w:r>
        <w:rPr>
          <w:rFonts w:ascii="Amiri" w:hAnsi="Amiri" w:eastAsia="Amiri" w:cs="Amiri"/>
          <w:lang w:bidi="ar-SA"/>
          <w:color w:val="111111"/>
          <w:sz w:val="28"/>
          <w:szCs w:val="28"/>
          <w:rtl/>
        </w:rPr>
        <w:t xml:space="preserve">الاجتماع حينئذٍ أو على التأكّد إذا كان من التداخل المسبّبي إذا جوّزنا ذلك في التداخل القهري ويكفينا في الاستدلال حينئذٍ بحث الأغسال لما استظهرنا من تعدّد حقائقها بأحد الوجهين.</w:t>
      </w:r>
    </w:p>
    <w:p>
      <w:pPr>
        <w:pStyle w:val="BookText"/>
      </w:pPr>
      <w:r>
        <w:rPr>
          <w:rFonts w:ascii="IRNazanin" w:hAnsi="IRNazanin" w:eastAsia="IRNazanin" w:cs="IRNazanin"/>
          <w:lang w:bidi="fa-IR"/>
          <w:color w:val="111111"/>
          <w:sz w:val="28"/>
          <w:szCs w:val="28"/>
          <w:rtl/>
        </w:rPr>
        <w:t xml:space="preserve">هذا وأمّا على مذهب المانعين فلا بدّ من التأویل في جميع الموارد والأصوب حينئذٍ أن يقال: إنّ التداخل على قسمين: التداخل السّببي والتداخل المسبّبي.</w:t>
      </w:r>
    </w:p>
    <w:p>
      <w:pPr>
        <w:pStyle w:val="BookText"/>
      </w:pPr>
      <w:r>
        <w:rPr>
          <w:rFonts w:ascii="IRNazanin" w:hAnsi="IRNazanin" w:eastAsia="IRNazanin" w:cs="IRNazanin"/>
          <w:lang w:bidi="fa-IR"/>
          <w:color w:val="111111"/>
          <w:sz w:val="28"/>
          <w:szCs w:val="28"/>
          <w:rtl/>
        </w:rPr>
        <w:t xml:space="preserve">والمراد بالأوّل ما يكون الأسباب فيه بمنزلة سبب واحد وذلك بأن يكون المسبّب من الأحکام الغير القابلة للتكرار أو التأكيد كما في أسباب الطهارة والنّجاسة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والحدث ونحوها من الأحکام الوضعية.</w:t>
      </w:r>
    </w:p>
    <w:p>
      <w:pPr>
        <w:pStyle w:val="BookText"/>
      </w:pPr>
      <w:r>
        <w:rPr>
          <w:rFonts w:ascii="IRNazanin" w:hAnsi="IRNazanin" w:eastAsia="IRNazanin" w:cs="IRNazanin"/>
          <w:lang w:bidi="fa-IR"/>
          <w:color w:val="111111"/>
          <w:sz w:val="28"/>
          <w:szCs w:val="28"/>
          <w:rtl/>
        </w:rPr>
        <w:t xml:space="preserve">فإنّ الأسباب لو تواردت يكون الثاني لغواً غير مؤثر ولو وجدت دفعة كانت مشتركة في التأثير أو يكون المسبّب قابلاً للتكرار أو التأكيد ولكن كان متفرّعاً على ما لم يقبل ذلك بأن يكون ثبوته باعتباره كأسباب وجوب الوضوء فإنّه وإن کان قابلاً للتأكّد والتكرار إلّا أنّ ثبوته إنّما هو بلحاظ المحدثية ووجوب رفع الحدث الّذي لا يقبل التأكّد والتكرّر</w:t>
      </w:r>
      <w:r>
        <w:rPr>
          <w:rStyle w:val="FootnoteReference"/>
        </w:rPr>
        <w:footnoteReference w:id="1494"/>
      </w:r>
    </w:p>
    <w:p>
      <w:pPr>
        <w:pStyle w:val="BookText"/>
      </w:pPr>
      <w:r>
        <w:rPr>
          <w:rFonts w:ascii="IRNazanin" w:hAnsi="IRNazanin" w:eastAsia="IRNazanin" w:cs="IRNazanin"/>
          <w:lang w:bidi="fa-IR"/>
          <w:color w:val="111111"/>
          <w:sz w:val="28"/>
          <w:szCs w:val="28"/>
          <w:rtl/>
        </w:rPr>
        <w:t xml:space="preserve">وفي الحقيقة هذا أیضاً راجع إلى السّابق لأنّ الموجبات مثبتات للحدث وهو موجب للوضوء أو يكون المسبّب قابلاً للأمرين ولكن علم كون السّبب هو القدرالمشترك بين الأسباب كما إذا قلنا إنّ أسباب الوضوء أسباب له من غير توسّط إيجابها الحدث فإنّ الظاهر أنّ السّبب هو القدر المشترك بينها.</w:t>
      </w:r>
    </w:p>
    <w:p>
      <w:pPr>
        <w:pStyle w:val="BookText"/>
      </w:pPr>
      <w:r>
        <w:rPr>
          <w:rFonts w:ascii="Amiri" w:hAnsi="Amiri" w:eastAsia="Amiri" w:cs="Amiri"/>
          <w:lang w:bidi="ar-SA"/>
          <w:color w:val="111111"/>
          <w:sz w:val="28"/>
          <w:szCs w:val="28"/>
          <w:rtl/>
        </w:rPr>
        <w:t xml:space="preserve">وقد يتخيّل أنّه إذا كان المسبّب مفهوماً واحداً فهو من التداخل السّببي لا محالة أو لا يكون من التداخل أصلاً؛ إذ لا يعقل كونه من التداخل</w:t>
      </w:r>
      <w:r>
        <w:rPr>
          <w:rStyle w:val="FootnoteReference"/>
        </w:rPr>
        <w:footnoteReference w:id="1495"/>
      </w:r>
      <w:r>
        <w:rPr>
          <w:rFonts w:ascii="Amiri" w:hAnsi="Amiri" w:eastAsia="Amiri" w:cs="Amiri"/>
          <w:lang w:bidi="ar-SA"/>
          <w:color w:val="111111"/>
          <w:sz w:val="28"/>
          <w:szCs w:val="28"/>
          <w:rtl/>
        </w:rPr>
        <w:t xml:space="preserve">المسبّبي؛ وذلك لأنّه إذا فرض وحدة المفهوم فالسّبب الموجود أوّلاً أفاد تحقّقه فالّذي يوجد بعد ذلك إمّا يكون لغواً أو يوجب إيجاده في ضمن فرد غير الفرد الّذي أوجبه الأوّل. فعلى الثاني لا يكون من التداخل؛ إذ لا يعقل اتّحاد الفردين من ماهيّة واحدة، وعلى الأوّل فيكون من تداخل السّبب وكونه هو القدر المشترك.</w:t>
      </w:r>
    </w:p>
    <w:p>
      <w:pPr>
        <w:pStyle w:val="BookText"/>
      </w:pPr>
      <w:r>
        <w:rPr>
          <w:rFonts w:ascii="Amiri" w:hAnsi="Amiri" w:eastAsia="Amiri" w:cs="Amiri"/>
          <w:lang w:bidi="ar-SA"/>
          <w:color w:val="111111"/>
          <w:sz w:val="28"/>
          <w:szCs w:val="28"/>
          <w:rtl/>
        </w:rPr>
        <w:t xml:space="preserve">وفيه: منع ذلك؛ إذ يمكن أن يكون السبب</w:t>
      </w:r>
      <w:r>
        <w:rPr>
          <w:rStyle w:val="FootnoteReference"/>
        </w:rPr>
        <w:footnoteReference w:id="1496"/>
      </w:r>
      <w:r>
        <w:rPr>
          <w:rFonts w:ascii="IRNazanin" w:hAnsi="IRNazanin" w:eastAsia="IRNazanin" w:cs="IRNazanin"/>
          <w:lang w:bidi="fa-IR"/>
          <w:color w:val="111111"/>
          <w:sz w:val="28"/>
          <w:szCs w:val="28"/>
          <w:rtl/>
        </w:rPr>
        <w:t xml:space="preserve">الثاني أیضاً مقتضياً لوجود ذلك المفهوم من غير أوْله إلى إرادة فرد آخر ويكون لازمه تأكّد المسبّب إذا فرض كونه قابلاً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ففي أسباب الوضوء إذا فرض عدم توسّط الحدث وأنّها أسباب الوضوء</w:t>
      </w:r>
      <w:r>
        <w:rPr>
          <w:rStyle w:val="FootnoteReference"/>
        </w:rPr>
        <w:footnoteReference w:id="1497"/>
      </w:r>
      <w:r>
        <w:rPr>
          <w:rFonts w:ascii="Amiri" w:hAnsi="Amiri" w:eastAsia="Amiri" w:cs="Amiri"/>
          <w:lang w:bidi="ar-SA"/>
          <w:color w:val="111111"/>
          <w:sz w:val="28"/>
          <w:szCs w:val="28"/>
          <w:rtl/>
        </w:rPr>
        <w:t xml:space="preserve">تعبّداً لا من جهة كونها موجبة للحدث وفرض عدم العلم بأنّ السبب هو القدر المشترك نقول بتأكّد الوجوب كما نقول</w:t>
      </w:r>
      <w:r>
        <w:rPr>
          <w:rStyle w:val="FootnoteReference"/>
        </w:rPr>
        <w:footnoteReference w:id="1498"/>
      </w:r>
      <w:r>
        <w:rPr>
          <w:rFonts w:ascii="Amiri" w:hAnsi="Amiri" w:eastAsia="Amiri" w:cs="Amiri"/>
          <w:lang w:bidi="ar-SA"/>
          <w:color w:val="111111"/>
          <w:sz w:val="28"/>
          <w:szCs w:val="28"/>
          <w:rtl/>
        </w:rPr>
        <w:t xml:space="preserve">بذلك بالنسبة إلى غاياته فإنّه</w:t>
      </w:r>
      <w:r>
        <w:rPr>
          <w:rStyle w:val="FootnoteReference"/>
        </w:rPr>
        <w:footnoteReference w:id="1499"/>
      </w:r>
      <w:r>
        <w:rPr>
          <w:rFonts w:ascii="IRNazanin" w:hAnsi="IRNazanin" w:eastAsia="IRNazanin" w:cs="IRNazanin"/>
          <w:lang w:bidi="fa-IR"/>
          <w:color w:val="111111"/>
          <w:sz w:val="28"/>
          <w:szCs w:val="28"/>
          <w:rtl/>
        </w:rPr>
        <w:t xml:space="preserve">من باب تداخل المسبب.</w:t>
      </w:r>
    </w:p>
    <w:p>
      <w:pPr>
        <w:pStyle w:val="BookText"/>
      </w:pPr>
      <w:r>
        <w:rPr>
          <w:rFonts w:ascii="Amiri" w:hAnsi="Amiri" w:eastAsia="Amiri" w:cs="Amiri"/>
          <w:lang w:bidi="ar-SA"/>
          <w:color w:val="111111"/>
          <w:sz w:val="28"/>
          <w:szCs w:val="28"/>
          <w:rtl/>
        </w:rPr>
        <w:t xml:space="preserve">ولا وجه لما ذكره المحقّق الانصاري (قدس‌سره) في كتاب الطهارة من جعلها من باب التداخل السّببي حيث قال: «وكما لا تداخل في الوضوء بالنسبة إلى أسبابه كذا لا تداخل بالنسبة إلى غاياته بل الوضوء فعل واحد يطلب لأمور متعدّدة يترتّب جميعها على رفع الحدث بالوضوء ولا فرق بين الأسباب الواجبة والمندوبة والملفّقة».</w:t>
      </w:r>
      <w:r>
        <w:rPr>
          <w:rStyle w:val="FootnoteReference"/>
        </w:rPr>
        <w:footnoteReference w:id="1500"/>
      </w:r>
      <w:r>
        <w:rPr>
          <w:rFonts w:ascii="IRNazanin" w:hAnsi="IRNazanin" w:eastAsia="IRNazanin" w:cs="IRNazanin"/>
          <w:lang w:bidi="fa-IR"/>
          <w:color w:val="111111"/>
          <w:sz w:val="28"/>
          <w:szCs w:val="28"/>
          <w:rtl/>
        </w:rPr>
        <w:t xml:space="preserve">انتهى.</w:t>
      </w:r>
    </w:p>
    <w:p>
      <w:pPr>
        <w:pStyle w:val="BookText"/>
      </w:pPr>
      <w:r>
        <w:rPr>
          <w:rFonts w:ascii="IRNazanin" w:hAnsi="IRNazanin" w:eastAsia="IRNazanin" w:cs="IRNazanin"/>
          <w:lang w:bidi="fa-IR"/>
          <w:color w:val="111111"/>
          <w:sz w:val="28"/>
          <w:szCs w:val="28"/>
          <w:rtl/>
        </w:rPr>
        <w:t xml:space="preserve">ومراده من عدم التداخل بالنسبة إلى الأسباب عدم التداخل المسببي كما لايخفى وإلّا فلا إشکال في كونها من التداخل السببي.وبالجملة فلا ينبغي التأمّل في الفرق بين الأسباب والغايات؛ إذ مجرّد كونها مترتّبة على رفع الحدث لا يقتضي عدم تعدّد المسبّب وعدم تداخله؛ إذ غاية الأمر أنّه يجب عنوان رفع الحدث متأكّداً فإنّ الوجوب قابل للتأكّد سواء كان وجوب الوضوء أو وجوب رفع الحدث.</w:t>
      </w:r>
    </w:p>
    <w:p>
      <w:pPr>
        <w:pStyle w:val="BookText"/>
      </w:pPr>
      <w:r>
        <w:rPr>
          <w:rFonts w:ascii="IRNazanin" w:hAnsi="IRNazanin" w:eastAsia="IRNazanin" w:cs="IRNazanin"/>
          <w:lang w:bidi="fa-IR"/>
          <w:color w:val="111111"/>
          <w:sz w:val="28"/>
          <w:szCs w:val="28"/>
          <w:rtl/>
        </w:rPr>
        <w:t xml:space="preserve">والحاصل: أنّ مجرّد اتّحاد المفهوم لا يقتضي كون التداخل على فرضه سببياً بل يقبل كونه مسببياً أیضاً إلّا أن يعلم أنّ السبب هو القدر المشترك أو لم يكن المسبب قابلاً للتأكّد والتكرّر</w:t>
      </w:r>
      <w:r>
        <w:rPr>
          <w:rStyle w:val="FootnoteReference"/>
        </w:rPr>
        <w:footnoteReference w:id="1501"/>
      </w:r>
    </w:p>
    <w:p>
      <w:pPr>
        <w:pStyle w:val="BookText"/>
      </w:pPr>
      <w:r>
        <w:rPr>
          <w:rFonts w:ascii="IRNazanin" w:hAnsi="IRNazanin" w:eastAsia="IRNazanin" w:cs="IRNazanin"/>
          <w:lang w:bidi="fa-IR"/>
          <w:color w:val="111111"/>
          <w:sz w:val="28"/>
          <w:szCs w:val="28"/>
          <w:rtl/>
        </w:rPr>
        <w:t xml:space="preserve">هذا والمراد من التداخل المسبّبي أن يكون اقتضاء کلّ من السّببين محرزاً وكان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المسببين تصادق أو كان المسبب مفهوماً واحداً على ما ذكرنا كما في الأغسال وما مرّ من الوضوء بالنسبة إلى غاياته أو إلى أسبابه على الفرض الّذي ذكرنا.</w:t>
      </w:r>
    </w:p>
    <w:p>
      <w:pPr>
        <w:pStyle w:val="BookText"/>
      </w:pPr>
      <w:r>
        <w:rPr>
          <w:rFonts w:ascii="IRNazanin" w:hAnsi="IRNazanin" w:eastAsia="IRNazanin" w:cs="IRNazanin"/>
          <w:lang w:bidi="fa-IR"/>
          <w:color w:val="111111"/>
          <w:sz w:val="28"/>
          <w:szCs w:val="28"/>
          <w:rtl/>
        </w:rPr>
        <w:t xml:space="preserve">إذا عرفت ذلك فنقول: أمّا التداخل السّببي فلا إشکال فيه؛ إذ لم يجتمع فيه حكمان</w:t>
      </w:r>
      <w:r>
        <w:rPr>
          <w:rStyle w:val="FootnoteReference"/>
        </w:rPr>
        <w:footnoteReference w:id="1502"/>
      </w:r>
      <w:r>
        <w:rPr>
          <w:rFonts w:ascii="IRNazanin" w:hAnsi="IRNazanin" w:eastAsia="IRNazanin" w:cs="IRNazanin"/>
          <w:lang w:bidi="fa-IR"/>
          <w:color w:val="111111"/>
          <w:sz w:val="28"/>
          <w:szCs w:val="28"/>
          <w:rtl/>
        </w:rPr>
        <w:t xml:space="preserve">لا مثلان ولا ضدّان؛ لأنّ المفروض فيه أنّ السّبب الثاني لا يؤثر وإذا كانا دفعة فهما مشتركان في التاثير ولا يفيد تعدّدهما حينئذٍ التأكّد أیضاً وإن کان المحلّ قابلاً له؛ إذ بعد اتّحاد السّبب لا وجه للتأكّد أیضاً كما هو واضح وإذا وجد السبب الندبي أوّلاً ثم السّبب الوجوبي كالبول بعد الرعاف أو القيء فينقلب الحكم الندبي حكماً</w:t>
      </w:r>
      <w:r>
        <w:rPr>
          <w:rStyle w:val="FootnoteReference"/>
        </w:rPr>
        <w:footnoteReference w:id="1503"/>
      </w:r>
      <w:r>
        <w:rPr>
          <w:rFonts w:ascii="Amiri" w:hAnsi="Amiri" w:eastAsia="Amiri" w:cs="Amiri"/>
          <w:lang w:bidi="ar-SA"/>
          <w:color w:val="111111"/>
          <w:sz w:val="28"/>
          <w:szCs w:val="28"/>
          <w:rtl/>
        </w:rPr>
        <w:t xml:space="preserve">وجوبياً كما ينقلب المرتبة الضّعيفة</w:t>
      </w:r>
      <w:r>
        <w:rPr>
          <w:rStyle w:val="FootnoteReference"/>
        </w:rPr>
        <w:footnoteReference w:id="1504"/>
      </w:r>
      <w:r>
        <w:rPr>
          <w:rFonts w:ascii="IRNazanin" w:hAnsi="IRNazanin" w:eastAsia="IRNazanin" w:cs="IRNazanin"/>
          <w:lang w:bidi="fa-IR"/>
          <w:color w:val="111111"/>
          <w:sz w:val="28"/>
          <w:szCs w:val="28"/>
          <w:rtl/>
        </w:rPr>
        <w:t xml:space="preserve">من الحدث - إذا قلنا بأنّ القيء حدث ضعيف - مرتبة قويّة ويكون الأثر مستنداً إلى السّبب الثاني من غير تأكّد أیضاً لمكان الانقلاب دون التضاعف.</w:t>
      </w:r>
    </w:p>
    <w:p>
      <w:pPr>
        <w:pStyle w:val="BookText"/>
      </w:pPr>
      <w:r>
        <w:rPr>
          <w:rFonts w:ascii="Amiri" w:hAnsi="Amiri" w:eastAsia="Amiri" w:cs="Amiri"/>
          <w:lang w:bidi="ar-SA"/>
          <w:color w:val="111111"/>
          <w:sz w:val="28"/>
          <w:szCs w:val="28"/>
          <w:rtl/>
        </w:rPr>
        <w:t xml:space="preserve">وأمّا المسبّبي فنلتزم فيه بأنّ الموجود فيه هو</w:t>
      </w:r>
      <w:r>
        <w:rPr>
          <w:rStyle w:val="FootnoteReference"/>
        </w:rPr>
        <w:footnoteReference w:id="1505"/>
      </w:r>
      <w:r>
        <w:rPr>
          <w:rFonts w:ascii="IRNazanin" w:hAnsi="IRNazanin" w:eastAsia="IRNazanin" w:cs="IRNazanin"/>
          <w:lang w:bidi="fa-IR"/>
          <w:color w:val="111111"/>
          <w:sz w:val="28"/>
          <w:szCs w:val="28"/>
          <w:rtl/>
        </w:rPr>
        <w:t xml:space="preserve">وجوب واحد مؤكّد بملاحظة اقتضاء کلّ من السّببين، سواء كانا سببين للوجوب أو مختلفين وذلك الوجوب مستند إلى مجموع الجهتين فالأمر الموجود فيه أمر ثالث غير الأمرين؛ لأنّ کلّاً منهما مستندإلى إحدى الجهتين وهذا الأمر مستند إلى مجموعهما والفرد المجمع جنابة وحيض أو جنابة وجمعة مثلاً لكن جمعة متّصفة بالوجوب من حيث اتّحاده مع الجنابة ولا يكون مستحباً لعدم شمول الأمر الندبي له على ما هو المفروض ولا يضرّ كون الجمعة واجبة بالعرض كما قد تصير</w:t>
      </w:r>
      <w:r>
        <w:rPr>
          <w:rStyle w:val="FootnoteReference"/>
        </w:rPr>
        <w:footnoteReference w:id="1506"/>
      </w:r>
      <w:r>
        <w:rPr>
          <w:rFonts w:ascii="Amiri" w:hAnsi="Amiri" w:eastAsia="Amiri" w:cs="Amiri"/>
          <w:lang w:bidi="ar-SA"/>
          <w:color w:val="111111"/>
          <w:sz w:val="28"/>
          <w:szCs w:val="28"/>
          <w:rtl/>
        </w:rPr>
        <w:t xml:space="preserve">واجبة بالنذر.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الفرق أنّ في صورة النذر ينقلب الأمر الندبي وجوبياً فيكون وجوبه من حيث إنّه جمعة بخلاف المقام فإنّ وجوبه من حيث إنّه جنابة فغسل الجمعة يصير واجباً لكونه جنابة.</w:t>
      </w:r>
    </w:p>
    <w:p>
      <w:pPr>
        <w:pStyle w:val="BookText"/>
      </w:pPr>
      <w:r>
        <w:rPr>
          <w:rFonts w:ascii="Amiri" w:hAnsi="Amiri" w:eastAsia="Amiri" w:cs="Amiri"/>
          <w:lang w:bidi="ar-SA"/>
          <w:color w:val="111111"/>
          <w:sz w:val="28"/>
          <w:szCs w:val="28"/>
          <w:rtl/>
        </w:rPr>
        <w:t xml:space="preserve">ولا فرق فيما ذكرنا بين القول باختلاف الحقيقة والتصادق في مورد الاجتماع وبين القول باتّحاد الحقيقة وعدم المغايرة أصلاً بناءً على جعله من التداخل المسبّبي كما فرضنا.</w:t>
      </w:r>
    </w:p>
    <w:p>
      <w:pPr>
        <w:pStyle w:val="BookText"/>
      </w:pPr>
      <w:r>
        <w:rPr>
          <w:rFonts w:ascii="IRNazanin" w:hAnsi="IRNazanin" w:eastAsia="IRNazanin" w:cs="IRNazanin"/>
          <w:lang w:bidi="fa-IR"/>
          <w:color w:val="111111"/>
          <w:sz w:val="28"/>
          <w:szCs w:val="28"/>
          <w:rtl/>
        </w:rPr>
        <w:t xml:space="preserve">وعلى ما ذكرنا فلو أراد نية الوجه فعليه أن ينوي العنوانين مع نية الوجوب ولايجوز نية الندب ولو أراد الإتیان بالجمعة فقط فلا يمكن</w:t>
      </w:r>
      <w:r>
        <w:rPr>
          <w:rStyle w:val="FootnoteReference"/>
        </w:rPr>
        <w:footnoteReference w:id="1507"/>
      </w:r>
      <w:r>
        <w:rPr>
          <w:rFonts w:ascii="Amiri" w:hAnsi="Amiri" w:eastAsia="Amiri" w:cs="Amiri"/>
          <w:lang w:bidi="ar-SA"/>
          <w:color w:val="111111"/>
          <w:sz w:val="28"/>
          <w:szCs w:val="28"/>
          <w:rtl/>
        </w:rPr>
        <w:t xml:space="preserve">قصد الامتثال إذا قلنا إنّه معلّق على وجود الأمر بعنوانه الخاصّ لكن يمكنه</w:t>
      </w:r>
      <w:r>
        <w:rPr>
          <w:rStyle w:val="FootnoteReference"/>
        </w:rPr>
        <w:footnoteReference w:id="1508"/>
      </w:r>
      <w:r>
        <w:rPr>
          <w:rFonts w:ascii="IRNazanin" w:hAnsi="IRNazanin" w:eastAsia="IRNazanin" w:cs="IRNazanin"/>
          <w:lang w:bidi="fa-IR"/>
          <w:color w:val="111111"/>
          <w:sz w:val="28"/>
          <w:szCs w:val="28"/>
          <w:rtl/>
        </w:rPr>
        <w:t xml:space="preserve">قصد الأمر الوجوبي المتعلّق به لكنّه حينئذٍ قصد للجنابة أیضاً.</w:t>
      </w:r>
    </w:p>
    <w:p>
      <w:pPr>
        <w:pStyle w:val="BookText"/>
      </w:pPr>
      <w:r>
        <w:rPr>
          <w:rFonts w:ascii="IRNazanin" w:hAnsi="IRNazanin" w:eastAsia="IRNazanin" w:cs="IRNazanin"/>
          <w:lang w:bidi="fa-IR"/>
          <w:color w:val="111111"/>
          <w:sz w:val="28"/>
          <w:szCs w:val="28"/>
          <w:rtl/>
        </w:rPr>
        <w:t xml:space="preserve">ولو قلنا بالتداخل فيما لو قصد أحدهما أیضاً فبناء على جواز الاجتماع يكون متّصفاً بالوجوب والاستحباب إلّا أنّه لا يكون امتثالاً إلّا بالنسبة إلى الأمر الّذي قصده وبالنسبة إلى الآخر يكون أداءً لا امتثالاً فلو قصد الجنابة يكون امتثالاً لأمره وأداء لأمر الجمعة أیضاً.</w:t>
      </w:r>
    </w:p>
    <w:p>
      <w:pPr>
        <w:pStyle w:val="BookText"/>
      </w:pPr>
      <w:r>
        <w:rPr>
          <w:rFonts w:ascii="IRNazanin" w:hAnsi="IRNazanin" w:eastAsia="IRNazanin" w:cs="IRNazanin"/>
          <w:lang w:bidi="fa-IR"/>
          <w:color w:val="111111"/>
          <w:sz w:val="28"/>
          <w:szCs w:val="28"/>
          <w:rtl/>
        </w:rPr>
        <w:t xml:space="preserve">ودعوى أنّ كونه أداء فرع الإتیان به وهو فرع الامتثال المفروض عدمه؛ وذلك لأنّ المفروض أنّ غسل الجمعة من العبادات الموقوفة على قصد القربة والامتثال، فكيف يكون أداء مع عدم قصد أمر الجمعة؟!</w:t>
      </w:r>
    </w:p>
    <w:p>
      <w:pPr>
        <w:pStyle w:val="BookText"/>
      </w:pPr>
      <w:r>
        <w:rPr>
          <w:rFonts w:ascii="Amiri" w:hAnsi="Amiri" w:eastAsia="Amiri" w:cs="Amiri"/>
          <w:lang w:bidi="ar-SA"/>
          <w:color w:val="111111"/>
          <w:sz w:val="28"/>
          <w:szCs w:val="28"/>
          <w:rtl/>
        </w:rPr>
        <w:t xml:space="preserve">مدفوعة بأنّ القدر المتيقن من اعتبار القربة</w:t>
      </w:r>
      <w:r>
        <w:rPr>
          <w:rStyle w:val="FootnoteReference"/>
        </w:rPr>
        <w:footnoteReference w:id="1509"/>
      </w:r>
      <w:r>
        <w:rPr>
          <w:rFonts w:ascii="Amiri" w:hAnsi="Amiri" w:eastAsia="Amiri" w:cs="Amiri"/>
          <w:lang w:bidi="ar-SA"/>
          <w:color w:val="111111"/>
          <w:sz w:val="28"/>
          <w:szCs w:val="28"/>
          <w:rtl/>
        </w:rPr>
        <w:t xml:space="preserve">هو هذا المقدار ونمنع كون اللازمفي تحقّق العبادة القربة بلحاظ عنوانه الخاصّ فغسل الجمعة إنّما هو الارتماس في الماء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بقصد القربة وإن کان بلحاظ أمر الجنابة إذا فرض العلم بكون مصداقهما واحداً كما هو المفروض من جهة الاستكشاف عن أدلّة التداخل، وأمّا بناء على عدم جواز الاجتماع فهو متّصف بالوجوب ليس إلّا، إلّا</w:t>
      </w:r>
      <w:r>
        <w:rPr>
          <w:rStyle w:val="FootnoteReference"/>
        </w:rPr>
        <w:footnoteReference w:id="1510"/>
      </w:r>
      <w:r>
        <w:rPr>
          <w:rFonts w:ascii="IRNazanin" w:hAnsi="IRNazanin" w:eastAsia="IRNazanin" w:cs="IRNazanin"/>
          <w:lang w:bidi="fa-IR"/>
          <w:color w:val="111111"/>
          <w:sz w:val="28"/>
          <w:szCs w:val="28"/>
          <w:rtl/>
        </w:rPr>
        <w:t xml:space="preserve">أنّه لو نوى الأمر الوجوبي فلا إشکال ولو نوى الأمر الندبي فيشکل بناء على اعتبار قصد الأمر إلّا أنّه لو فرضنا قيام الدليل على أنّه لو قصد الجمعة فقط أیضاً یغني عن الجنابة فيكشف عن كفاية قصد الجهة في صحّة العمل ويكون حينئذٍ أداءً بالنسبة إلى الجنابة الغير المقصودة ويحتمل أن يكون من باب الإسقاط.</w:t>
      </w:r>
    </w:p>
    <w:p>
      <w:pPr>
        <w:pStyle w:val="BookText"/>
      </w:pPr>
      <w:r>
        <w:rPr>
          <w:rFonts w:ascii="IRNazanin" w:hAnsi="IRNazanin" w:eastAsia="IRNazanin" w:cs="IRNazanin"/>
          <w:lang w:bidi="fa-IR"/>
          <w:color w:val="111111"/>
          <w:sz w:val="28"/>
          <w:szCs w:val="28"/>
          <w:rtl/>
        </w:rPr>
        <w:t xml:space="preserve">هذا کلّه إذا قلنا بتضادّ الوجوب والاستحباب أیضاً كما في الحرمة والوجوب، وأمّا لوقلنا باختصاص التضادّ بغير صورة الاتّحاد في الجنس كما احتملنا سابقاً فعلى القول بالمنع أیضاً نقول باجتماعهما في المقام حسبما عرفت سابقاً حتّى في صورة اتّحاد العنوان لكفاية المغايرة من حيث السبب في جعل الحكمين.</w:t>
      </w:r>
    </w:p>
    <w:p>
      <w:pPr>
        <w:pStyle w:val="BookText"/>
      </w:pPr>
      <w:r>
        <w:rPr>
          <w:rFonts w:ascii="IRNazanin" w:hAnsi="IRNazanin" w:eastAsia="IRNazanin" w:cs="IRNazanin"/>
          <w:lang w:bidi="fa-IR"/>
          <w:color w:val="111111"/>
          <w:sz w:val="28"/>
          <w:szCs w:val="28"/>
          <w:rtl/>
        </w:rPr>
        <w:t xml:space="preserve">فیختصّ ما ذكرنا سابقاً - من عدم جواز اجتماع الوجوب والاستحباب في العنوان الواحد ولو قلنا بعدم المضادّة بينهما بناء على مذهب العدلية - بما إذا لم يختلفا في السبب بحيث يكون بين السببين بحسب الوجود الخارجي عموم من وجه وإلّا فيجوز اجتماعهما كما في أسباب الغسل إذا كان بعضها موجباً للاستحباب وبعضها للوجوب</w:t>
      </w:r>
      <w:r>
        <w:rPr>
          <w:rStyle w:val="FootnoteReference"/>
        </w:rPr>
        <w:footnoteReference w:id="1511"/>
      </w:r>
      <w:r>
        <w:rPr>
          <w:rFonts w:ascii="Amiri" w:hAnsi="Amiri" w:eastAsia="Amiri" w:cs="Amiri"/>
          <w:lang w:bidi="ar-SA"/>
          <w:color w:val="111111"/>
          <w:sz w:val="28"/>
          <w:szCs w:val="28"/>
          <w:rtl/>
        </w:rPr>
        <w:t xml:space="preserve">إذا اجتمعا في مورد.</w:t>
      </w:r>
    </w:p>
    <w:p>
      <w:pPr>
        <w:pStyle w:val="BookText"/>
      </w:pPr>
      <w:r>
        <w:rPr>
          <w:rFonts w:ascii="IRNazanin" w:hAnsi="IRNazanin" w:eastAsia="IRNazanin" w:cs="IRNazanin"/>
          <w:lang w:bidi="fa-IR"/>
          <w:color w:val="111111"/>
          <w:sz w:val="28"/>
          <w:szCs w:val="28"/>
          <w:rtl/>
        </w:rPr>
        <w:t xml:space="preserve">فتحصّل ممّا ذكرنا أنّه بناء على مذهب المانعين إن قلنا بالمضادّة بين الأحکام الخمسة کلّها فالموجود في مسألة تداخل الواجب والمستحب ليس الوجوب الناشئ من الجهتين وبالنسبة إلى الندب لا أمر ولا طلب ولا ندب بالفعل فليس من طرفه إلّا جهة الندب.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قلنا بعدم المضادّة بين مثل الوجوب والندب فجميع المراتب المذكورة موجودة بالنسبة إلى کلّ من الأمرين لكن بعض المانعين من اجتماع الأمر والنهيكالشيخ</w:t>
      </w:r>
      <w:r>
        <w:rPr>
          <w:rStyle w:val="FootnoteReference"/>
        </w:rPr>
        <w:footnoteReference w:id="1512"/>
      </w:r>
      <w:r>
        <w:rPr>
          <w:rFonts w:ascii="IRNazanin" w:hAnsi="IRNazanin" w:eastAsia="IRNazanin" w:cs="IRNazanin"/>
          <w:lang w:bidi="fa-IR"/>
          <w:color w:val="111111"/>
          <w:sz w:val="28"/>
          <w:szCs w:val="28"/>
          <w:rtl/>
        </w:rPr>
        <w:t xml:space="preserve">في الحاشية في بحث التداخل سلك مسلكاً بين الأمرين المذكورين فحكم بأنّ العمل متّصف فعلاً بالوجوب فقط لمكان المضادّة بينه وبين الاتّصاف بالندب فعلاً إلّا أنّ الأمر الندبي والطلب الندبي موجودان فيجوز له قصد الامتثال بالنسبة إلى المندوب أیضاً لعدم المضادّة بين الأمرين ولا بين الطلبين. بل إنّما هي بين الوصفين من حيث اتّصاف الفعل بهما فعلاً.</w:t>
      </w:r>
    </w:p>
    <w:p>
      <w:pPr>
        <w:pStyle w:val="BookText"/>
      </w:pPr>
      <w:r>
        <w:rPr>
          <w:rFonts w:ascii="IRNazanin" w:hAnsi="IRNazanin" w:eastAsia="IRNazanin" w:cs="IRNazanin"/>
          <w:lang w:bidi="fa-IR"/>
          <w:color w:val="111111"/>
          <w:sz w:val="28"/>
          <w:szCs w:val="28"/>
          <w:rtl/>
        </w:rPr>
        <w:t xml:space="preserve">فعلى هذا لو نوى امتثال الأمرين كان الفعل متّصفاً بالوجوب فقط لكن يكون إيقاع المکلّف له على کلّ من الجهتين وإذا قصد الأمر الوجوبي فقط فقد أدّى الفعل المتّصف بالوجوب من جهة وجوبه وإذا قصد الأمر الندبي فقط فقد أدّى الواجب على جهة الندب.</w:t>
      </w:r>
    </w:p>
    <w:p>
      <w:pPr>
        <w:pStyle w:val="BookText"/>
      </w:pPr>
      <w:r>
        <w:rPr>
          <w:rFonts w:ascii="IRNazanin" w:hAnsi="IRNazanin" w:eastAsia="IRNazanin" w:cs="IRNazanin"/>
          <w:lang w:bidi="fa-IR"/>
          <w:color w:val="111111"/>
          <w:sz w:val="28"/>
          <w:szCs w:val="28"/>
          <w:rtl/>
        </w:rPr>
        <w:t xml:space="preserve">قال ما حاصله:</w:t>
      </w:r>
    </w:p>
    <w:p>
      <w:pPr>
        <w:pStyle w:val="BookText"/>
      </w:pPr>
      <w:r>
        <w:rPr>
          <w:rFonts w:ascii="Amiri" w:hAnsi="Amiri" w:eastAsia="Amiri" w:cs="Amiri"/>
          <w:lang w:bidi="ar-SA"/>
          <w:color w:val="111111"/>
          <w:sz w:val="28"/>
          <w:szCs w:val="28"/>
          <w:rtl/>
        </w:rPr>
        <w:t xml:space="preserve">فإن قلت: إنّ الأمر الإيجابي قاضٍ بإنشاء الوجوب والأمر الندبي قاضٍ بإنشاء الندب فكيف يتصوّر اجتماع الأمرين مع عدم اجتماع الحكمين؟</w:t>
      </w:r>
    </w:p>
    <w:p>
      <w:pPr>
        <w:pStyle w:val="BookText"/>
      </w:pPr>
      <w:r>
        <w:rPr>
          <w:rFonts w:ascii="Amiri" w:hAnsi="Amiri" w:eastAsia="Amiri" w:cs="Amiri"/>
          <w:lang w:bidi="ar-SA"/>
          <w:color w:val="111111"/>
          <w:sz w:val="28"/>
          <w:szCs w:val="28"/>
          <w:rtl/>
        </w:rPr>
        <w:t xml:space="preserve">قلت: الأمر ليس إلّا إنشاء الطلب الخاصّ بعنوان الحتم أو عدمه وأمّا وجوب الفعل بحسب الواقع أو ندبه فهو ممّا</w:t>
      </w:r>
      <w:r>
        <w:rPr>
          <w:rStyle w:val="FootnoteReference"/>
        </w:rPr>
        <w:footnoteReference w:id="1513"/>
      </w:r>
      <w:r>
        <w:rPr>
          <w:rFonts w:ascii="Amiri" w:hAnsi="Amiri" w:eastAsia="Amiri" w:cs="Amiri"/>
          <w:lang w:bidi="ar-SA"/>
          <w:color w:val="111111"/>
          <w:sz w:val="28"/>
          <w:szCs w:val="28"/>
          <w:rtl/>
        </w:rPr>
        <w:t xml:space="preserve">يلزم من الطّلب المفروض في بعض صوره فلا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مدافعة بين الإنشائين المفروضين.</w:t>
      </w:r>
    </w:p>
    <w:p>
      <w:pPr>
        <w:pStyle w:val="BookText"/>
      </w:pPr>
      <w:r>
        <w:rPr>
          <w:rFonts w:ascii="Amiri" w:hAnsi="Amiri" w:eastAsia="Amiri" w:cs="Amiri"/>
          <w:lang w:bidi="ar-SA"/>
          <w:color w:val="111111"/>
          <w:sz w:val="28"/>
          <w:szCs w:val="28"/>
          <w:rtl/>
        </w:rPr>
        <w:t xml:space="preserve">والّذي يتراءى</w:t>
      </w:r>
      <w:r>
        <w:rPr>
          <w:rStyle w:val="FootnoteReference"/>
        </w:rPr>
        <w:footnoteReference w:id="1514"/>
      </w:r>
      <w:r>
        <w:rPr>
          <w:rFonts w:ascii="Amiri" w:hAnsi="Amiri" w:eastAsia="Amiri" w:cs="Amiri"/>
          <w:lang w:bidi="ar-SA"/>
          <w:color w:val="111111"/>
          <w:sz w:val="28"/>
          <w:szCs w:val="28"/>
          <w:rtl/>
        </w:rPr>
        <w:t xml:space="preserve">التدافع فيه إنّما هو بالنسبة إلى ما يتفرّع عليهما من الحكم، فنقول: ليس مقتضى إنشاء</w:t>
      </w:r>
      <w:r>
        <w:rPr>
          <w:rStyle w:val="FootnoteReference"/>
        </w:rPr>
        <w:footnoteReference w:id="1515"/>
      </w:r>
      <w:r>
        <w:rPr>
          <w:rFonts w:ascii="Amiri" w:hAnsi="Amiri" w:eastAsia="Amiri" w:cs="Amiri"/>
          <w:lang w:bidi="ar-SA"/>
          <w:color w:val="111111"/>
          <w:sz w:val="28"/>
          <w:szCs w:val="28"/>
          <w:rtl/>
        </w:rPr>
        <w:t xml:space="preserve">الطلب الندبي عدم المنع من الترك مطلقاً وإنّما مقتضاه عدم المنع من الترك بذلك الطّلب لعدم بلوغه إلى حدّ الإلزام فلا ينافي حصول المنعمن جهة أخرى.</w:t>
      </w:r>
    </w:p>
    <w:p>
      <w:pPr>
        <w:pStyle w:val="BookText"/>
      </w:pPr>
      <w:r>
        <w:rPr>
          <w:rFonts w:ascii="Amiri" w:hAnsi="Amiri" w:eastAsia="Amiri" w:cs="Amiri"/>
          <w:lang w:bidi="ar-SA"/>
          <w:color w:val="111111"/>
          <w:sz w:val="28"/>
          <w:szCs w:val="28"/>
          <w:rtl/>
        </w:rPr>
        <w:t xml:space="preserve">فالندب يحصل ويلزم من الطلب النّدبي مع قطع النّظر عن الجهة الموجبة والمفروض وجودها</w:t>
      </w:r>
      <w:r>
        <w:rPr>
          <w:rStyle w:val="FootnoteReference"/>
        </w:rPr>
        <w:footnoteReference w:id="1516"/>
      </w:r>
      <w:r>
        <w:rPr>
          <w:rFonts w:ascii="Amiri" w:hAnsi="Amiri" w:eastAsia="Amiri" w:cs="Amiri"/>
          <w:lang w:bidi="ar-SA"/>
          <w:color w:val="111111"/>
          <w:sz w:val="28"/>
          <w:szCs w:val="28"/>
          <w:rtl/>
        </w:rPr>
        <w:t xml:space="preserve">وأمّا الجهة الموجبة فيقتضي الوجوب مطلقاً وحينئذٍ</w:t>
      </w:r>
      <w:r>
        <w:rPr>
          <w:rStyle w:val="FootnoteReference"/>
        </w:rPr>
        <w:footnoteReference w:id="1517"/>
      </w:r>
      <w:r>
        <w:rPr>
          <w:rFonts w:ascii="IRNazanin" w:hAnsi="IRNazanin" w:eastAsia="IRNazanin" w:cs="IRNazanin"/>
          <w:lang w:bidi="fa-IR"/>
          <w:color w:val="111111"/>
          <w:sz w:val="28"/>
          <w:szCs w:val="28"/>
          <w:rtl/>
        </w:rPr>
        <w:t xml:space="preserve">الفعل متّصف بالوجوب في الواقع والأمر الندبي لا يؤثر في اتّصافه بالندب الواقعي أیضاً لمكان المضادّة بين الوصفين فيبقى مقتضياً بلا أثر ولا بأس به؛ إذ اقتضاؤه للندب الفعلي إنّما هو مشروط بعدم المانع بخلاف اقتضاء الأمر الوجوبي فإنّه مطلق.</w:t>
      </w:r>
      <w:r>
        <w:rPr>
          <w:rStyle w:val="FootnoteReference"/>
        </w:rPr>
        <w:footnoteReference w:id="1518"/>
      </w:r>
    </w:p>
    <w:p>
      <w:pPr>
        <w:pStyle w:val="BookText"/>
      </w:pPr>
      <w:r>
        <w:rPr>
          <w:rFonts w:ascii="Amiri" w:hAnsi="Amiri" w:eastAsia="Amiri" w:cs="Amiri"/>
          <w:lang w:bidi="ar-SA"/>
          <w:color w:val="111111"/>
          <w:sz w:val="28"/>
          <w:szCs w:val="28"/>
          <w:rtl/>
        </w:rPr>
        <w:t xml:space="preserve">قلت: إذا قلنا بعدم المضادّة والمنافاة</w:t>
      </w:r>
      <w:r>
        <w:rPr>
          <w:rStyle w:val="FootnoteReference"/>
        </w:rPr>
        <w:footnoteReference w:id="1519"/>
      </w:r>
      <w:r>
        <w:rPr>
          <w:rFonts w:ascii="IRNazanin" w:hAnsi="IRNazanin" w:eastAsia="IRNazanin" w:cs="IRNazanin"/>
          <w:lang w:bidi="fa-IR"/>
          <w:color w:val="111111"/>
          <w:sz w:val="28"/>
          <w:szCs w:val="28"/>
          <w:rtl/>
        </w:rPr>
        <w:t xml:space="preserve">بين الطلبين والأمرين فلا مانع من اتّصاف المحلّ بهما أیضاً؛ وذلك لأنّه لا إشکال في تاثير الأمر الندبي أیضاً مقداراً من الرجحان كيف وإلّا فلا وجه لحصول</w:t>
      </w:r>
      <w:r>
        <w:rPr>
          <w:rStyle w:val="FootnoteReference"/>
        </w:rPr>
        <w:footnoteReference w:id="1520"/>
      </w:r>
      <w:r>
        <w:rPr>
          <w:rFonts w:ascii="Amiri" w:hAnsi="Amiri" w:eastAsia="Amiri" w:cs="Amiri"/>
          <w:lang w:bidi="ar-SA"/>
          <w:color w:val="111111"/>
          <w:sz w:val="28"/>
          <w:szCs w:val="28"/>
          <w:rtl/>
        </w:rPr>
        <w:t xml:space="preserve">التأكّد وذلك المقدار هو الاستحباب الفعلي؛ إذ هو إذا أريد به في الجملة لا ينافي الوجوب في الجملة كما عرفت سابقاً.</w:t>
      </w:r>
    </w:p>
    <w:p>
      <w:pPr>
        <w:pStyle w:val="BookText"/>
      </w:pPr>
      <w:r>
        <w:rPr>
          <w:rFonts w:ascii="Amiri" w:hAnsi="Amiri" w:eastAsia="Amiri" w:cs="Amiri"/>
          <w:lang w:bidi="ar-SA"/>
          <w:color w:val="111111"/>
          <w:sz w:val="28"/>
          <w:szCs w:val="28"/>
          <w:rtl/>
        </w:rPr>
        <w:t xml:space="preserve">فالموجود في المحلّ هو</w:t>
      </w:r>
      <w:r>
        <w:rPr>
          <w:rStyle w:val="FootnoteReference"/>
        </w:rPr>
        <w:footnoteReference w:id="1521"/>
      </w:r>
      <w:r>
        <w:rPr>
          <w:rFonts w:ascii="Amiri" w:hAnsi="Amiri" w:eastAsia="Amiri" w:cs="Amiri"/>
          <w:lang w:bidi="ar-SA"/>
          <w:color w:val="111111"/>
          <w:sz w:val="28"/>
          <w:szCs w:val="28"/>
          <w:rtl/>
        </w:rPr>
        <w:t xml:space="preserve">رجحان مؤكّد هو في الحقيقة مركب من رجحانين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15" w:name="pg6784_51425"/>
    <w:bookmarkEnd w:id="215"/>
    <w:p>
      <w:pPr>
        <w:pStyle w:val="BookText"/>
      </w:pPr>
      <w:r>
        <w:rPr>
          <w:rFonts w:ascii="Amiri" w:hAnsi="Amiri" w:eastAsia="Amiri" w:cs="Amiri"/>
          <w:lang w:bidi="ar-SA"/>
          <w:color w:val="111111"/>
          <w:sz w:val="28"/>
          <w:szCs w:val="28"/>
          <w:rtl/>
        </w:rPr>
        <w:t xml:space="preserve">ووحدته إنّما هي في النظر الجليل وليس هذا الرجحان المركّب مستنداً إلى الأمر الوجوبي الخاصّ؛ لأنّه لا يقتضي هذا المقدار.</w:t>
      </w:r>
    </w:p>
    <w:p>
      <w:pPr>
        <w:pStyle w:val="BookText"/>
      </w:pPr>
      <w:r>
        <w:rPr>
          <w:rFonts w:ascii="Amiri" w:hAnsi="Amiri" w:eastAsia="Amiri" w:cs="Amiri"/>
          <w:lang w:bidi="ar-SA"/>
          <w:color w:val="111111"/>
          <w:sz w:val="28"/>
          <w:szCs w:val="28"/>
          <w:rtl/>
        </w:rPr>
        <w:t xml:space="preserve">ودعوى أنّه نظير السواد الضعيف والقوي المستندين إلى سببين حيث إنّه شخص واحد من السواد؛</w:t>
      </w:r>
    </w:p>
    <w:p>
      <w:pPr>
        <w:pStyle w:val="BookText"/>
      </w:pPr>
      <w:r>
        <w:rPr>
          <w:rFonts w:ascii="Amiri" w:hAnsi="Amiri" w:eastAsia="Amiri" w:cs="Amiri"/>
          <w:lang w:bidi="ar-SA"/>
          <w:color w:val="111111"/>
          <w:sz w:val="28"/>
          <w:szCs w:val="28"/>
          <w:rtl/>
        </w:rPr>
        <w:t xml:space="preserve">مدفوعة بالفرق بين المقامين فإنّ المدار في الوحدة والتعدّد هناك على الحسّ</w:t>
      </w:r>
      <w:r>
        <w:rPr>
          <w:rStyle w:val="FootnoteReference"/>
        </w:rPr>
        <w:footnoteReference w:id="1522"/>
      </w:r>
      <w:r>
        <w:rPr>
          <w:rFonts w:ascii="Amiri" w:hAnsi="Amiri" w:eastAsia="Amiri" w:cs="Amiri"/>
          <w:lang w:bidi="ar-SA"/>
          <w:color w:val="111111"/>
          <w:sz w:val="28"/>
          <w:szCs w:val="28"/>
          <w:rtl/>
        </w:rPr>
        <w:t xml:space="preserve">والعوارض الخارجيّة بخلاف المقام كما لا يخفى.</w:t>
      </w:r>
    </w:p>
    <w:p>
      <w:pPr>
        <w:pStyle w:val="Heading6"/>
      </w:pPr>
      <w:bookmarkStart w:id="705" w:name="_Toc386"/>
      <w:r>
        <w:t>[جواب صاحب المناهج (رحمة الله‌علیه) عن إشکال اجتماع الوجوب والاستحباب]</w:t>
      </w:r>
      <w:bookmarkEnd w:id="705"/>
    </w:p>
    <w:p>
      <w:pPr>
        <w:pStyle w:val="BookText"/>
      </w:pPr>
      <w:r>
        <w:rPr>
          <w:rFonts w:ascii="Amiri" w:hAnsi="Amiri" w:eastAsia="Amiri" w:cs="Amiri"/>
          <w:lang w:bidi="ar-SA"/>
          <w:color w:val="111111"/>
          <w:sz w:val="28"/>
          <w:szCs w:val="28"/>
          <w:rtl/>
        </w:rPr>
        <w:t xml:space="preserve">هذا وأجاب في المناهج</w:t>
      </w:r>
      <w:r>
        <w:rPr>
          <w:rStyle w:val="FootnoteReference"/>
        </w:rPr>
        <w:footnoteReference w:id="1523"/>
      </w:r>
      <w:r>
        <w:rPr>
          <w:rFonts w:ascii="IRNazanin" w:hAnsi="IRNazanin" w:eastAsia="IRNazanin" w:cs="IRNazanin"/>
          <w:lang w:bidi="fa-IR"/>
          <w:color w:val="111111"/>
          <w:sz w:val="28"/>
          <w:szCs w:val="28"/>
          <w:rtl/>
        </w:rPr>
        <w:t xml:space="preserve">عن أصل الإشکال أعني إشکال اجتماع الوجوب والاستحباب في مسألة التداخل بأنّه لا يتوقّف على الاجتماع فإنّه يمكن أن يكون من باب إجزاء الواجب عن المندوب أو عكسه بمعنى أنّه يترتّب على العمل ثوابهما ويسقط بفعل أحدهما التکلیف عن الآخر.</w:t>
      </w:r>
    </w:p>
    <w:p>
      <w:pPr>
        <w:pStyle w:val="Heading6"/>
      </w:pPr>
      <w:bookmarkStart w:id="706" w:name="_Toc387"/>
      <w:r>
        <w:t>[نقد کلام صاحب المناهج (رحمة الله‌علیه)]</w:t>
      </w:r>
      <w:bookmarkEnd w:id="706"/>
    </w:p>
    <w:p>
      <w:pPr>
        <w:pStyle w:val="BookText"/>
      </w:pPr>
      <w:r>
        <w:rPr>
          <w:rFonts w:ascii="IRNazanin" w:hAnsi="IRNazanin" w:eastAsia="IRNazanin" w:cs="IRNazanin"/>
          <w:lang w:bidi="fa-IR"/>
          <w:color w:val="111111"/>
          <w:sz w:val="28"/>
          <w:szCs w:val="28"/>
          <w:rtl/>
        </w:rPr>
        <w:t xml:space="preserve">وهذا الوجه كما ترى مبنيّ على أن يكون الشخص الجنب في يوم الجمعة مکلّفاً بغسلين أحدهما واجب والآخر مندوب وأنّه إن قصد الإتیان بأحدهما امتثل ذلك ولكن يسقط تکلیفه عن الآخر وإلّا فلو فرض عدم تکلیفه إلّا بغسل واحد بأن يكون الإجزاء والتداخل قهرياً فلا يندفع الإشکال؛ لأنّ هذا الواحد متّصف بالوجوب والاستحباب.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وحينئذٍ فيرد عليه: أنّه إذا كان المراد الإجزاء مع قصد أحدهما فكيف يكون مکلّفاً بغسلين؟! إذ لا يمكنه إتیان غسلين بعد هذا الدليل على الإجزاء.</w:t>
      </w:r>
    </w:p>
    <w:p>
      <w:pPr>
        <w:pStyle w:val="BookText"/>
      </w:pPr>
      <w:r>
        <w:rPr>
          <w:rFonts w:ascii="IRNazanin" w:hAnsi="IRNazanin" w:eastAsia="IRNazanin" w:cs="IRNazanin"/>
          <w:lang w:bidi="fa-IR"/>
          <w:color w:val="111111"/>
          <w:sz w:val="28"/>
          <w:szCs w:val="28"/>
          <w:rtl/>
        </w:rPr>
        <w:t xml:space="preserve">وإن قال: إنّه مکلّف بالجنابة فقط أو بالجمعة</w:t>
      </w:r>
      <w:r>
        <w:rPr>
          <w:rStyle w:val="FootnoteReference"/>
        </w:rPr>
        <w:footnoteReference w:id="1524"/>
      </w:r>
      <w:r>
        <w:rPr>
          <w:rFonts w:ascii="IRNazanin" w:hAnsi="IRNazanin" w:eastAsia="IRNazanin" w:cs="IRNazanin"/>
          <w:lang w:bidi="fa-IR"/>
          <w:color w:val="111111"/>
          <w:sz w:val="28"/>
          <w:szCs w:val="28"/>
          <w:rtl/>
        </w:rPr>
        <w:t xml:space="preserve">فقط فهو خلاف المفروض وخلاف ظاهر الأدلّة وإن کان غرضه ذلك مع الإتیان بقصدهما معاً فلازمه اجتماع الحكمين أیضاً؛ إذ لا معنى لقصدهما مع كونه أحدهما.</w:t>
      </w:r>
    </w:p>
    <w:p>
      <w:pPr>
        <w:pStyle w:val="BookText"/>
      </w:pPr>
      <w:r>
        <w:rPr>
          <w:rFonts w:ascii="IRNazanin" w:hAnsi="IRNazanin" w:eastAsia="IRNazanin" w:cs="IRNazanin"/>
          <w:lang w:bidi="fa-IR"/>
          <w:color w:val="111111"/>
          <w:sz w:val="28"/>
          <w:szCs w:val="28"/>
          <w:rtl/>
        </w:rPr>
        <w:t xml:space="preserve">والحاصل: أنّه إن أراد أنّه مکلّف إمّا بغسل الجنابة فقط أو الجمعة فقط فهو خلاف ظاهر الأدلّة، مع أنّه</w:t>
      </w:r>
      <w:r>
        <w:rPr>
          <w:rStyle w:val="FootnoteReference"/>
        </w:rPr>
        <w:footnoteReference w:id="1525"/>
      </w:r>
      <w:r>
        <w:rPr>
          <w:rFonts w:ascii="Amiri" w:hAnsi="Amiri" w:eastAsia="Amiri" w:cs="Amiri"/>
          <w:lang w:bidi="ar-SA"/>
          <w:color w:val="111111"/>
          <w:sz w:val="28"/>
          <w:szCs w:val="28"/>
          <w:rtl/>
        </w:rPr>
        <w:t xml:space="preserve">لا معنى للإسقاط حينئذٍ.</w:t>
      </w:r>
    </w:p>
    <w:p>
      <w:pPr>
        <w:pStyle w:val="BookText"/>
      </w:pPr>
      <w:r>
        <w:rPr>
          <w:rFonts w:ascii="IRNazanin" w:hAnsi="IRNazanin" w:eastAsia="IRNazanin" w:cs="IRNazanin"/>
          <w:lang w:bidi="fa-IR"/>
          <w:color w:val="111111"/>
          <w:sz w:val="28"/>
          <w:szCs w:val="28"/>
          <w:rtl/>
        </w:rPr>
        <w:t xml:space="preserve">وإن أراد أنّه مکلّف بغسلين ولكن یکفي واحد فإن أراد ذلك مع الإجزاءالقهري وأنّه لو قصد هذا يسقط ذاك</w:t>
      </w:r>
      <w:r>
        <w:rPr>
          <w:rStyle w:val="FootnoteReference"/>
        </w:rPr>
        <w:footnoteReference w:id="1526"/>
      </w:r>
      <w:r>
        <w:rPr>
          <w:rFonts w:ascii="IRNazanin" w:hAnsi="IRNazanin" w:eastAsia="IRNazanin" w:cs="IRNazanin"/>
          <w:lang w:bidi="fa-IR"/>
          <w:color w:val="111111"/>
          <w:sz w:val="28"/>
          <w:szCs w:val="28"/>
          <w:rtl/>
        </w:rPr>
        <w:t xml:space="preserve">أیضاً قهراً فلا معنى لكونه مکلّفاً بغسلين مع هذا الحكم القهري، وإن أراد ذلك مع التداخل الاختياري بأنّ قصدهما معاً فلا معنى لقصدهما مع كون غسله أحدهما.</w:t>
      </w:r>
    </w:p>
    <w:p>
      <w:pPr>
        <w:pStyle w:val="BookText"/>
      </w:pPr>
      <w:r>
        <w:rPr>
          <w:rFonts w:ascii="Amiri" w:hAnsi="Amiri" w:eastAsia="Amiri" w:cs="Amiri"/>
          <w:lang w:bidi="ar-SA"/>
          <w:color w:val="111111"/>
          <w:sz w:val="28"/>
          <w:szCs w:val="28"/>
          <w:rtl/>
        </w:rPr>
        <w:t xml:space="preserve">فإن قلتَ: قد قلتَ سابقاً بجواز التداخل القهري مع تعدّد الطّلبين في العنوان الواحد فَلِمَ تقول بعدم المعقولية في المقام؟!</w:t>
      </w:r>
    </w:p>
    <w:p>
      <w:pPr>
        <w:pStyle w:val="BookText"/>
      </w:pPr>
      <w:r>
        <w:rPr>
          <w:rFonts w:ascii="IRNazanin" w:hAnsi="IRNazanin" w:eastAsia="IRNazanin" w:cs="IRNazanin"/>
          <w:lang w:bidi="fa-IR"/>
          <w:color w:val="111111"/>
          <w:sz w:val="28"/>
          <w:szCs w:val="28"/>
          <w:rtl/>
        </w:rPr>
        <w:t xml:space="preserve">قلتُ: إنّما كان مع كون المأتي به مأموراً به بکلا الأمرين بحيث يكون لازم اجتماعهما التأكّد والقائل المذكور لا يقول بذلك</w:t>
      </w:r>
      <w:r>
        <w:rPr>
          <w:rStyle w:val="FootnoteReference"/>
        </w:rPr>
        <w:footnoteReference w:id="1527"/>
      </w:r>
      <w:r>
        <w:rPr>
          <w:rFonts w:ascii="Amiri" w:hAnsi="Amiri" w:eastAsia="Amiri" w:cs="Amiri"/>
          <w:lang w:bidi="ar-SA"/>
          <w:color w:val="111111"/>
          <w:sz w:val="28"/>
          <w:szCs w:val="28"/>
          <w:rtl/>
        </w:rPr>
        <w:t xml:space="preserve">في المقام بل يقول: إنّ الماتي به أحد الغسلين وإنّه مسقط للآخر</w:t>
      </w:r>
      <w:r>
        <w:rPr>
          <w:rStyle w:val="FootnoteReference"/>
        </w:rPr>
        <w:footnoteReference w:id="1528"/>
      </w:r>
      <w:r>
        <w:rPr>
          <w:rFonts w:ascii="IRNazanin" w:hAnsi="IRNazanin" w:eastAsia="IRNazanin" w:cs="IRNazanin"/>
          <w:lang w:bidi="fa-IR"/>
          <w:color w:val="111111"/>
          <w:sz w:val="28"/>
          <w:szCs w:val="28"/>
          <w:rtl/>
        </w:rPr>
        <w:t xml:space="preserve">مع كونه مکلّفاً به، وهذا غير معقول لعدم إمکان الإتیان بهما معاً على هذا الفرض فلا يمكن كونهما مکلّفاً بهما. فتدبر.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ما ذكره من الإسقاط خلاف ظاهر الأدلّة وأقوال العلماء فإنّ المشهور أنّه يجوز أن ينويهما ويكون امتثالاً للطّلبين وظاهر الأخبار أیضاً ذلك فإنّ المتبادر منها قصد الجميع لا خصوص أحدها فلا يكون من الإسقاط.</w:t>
      </w:r>
    </w:p>
    <w:p>
      <w:pPr>
        <w:pStyle w:val="BookText"/>
      </w:pPr>
      <w:r>
        <w:rPr>
          <w:rFonts w:ascii="Amiri" w:hAnsi="Amiri" w:eastAsia="Amiri" w:cs="Amiri"/>
          <w:lang w:bidi="ar-SA"/>
          <w:color w:val="111111"/>
          <w:sz w:val="28"/>
          <w:szCs w:val="28"/>
          <w:rtl/>
        </w:rPr>
        <w:t xml:space="preserve">نعم ذكر جماعة أنّه لا يجوز الجمع بين النيتين:</w:t>
      </w:r>
    </w:p>
    <w:p>
      <w:pPr>
        <w:pStyle w:val="BookText"/>
      </w:pPr>
      <w:r>
        <w:rPr>
          <w:rFonts w:ascii="IRNazanin" w:hAnsi="IRNazanin" w:eastAsia="IRNazanin" w:cs="IRNazanin"/>
          <w:lang w:bidi="fa-IR"/>
          <w:color w:val="111111"/>
          <w:sz w:val="28"/>
          <w:szCs w:val="28"/>
          <w:rtl/>
        </w:rPr>
        <w:t xml:space="preserve">فعن قواعد الشهيد (رحمة الله‌علیه): لو نوى الجنابة والجمعة بطل لتنافي الفعلين.</w:t>
      </w:r>
      <w:r>
        <w:rPr>
          <w:rStyle w:val="FootnoteReference"/>
        </w:rPr>
        <w:footnoteReference w:id="1529"/>
      </w:r>
    </w:p>
    <w:p>
      <w:pPr>
        <w:pStyle w:val="BookText"/>
      </w:pPr>
      <w:r>
        <w:rPr>
          <w:rFonts w:ascii="Amiri" w:hAnsi="Amiri" w:eastAsia="Amiri" w:cs="Amiri"/>
          <w:lang w:bidi="ar-SA"/>
          <w:color w:val="111111"/>
          <w:sz w:val="28"/>
          <w:szCs w:val="28"/>
          <w:rtl/>
        </w:rPr>
        <w:t xml:space="preserve">وعن جامع المقاصد: إن نوى الواجب والمندوب قيل: يجزي عنهما، وقيل: لايجزي؛ لأنّ الفعل الواحد لا يكون واجباً وندباً.</w:t>
      </w:r>
      <w:r>
        <w:rPr>
          <w:rStyle w:val="FootnoteReference"/>
        </w:rPr>
        <w:footnoteReference w:id="1530"/>
      </w:r>
    </w:p>
    <w:p>
      <w:pPr>
        <w:pStyle w:val="BookText"/>
      </w:pPr>
      <w:r>
        <w:rPr>
          <w:rFonts w:ascii="Amiri" w:hAnsi="Amiri" w:eastAsia="Amiri" w:cs="Amiri"/>
          <w:lang w:bidi="ar-SA"/>
          <w:color w:val="111111"/>
          <w:sz w:val="28"/>
          <w:szCs w:val="28"/>
          <w:rtl/>
        </w:rPr>
        <w:t xml:space="preserve">وعن العلّامة</w:t>
      </w:r>
    </w:p>
    <w:p>
      <w:pPr>
        <w:pStyle w:val="BookText"/>
      </w:pPr>
      <w:r>
        <w:rPr>
          <w:rFonts w:ascii="IRNazanin" w:hAnsi="IRNazanin" w:eastAsia="IRNazanin" w:cs="IRNazanin"/>
          <w:lang w:bidi="fa-IR"/>
          <w:color w:val="111111"/>
          <w:sz w:val="28"/>
          <w:szCs w:val="28"/>
          <w:rtl/>
        </w:rPr>
        <w:t xml:space="preserve">(رحمة الله‌علیه) في كثير من كتبه الجزم بالبطلان. وعلّله فيالمختلف</w:t>
      </w:r>
      <w:r>
        <w:rPr>
          <w:rStyle w:val="FootnoteReference"/>
        </w:rPr>
        <w:footnoteReference w:id="1531"/>
      </w:r>
      <w:r>
        <w:rPr>
          <w:rFonts w:ascii="Amiri" w:hAnsi="Amiri" w:eastAsia="Amiri" w:cs="Amiri"/>
          <w:lang w:bidi="ar-SA"/>
          <w:color w:val="111111"/>
          <w:sz w:val="28"/>
          <w:szCs w:val="28"/>
          <w:rtl/>
        </w:rPr>
        <w:t xml:space="preserve">بأنّه إن نوى الوجوب عن الجمعة والجنابة لا يجزي؛ لأنّه نوى الوجوب عمّا ليس بواجب، وإن نوى الندب لم يوقع غسل الجنابة على وجهه، وإن نواهما كان الفعل الواحد قد نوى فيه الوجوب والندب فلا يقع عليهما ولا على أحدهما؛ لأنّه ترجيح بلا مرجّح.</w:t>
      </w:r>
      <w:r>
        <w:rPr>
          <w:rStyle w:val="FootnoteReference"/>
        </w:rPr>
        <w:footnoteReference w:id="1532"/>
      </w:r>
    </w:p>
    <w:p>
      <w:pPr>
        <w:pStyle w:val="BookText"/>
      </w:pPr>
      <w:r>
        <w:rPr>
          <w:rFonts w:ascii="IRNazanin" w:hAnsi="IRNazanin" w:eastAsia="IRNazanin" w:cs="IRNazanin"/>
          <w:lang w:bidi="fa-IR"/>
          <w:color w:val="111111"/>
          <w:sz w:val="28"/>
          <w:szCs w:val="28"/>
          <w:rtl/>
        </w:rPr>
        <w:t xml:space="preserve">لكنّ الشهيد (رحمة الله‌علیه) صرّح في الذكرى</w:t>
      </w:r>
      <w:r>
        <w:rPr>
          <w:rStyle w:val="FootnoteReference"/>
        </w:rPr>
        <w:footnoteReference w:id="1533"/>
      </w:r>
      <w:r>
        <w:rPr>
          <w:rFonts w:ascii="Amiri" w:hAnsi="Amiri" w:eastAsia="Amiri" w:cs="Amiri"/>
          <w:lang w:bidi="ar-SA"/>
          <w:color w:val="111111"/>
          <w:sz w:val="28"/>
          <w:szCs w:val="28"/>
          <w:rtl/>
        </w:rPr>
        <w:t xml:space="preserve">في مسألة الصلاة على الموتى بجواز الجمع.</w:t>
      </w:r>
      <w:r>
        <w:rPr>
          <w:rStyle w:val="FootnoteReference"/>
        </w:rPr>
        <w:footnoteReference w:id="1534"/>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16" w:name="pg6784_51428"/>
    <w:bookmarkEnd w:id="216"/>
    <w:p>
      <w:pPr>
        <w:pStyle w:val="BookText"/>
      </w:pPr>
      <w:r>
        <w:rPr>
          <w:rFonts w:ascii="Amiri" w:hAnsi="Amiri" w:eastAsia="Amiri" w:cs="Amiri"/>
          <w:lang w:bidi="ar-SA"/>
          <w:color w:val="111111"/>
          <w:sz w:val="28"/>
          <w:szCs w:val="28"/>
          <w:rtl/>
        </w:rPr>
        <w:t xml:space="preserve">بل في القواعد</w:t>
      </w:r>
      <w:r>
        <w:rPr>
          <w:rStyle w:val="FootnoteReference"/>
        </w:rPr>
        <w:footnoteReference w:id="1535"/>
      </w:r>
      <w:r>
        <w:rPr>
          <w:rFonts w:ascii="IRNazanin" w:hAnsi="IRNazanin" w:eastAsia="IRNazanin" w:cs="IRNazanin"/>
          <w:lang w:bidi="fa-IR"/>
          <w:color w:val="111111"/>
          <w:sz w:val="28"/>
          <w:szCs w:val="28"/>
          <w:rtl/>
        </w:rPr>
        <w:t xml:space="preserve">أیضاً قال بعد العبارة السّابقة: «ويحتمل الإجزاء؛ لأنّ نيّة الوجوب هي المقصودة فتلغو نية الندب».</w:t>
      </w:r>
      <w:r>
        <w:rPr>
          <w:rStyle w:val="FootnoteReference"/>
        </w:rPr>
        <w:footnoteReference w:id="1536"/>
      </w:r>
    </w:p>
    <w:p>
      <w:pPr>
        <w:pStyle w:val="BookText"/>
      </w:pPr>
      <w:r>
        <w:rPr>
          <w:rFonts w:ascii="IRNazanin" w:hAnsi="IRNazanin" w:eastAsia="IRNazanin" w:cs="IRNazanin"/>
          <w:lang w:bidi="fa-IR"/>
          <w:color w:val="111111"/>
          <w:sz w:val="28"/>
          <w:szCs w:val="28"/>
          <w:rtl/>
        </w:rPr>
        <w:t xml:space="preserve">وعن العلّامة (رحمة الله‌علیه) في التذكرة</w:t>
      </w:r>
      <w:r>
        <w:rPr>
          <w:rStyle w:val="FootnoteReference"/>
        </w:rPr>
        <w:footnoteReference w:id="1537"/>
      </w:r>
      <w:r>
        <w:rPr>
          <w:rFonts w:ascii="Amiri" w:hAnsi="Amiri" w:eastAsia="Amiri" w:cs="Amiri"/>
          <w:lang w:bidi="ar-SA"/>
          <w:color w:val="111111"/>
          <w:sz w:val="28"/>
          <w:szCs w:val="28"/>
          <w:rtl/>
        </w:rPr>
        <w:t xml:space="preserve">في بحث الصّلاة على الميّت الواجب عليه الصلاة والمستحب عليه: ولو قيل بإجزاء الواحدة المشتملة على الوجهين بالتقسيط أمكن.</w:t>
      </w:r>
      <w:r>
        <w:rPr>
          <w:rStyle w:val="FootnoteReference"/>
        </w:rPr>
        <w:footnoteReference w:id="1538"/>
      </w:r>
    </w:p>
    <w:p>
      <w:pPr>
        <w:pStyle w:val="BookText"/>
      </w:pPr>
      <w:r>
        <w:rPr>
          <w:rFonts w:ascii="Amiri" w:hAnsi="Amiri" w:eastAsia="Amiri" w:cs="Amiri"/>
          <w:lang w:bidi="ar-SA"/>
          <w:color w:val="111111"/>
          <w:sz w:val="28"/>
          <w:szCs w:val="28"/>
          <w:rtl/>
        </w:rPr>
        <w:t xml:space="preserve">وكيف كان فالاستدلال بمسألة التداخل مبنيّ على القول بكون الغسل الواحد امتثالاً للأمرين</w:t>
      </w:r>
      <w:r>
        <w:rPr>
          <w:rStyle w:val="FootnoteReference"/>
        </w:rPr>
        <w:footnoteReference w:id="1539"/>
      </w:r>
      <w:r>
        <w:rPr>
          <w:rFonts w:ascii="IRNazanin" w:hAnsi="IRNazanin" w:eastAsia="IRNazanin" w:cs="IRNazanin"/>
          <w:lang w:bidi="fa-IR"/>
          <w:color w:val="111111"/>
          <w:sz w:val="28"/>
          <w:szCs w:val="28"/>
          <w:rtl/>
        </w:rPr>
        <w:t xml:space="preserve">إمّا مع قصدهما</w:t>
      </w:r>
      <w:r>
        <w:rPr>
          <w:rStyle w:val="FootnoteReference"/>
        </w:rPr>
        <w:footnoteReference w:id="1540"/>
      </w:r>
      <w:r>
        <w:rPr>
          <w:rFonts w:ascii="IRNazanin" w:hAnsi="IRNazanin" w:eastAsia="IRNazanin" w:cs="IRNazanin"/>
          <w:lang w:bidi="fa-IR"/>
          <w:color w:val="111111"/>
          <w:sz w:val="28"/>
          <w:szCs w:val="28"/>
          <w:rtl/>
        </w:rPr>
        <w:t xml:space="preserve">أو مع قصد مطلق الغسل.</w:t>
      </w:r>
    </w:p>
    <w:p>
      <w:pPr>
        <w:pStyle w:val="BookText"/>
      </w:pPr>
      <w:r>
        <w:rPr>
          <w:rFonts w:ascii="Amiri" w:hAnsi="Amiri" w:eastAsia="Amiri" w:cs="Amiri"/>
          <w:lang w:bidi="ar-SA"/>
          <w:color w:val="111111"/>
          <w:sz w:val="28"/>
          <w:szCs w:val="28"/>
          <w:rtl/>
        </w:rPr>
        <w:t xml:space="preserve">فالجواب بدعوى الإسقاط ليس في محلّه خصوصاً بعد ظهور الأدلّة فيما ذكر.</w:t>
      </w:r>
    </w:p>
    <w:p>
      <w:pPr>
        <w:pStyle w:val="Heading6"/>
      </w:pPr>
      <w:bookmarkStart w:id="707" w:name="_Toc388"/>
      <w:r>
        <w:t>[جواب المحقّق السبزواري (رحمة الله‌علیه)]</w:t>
      </w:r>
      <w:bookmarkEnd w:id="707"/>
    </w:p>
    <w:p>
      <w:pPr>
        <w:pStyle w:val="BookText"/>
      </w:pPr>
      <w:r>
        <w:rPr>
          <w:rFonts w:ascii="IRNazanin" w:hAnsi="IRNazanin" w:eastAsia="IRNazanin" w:cs="IRNazanin"/>
          <w:lang w:bidi="fa-IR"/>
          <w:color w:val="111111"/>
          <w:sz w:val="28"/>
          <w:szCs w:val="28"/>
          <w:rtl/>
        </w:rPr>
        <w:t xml:space="preserve">وعن صاحب الذخيرة أنّه أجاب عن الإشکال:أوّلاً: بأنّ الدليل لمّا دلّ على الاجتزاء بغسل واحد عن</w:t>
      </w:r>
      <w:r>
        <w:rPr>
          <w:rStyle w:val="FootnoteReference"/>
        </w:rPr>
        <w:footnoteReference w:id="1541"/>
      </w:r>
      <w:r>
        <w:rPr>
          <w:rFonts w:ascii="Amiri" w:hAnsi="Amiri" w:eastAsia="Amiri" w:cs="Amiri"/>
          <w:lang w:bidi="ar-SA"/>
          <w:color w:val="111111"/>
          <w:sz w:val="28"/>
          <w:szCs w:val="28"/>
          <w:rtl/>
        </w:rPr>
        <w:t xml:space="preserve">الغسلين</w:t>
      </w:r>
      <w:r>
        <w:rPr>
          <w:rStyle w:val="FootnoteReference"/>
        </w:rPr>
        <w:footnoteReference w:id="1542"/>
      </w:r>
      <w:r>
        <w:rPr>
          <w:rFonts w:ascii="Amiri" w:hAnsi="Amiri" w:eastAsia="Amiri" w:cs="Amiri"/>
          <w:lang w:bidi="ar-SA"/>
          <w:color w:val="111111"/>
          <w:sz w:val="28"/>
          <w:szCs w:val="28"/>
          <w:rtl/>
        </w:rPr>
        <w:t xml:space="preserve">يلزم أن يقال: إحدى الوظيفتين تتأدّى</w:t>
      </w:r>
      <w:r>
        <w:rPr>
          <w:rStyle w:val="FootnoteReference"/>
        </w:rPr>
        <w:footnoteReference w:id="1543"/>
      </w:r>
      <w:r>
        <w:rPr>
          <w:rFonts w:ascii="IRNazanin" w:hAnsi="IRNazanin" w:eastAsia="IRNazanin" w:cs="IRNazanin"/>
          <w:lang w:bidi="fa-IR"/>
          <w:color w:val="111111"/>
          <w:sz w:val="28"/>
          <w:szCs w:val="28"/>
          <w:rtl/>
        </w:rPr>
        <w:t xml:space="preserve">بالأخرى بمعنى أنّه يحصل له ثوابها وإن لم يكن من أفرادها حقیقة كما تتأدّى صلاة التحية بالفريضة والصوم المستحب بالقضاء.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17" w:name="pg6784_51429"/>
    <w:bookmarkEnd w:id="217"/>
    <w:p>
      <w:pPr>
        <w:pStyle w:val="BookText"/>
      </w:pPr>
      <w:r>
        <w:rPr>
          <w:rFonts w:ascii="Amiri" w:hAnsi="Amiri" w:eastAsia="Amiri" w:cs="Amiri"/>
          <w:lang w:bidi="ar-SA"/>
          <w:color w:val="111111"/>
          <w:sz w:val="28"/>
          <w:szCs w:val="28"/>
          <w:rtl/>
        </w:rPr>
        <w:t xml:space="preserve">وثانياً: بأنّ ما دلّ على استحباب غسل الجمعة یختصّ</w:t>
      </w:r>
      <w:r>
        <w:rPr>
          <w:rStyle w:val="FootnoteReference"/>
        </w:rPr>
        <w:footnoteReference w:id="1544"/>
      </w:r>
      <w:r>
        <w:rPr>
          <w:rFonts w:ascii="Amiri" w:hAnsi="Amiri" w:eastAsia="Amiri" w:cs="Amiri"/>
          <w:lang w:bidi="ar-SA"/>
          <w:color w:val="111111"/>
          <w:sz w:val="28"/>
          <w:szCs w:val="28"/>
          <w:rtl/>
        </w:rPr>
        <w:t xml:space="preserve">بصورة لا يحصل سبب الوجوب والمراد من كونه مستحباً أنّه مستحب من حيث نفسه مع قطع النظر عن طريان العارض المقتضي للوجوب.</w:t>
      </w:r>
      <w:r>
        <w:rPr>
          <w:rStyle w:val="FootnoteReference"/>
        </w:rPr>
        <w:footnoteReference w:id="1545"/>
      </w:r>
      <w:r>
        <w:rPr>
          <w:rFonts w:ascii="IRNazanin" w:hAnsi="IRNazanin" w:eastAsia="IRNazanin" w:cs="IRNazanin"/>
          <w:lang w:bidi="fa-IR"/>
          <w:color w:val="111111"/>
          <w:sz w:val="28"/>
          <w:szCs w:val="28"/>
          <w:rtl/>
        </w:rPr>
        <w:t xml:space="preserve">انتهى.</w:t>
      </w:r>
    </w:p>
    <w:p>
      <w:pPr>
        <w:pStyle w:val="Heading6"/>
      </w:pPr>
      <w:bookmarkStart w:id="708" w:name="_Toc389"/>
      <w:r>
        <w:t>[نقد کلام المحقّق السبزواري (رحمة الله‌علیه)]</w:t>
      </w:r>
      <w:bookmarkEnd w:id="708"/>
    </w:p>
    <w:p>
      <w:pPr>
        <w:pStyle w:val="BookText"/>
      </w:pPr>
      <w:r>
        <w:rPr>
          <w:rFonts w:ascii="IRNazanin" w:hAnsi="IRNazanin" w:eastAsia="IRNazanin" w:cs="IRNazanin"/>
          <w:lang w:bidi="fa-IR"/>
          <w:color w:val="111111"/>
          <w:sz w:val="28"/>
          <w:szCs w:val="28"/>
          <w:rtl/>
        </w:rPr>
        <w:t xml:space="preserve">وظاهر جوابه الأوّل أنّه مکلّف بالتکلیفين إلّا أنّه إن نوى الواجب يجزي عن الندب دون العكس فحینئذٍ لا يرد عليه ما أوردنا على المناهج من عدم معقولية التکلیفين مع الحكم بالإسقاط؛ لأنّ الإسقاط على أحد التقديرين فقط.</w:t>
      </w:r>
    </w:p>
    <w:p>
      <w:pPr>
        <w:pStyle w:val="BookText"/>
      </w:pPr>
      <w:r>
        <w:rPr>
          <w:rFonts w:ascii="Amiri" w:hAnsi="Amiri" w:eastAsia="Amiri" w:cs="Amiri"/>
          <w:lang w:bidi="ar-SA"/>
          <w:color w:val="111111"/>
          <w:sz w:val="28"/>
          <w:szCs w:val="28"/>
          <w:rtl/>
        </w:rPr>
        <w:t xml:space="preserve">نعم لو أراد التأدّي من الطرفين ورد عليه ما ورد عليه.</w:t>
      </w:r>
    </w:p>
    <w:p>
      <w:pPr>
        <w:pStyle w:val="BookText"/>
      </w:pPr>
      <w:r>
        <w:rPr>
          <w:rFonts w:ascii="Amiri" w:hAnsi="Amiri" w:eastAsia="Amiri" w:cs="Amiri"/>
          <w:lang w:bidi="ar-SA"/>
          <w:color w:val="111111"/>
          <w:sz w:val="28"/>
          <w:szCs w:val="28"/>
          <w:rtl/>
        </w:rPr>
        <w:t xml:space="preserve">وقوله: «كما تتأدّى صلاة التحية»</w:t>
      </w:r>
      <w:r>
        <w:rPr>
          <w:rStyle w:val="FootnoteReference"/>
        </w:rPr>
        <w:footnoteReference w:id="1546"/>
      </w:r>
      <w:r>
        <w:rPr>
          <w:rFonts w:ascii="Amiri" w:hAnsi="Amiri" w:eastAsia="Amiri" w:cs="Amiri"/>
          <w:lang w:bidi="ar-SA"/>
          <w:color w:val="111111"/>
          <w:sz w:val="28"/>
          <w:szCs w:val="28"/>
          <w:rtl/>
        </w:rPr>
        <w:t xml:space="preserve">إلى آخره، يؤيّد الأوّل.</w:t>
      </w:r>
    </w:p>
    <w:p>
      <w:pPr>
        <w:pStyle w:val="BookText"/>
      </w:pPr>
      <w:r>
        <w:rPr>
          <w:rFonts w:ascii="IRNazanin" w:hAnsi="IRNazanin" w:eastAsia="IRNazanin" w:cs="IRNazanin"/>
          <w:lang w:bidi="fa-IR"/>
          <w:color w:val="111111"/>
          <w:sz w:val="28"/>
          <w:szCs w:val="28"/>
          <w:rtl/>
        </w:rPr>
        <w:t xml:space="preserve">هذا ولكن يرد عليه ما ذكرنا من أنّ ظاهر المشهور والأدلّة الجمع بين النيتين وأنّه امتثال للأمرين والإشکال إنّما هو على هذا الفرض.</w:t>
      </w:r>
    </w:p>
    <w:p>
      <w:pPr>
        <w:pStyle w:val="BookText"/>
      </w:pPr>
      <w:r>
        <w:rPr>
          <w:rFonts w:ascii="Amiri" w:hAnsi="Amiri" w:eastAsia="Amiri" w:cs="Amiri"/>
          <w:lang w:bidi="ar-SA"/>
          <w:color w:val="111111"/>
          <w:sz w:val="28"/>
          <w:szCs w:val="28"/>
          <w:rtl/>
        </w:rPr>
        <w:t xml:space="preserve">وربما يورد</w:t>
      </w:r>
      <w:r>
        <w:rPr>
          <w:rStyle w:val="FootnoteReference"/>
        </w:rPr>
        <w:footnoteReference w:id="1547"/>
      </w:r>
      <w:r>
        <w:rPr>
          <w:rFonts w:ascii="IRNazanin" w:hAnsi="IRNazanin" w:eastAsia="IRNazanin" w:cs="IRNazanin"/>
          <w:lang w:bidi="fa-IR"/>
          <w:color w:val="111111"/>
          <w:sz w:val="28"/>
          <w:szCs w:val="28"/>
          <w:rtl/>
        </w:rPr>
        <w:t xml:space="preserve">عليه أیضاً بأنّ تأدّي إحدى الوظيفتين بالأخرى غير معقول إلّا أن يكون المصلحة الداعية إلى طلبها موجودة في الأخرى وهذا يوجب إيجاب المندوب أیضاً فإنّه أحد أفراد المخير لاستوائهما في المصلحة.</w:t>
      </w:r>
    </w:p>
    <w:p>
      <w:pPr>
        <w:pStyle w:val="BookText"/>
      </w:pPr>
      <w:r>
        <w:rPr>
          <w:rFonts w:ascii="IRNazanin" w:hAnsi="IRNazanin" w:eastAsia="IRNazanin" w:cs="IRNazanin"/>
          <w:lang w:bidi="fa-IR"/>
          <w:color w:val="111111"/>
          <w:sz w:val="28"/>
          <w:szCs w:val="28"/>
          <w:rtl/>
        </w:rPr>
        <w:t xml:space="preserve">ولعلّه حمل کلام صاحب الذخيرة على التأدّي من الطرفين حيث قال: وهذايوجب إيجاب المندوب،</w:t>
      </w:r>
      <w:r>
        <w:rPr>
          <w:rStyle w:val="FootnoteReference"/>
        </w:rPr>
        <w:footnoteReference w:id="1548"/>
      </w:r>
      <w:r>
        <w:rPr>
          <w:rFonts w:ascii="Amiri" w:hAnsi="Amiri" w:eastAsia="Amiri" w:cs="Amiri"/>
          <w:lang w:bidi="ar-SA"/>
          <w:color w:val="111111"/>
          <w:sz w:val="28"/>
          <w:szCs w:val="28"/>
          <w:rtl/>
        </w:rPr>
        <w:t xml:space="preserve">وإلّا لكان الواجب أن يقول: وهذا يوجب استحباب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الواجب.</w:t>
      </w:r>
    </w:p>
    <w:p>
      <w:pPr>
        <w:pStyle w:val="BookText"/>
      </w:pPr>
      <w:r>
        <w:rPr>
          <w:rFonts w:ascii="Amiri" w:hAnsi="Amiri" w:eastAsia="Amiri" w:cs="Amiri"/>
          <w:lang w:bidi="ar-SA"/>
          <w:color w:val="111111"/>
          <w:sz w:val="28"/>
          <w:szCs w:val="28"/>
          <w:rtl/>
        </w:rPr>
        <w:t xml:space="preserve">وكيف كان لا وجه لهذا الإيراد؛ إذ مرجعه إلى نفي معقولية الإسقاط بدعوى أنّ المسقط إذا لم يكن مشتملاً على مصلحة السّاقط فلا معنى لإسقاطه وإن اشتمل كان في عرضه فيكون أحد الفردين المخير بينهما.</w:t>
      </w:r>
    </w:p>
    <w:p>
      <w:pPr>
        <w:pStyle w:val="BookText"/>
      </w:pPr>
      <w:r>
        <w:rPr>
          <w:rFonts w:ascii="Amiri" w:hAnsi="Amiri" w:eastAsia="Amiri" w:cs="Amiri"/>
          <w:lang w:bidi="ar-SA"/>
          <w:color w:val="111111"/>
          <w:sz w:val="28"/>
          <w:szCs w:val="28"/>
          <w:rtl/>
        </w:rPr>
        <w:t xml:space="preserve">وفيه: أنّ مجرّد الاشتمال على مصلحته لا يستلزم ذلك؛ إذ يمكن أن يكون هناك مانع عن جعل الحكم كما في المقام حيث إنّه لا يعقل الاتّصاف بالوجوب والاستحباب على مذهب المانعين.</w:t>
      </w:r>
    </w:p>
    <w:p>
      <w:pPr>
        <w:pStyle w:val="BookText"/>
      </w:pPr>
      <w:r>
        <w:rPr>
          <w:rFonts w:ascii="Amiri" w:hAnsi="Amiri" w:eastAsia="Amiri" w:cs="Amiri"/>
          <w:lang w:bidi="ar-SA"/>
          <w:color w:val="111111"/>
          <w:sz w:val="28"/>
          <w:szCs w:val="28"/>
          <w:rtl/>
        </w:rPr>
        <w:t xml:space="preserve">ويمكن أن يكون الإسقاط من باب الاشتمال على بعض المصالح بحيث لم يمكن</w:t>
      </w:r>
      <w:r>
        <w:rPr>
          <w:rStyle w:val="FootnoteReference"/>
        </w:rPr>
        <w:footnoteReference w:id="1549"/>
      </w:r>
      <w:r>
        <w:rPr>
          <w:rFonts w:ascii="IRNazanin" w:hAnsi="IRNazanin" w:eastAsia="IRNazanin" w:cs="IRNazanin"/>
          <w:lang w:bidi="fa-IR"/>
          <w:color w:val="111111"/>
          <w:sz w:val="28"/>
          <w:szCs w:val="28"/>
          <w:rtl/>
        </w:rPr>
        <w:t xml:space="preserve">الأمر بالفعل بعد ذلك؛ لعدم إمکان التبعيض فلا يتعلّق به الأمر في عرض الساقط لعدم الاشتمال على تمام مصلحته، ويسقط الأمر عن السّاقط لحصول بعض مصالحه والمقدار الفائت ليس ممّا يكون قابلاً للإيجاب.</w:t>
      </w:r>
    </w:p>
    <w:p>
      <w:pPr>
        <w:pStyle w:val="BookText"/>
      </w:pPr>
      <w:r>
        <w:rPr>
          <w:rFonts w:ascii="Amiri" w:hAnsi="Amiri" w:eastAsia="Amiri" w:cs="Amiri"/>
          <w:lang w:bidi="ar-SA"/>
          <w:color w:val="111111"/>
          <w:sz w:val="28"/>
          <w:szCs w:val="28"/>
          <w:rtl/>
        </w:rPr>
        <w:t xml:space="preserve">وأقوى الدليل على الجواز الوقوع كما في المثالين وغيرهما.</w:t>
      </w:r>
    </w:p>
    <w:p>
      <w:pPr>
        <w:pStyle w:val="BookText"/>
      </w:pPr>
      <w:r>
        <w:rPr>
          <w:rFonts w:ascii="Amiri" w:hAnsi="Amiri" w:eastAsia="Amiri" w:cs="Amiri"/>
          <w:lang w:bidi="ar-SA"/>
          <w:color w:val="111111"/>
          <w:sz w:val="28"/>
          <w:szCs w:val="28"/>
          <w:rtl/>
        </w:rPr>
        <w:t xml:space="preserve">هذا وأمّا جوابه الثاني فيحتمل وجهين:</w:t>
      </w:r>
    </w:p>
    <w:p>
      <w:pPr>
        <w:pStyle w:val="BookText"/>
      </w:pPr>
      <w:r>
        <w:rPr>
          <w:rFonts w:ascii="IRNazanin" w:hAnsi="IRNazanin" w:eastAsia="IRNazanin" w:cs="IRNazanin"/>
          <w:lang w:bidi="fa-IR"/>
          <w:color w:val="111111"/>
          <w:sz w:val="28"/>
          <w:szCs w:val="28"/>
          <w:rtl/>
        </w:rPr>
        <w:t xml:space="preserve">أحدهما: أن يكون المراد أنّ دليل الاستحباب لا يشمل المقام فلا يكون مکلّفاً بغسل الجمعة أصلاً لا مستحبّاً ولا واجباً.</w:t>
      </w:r>
    </w:p>
    <w:p>
      <w:pPr>
        <w:pStyle w:val="BookText"/>
      </w:pPr>
      <w:r>
        <w:rPr>
          <w:rFonts w:ascii="IRNazanin" w:hAnsi="IRNazanin" w:eastAsia="IRNazanin" w:cs="IRNazanin"/>
          <w:lang w:bidi="fa-IR"/>
          <w:color w:val="111111"/>
          <w:sz w:val="28"/>
          <w:szCs w:val="28"/>
          <w:rtl/>
        </w:rPr>
        <w:t xml:space="preserve">وثانيهما: أن يكون مراده أنّه مکلّف به لكن على وجه الوجوب.</w:t>
      </w:r>
    </w:p>
    <w:p>
      <w:pPr>
        <w:pStyle w:val="BookText"/>
      </w:pPr>
      <w:r>
        <w:rPr>
          <w:rFonts w:ascii="IRNazanin" w:hAnsi="IRNazanin" w:eastAsia="IRNazanin" w:cs="IRNazanin"/>
          <w:lang w:bidi="fa-IR"/>
          <w:color w:val="111111"/>
          <w:sz w:val="28"/>
          <w:szCs w:val="28"/>
          <w:rtl/>
        </w:rPr>
        <w:t xml:space="preserve">فعلى الأوّل يرد عليه أنّه خلاف الإطلاقات بل خلاف ظاهر أدلّة الإجزاء والتداخل أیضاً والظاهر أنّ مراده هو الثاني وغرضه أنّ غسل الجمعة إنّما يكون مستحباً إذا لم يتّحد مع الجنابة الواجبة وإلّا فهو واجب وهذا صحيح؛ إذ يرجع إلى ما ذكرنا سابقاً من أنّ اجتماع الجهتين موجب للاتّصاف بالوجوب المتأكّد مع كون العمل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18" w:name="pg6784_51431"/>
    <w:bookmarkEnd w:id="218"/>
    <w:p>
      <w:pPr>
        <w:pStyle w:val="BookText"/>
      </w:pPr>
      <w:r>
        <w:rPr>
          <w:rFonts w:ascii="IRNazanin" w:hAnsi="IRNazanin" w:eastAsia="IRNazanin" w:cs="IRNazanin"/>
          <w:lang w:bidi="fa-IR"/>
          <w:color w:val="111111"/>
          <w:sz w:val="28"/>
          <w:szCs w:val="28"/>
          <w:rtl/>
        </w:rPr>
        <w:t xml:space="preserve">مصداقاً للمستحبّ أیضاً، فذات المستحبّ موجود بوصف الوجوب.</w:t>
      </w:r>
    </w:p>
    <w:p>
      <w:pPr>
        <w:pStyle w:val="Heading6"/>
      </w:pPr>
      <w:bookmarkStart w:id="709" w:name="_Toc390"/>
      <w:r>
        <w:t>[إیراد المحقّق الأنصاري (رحمة الله‌علیه) على کلام المحقّق السبزواري (رحمة الله‌علیه) و نقده]</w:t>
      </w:r>
      <w:bookmarkEnd w:id="709"/>
    </w:p>
    <w:p>
      <w:pPr>
        <w:pStyle w:val="BookText"/>
      </w:pPr>
      <w:r>
        <w:rPr>
          <w:rFonts w:ascii="IRNazanin" w:hAnsi="IRNazanin" w:eastAsia="IRNazanin" w:cs="IRNazanin"/>
          <w:lang w:bidi="fa-IR"/>
          <w:color w:val="111111"/>
          <w:sz w:val="28"/>
          <w:szCs w:val="28"/>
          <w:rtl/>
        </w:rPr>
        <w:t xml:space="preserve">وحینئذٍ فلا وجه لما أورده عليه في كتاب الطّهارة من أنّه إن أراد وجوب غسل الجمعة لعارض فهو بعيد جدّاً وإن أراد وجوبه من حيث مصادقته مع عنوان واجب فالإشکال في أنّه محكوم بالاستحباب المضادّ للوجوب أوّلاً فلا يجوز قصده والمفروض قصد الغسلين.</w:t>
      </w:r>
      <w:r>
        <w:rPr>
          <w:rStyle w:val="FootnoteReference"/>
        </w:rPr>
        <w:footnoteReference w:id="1550"/>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وليت شعري كيف يحكم بِبُعد الوجوب العرضي للجمعة مع أنّه التزم</w:t>
      </w:r>
      <w:r>
        <w:rPr>
          <w:rStyle w:val="FootnoteReference"/>
        </w:rPr>
        <w:footnoteReference w:id="1551"/>
      </w:r>
      <w:r>
        <w:rPr>
          <w:rFonts w:ascii="IRNazanin" w:hAnsi="IRNazanin" w:eastAsia="IRNazanin" w:cs="IRNazanin"/>
          <w:lang w:bidi="fa-IR"/>
          <w:color w:val="111111"/>
          <w:sz w:val="28"/>
          <w:szCs w:val="28"/>
          <w:rtl/>
        </w:rPr>
        <w:t xml:space="preserve">في دفع الإشکال بالاتّصاف بالوجوب فعلاً وبقاء جهة الاستحباب فإنّ لازمه ذلك كما لايخفى.</w:t>
      </w:r>
    </w:p>
    <w:p>
      <w:pPr>
        <w:pStyle w:val="Heading6"/>
      </w:pPr>
      <w:bookmarkStart w:id="710" w:name="_Toc391"/>
      <w:r>
        <w:t>[جواب صاحب الجواهر (رحمة الله‌علیه)]</w:t>
      </w:r>
      <w:bookmarkEnd w:id="710"/>
    </w:p>
    <w:p>
      <w:pPr>
        <w:pStyle w:val="BookText"/>
      </w:pPr>
      <w:r>
        <w:rPr>
          <w:rFonts w:ascii="IRNazanin" w:hAnsi="IRNazanin" w:eastAsia="IRNazanin" w:cs="IRNazanin"/>
          <w:lang w:bidi="fa-IR"/>
          <w:color w:val="111111"/>
          <w:sz w:val="28"/>
          <w:szCs w:val="28"/>
          <w:rtl/>
        </w:rPr>
        <w:t xml:space="preserve">وأجاب في الجواهر عن الإشکال بوجه آخر وهو: أنّ هذا الفرد ليس مصداقاً للکلّيين حتّى يلزم الإشکال بل هو أمر خارج عنهما فهو من قبيل فرد</w:t>
      </w:r>
      <w:r>
        <w:rPr>
          <w:rStyle w:val="FootnoteReference"/>
        </w:rPr>
        <w:footnoteReference w:id="1552"/>
      </w:r>
      <w:r>
        <w:rPr>
          <w:rFonts w:ascii="Amiri" w:hAnsi="Amiri" w:eastAsia="Amiri" w:cs="Amiri"/>
          <w:lang w:bidi="ar-SA"/>
          <w:color w:val="111111"/>
          <w:sz w:val="28"/>
          <w:szCs w:val="28"/>
          <w:rtl/>
        </w:rPr>
        <w:t xml:space="preserve">لکلّي</w:t>
      </w:r>
      <w:r>
        <w:rPr>
          <w:rStyle w:val="FootnoteReference"/>
        </w:rPr>
        <w:footnoteReference w:id="1553"/>
      </w:r>
      <w:r>
        <w:rPr>
          <w:rFonts w:ascii="Amiri" w:hAnsi="Amiri" w:eastAsia="Amiri" w:cs="Amiri"/>
          <w:lang w:bidi="ar-SA"/>
          <w:color w:val="111111"/>
          <w:sz w:val="28"/>
          <w:szCs w:val="28"/>
          <w:rtl/>
        </w:rPr>
        <w:t xml:space="preserve">آخر اجتزى الشارع به عن الواجب والمندوب لكن لمّا شابههما في الصورة سمّي بالتداخل وإلّا فهو ليس غسل جنابة وغسل جمعة ليرد ذلك.</w:t>
      </w:r>
      <w:r>
        <w:rPr>
          <w:rStyle w:val="FootnoteReference"/>
        </w:rPr>
        <w:footnoteReference w:id="1554"/>
      </w:r>
    </w:p>
    <w:p>
      <w:pPr>
        <w:pStyle w:val="BookText"/>
      </w:pPr>
      <w:r>
        <w:rPr>
          <w:rFonts w:ascii="Amiri" w:hAnsi="Amiri" w:eastAsia="Amiri" w:cs="Amiri"/>
          <w:lang w:bidi="ar-SA"/>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فإن قلت: هذا الغسل واجب أو مستحبّ أو کلاهما؟</w:t>
      </w:r>
    </w:p>
    <w:p>
      <w:pPr>
        <w:pStyle w:val="BookText"/>
      </w:pPr>
      <w:r>
        <w:rPr>
          <w:rFonts w:ascii="Amiri" w:hAnsi="Amiri" w:eastAsia="Amiri" w:cs="Amiri"/>
          <w:lang w:bidi="ar-SA"/>
          <w:color w:val="111111"/>
          <w:sz w:val="28"/>
          <w:szCs w:val="28"/>
          <w:rtl/>
        </w:rPr>
        <w:t xml:space="preserve">قلت: هو حيث يقوم مقام الأغسال الواجبة فهو أحد فردي الواجب المخيّر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19" w:name="pg6784_51432"/>
    <w:bookmarkEnd w:id="219"/>
    <w:p>
      <w:pPr>
        <w:pStyle w:val="BookText"/>
      </w:pPr>
      <w:r>
        <w:rPr>
          <w:rFonts w:ascii="IRNazanin" w:hAnsi="IRNazanin" w:eastAsia="IRNazanin" w:cs="IRNazanin"/>
          <w:lang w:bidi="fa-IR"/>
          <w:color w:val="111111"/>
          <w:sz w:val="28"/>
          <w:szCs w:val="28"/>
          <w:rtl/>
        </w:rPr>
        <w:t xml:space="preserve">بمعنى أنّ المکلّف مخيّر بين أن يأتي بالفعلين أو بالفعل الواحد المجزي عنهما وحيث يقوم مقام الواجب والمندوب فهو مندوب محضاً؛ لأنّه يجوز تركه لا إلى بدل؛ لأنّ بدله الواجب والمستحبّ جميعاً يجوز تركه والاقتصار على الواجب فقط وهو ليس بدلاً عنه فيجوز تركه لا إلى بدل، فلا يكون واجباً، فينوي بناء على اشتراط نيّة الوجهالنّدب فيه مع نيّة الاجتزاء به عن الواجب والمندوب وعلى عدم الاشتراط ينوي القربة مع نيّة الاجتزاء به</w:t>
      </w:r>
      <w:r>
        <w:rPr>
          <w:rStyle w:val="FootnoteReference"/>
        </w:rPr>
        <w:footnoteReference w:id="1555"/>
      </w:r>
      <w:r>
        <w:rPr>
          <w:rFonts w:ascii="Amiri" w:hAnsi="Amiri" w:eastAsia="Amiri" w:cs="Amiri"/>
          <w:lang w:bidi="ar-SA"/>
          <w:color w:val="111111"/>
          <w:sz w:val="28"/>
          <w:szCs w:val="28"/>
          <w:rtl/>
        </w:rPr>
        <w:t xml:space="preserve">عن الجميع.</w:t>
      </w:r>
      <w:r>
        <w:rPr>
          <w:rStyle w:val="FootnoteReference"/>
        </w:rPr>
        <w:footnoteReference w:id="1556"/>
      </w:r>
      <w:r>
        <w:rPr>
          <w:rFonts w:ascii="IRNazanin" w:hAnsi="IRNazanin" w:eastAsia="IRNazanin" w:cs="IRNazanin"/>
          <w:lang w:bidi="fa-IR"/>
          <w:color w:val="111111"/>
          <w:sz w:val="28"/>
          <w:szCs w:val="28"/>
          <w:rtl/>
        </w:rPr>
        <w:t xml:space="preserve">انتهى.</w:t>
      </w:r>
    </w:p>
    <w:p>
      <w:pPr>
        <w:pStyle w:val="Heading6"/>
      </w:pPr>
      <w:bookmarkStart w:id="711" w:name="_Toc392"/>
      <w:r>
        <w:t>[إیراد المحقّق الأنصاري (رحمة الله‌علیه) على صاحب الجواهر (رحمة الله‌علیه)]</w:t>
      </w:r>
      <w:bookmarkEnd w:id="711"/>
    </w:p>
    <w:p>
      <w:pPr>
        <w:pStyle w:val="BookText"/>
      </w:pPr>
      <w:r>
        <w:rPr>
          <w:rFonts w:ascii="IRNazanin" w:hAnsi="IRNazanin" w:eastAsia="IRNazanin" w:cs="IRNazanin"/>
          <w:lang w:bidi="fa-IR"/>
          <w:color w:val="111111"/>
          <w:sz w:val="28"/>
          <w:szCs w:val="28"/>
          <w:rtl/>
        </w:rPr>
        <w:t xml:space="preserve">وأورد عليه: بأنّ هذا الثالث إذا كان مأموراً به بأمر ثالث غير أمر غسل الجنابة وأمر غسل الجمعة فيكون أحد فردي الواجب التخييري الشرعي وأحد فردي المستحبّ التخييري الشرعي فيجتمع فيه الوجوب والاستحباب ويصير الأمر أشکل؛ لأنّ التخيير العقلي في الواجب والمستحبّ يمكن القول باجتماع فردين منه في مصداق واحد بخلاف التخيير الشرعي فجعله طبيعة ثالثة لم يُجد نفعاً بل زاد إشکالاً.</w:t>
      </w:r>
      <w:r>
        <w:rPr>
          <w:rStyle w:val="FootnoteReference"/>
        </w:rPr>
        <w:footnoteReference w:id="1557"/>
      </w:r>
    </w:p>
    <w:p>
      <w:pPr>
        <w:pStyle w:val="Heading6"/>
      </w:pPr>
      <w:bookmarkStart w:id="712" w:name="_Toc393"/>
      <w:r>
        <w:t>[إیراد على صاحب الجواهر (رحمة الله‌علیه)]</w:t>
      </w:r>
      <w:bookmarkEnd w:id="712"/>
    </w:p>
    <w:p>
      <w:pPr>
        <w:pStyle w:val="BookText"/>
      </w:pPr>
      <w:r>
        <w:rPr>
          <w:rFonts w:ascii="IRNazanin" w:hAnsi="IRNazanin" w:eastAsia="IRNazanin" w:cs="IRNazanin"/>
          <w:lang w:bidi="fa-IR"/>
          <w:color w:val="111111"/>
          <w:sz w:val="28"/>
          <w:szCs w:val="28"/>
          <w:rtl/>
        </w:rPr>
        <w:t xml:space="preserve">قلت: مع أنّه بصدد دفع إشکال اجتماع الوجوب والاستحباب فكيف يصرّح بأنّه من حيث إنّه قائم مقام الواجب واجب تخييري ومن حيث المجموع مستحبّ؟!</w:t>
      </w:r>
    </w:p>
    <w:p>
      <w:pPr>
        <w:pStyle w:val="BookText"/>
      </w:pPr>
      <w:r>
        <w:rPr>
          <w:rFonts w:ascii="IRNazanin" w:hAnsi="IRNazanin" w:eastAsia="IRNazanin" w:cs="IRNazanin"/>
          <w:lang w:bidi="fa-IR"/>
          <w:color w:val="111111"/>
          <w:sz w:val="28"/>
          <w:szCs w:val="28"/>
          <w:rtl/>
        </w:rPr>
        <w:t xml:space="preserve">وأیضاً يلزم على بيانه اجتماع الوجوب والاستحباب من جهتين: من جهة أنّه بدل عن الجمعة ومن حيث إنّ المجموع من حيث المجموع مستحبّ وهو</w:t>
      </w:r>
      <w:r>
        <w:rPr>
          <w:rStyle w:val="FootnoteReference"/>
        </w:rPr>
        <w:footnoteReference w:id="1558"/>
      </w:r>
      <w:r>
        <w:rPr>
          <w:rFonts w:ascii="IRNazanin" w:hAnsi="IRNazanin" w:eastAsia="IRNazanin" w:cs="IRNazanin"/>
          <w:lang w:bidi="fa-IR"/>
          <w:color w:val="111111"/>
          <w:sz w:val="28"/>
          <w:szCs w:val="28"/>
          <w:rtl/>
        </w:rPr>
        <w:t xml:space="preserve">بدل عنه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الّذي ذكره إنّما كان مناسباً لو كان الإشکال كون شي‌ء واحد مصداقاً للواجب والمستحبّ لا كونه مستحبّاً وواجباً بالفعل، مع أنّ الأمر بالعكس؛ إذ اجتماع ذاتيهما لا إشکال فيه كما عرفت حيث قلنا: إنّه مصداق للکلّيين إلّا أنّه متّصف فعلاً بالوجوب.</w:t>
      </w:r>
    </w:p>
    <w:p>
      <w:pPr>
        <w:pStyle w:val="BookText"/>
      </w:pPr>
      <w:r>
        <w:rPr>
          <w:rFonts w:ascii="Amiri" w:hAnsi="Amiri" w:eastAsia="Amiri" w:cs="Amiri"/>
          <w:lang w:bidi="ar-SA"/>
          <w:color w:val="111111"/>
          <w:sz w:val="28"/>
          <w:szCs w:val="28"/>
          <w:rtl/>
        </w:rPr>
        <w:t xml:space="preserve">ثمّ ما ذكره من نيّة الاستحباب بناء على نيّة الوجه لا وجه له بل المناسب أن ينوي الوجوب والندب؛ لأنّه بأحد الاعتبارين واجب.</w:t>
      </w:r>
    </w:p>
    <w:p>
      <w:pPr>
        <w:pStyle w:val="BookText"/>
      </w:pPr>
      <w:r>
        <w:rPr>
          <w:rFonts w:ascii="IRNazanin" w:hAnsi="IRNazanin" w:eastAsia="IRNazanin" w:cs="IRNazanin"/>
          <w:lang w:bidi="fa-IR"/>
          <w:color w:val="111111"/>
          <w:sz w:val="28"/>
          <w:szCs w:val="28"/>
          <w:rtl/>
        </w:rPr>
        <w:t xml:space="preserve">ثمّ إنّ هذا الجواب لا يجري في العرفيات الّتي نعلم بأنّ المأتي به ليس من الأمر الثالث بل هو مصداق للکلّيين كما إذا أمر بإکرام زيد وجوباً وبإکرام عمرو ندباًوكان فرد واحد من الإکرام إکراماً لهما فإنّ من المعلوم أنّ هذا الفرد حقیقة مصداق للکلّيين. فتدبّر.</w:t>
      </w:r>
    </w:p>
    <w:p>
      <w:pPr>
        <w:pStyle w:val="BookText"/>
      </w:pPr>
      <w:r>
        <w:rPr>
          <w:rFonts w:ascii="Amiri" w:hAnsi="Amiri" w:eastAsia="Amiri" w:cs="Amiri"/>
          <w:lang w:bidi="ar-SA"/>
          <w:color w:val="111111"/>
          <w:sz w:val="28"/>
          <w:szCs w:val="28"/>
          <w:rtl/>
        </w:rPr>
        <w:t xml:space="preserve">ثمّ الظاهر</w:t>
      </w:r>
      <w:r>
        <w:rPr>
          <w:rStyle w:val="FootnoteReference"/>
        </w:rPr>
        <w:footnoteReference w:id="1559"/>
      </w:r>
      <w:r>
        <w:rPr>
          <w:rFonts w:ascii="Amiri" w:hAnsi="Amiri" w:eastAsia="Amiri" w:cs="Amiri"/>
          <w:lang w:bidi="ar-SA"/>
          <w:color w:val="111111"/>
          <w:sz w:val="28"/>
          <w:szCs w:val="28"/>
          <w:rtl/>
        </w:rPr>
        <w:t xml:space="preserve">على ما ذكره أنّه لا ينوي جمعة ولا جنابة؛ لأنّه جعله ثالثاً فينوي ذلك الثالث مع أنّ ظاهر</w:t>
      </w:r>
      <w:r>
        <w:rPr>
          <w:rStyle w:val="FootnoteReference"/>
        </w:rPr>
        <w:footnoteReference w:id="1560"/>
      </w:r>
      <w:r>
        <w:rPr>
          <w:rFonts w:ascii="Amiri" w:hAnsi="Amiri" w:eastAsia="Amiri" w:cs="Amiri"/>
          <w:lang w:bidi="ar-SA"/>
          <w:color w:val="111111"/>
          <w:sz w:val="28"/>
          <w:szCs w:val="28"/>
          <w:rtl/>
        </w:rPr>
        <w:t xml:space="preserve">الأصحاب والأدلّة نيّة العنوانين.</w:t>
      </w:r>
    </w:p>
    <w:p>
      <w:pPr>
        <w:pStyle w:val="BookText"/>
      </w:pPr>
      <w:r>
        <w:rPr>
          <w:rFonts w:ascii="Amiri" w:hAnsi="Amiri" w:eastAsia="Amiri" w:cs="Amiri"/>
          <w:lang w:bidi="ar-SA"/>
          <w:color w:val="111111"/>
          <w:sz w:val="28"/>
          <w:szCs w:val="28"/>
          <w:rtl/>
        </w:rPr>
        <w:t xml:space="preserve">وإن قال: إنّه ينويهما ومع ذلك يكون ثالثاً، فيرد عليه أنّه لا معنى لذلك مع عدم كونه منهما.</w:t>
      </w:r>
    </w:p>
    <w:p>
      <w:pPr>
        <w:pStyle w:val="BookText"/>
      </w:pPr>
      <w:r>
        <w:rPr>
          <w:rFonts w:ascii="IRNazanin" w:hAnsi="IRNazanin" w:eastAsia="IRNazanin" w:cs="IRNazanin"/>
          <w:lang w:bidi="fa-IR"/>
          <w:color w:val="111111"/>
          <w:sz w:val="28"/>
          <w:szCs w:val="28"/>
          <w:rtl/>
        </w:rPr>
        <w:t xml:space="preserve">هذا ولو قال بعد ما حكم بأنّه أمر ثالث: إنّه ليس إلّا مستحبّاً صِرفاً وأنّه مسقط للجنابة والجمعة لا طرف للتخيير كان أبعد عن الإيراد؛ إذ على هذا لم يجتمع الحكمان فالمکلّف في يوم الجمعة يجب عليه غسل جنابة ويستحبّ عليه غسل جمعة ويستحبّ عليه بأمر ثالث مكشوف عن أدلّة التداخل غسل آخر إذا أتى به أجزأ عن التکلیفين وأسقطهما عن الذمّة.</w:t>
      </w:r>
    </w:p>
    <w:p>
      <w:pPr>
        <w:pStyle w:val="BookText"/>
      </w:pPr>
      <w:r>
        <w:rPr>
          <w:rFonts w:ascii="Amiri" w:hAnsi="Amiri" w:eastAsia="Amiri" w:cs="Amiri"/>
          <w:lang w:bidi="ar-SA"/>
          <w:color w:val="111111"/>
          <w:sz w:val="28"/>
          <w:szCs w:val="28"/>
          <w:rtl/>
        </w:rPr>
        <w:t xml:space="preserve">ودعوى أنّه إذا كان مسقطاً فلا بدّ من اشتماله على مصلحتهما فيكون طرفاً للتخيير؛ مدفوعة بما عرفت.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20" w:name="pg6784_51434"/>
    <w:bookmarkEnd w:id="220"/>
    <w:p>
      <w:pPr>
        <w:pStyle w:val="BookText"/>
      </w:pPr>
      <w:r>
        <w:rPr>
          <w:rFonts w:ascii="Amiri" w:hAnsi="Amiri" w:eastAsia="Amiri" w:cs="Amiri"/>
          <w:lang w:bidi="ar-SA"/>
          <w:color w:val="111111"/>
          <w:sz w:val="28"/>
          <w:szCs w:val="28"/>
          <w:rtl/>
        </w:rPr>
        <w:t xml:space="preserve">فعلى هذا لا يرد عليه إلّا أنّه خلاف ظاهر الأدلّة والعلماء. فتدبّر.</w:t>
      </w:r>
    </w:p>
    <w:p>
      <w:pPr>
        <w:pStyle w:val="Heading6"/>
      </w:pPr>
      <w:bookmarkStart w:id="713" w:name="_Toc394"/>
      <w:r>
        <w:t>[جواب صاحب الفصول (رحمة الله‌علیه)]</w:t>
      </w:r>
      <w:bookmarkEnd w:id="713"/>
    </w:p>
    <w:p>
      <w:pPr>
        <w:pStyle w:val="BookText"/>
      </w:pPr>
      <w:r>
        <w:rPr>
          <w:rFonts w:ascii="IRNazanin" w:hAnsi="IRNazanin" w:eastAsia="IRNazanin" w:cs="IRNazanin"/>
          <w:lang w:bidi="fa-IR"/>
          <w:color w:val="111111"/>
          <w:sz w:val="28"/>
          <w:szCs w:val="28"/>
          <w:rtl/>
        </w:rPr>
        <w:t xml:space="preserve">وأجاب في الفصول عن الإشکال بما حاصله أنّ التداخل إمّا في الواجبات فقط أو المندوبات فقط أو المختلفات، وعلى التقادير إمّا أن</w:t>
      </w:r>
      <w:r>
        <w:rPr>
          <w:rStyle w:val="FootnoteReference"/>
        </w:rPr>
        <w:footnoteReference w:id="1561"/>
      </w:r>
      <w:r>
        <w:rPr>
          <w:rFonts w:ascii="Amiri" w:hAnsi="Amiri" w:eastAsia="Amiri" w:cs="Amiri"/>
          <w:lang w:bidi="ar-SA"/>
          <w:color w:val="111111"/>
          <w:sz w:val="28"/>
          <w:szCs w:val="28"/>
          <w:rtl/>
        </w:rPr>
        <w:t xml:space="preserve">يكون مع النيّة أو يكون قهريّاً. ثمّ النيّة إمّا أن</w:t>
      </w:r>
      <w:r>
        <w:rPr>
          <w:rStyle w:val="FootnoteReference"/>
        </w:rPr>
        <w:footnoteReference w:id="1562"/>
      </w:r>
      <w:r>
        <w:rPr>
          <w:rFonts w:ascii="IRNazanin" w:hAnsi="IRNazanin" w:eastAsia="IRNazanin" w:cs="IRNazanin"/>
          <w:lang w:bidi="fa-IR"/>
          <w:color w:val="111111"/>
          <w:sz w:val="28"/>
          <w:szCs w:val="28"/>
          <w:rtl/>
        </w:rPr>
        <w:t xml:space="preserve">تكون جزءاً أو شرطاً فمع اعتبار النيّة وكونها جزءاً لا إشکال لتعدّد المتعلّق حتّى في المختلفين، غاية الأمر أن يشترك الواجب والمندوب في جزء وهو ما عدا النيّة فيلزم وجوبه واستحبابه ولا بأس به لاختلاف الغيریين</w:t>
      </w:r>
      <w:r>
        <w:rPr>
          <w:rStyle w:val="FootnoteReference"/>
        </w:rPr>
        <w:footnoteReference w:id="1563"/>
      </w:r>
      <w:r>
        <w:rPr>
          <w:rFonts w:ascii="IRNazanin" w:hAnsi="IRNazanin" w:eastAsia="IRNazanin" w:cs="IRNazanin"/>
          <w:lang w:bidi="fa-IR"/>
          <w:color w:val="111111"/>
          <w:sz w:val="28"/>
          <w:szCs w:val="28"/>
          <w:rtl/>
        </w:rPr>
        <w:t xml:space="preserve">ومع كونها شرطاً أو عدم اعتبارها فلا إشکال إذا اختلف الحكمان بالنفسيّة والغيريّة أو مع اختلاف الغيرومع كونهما نفسيّين أو كون الغير واحداً يحمل على تأكّد الحكم في المتّفقين وعلى أفضليّة الفرد في المختلفين.</w:t>
      </w:r>
      <w:r>
        <w:rPr>
          <w:rStyle w:val="FootnoteReference"/>
        </w:rPr>
        <w:footnoteReference w:id="1564"/>
      </w:r>
    </w:p>
    <w:p>
      <w:pPr>
        <w:pStyle w:val="Heading6"/>
      </w:pPr>
      <w:bookmarkStart w:id="714" w:name="_Toc395"/>
      <w:r>
        <w:t>[إیرادات على جواب صاحب الفصول (رحمة الله‌علیه)]</w:t>
      </w:r>
      <w:bookmarkEnd w:id="714"/>
    </w:p>
    <w:p>
      <w:pPr>
        <w:pStyle w:val="BookText"/>
      </w:pPr>
      <w:r>
        <w:rPr>
          <w:rFonts w:ascii="Amiri" w:hAnsi="Amiri" w:eastAsia="Amiri" w:cs="Amiri"/>
          <w:lang w:bidi="ar-SA"/>
          <w:color w:val="111111"/>
          <w:sz w:val="28"/>
          <w:szCs w:val="28"/>
          <w:rtl/>
        </w:rPr>
        <w:t xml:space="preserve">ويرد عليه أوّلاً: أنّا نمنع تعدّد المتعلّق بمجرّد اختلاف النيّة ولا يخرج العمل عن كونه واحداً كما هو واضح خصوصاً مع أنّ نية الجميع نية واحدة لا تعدّد فيها فجميع أجزاء العمل واحد حتّى النيّة؛ إذ لا ينوي هذا بنيّة مستقلّة ثمّ ذاك</w:t>
      </w:r>
      <w:r>
        <w:rPr>
          <w:rStyle w:val="FootnoteReference"/>
        </w:rPr>
        <w:footnoteReference w:id="1565"/>
      </w:r>
      <w:r>
        <w:rPr>
          <w:rFonts w:ascii="Amiri" w:hAnsi="Amiri" w:eastAsia="Amiri" w:cs="Amiri"/>
          <w:lang w:bidi="ar-SA"/>
          <w:color w:val="111111"/>
          <w:sz w:val="28"/>
          <w:szCs w:val="28"/>
          <w:rtl/>
        </w:rPr>
        <w:t xml:space="preserve">بنيّة مستقلّة.</w:t>
      </w:r>
    </w:p>
    <w:p>
      <w:pPr>
        <w:pStyle w:val="BookText"/>
      </w:pPr>
      <w:r>
        <w:rPr>
          <w:rFonts w:ascii="Amiri" w:hAnsi="Amiri" w:eastAsia="Amiri" w:cs="Amiri"/>
          <w:lang w:bidi="ar-SA"/>
          <w:color w:val="111111"/>
          <w:sz w:val="28"/>
          <w:szCs w:val="28"/>
          <w:rtl/>
        </w:rPr>
        <w:t xml:space="preserve">وثانياً: بناء على التعدّد وكفايته لا فرق بين كونها شرطاً أو جزءاً؛ إذ بناء على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الشرطيّة أیضاً التقيّد</w:t>
      </w:r>
      <w:r>
        <w:rPr>
          <w:rStyle w:val="FootnoteReference"/>
        </w:rPr>
        <w:footnoteReference w:id="1566"/>
      </w:r>
      <w:r>
        <w:rPr>
          <w:rFonts w:ascii="Amiri" w:hAnsi="Amiri" w:eastAsia="Amiri" w:cs="Amiri"/>
          <w:lang w:bidi="ar-SA"/>
          <w:color w:val="111111"/>
          <w:sz w:val="28"/>
          <w:szCs w:val="28"/>
          <w:rtl/>
        </w:rPr>
        <w:t xml:space="preserve">داخل في العمل فلو فرضنا صدق تعدّد العمل فينبغي القول به على القولين خصوصاً على مذهبه</w:t>
      </w:r>
      <w:r>
        <w:rPr>
          <w:rStyle w:val="FootnoteReference"/>
        </w:rPr>
        <w:footnoteReference w:id="1567"/>
      </w:r>
    </w:p>
    <w:p>
      <w:pPr>
        <w:pStyle w:val="BookText"/>
      </w:pPr>
      <w:r>
        <w:rPr>
          <w:rFonts w:ascii="IRNazanin" w:hAnsi="IRNazanin" w:eastAsia="IRNazanin" w:cs="IRNazanin"/>
          <w:lang w:bidi="fa-IR"/>
          <w:color w:val="111111"/>
          <w:sz w:val="28"/>
          <w:szCs w:val="28"/>
          <w:rtl/>
        </w:rPr>
        <w:t xml:space="preserve">وهذا خلاف مبنى الذین لا یعدّون النیّة من قیود المأمور ویقولون بعدم إمکان تقیید المأمور به بقصد الامتثال، وأنّه إذا امتنع التقیید امتنع التمسك بالإطلاق. ولکن یظهر من صاحب الفصول إمکان التقیید بملاحظة بیانه في هذا المقام. فراجع: الفصول الغرویّة ص69 و70.</w:t>
      </w:r>
    </w:p>
    <w:p>
      <w:pPr>
        <w:pStyle w:val="BookText"/>
      </w:pPr>
      <w:r>
        <w:rPr>
          <w:rFonts w:ascii="IRNazanin" w:hAnsi="IRNazanin" w:eastAsia="IRNazanin" w:cs="IRNazanin"/>
          <w:lang w:bidi="fa-IR"/>
          <w:color w:val="111111"/>
          <w:sz w:val="28"/>
          <w:szCs w:val="28"/>
          <w:rtl/>
        </w:rPr>
        <w:t xml:space="preserve">وقال الحاج الشیخ أحمد الشیرازي في تعلیقات الفصول في الأصول، ج3، ص208: «ربما يورد على التمسك بالإطلاق هنا بأنّ المورد غير قابل للتمسك به؛ إذ لا بدّ من أن يكون المطلق قابلاً للتقييد والإطلاق، مثلاً يمكن تقييد الرقبة في قولنا «أعتق رقبة» بالإيمان ويمكن الإطلاق والتعميم، فاذا لم يرد قيد يحكم بالإطلاق، وهذا إنّما يصحّ في القيود التي لم تكن جائية من قبل الأمر كما في المثال، وأمّا القيود التي تجي‌ء من ناحية الأمر والهيئة فلا يصحّ أن يعتبر في المادة ولا في متعلقاتها للزوم الدور الواضح؛ بداهة أنّ الأمر والهيئة موقوفة على المادة وذات المأمور به؛ ضرورة توقّف العرض على معروضه وموضوعه والمحمول على موضوعه، فإذا كانت المادة وذات المأمور به أو ما يتعلق بها مقيدة بقيد يكون جائياً من قبل الأمر والهيئة على ما هو المفروض تكون موقوفة على الأمر والهيئة، ضرورة توقّف المقيّد على قيده فيلزم الدور، وهذا كما فيما نحن فيه حيث إنّ التعبّد وقصد الامتثال موقوف على الأمر كما هو واضح».</w:t>
      </w:r>
    </w:p>
    <w:p>
      <w:pPr>
        <w:pStyle w:val="BookText"/>
      </w:pPr>
      <w:r>
        <w:rPr>
          <w:rFonts w:ascii="IRNazanin" w:hAnsi="IRNazanin" w:eastAsia="IRNazanin" w:cs="IRNazanin"/>
          <w:lang w:bidi="fa-IR"/>
          <w:color w:val="111111"/>
          <w:sz w:val="28"/>
          <w:szCs w:val="28"/>
          <w:rtl/>
        </w:rPr>
        <w:t xml:space="preserve">وقد مضى ردّ المصنّف للزوم الدور المذکور حیث قال: «إنّ الدّور مندفع؛ لأنّ قصد القربة وإن كان موقوفاً على وجود الأمر إلّا أنّ الأمر غير موقوفٍ على تحقّق قصد القربة في الخارج، بل یکفي أن يتصوّر الآمر الفعل مع قصد الأمر المتوجّه إليه لو كان متوجّهاً إليه ثم يأمر بذلك الفعل».</w:t>
      </w:r>
    </w:p>
    <w:p>
      <w:pPr>
        <w:pStyle w:val="BookText"/>
      </w:pPr>
      <w:r>
        <w:rPr>
          <w:rFonts w:ascii="Amiri" w:hAnsi="Amiri" w:eastAsia="Amiri" w:cs="Amiri"/>
          <w:lang w:bidi="ar-SA"/>
          <w:color w:val="111111"/>
          <w:sz w:val="28"/>
          <w:szCs w:val="28"/>
          <w:rtl/>
        </w:rPr>
        <w:t xml:space="preserve">من جعل النيّة من قيود المأمور به لا معتبرة فيطريق الامتثال.</w:t>
      </w:r>
    </w:p>
    <w:p>
      <w:pPr>
        <w:pStyle w:val="BookText"/>
      </w:pPr>
      <w:r>
        <w:rPr>
          <w:rFonts w:ascii="IRNazanin" w:hAnsi="IRNazanin" w:eastAsia="IRNazanin" w:cs="IRNazanin"/>
          <w:lang w:bidi="fa-IR"/>
          <w:color w:val="111111"/>
          <w:sz w:val="28"/>
          <w:szCs w:val="28"/>
          <w:rtl/>
        </w:rPr>
        <w:t xml:space="preserve">وثالثاً: أنّ الاختلاف في النفسيّة والغيرية وتعدّد الغير لا يجدي في دفع الإشکال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21" w:name="pg6784_51436"/>
    <w:bookmarkEnd w:id="221"/>
    <w:p>
      <w:pPr>
        <w:pStyle w:val="BookText"/>
      </w:pPr>
      <w:r>
        <w:rPr>
          <w:rFonts w:ascii="IRNazanin" w:hAnsi="IRNazanin" w:eastAsia="IRNazanin" w:cs="IRNazanin"/>
          <w:lang w:bidi="fa-IR"/>
          <w:color w:val="111111"/>
          <w:sz w:val="28"/>
          <w:szCs w:val="28"/>
          <w:rtl/>
        </w:rPr>
        <w:t xml:space="preserve">حسبما</w:t>
      </w:r>
      <w:r>
        <w:rPr>
          <w:rStyle w:val="FootnoteReference"/>
        </w:rPr>
        <w:footnoteReference w:id="1568"/>
      </w:r>
      <w:r>
        <w:rPr>
          <w:rFonts w:ascii="Amiri" w:hAnsi="Amiri" w:eastAsia="Amiri" w:cs="Amiri"/>
          <w:lang w:bidi="ar-SA"/>
          <w:color w:val="111111"/>
          <w:sz w:val="28"/>
          <w:szCs w:val="28"/>
          <w:rtl/>
        </w:rPr>
        <w:t xml:space="preserve">عرفت سابقاً.</w:t>
      </w:r>
    </w:p>
    <w:p>
      <w:pPr>
        <w:pStyle w:val="BookText"/>
      </w:pPr>
      <w:r>
        <w:rPr>
          <w:rFonts w:ascii="Amiri" w:hAnsi="Amiri" w:eastAsia="Amiri" w:cs="Amiri"/>
          <w:lang w:bidi="ar-SA"/>
          <w:color w:val="111111"/>
          <w:sz w:val="28"/>
          <w:szCs w:val="28"/>
          <w:rtl/>
        </w:rPr>
        <w:t xml:space="preserve">ورابعاً: أنّ ما حكم به من التأكّد والأفضليّة على تقدير التداخل القهري كما على شرطيّة النيّة على إطلاقه ممنوع؛ إذ مع التداخل القهري</w:t>
      </w:r>
      <w:r>
        <w:rPr>
          <w:rStyle w:val="FootnoteReference"/>
        </w:rPr>
        <w:footnoteReference w:id="1569"/>
      </w:r>
      <w:r>
        <w:rPr>
          <w:rFonts w:ascii="Amiri" w:hAnsi="Amiri" w:eastAsia="Amiri" w:cs="Amiri"/>
          <w:lang w:bidi="ar-SA"/>
          <w:color w:val="111111"/>
          <w:sz w:val="28"/>
          <w:szCs w:val="28"/>
          <w:rtl/>
        </w:rPr>
        <w:t xml:space="preserve">إنّما يتمّ التأكّد إذا كان من التداخل المسبّبي وأمّا إذا كان من السببي فلا يحصل على</w:t>
      </w:r>
      <w:r>
        <w:rPr>
          <w:rStyle w:val="FootnoteReference"/>
        </w:rPr>
        <w:footnoteReference w:id="1570"/>
      </w:r>
      <w:r>
        <w:rPr>
          <w:rFonts w:ascii="IRNazanin" w:hAnsi="IRNazanin" w:eastAsia="IRNazanin" w:cs="IRNazanin"/>
          <w:lang w:bidi="fa-IR"/>
          <w:color w:val="111111"/>
          <w:sz w:val="28"/>
          <w:szCs w:val="28"/>
          <w:rtl/>
        </w:rPr>
        <w:t xml:space="preserve">تأكّد ولا أفضلية، بل قد عرفت سابقاً أنّ بعضهم استشکل في إمکان جعله من التداخل المسبّبي وقال: إنّ التداخل القهري لا يكون إلّا</w:t>
      </w:r>
      <w:r>
        <w:rPr>
          <w:rStyle w:val="FootnoteReference"/>
        </w:rPr>
        <w:footnoteReference w:id="1571"/>
      </w:r>
      <w:r>
        <w:rPr>
          <w:rFonts w:ascii="Amiri" w:hAnsi="Amiri" w:eastAsia="Amiri" w:cs="Amiri"/>
          <w:lang w:bidi="ar-SA"/>
          <w:color w:val="111111"/>
          <w:sz w:val="28"/>
          <w:szCs w:val="28"/>
          <w:rtl/>
        </w:rPr>
        <w:t xml:space="preserve">التداخل السّببي.</w:t>
      </w:r>
    </w:p>
    <w:p>
      <w:pPr>
        <w:pStyle w:val="Heading6"/>
      </w:pPr>
      <w:bookmarkStart w:id="715" w:name="_Toc396"/>
      <w:r>
        <w:t>[جواب الشهید الأوّل (رحمة الله‌علیه) وإرجاعه إلى ما ذکرناه]</w:t>
      </w:r>
      <w:bookmarkEnd w:id="715"/>
    </w:p>
    <w:p>
      <w:pPr>
        <w:pStyle w:val="BookText"/>
      </w:pPr>
      <w:r>
        <w:rPr>
          <w:rFonts w:ascii="IRNazanin" w:hAnsi="IRNazanin" w:eastAsia="IRNazanin" w:cs="IRNazanin"/>
          <w:lang w:bidi="fa-IR"/>
          <w:color w:val="111111"/>
          <w:sz w:val="28"/>
          <w:szCs w:val="28"/>
          <w:rtl/>
        </w:rPr>
        <w:t xml:space="preserve">وأجاب الشهيد (رحمة الله‌علیه) في الذكرى</w:t>
      </w:r>
      <w:r>
        <w:rPr>
          <w:rStyle w:val="FootnoteReference"/>
        </w:rPr>
        <w:footnoteReference w:id="1572"/>
      </w:r>
      <w:r>
        <w:rPr>
          <w:rFonts w:ascii="Amiri" w:hAnsi="Amiri" w:eastAsia="Amiri" w:cs="Amiri"/>
          <w:lang w:bidi="ar-SA"/>
          <w:color w:val="111111"/>
          <w:sz w:val="28"/>
          <w:szCs w:val="28"/>
          <w:rtl/>
        </w:rPr>
        <w:t xml:space="preserve">عن مسألة التداخل - أعني اجتماع الوجوب والاستحباب - بأنّ نيّة الوجوب يستلزم نيّة الندب لاشتراكهما في الترجيح ولا يضرّ اعتقاد منع الترك؛ لأنّه مؤكّد للغاية. قال: ومثله الصّلاة على جنازتي بالغ وصبيّ بل مطلق الواجبة. </w:t>
      </w:r>
      <w:r>
        <w:rPr>
          <w:rStyle w:val="FootnoteReference"/>
        </w:rPr>
        <w:footnoteReference w:id="1573"/>
      </w:r>
    </w:p>
    <w:p>
      <w:pPr>
        <w:pStyle w:val="BookText"/>
      </w:pPr>
      <w:r>
        <w:rPr>
          <w:rFonts w:ascii="Amiri" w:hAnsi="Amiri" w:eastAsia="Amiri" w:cs="Amiri"/>
          <w:lang w:bidi="ar-SA"/>
          <w:color w:val="111111"/>
          <w:sz w:val="28"/>
          <w:szCs w:val="28"/>
          <w:rtl/>
        </w:rPr>
        <w:t xml:space="preserve">وقال في قواعده</w:t>
      </w:r>
      <w:r>
        <w:rPr>
          <w:rStyle w:val="FootnoteReference"/>
        </w:rPr>
        <w:footnoteReference w:id="1574"/>
      </w:r>
      <w:r>
        <w:rPr>
          <w:rFonts w:ascii="Amiri" w:hAnsi="Amiri" w:eastAsia="Amiri" w:cs="Amiri"/>
          <w:lang w:bidi="ar-SA"/>
          <w:color w:val="111111"/>
          <w:sz w:val="28"/>
          <w:szCs w:val="28"/>
          <w:rtl/>
        </w:rPr>
        <w:t xml:space="preserve">بعد حكمه بالبطلان إذا جمع</w:t>
      </w:r>
      <w:r>
        <w:rPr>
          <w:rStyle w:val="FootnoteReference"/>
        </w:rPr>
        <w:footnoteReference w:id="1575"/>
      </w:r>
      <w:r>
        <w:rPr>
          <w:rFonts w:ascii="Amiri" w:hAnsi="Amiri" w:eastAsia="Amiri" w:cs="Amiri"/>
          <w:lang w:bidi="ar-SA"/>
          <w:color w:val="111111"/>
          <w:sz w:val="28"/>
          <w:szCs w:val="28"/>
          <w:rtl/>
        </w:rPr>
        <w:t xml:space="preserve">بين النيّتين: «ويحتمل الإجزاء؛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22" w:name="pg6784_51437"/>
    <w:bookmarkEnd w:id="222"/>
    <w:p>
      <w:pPr>
        <w:pStyle w:val="BookText"/>
      </w:pPr>
      <w:r>
        <w:rPr>
          <w:rFonts w:ascii="Amiri" w:hAnsi="Amiri" w:eastAsia="Amiri" w:cs="Amiri"/>
          <w:lang w:bidi="ar-SA"/>
          <w:color w:val="111111"/>
          <w:sz w:val="28"/>
          <w:szCs w:val="28"/>
          <w:rtl/>
        </w:rPr>
        <w:t xml:space="preserve">لأنّ نيّة الوجوب هي المقصودة فتلغو نيّة الندب».</w:t>
      </w:r>
      <w:r>
        <w:rPr>
          <w:rStyle w:val="FootnoteReference"/>
        </w:rPr>
        <w:footnoteReference w:id="1576"/>
      </w:r>
    </w:p>
    <w:p>
      <w:pPr>
        <w:pStyle w:val="BookText"/>
      </w:pPr>
      <w:r>
        <w:rPr>
          <w:rFonts w:ascii="IRNazanin" w:hAnsi="IRNazanin" w:eastAsia="IRNazanin" w:cs="IRNazanin"/>
          <w:lang w:bidi="fa-IR"/>
          <w:color w:val="111111"/>
          <w:sz w:val="28"/>
          <w:szCs w:val="28"/>
          <w:rtl/>
        </w:rPr>
        <w:t xml:space="preserve">ويمكن إرجاعهما إلى ما ذكرنا سابقاً من أنّ الفعل متّصف بالوجوب بالفعل وإن کان مصداقاً للمندوب أیضاً مع وجود الجهة النادبة.</w:t>
      </w:r>
    </w:p>
    <w:p>
      <w:pPr>
        <w:pStyle w:val="Heading6"/>
      </w:pPr>
      <w:bookmarkStart w:id="716" w:name="_Toc397"/>
      <w:r>
        <w:t>[وجه آخر للجواب في بعض موارد التداخل]</w:t>
      </w:r>
      <w:bookmarkEnd w:id="716"/>
    </w:p>
    <w:p>
      <w:pPr>
        <w:pStyle w:val="BookText"/>
      </w:pPr>
      <w:r>
        <w:rPr>
          <w:rFonts w:ascii="IRNazanin" w:hAnsi="IRNazanin" w:eastAsia="IRNazanin" w:cs="IRNazanin"/>
          <w:lang w:bidi="fa-IR"/>
          <w:color w:val="111111"/>
          <w:sz w:val="28"/>
          <w:szCs w:val="28"/>
          <w:rtl/>
        </w:rPr>
        <w:t xml:space="preserve">هذا ويمكن أن يجاب عن الإشکال في بعض موارد التداخل مثل مسألة تأدية التحيّة بالفريضة والصّوم المستحبّي بالقضاء بوجه آخر وهو أن يقال: إنّ الاجتماع الممنوع إنّما هو إذا كانا في عرض واحد كأن يكون مکلّفاً بالتحيّة وبالفريضة وكان المأتي به مصداقاً لهما وهو ممنوع؛ إذ الظاهر أنّه مکلّف بالصّلاة في المسجد إذا دخله بأيّ وجه كانت.</w:t>
      </w:r>
    </w:p>
    <w:p>
      <w:pPr>
        <w:pStyle w:val="BookText"/>
      </w:pPr>
      <w:r>
        <w:rPr>
          <w:rFonts w:ascii="IRNazanin" w:hAnsi="IRNazanin" w:eastAsia="IRNazanin" w:cs="IRNazanin"/>
          <w:lang w:bidi="fa-IR"/>
          <w:color w:val="111111"/>
          <w:sz w:val="28"/>
          <w:szCs w:val="28"/>
          <w:rtl/>
        </w:rPr>
        <w:t xml:space="preserve">وبعبارة أخری: المستحبّ الإتیان بصلاةٍ ما وإن کان بعنوان الوجوب عن نفسه أو عن غيره فهو نظير الصّوم في الاعتكاف حيث إنّه يشترط فيه الصّوم بأيّ عنوان کان ولو كان استيجارياً فلو صلّى الفريضة في المسجد فهي صلاته الواجبة وهذه الواجبة بعنوان أنّها صلاة كذائيّة متّصفة بالاستحباب من حيث إنّها تحيّة فليست ذات الصّلاة صلاة التحيّة إلّا إذا قصد بها ذلك دون سائر العنوانات.</w:t>
      </w:r>
    </w:p>
    <w:p>
      <w:pPr>
        <w:pStyle w:val="BookText"/>
      </w:pPr>
      <w:r>
        <w:rPr>
          <w:rFonts w:ascii="IRNazanin" w:hAnsi="IRNazanin" w:eastAsia="IRNazanin" w:cs="IRNazanin"/>
          <w:lang w:bidi="fa-IR"/>
          <w:color w:val="111111"/>
          <w:sz w:val="28"/>
          <w:szCs w:val="28"/>
          <w:rtl/>
        </w:rPr>
        <w:t xml:space="preserve">وكذا الکلام بالنسبة إلى الصّوم في اليوم الّذي يستحبّ فيه الصّوم بالخصوص فإنّا نقول: المستحبّ هو كونه صائماً بأيّ صوم كان فإذا نوى القضاء يكون صوماً واجباً وبهذا العنوان یتّصف بالاستحباب.</w:t>
      </w:r>
    </w:p>
    <w:p>
      <w:pPr>
        <w:pStyle w:val="BookText"/>
      </w:pPr>
      <w:r>
        <w:rPr>
          <w:rFonts w:ascii="IRNazanin" w:hAnsi="IRNazanin" w:eastAsia="IRNazanin" w:cs="IRNazanin"/>
          <w:lang w:bidi="fa-IR"/>
          <w:color w:val="111111"/>
          <w:sz w:val="28"/>
          <w:szCs w:val="28"/>
          <w:rtl/>
        </w:rPr>
        <w:t xml:space="preserve">وبالجملة فالإشکال أنّما هو في صورة كون الصلاة الواحدة من حيث إنّها صلاة مصداقاً للأمرين أمّا إذا كانت أوّلاً مصداقاً للفريضة ومصداقاً للتحيّة بعد عروض عنوان الفريضة وبهذا الوصف فلا بأس.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23" w:name="pg6784_51438"/>
    <w:bookmarkEnd w:id="223"/>
    <w:p>
      <w:pPr>
        <w:pStyle w:val="BookText"/>
      </w:pPr>
      <w:r>
        <w:rPr>
          <w:rFonts w:ascii="Amiri" w:hAnsi="Amiri" w:eastAsia="Amiri" w:cs="Amiri"/>
          <w:lang w:bidi="ar-SA"/>
          <w:color w:val="111111"/>
          <w:sz w:val="28"/>
          <w:szCs w:val="28"/>
          <w:rtl/>
        </w:rPr>
        <w:t xml:space="preserve">وحینئذٍ فصلاة التحيّة قسمان قسم يكون مستحبّاً من حيث إنّها صلاة تحيّة ويكون معنوناً بها أوّلاً وتكون</w:t>
      </w:r>
      <w:r>
        <w:rPr>
          <w:rStyle w:val="FootnoteReference"/>
        </w:rPr>
        <w:footnoteReference w:id="1577"/>
      </w:r>
      <w:r>
        <w:rPr>
          <w:rFonts w:ascii="Amiri" w:hAnsi="Amiri" w:eastAsia="Amiri" w:cs="Amiri"/>
          <w:lang w:bidi="ar-SA"/>
          <w:color w:val="111111"/>
          <w:sz w:val="28"/>
          <w:szCs w:val="28"/>
          <w:rtl/>
        </w:rPr>
        <w:t xml:space="preserve">التحيّة عنواناً أوّلياً لها وقسم يكون مستحبّاً بوصف كونها معنوناً أوّلاً بعنوان آخر.</w:t>
      </w:r>
    </w:p>
    <w:p>
      <w:pPr>
        <w:pStyle w:val="BookText"/>
      </w:pPr>
      <w:r>
        <w:rPr>
          <w:rFonts w:ascii="Amiri" w:hAnsi="Amiri" w:eastAsia="Amiri" w:cs="Amiri"/>
          <w:lang w:bidi="ar-SA"/>
          <w:color w:val="111111"/>
          <w:sz w:val="28"/>
          <w:szCs w:val="28"/>
          <w:rtl/>
        </w:rPr>
        <w:t xml:space="preserve">وإن شئت فقل: إنّ المستحبّ في الحقيقة هو عنوان تحصيل الصّلاة لا أصلهاكما نقول به بالنسبة إلى الصّلاة في أوّل الوقت حيث إنّ الواجب هو عنوان الصّلاة والمستحبّ عنوان التعجيل والمبادرة وهما من العناوين الثانوية.</w:t>
      </w:r>
    </w:p>
    <w:p>
      <w:pPr>
        <w:pStyle w:val="Heading6"/>
      </w:pPr>
      <w:bookmarkStart w:id="717" w:name="_Toc398"/>
      <w:r>
        <w:t>[تنزیل جواب المحقّق السبزواري (رحمة الله‌علیه) على ما ذکرناه]</w:t>
      </w:r>
      <w:bookmarkEnd w:id="717"/>
    </w:p>
    <w:p>
      <w:pPr>
        <w:pStyle w:val="BookText"/>
      </w:pPr>
      <w:r>
        <w:rPr>
          <w:rFonts w:ascii="Amiri" w:hAnsi="Amiri" w:eastAsia="Amiri" w:cs="Amiri"/>
          <w:lang w:bidi="ar-SA"/>
          <w:color w:val="111111"/>
          <w:sz w:val="28"/>
          <w:szCs w:val="28"/>
          <w:rtl/>
        </w:rPr>
        <w:t xml:space="preserve">ويمكن أن ينزّل على ما ذكرنا ما ذكره السبزواري في جوابه الأوّل حيث قال: إنّ التحية تتأدّى بالفريضة وإن لم تكن من أفرادها.</w:t>
      </w:r>
      <w:r>
        <w:rPr>
          <w:rStyle w:val="FootnoteReference"/>
        </w:rPr>
        <w:footnoteReference w:id="1578"/>
      </w:r>
      <w:r>
        <w:rPr>
          <w:rFonts w:ascii="IRNazanin" w:hAnsi="IRNazanin" w:eastAsia="IRNazanin" w:cs="IRNazanin"/>
          <w:lang w:bidi="fa-IR"/>
          <w:color w:val="111111"/>
          <w:sz w:val="28"/>
          <w:szCs w:val="28"/>
          <w:rtl/>
        </w:rPr>
        <w:t xml:space="preserve">یعني من أفرادها الأوّلية.</w:t>
      </w:r>
    </w:p>
    <w:p>
      <w:pPr>
        <w:pStyle w:val="BookText"/>
      </w:pPr>
      <w:r>
        <w:rPr>
          <w:rFonts w:ascii="IRNazanin" w:hAnsi="IRNazanin" w:eastAsia="IRNazanin" w:cs="IRNazanin"/>
          <w:lang w:bidi="fa-IR"/>
          <w:color w:val="111111"/>
          <w:sz w:val="28"/>
          <w:szCs w:val="28"/>
          <w:rtl/>
        </w:rPr>
        <w:t xml:space="preserve">ويكون مراده أنّ في يوم الجمعة يستحبّ غسل ما وإن کان غسل الجنابة فالجنب يجب عليه أن يأتي بغسل الجنابة إلّا أنّه يتأدّى به غسل الجمعة أیضاً حيث إنّه يتحقّق ولو كان بعنوان آخر. فتدبّر.</w:t>
      </w:r>
    </w:p>
    <w:p>
      <w:pPr>
        <w:pStyle w:val="Heading6"/>
      </w:pPr>
      <w:bookmarkStart w:id="718" w:name="_Toc399"/>
      <w:r>
        <w:t>[في الاستدلال على الاجتماع بالواجبات المرکبة المشتملة على المندوبات]</w:t>
      </w:r>
      <w:bookmarkEnd w:id="718"/>
    </w:p>
    <w:p>
      <w:pPr>
        <w:pStyle w:val="BookText"/>
      </w:pPr>
      <w:r>
        <w:rPr>
          <w:rFonts w:ascii="Amiri" w:hAnsi="Amiri" w:eastAsia="Amiri" w:cs="Amiri"/>
          <w:lang w:bidi="ar-SA"/>
          <w:color w:val="111111"/>
          <w:sz w:val="28"/>
          <w:szCs w:val="28"/>
          <w:rtl/>
        </w:rPr>
        <w:t xml:space="preserve">هذا وربّما يعدّ من موارد اجتماع الحكمين المركّبات الواجبة المشتملة على الأجزاء المندوبة كالصّلاة المشتملة على القنوت وتعدّد ذكر الركوع والسّجود والتكبيرات المستحبّة وغيرها فإنّ هذه الصلاة واجبة من حيث إنّها فرد من الواجب ومندوبة من حيث اشتمالها على الأجزاء المندوبة فهي نظير الصلاة في المسجد.</w:t>
      </w:r>
    </w:p>
    <w:p>
      <w:pPr>
        <w:pStyle w:val="Heading6"/>
      </w:pPr>
      <w:bookmarkStart w:id="719" w:name="_Toc400"/>
      <w:r>
        <w:t>[جواب الاستدلال على مذهب المانعین]</w:t>
      </w:r>
      <w:bookmarkEnd w:id="719"/>
    </w:p>
    <w:p>
      <w:pPr>
        <w:pStyle w:val="BookText"/>
      </w:pPr>
      <w:r>
        <w:rPr>
          <w:rFonts w:ascii="Amiri" w:hAnsi="Amiri" w:eastAsia="Amiri" w:cs="Amiri"/>
          <w:lang w:bidi="ar-SA"/>
          <w:color w:val="111111"/>
          <w:sz w:val="28"/>
          <w:szCs w:val="28"/>
          <w:rtl/>
        </w:rPr>
        <w:t xml:space="preserve">ويجاب بناءً على مذهب المانعين بما أجيب به هناك من أنّه أفضل أفراد الواجب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24" w:name="pg6784_51439"/>
    <w:bookmarkEnd w:id="224"/>
    <w:p>
      <w:pPr>
        <w:pStyle w:val="BookText"/>
      </w:pPr>
      <w:r>
        <w:rPr>
          <w:rFonts w:ascii="Amiri" w:hAnsi="Amiri" w:eastAsia="Amiri" w:cs="Amiri"/>
          <w:lang w:bidi="ar-SA"/>
          <w:color w:val="111111"/>
          <w:sz w:val="28"/>
          <w:szCs w:val="28"/>
          <w:rtl/>
        </w:rPr>
        <w:t xml:space="preserve">التخييري.</w:t>
      </w:r>
    </w:p>
    <w:p>
      <w:pPr>
        <w:pStyle w:val="Heading6"/>
      </w:pPr>
      <w:bookmarkStart w:id="720" w:name="_Toc401"/>
      <w:r>
        <w:t>[الرأي المختار]</w:t>
      </w:r>
      <w:bookmarkEnd w:id="720"/>
    </w:p>
    <w:p>
      <w:pPr>
        <w:pStyle w:val="BookText"/>
      </w:pPr>
      <w:r>
        <w:rPr>
          <w:rFonts w:ascii="Amiri" w:hAnsi="Amiri" w:eastAsia="Amiri" w:cs="Amiri"/>
          <w:lang w:bidi="ar-SA"/>
          <w:color w:val="111111"/>
          <w:sz w:val="28"/>
          <w:szCs w:val="28"/>
          <w:rtl/>
        </w:rPr>
        <w:t xml:space="preserve">قلت: يمكن أن يقال: إنّها ليست من قبيل المقام بل هذه الصلاة واجبة ومندوبة بمعنى أنّها مركّبة من الواجب والمندوب وقد تعلّق بها أمران أمر وجوبي متعلّقه الأجزاء الواجبة وأمر ندبي متعلّقه الأجزاء المندوبة فهي من حيث المجموع لم يتعلّق بها حكم واحد ولا حكم لها وفرق واضح بين مثل كون الصلاة في المسجد والقنوت، فإنّ الكون المذكور غير منفكّ عن مطلق الكون الّذي هو جزء وجوبي بخلافالقنوت.</w:t>
      </w:r>
    </w:p>
    <w:p>
      <w:pPr>
        <w:pStyle w:val="BookText"/>
      </w:pPr>
      <w:r>
        <w:rPr>
          <w:rFonts w:ascii="IRNazanin" w:hAnsi="IRNazanin" w:eastAsia="IRNazanin" w:cs="IRNazanin"/>
          <w:lang w:bidi="fa-IR"/>
          <w:color w:val="111111"/>
          <w:sz w:val="28"/>
          <w:szCs w:val="28"/>
          <w:rtl/>
        </w:rPr>
        <w:t xml:space="preserve">نعم لو قلنا: إنّ المکلّف مخيّر في ذكر الركوع والسجود بين الواحد</w:t>
      </w:r>
      <w:r>
        <w:rPr>
          <w:rStyle w:val="FootnoteReference"/>
        </w:rPr>
        <w:footnoteReference w:id="1579"/>
      </w:r>
      <w:r>
        <w:rPr>
          <w:rFonts w:ascii="Amiri" w:hAnsi="Amiri" w:eastAsia="Amiri" w:cs="Amiri"/>
          <w:lang w:bidi="ar-SA"/>
          <w:color w:val="111111"/>
          <w:sz w:val="28"/>
          <w:szCs w:val="28"/>
          <w:rtl/>
        </w:rPr>
        <w:t xml:space="preserve">والثلاثة وإنّ الثلاثة على فرضها أحد فردي الواجب التخييري، كان نظير الكون المذكور، لكن مثل القنوت والتكبيرات المستحبّة ليست كذلك لجواز تركها لا إلى بدل.</w:t>
      </w:r>
    </w:p>
    <w:p>
      <w:pPr>
        <w:pStyle w:val="BookText"/>
      </w:pPr>
      <w:r>
        <w:rPr>
          <w:rFonts w:ascii="IRNazanin" w:hAnsi="IRNazanin" w:eastAsia="IRNazanin" w:cs="IRNazanin"/>
          <w:lang w:bidi="fa-IR"/>
          <w:color w:val="111111"/>
          <w:sz w:val="28"/>
          <w:szCs w:val="28"/>
          <w:rtl/>
        </w:rPr>
        <w:t xml:space="preserve">ولو قلنا: إنّ الصلاة المذكورة واجبة وأنّها أحد أفراد التخيير، يلزم كون القنوت واجباً مع أنّ استحبابه إجماعي أو القول بأنّه ليس بجزء وإنّما هو مستحبّ خارجي في حال الصلاة وهو أیضاً خلاف الإجماع.</w:t>
      </w:r>
    </w:p>
    <w:p>
      <w:pPr>
        <w:pStyle w:val="BookText"/>
      </w:pPr>
      <w:r>
        <w:rPr>
          <w:rFonts w:ascii="IRNazanin" w:hAnsi="IRNazanin" w:eastAsia="IRNazanin" w:cs="IRNazanin"/>
          <w:lang w:bidi="fa-IR"/>
          <w:color w:val="111111"/>
          <w:sz w:val="28"/>
          <w:szCs w:val="28"/>
          <w:rtl/>
        </w:rPr>
        <w:t xml:space="preserve">ودعوى أنّا نلتزم بأنّه واجب إذا أتى به؛ لأنّه حینئذٍ جزء للواجب ولا معنى لكون جزء الواجب غير واجب وإنّما معنى استحبابه أنّه يجوز تركه من حيث هو وإلّا فمع الإتیان به لا يعقل إلّا أن يكون واجباً كما التزم به المحقّق</w:t>
      </w:r>
      <w:r>
        <w:rPr>
          <w:rStyle w:val="FootnoteReference"/>
        </w:rPr>
        <w:footnoteReference w:id="1580"/>
      </w:r>
      <w:r>
        <w:rPr>
          <w:rFonts w:ascii="Amiri" w:hAnsi="Amiri" w:eastAsia="Amiri" w:cs="Amiri"/>
          <w:lang w:bidi="ar-SA"/>
          <w:color w:val="111111"/>
          <w:sz w:val="28"/>
          <w:szCs w:val="28"/>
          <w:rtl/>
        </w:rPr>
        <w:t xml:space="preserve">الأنصاري</w:t>
      </w:r>
      <w:r>
        <w:rPr>
          <w:rStyle w:val="FootnoteReference"/>
        </w:rPr>
        <w:footnoteReference w:id="1581"/>
      </w:r>
    </w:p>
    <w:p>
      <w:pPr>
        <w:pStyle w:val="BookText"/>
      </w:pPr>
      <w:r>
        <w:rPr>
          <w:rFonts w:ascii="IRNazanin" w:hAnsi="IRNazanin" w:eastAsia="IRNazanin" w:cs="IRNazanin"/>
          <w:lang w:bidi="fa-IR"/>
          <w:color w:val="111111"/>
          <w:sz w:val="28"/>
          <w:szCs w:val="28"/>
          <w:rtl/>
        </w:rPr>
        <w:t xml:space="preserve">والشیخ قائل بعدم البطلان لو مضى على نيّة الرياء أو غير الصلاة في الأفعال المستحبّة؛ لأنّ بطلان الجزء المستحبّ لا يوجب الإخلال بالأجزاء الواجبة التي هي المناط في تحقّق الامتثال للأمر الوجوبي وإن لم يحصل امتثال الأمر الاستحبابي المتعلّق بنفس المستحبّ أو بالعبادة المشتملة عليه. مع أنّه قال بأنّ المصلّي لو نوى الرياء ببعضها المعدود جزءاً أصليّاً واجباً أو غير الصلاة بطلت الصلاة إن مضى على تلك النيّة. فراجع: کتاب الصلاة، ج1، ص280، و281. وکذا راجع: کتاب الطهارة، ج2، ص102 إلى 104.</w:t>
      </w:r>
    </w:p>
    <w:p>
      <w:pPr>
        <w:pStyle w:val="BookText"/>
      </w:pPr>
      <w:r>
        <w:rPr>
          <w:rFonts w:ascii="IRNazanin" w:hAnsi="IRNazanin" w:eastAsia="IRNazanin" w:cs="IRNazanin"/>
          <w:lang w:bidi="fa-IR"/>
          <w:color w:val="111111"/>
          <w:sz w:val="28"/>
          <w:szCs w:val="28"/>
          <w:rtl/>
        </w:rPr>
        <w:t xml:space="preserve">على ما نقل</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w:t>
      </w:r>
    </w:p>
    <w:p>
      <w:pPr>
        <w:pStyle w:val="BookText"/>
      </w:pPr>
      <w:r>
        <w:rPr>
          <w:rFonts w:ascii="IRNazanin" w:hAnsi="IRNazanin" w:eastAsia="IRNazanin" w:cs="IRNazanin"/>
          <w:lang w:bidi="fa-IR"/>
          <w:color w:val="111111"/>
          <w:sz w:val="28"/>
          <w:szCs w:val="28"/>
          <w:rtl/>
        </w:rPr>
        <w:t xml:space="preserve">مدفوعة بأنّه إذا كان قبل الإتیان به مستحبّاً فكيف یتّصف بالوجوب بعد الإتیان به؟!</w:t>
      </w:r>
    </w:p>
    <w:p>
      <w:pPr>
        <w:pStyle w:val="BookText"/>
      </w:pPr>
      <w:r>
        <w:rPr>
          <w:rFonts w:ascii="Amiri" w:hAnsi="Amiri" w:eastAsia="Amiri" w:cs="Amiri"/>
          <w:lang w:bidi="ar-SA"/>
          <w:color w:val="111111"/>
          <w:sz w:val="28"/>
          <w:szCs w:val="28"/>
          <w:rtl/>
        </w:rPr>
        <w:t xml:space="preserve">وما ذكر من أنّ جزء الواجب لا يعقل إلّا أن يكون واجباً؛</w:t>
      </w:r>
    </w:p>
    <w:p>
      <w:pPr>
        <w:pStyle w:val="BookText"/>
      </w:pPr>
      <w:r>
        <w:rPr>
          <w:rFonts w:ascii="Amiri" w:hAnsi="Amiri" w:eastAsia="Amiri" w:cs="Amiri"/>
          <w:lang w:bidi="ar-SA"/>
          <w:color w:val="111111"/>
          <w:sz w:val="28"/>
          <w:szCs w:val="28"/>
          <w:rtl/>
        </w:rPr>
        <w:t xml:space="preserve">فيه: أوّلاً: أنّه أوّل الدعوى؛ إذ جزء الواجب من حيث هو واجب لا يعقل أنيكون مستحبّاً وهذا ليس جزءاً إلّا للشخص الموجود في الخارج وليس جزءاً للواجب من حيث هو واجب.</w:t>
      </w:r>
    </w:p>
    <w:p>
      <w:pPr>
        <w:pStyle w:val="BookText"/>
      </w:pPr>
      <w:r>
        <w:rPr>
          <w:rFonts w:ascii="IRNazanin" w:hAnsi="IRNazanin" w:eastAsia="IRNazanin" w:cs="IRNazanin"/>
          <w:lang w:bidi="fa-IR"/>
          <w:color w:val="111111"/>
          <w:sz w:val="28"/>
          <w:szCs w:val="28"/>
          <w:rtl/>
        </w:rPr>
        <w:t xml:space="preserve">وثانياً: نمنع كونه جزءاً للواجب بل هو جزء لمركب بعض أجزائه واجب ومجموعه ليس بواجب ولا مندوب، بل لا حكم له من حيث المجموع ولا بهذه الحيثيّة واجب ومندوب بمعنى اشتماله عليهما فلا إشکال.</w:t>
      </w:r>
    </w:p>
    <w:p>
      <w:pPr>
        <w:pStyle w:val="BookText"/>
      </w:pPr>
      <w:r>
        <w:rPr>
          <w:rFonts w:ascii="Amiri" w:hAnsi="Amiri" w:eastAsia="Amiri" w:cs="Amiri"/>
          <w:lang w:bidi="ar-SA"/>
          <w:color w:val="111111"/>
          <w:sz w:val="28"/>
          <w:szCs w:val="28"/>
          <w:rtl/>
        </w:rPr>
        <w:t xml:space="preserve">فإن قلت: المفروض أنّ التشخّص والفرديّة لاحقان لهذا المجموع؛ إذ لا يصدق الصّلاة على الأجزاء الواجبة في ضمن هذا المركّب بل الصّلاة إنّما هو المجموع فالأمر المتعلّق بطبيعة الصّلاة يسري إلى هذا المجموع فكيف لا يكون واجباً؟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وبعبارة أخری: الوجوب لاحق للفرد وهو في هذا المركّب مجموعه لا أجزاؤه</w:t>
      </w:r>
      <w:r>
        <w:rPr>
          <w:rStyle w:val="FootnoteReference"/>
        </w:rPr>
        <w:footnoteReference w:id="1582"/>
      </w:r>
      <w:r>
        <w:rPr>
          <w:rFonts w:ascii="Amiri" w:hAnsi="Amiri" w:eastAsia="Amiri" w:cs="Amiri"/>
          <w:lang w:bidi="ar-SA"/>
          <w:color w:val="111111"/>
          <w:sz w:val="28"/>
          <w:szCs w:val="28"/>
          <w:rtl/>
        </w:rPr>
        <w:t xml:space="preserve">الواجبة فقط.</w:t>
      </w:r>
    </w:p>
    <w:p>
      <w:pPr>
        <w:pStyle w:val="BookText"/>
      </w:pPr>
      <w:r>
        <w:rPr>
          <w:rFonts w:ascii="Amiri" w:hAnsi="Amiri" w:eastAsia="Amiri" w:cs="Amiri"/>
          <w:lang w:bidi="ar-SA"/>
          <w:color w:val="111111"/>
          <w:sz w:val="28"/>
          <w:szCs w:val="28"/>
          <w:rtl/>
        </w:rPr>
        <w:t xml:space="preserve">قلت: نعم لكن نمنع أنّ وجوب الطبيعة يقتضي وجوب الفرد بتشخّصه بل يقتضي وجوب الأجزاء الواجبة فقط وإن لم تكن صلاة متشخّصة وذلك لأنّ الوجوب اللاحق للمركّب إنّما يتعلّق بأجزائه فقوله: «صلّ» في قوة قوله: «كبّر، اركع، اسجد بقيد الارتباط»، فلا يقتضي إلّا وجوب ما لا يمكن تركه.</w:t>
      </w:r>
    </w:p>
    <w:p>
      <w:pPr>
        <w:pStyle w:val="BookText"/>
      </w:pPr>
      <w:r>
        <w:rPr>
          <w:rFonts w:ascii="IRNazanin" w:hAnsi="IRNazanin" w:eastAsia="IRNazanin" w:cs="IRNazanin"/>
          <w:lang w:bidi="fa-IR"/>
          <w:color w:val="111111"/>
          <w:sz w:val="28"/>
          <w:szCs w:val="28"/>
          <w:rtl/>
        </w:rPr>
        <w:t xml:space="preserve">والحاصل: أنّ لحوق الوجوب لکلّ فرد حتّى المشتمل على الجزء المندوب ممنوع، ويمكن أن يكون بعض أجزاء الفرد مستحبّاً بل مباحاً.</w:t>
      </w:r>
    </w:p>
    <w:p>
      <w:pPr>
        <w:pStyle w:val="BookText"/>
      </w:pPr>
      <w:r>
        <w:rPr>
          <w:rFonts w:ascii="IRNazanin" w:hAnsi="IRNazanin" w:eastAsia="IRNazanin" w:cs="IRNazanin"/>
          <w:lang w:bidi="fa-IR"/>
          <w:color w:val="111111"/>
          <w:sz w:val="28"/>
          <w:szCs w:val="28"/>
          <w:rtl/>
        </w:rPr>
        <w:t xml:space="preserve">ألا ترى أنّه لو قال: «ايتني بذراع من كرباس من مال زيد» مع فرض كون الذراع لا بشرط عدم الزيادة في عالم الوجود فأتى بذراعين من كرباس مقدار ذراع منه من أحد الطرفين من مال زيد ومقدار ذراع منه من طرفه الآخر من مال عمرو يصدق قطعاً أنّه أتى بما کلّف به؛ لأنّه أتى بمقدار الذراع من مال زيد مع</w:t>
      </w:r>
      <w:r>
        <w:rPr>
          <w:rStyle w:val="FootnoteReference"/>
        </w:rPr>
        <w:footnoteReference w:id="1583"/>
      </w:r>
      <w:r>
        <w:rPr>
          <w:rFonts w:ascii="Amiri" w:hAnsi="Amiri" w:eastAsia="Amiri" w:cs="Amiri"/>
          <w:lang w:bidi="ar-SA"/>
          <w:color w:val="111111"/>
          <w:sz w:val="28"/>
          <w:szCs w:val="28"/>
          <w:rtl/>
        </w:rPr>
        <w:t xml:space="preserve">أنّه ليس شيئاً متشخّصاً في الوجود الخارجي؛ إذ التشخّص قائم بمجموع الذراعين؛ لأنّه كرباس واحد فتمام هذا الشخص ليس واجباً قطعاً وإنّما هو مشتمل على الواجب.ودعوى أنّه يصدق الذراع من الكرباس على نصف هذا الشخص وإن لم يكن متشخّصاً بخلاف ما نحن فيه فإنّ الصلاة لا تصدق على الأجزاء الواجبة في ضمن هذا المركّب؛</w:t>
      </w:r>
    </w:p>
    <w:p>
      <w:pPr>
        <w:pStyle w:val="BookText"/>
      </w:pPr>
      <w:r>
        <w:rPr>
          <w:rFonts w:ascii="Amiri" w:hAnsi="Amiri" w:eastAsia="Amiri" w:cs="Amiri"/>
          <w:lang w:bidi="ar-SA"/>
          <w:color w:val="111111"/>
          <w:sz w:val="28"/>
          <w:szCs w:val="28"/>
          <w:rtl/>
        </w:rPr>
        <w:t xml:space="preserve">مدفوعة بأنّ الصلاة ليست إلّا هذه الأجزاء الخارجيّة فمعنى وجوبها وجوبها</w:t>
      </w:r>
      <w:r>
        <w:rPr>
          <w:rStyle w:val="FootnoteReference"/>
        </w:rPr>
        <w:footnoteReference w:id="1584"/>
      </w:r>
      <w:r>
        <w:rPr>
          <w:rFonts w:ascii="Amiri" w:hAnsi="Amiri" w:eastAsia="Amiri" w:cs="Amiri"/>
          <w:lang w:bidi="ar-SA"/>
          <w:color w:val="111111"/>
          <w:sz w:val="28"/>
          <w:szCs w:val="28"/>
          <w:rtl/>
        </w:rPr>
        <w:t xml:space="preserve">وليست عنواناً خاصّاً بسيطاً حتّى يقال: إنّها لا تصدق على الأجزاء المذكورة. فلو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فرضنا أنّه لم يقل: «صلّ» بل قال: «كبّر واركع واسجد منضمّاً» لكان مثل مسألة الذراع قطعاً، فكذا الحال إذا قال: «صلّ» ولكن كانت اسماً لهذا المركّب الخارجي.</w:t>
      </w:r>
    </w:p>
    <w:p>
      <w:pPr>
        <w:pStyle w:val="BookText"/>
      </w:pPr>
      <w:r>
        <w:rPr>
          <w:rFonts w:ascii="Amiri" w:hAnsi="Amiri" w:eastAsia="Amiri" w:cs="Amiri"/>
          <w:lang w:bidi="ar-SA"/>
          <w:color w:val="111111"/>
          <w:sz w:val="28"/>
          <w:szCs w:val="28"/>
          <w:rtl/>
        </w:rPr>
        <w:t xml:space="preserve">والحاصل: أنّه لا يجب أن يكون الامتثال قائماً بالفرد بما هو فرد بل المدار على وجود الطبيعة بأجزائها الواجبة وإن كانت</w:t>
      </w:r>
      <w:r>
        <w:rPr>
          <w:rStyle w:val="FootnoteReference"/>
        </w:rPr>
        <w:footnoteReference w:id="1585"/>
      </w:r>
      <w:r>
        <w:rPr>
          <w:rFonts w:ascii="Amiri" w:hAnsi="Amiri" w:eastAsia="Amiri" w:cs="Amiri"/>
          <w:lang w:bidi="ar-SA"/>
          <w:color w:val="111111"/>
          <w:sz w:val="28"/>
          <w:szCs w:val="28"/>
          <w:rtl/>
        </w:rPr>
        <w:t xml:space="preserve">في ضمن فرد ليس تمامه واجباً.</w:t>
      </w:r>
    </w:p>
    <w:p>
      <w:pPr>
        <w:pStyle w:val="BookText"/>
      </w:pPr>
      <w:r>
        <w:rPr>
          <w:rFonts w:ascii="Amiri" w:hAnsi="Amiri" w:eastAsia="Amiri" w:cs="Amiri"/>
          <w:lang w:bidi="ar-SA"/>
          <w:color w:val="111111"/>
          <w:sz w:val="28"/>
          <w:szCs w:val="28"/>
          <w:rtl/>
        </w:rPr>
        <w:t xml:space="preserve">بل أقول: يمكن تحقّق الامتثال بإيجاد الطبيعة وإن لم يكن بوجود الفرد</w:t>
      </w:r>
      <w:r>
        <w:rPr>
          <w:rStyle w:val="FootnoteReference"/>
        </w:rPr>
        <w:footnoteReference w:id="1586"/>
      </w:r>
      <w:r>
        <w:rPr>
          <w:rFonts w:ascii="IRNazanin" w:hAnsi="IRNazanin" w:eastAsia="IRNazanin" w:cs="IRNazanin"/>
          <w:lang w:bidi="fa-IR"/>
          <w:color w:val="111111"/>
          <w:sz w:val="28"/>
          <w:szCs w:val="28"/>
          <w:rtl/>
        </w:rPr>
        <w:t xml:space="preserve">مثلاً إذا قال: «أوجد الخطّ» فأوجد المکلّف خطّاً مقدار شبر مثلاً فإنّه يصدق عليه إيجاد الطّبيعة وإن کان بعدُ مشغولاً به إلى فرسخ فبمجرّد إيجاد الخط يصدق الامتثال وإن لم يتشخّص بعدُ لفرض اشتغاله به وتطويله إلى فرسخ فالشخص لا يصدق إلّا بعد تمام الخطّ والامتثال يصدق بأوّل الإيجاد. فتدبّر.</w:t>
      </w:r>
    </w:p>
    <w:p>
      <w:pPr>
        <w:pStyle w:val="BookText"/>
      </w:pPr>
      <w:r>
        <w:rPr>
          <w:rFonts w:ascii="Amiri" w:hAnsi="Amiri" w:eastAsia="Amiri" w:cs="Amiri"/>
          <w:lang w:bidi="ar-SA"/>
          <w:color w:val="111111"/>
          <w:sz w:val="28"/>
          <w:szCs w:val="28"/>
          <w:rtl/>
        </w:rPr>
        <w:t xml:space="preserve">وإن شئت قلت: إنّ الأجزاء الواجبة مصداق للطّبيعة الواجبة وإن لم يكن</w:t>
      </w:r>
      <w:r>
        <w:rPr>
          <w:rStyle w:val="FootnoteReference"/>
        </w:rPr>
        <w:footnoteReference w:id="1587"/>
      </w:r>
      <w:r>
        <w:rPr>
          <w:rFonts w:ascii="Amiri" w:hAnsi="Amiri" w:eastAsia="Amiri" w:cs="Amiri"/>
          <w:lang w:bidi="ar-SA"/>
          <w:color w:val="111111"/>
          <w:sz w:val="28"/>
          <w:szCs w:val="28"/>
          <w:rtl/>
        </w:rPr>
        <w:t xml:space="preserve">فرداً متشخّصاً وإنّ المصداق أعمّ من الفرد؛ إذ في الفرد يعتبر التشخّص وفي المصداق لا يعتبر ذلك.</w:t>
      </w:r>
    </w:p>
    <w:p>
      <w:pPr>
        <w:pStyle w:val="BookText"/>
      </w:pPr>
      <w:r>
        <w:rPr>
          <w:rFonts w:ascii="Amiri" w:hAnsi="Amiri" w:eastAsia="Amiri" w:cs="Amiri"/>
          <w:lang w:bidi="ar-SA"/>
          <w:color w:val="111111"/>
          <w:sz w:val="28"/>
          <w:szCs w:val="28"/>
          <w:rtl/>
        </w:rPr>
        <w:t xml:space="preserve">ويمكن أن يؤيّد ما ذكرنا بما هو مقرّر في محلّه من أنّه لو أتى ببعض الأجزاء المستحبّة على وجه محرّم يوجب بطلانه، لا يبطل ذلك العمل؛ لأنّ غاية الأمر أنّ وجود ذلك الجزء المستحبّي كعدمه ولا يلزم منه البطلان؛ إذ الامتثال يقوم بما عداه.</w:t>
      </w:r>
    </w:p>
    <w:p>
      <w:pPr>
        <w:pStyle w:val="BookText"/>
      </w:pPr>
      <w:r>
        <w:rPr>
          <w:rFonts w:ascii="Amiri" w:hAnsi="Amiri" w:eastAsia="Amiri" w:cs="Amiri"/>
          <w:lang w:bidi="ar-SA"/>
          <w:color w:val="111111"/>
          <w:sz w:val="28"/>
          <w:szCs w:val="28"/>
          <w:rtl/>
        </w:rPr>
        <w:t xml:space="preserve">مع أنّ ذلك الجزء داخل في تشخّص ذلك الفرد حيث أتى به بعنوان الجزئيّةوكونه خارجاً عنه عند الشارع وفي الواقع من جهة بطلانه لا يوجب كون التشخّص قائماً بما عداه، وإلّا فلنا أن نقول: إنّ الأجزاء الواجبة في حدّ نفسها متشخّصة وهي فرد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25" w:name="pg6784_51443"/>
    <w:bookmarkEnd w:id="225"/>
    <w:p>
      <w:pPr>
        <w:pStyle w:val="BookText"/>
      </w:pPr>
      <w:r>
        <w:rPr>
          <w:rFonts w:ascii="Amiri" w:hAnsi="Amiri" w:eastAsia="Amiri" w:cs="Amiri"/>
          <w:lang w:bidi="ar-SA"/>
          <w:color w:val="111111"/>
          <w:sz w:val="28"/>
          <w:szCs w:val="28"/>
          <w:rtl/>
        </w:rPr>
        <w:t xml:space="preserve">للواجب والمركّب منها ومن الجزء المستحبّي فردٌ آخر مستحبّ وهناك أمران: أمر وجوبي قائم بالأجزاء الواجبة وأمر مستحبّي قائم بالمجموع من حيث المجموع، فما يكون داخلاً في التشخّص في الحسّ</w:t>
      </w:r>
      <w:r>
        <w:rPr>
          <w:rStyle w:val="FootnoteReference"/>
        </w:rPr>
        <w:footnoteReference w:id="1588"/>
      </w:r>
      <w:r>
        <w:rPr>
          <w:rFonts w:ascii="Amiri" w:hAnsi="Amiri" w:eastAsia="Amiri" w:cs="Amiri"/>
          <w:lang w:bidi="ar-SA"/>
          <w:color w:val="111111"/>
          <w:sz w:val="28"/>
          <w:szCs w:val="28"/>
          <w:rtl/>
        </w:rPr>
        <w:t xml:space="preserve">لا يلزم أن يكون داخلاً في التشخّص الواقعي. فالجزء المأتي به على وجه البطلان داخل في التشخّص الحسّي لكنّه خارج عند الشارع، وكذا في المقام الجزء المستحبّي داخل في التشخّص الحسّي لكنّه خارج عن فرد الواجب بما هو واجب. والأولى ما ذكرنا أوّلاً من أنّه مصداق لا فرد متشخّص.</w:t>
      </w:r>
    </w:p>
    <w:p>
      <w:pPr>
        <w:pStyle w:val="BookText"/>
      </w:pPr>
      <w:r>
        <w:rPr>
          <w:rFonts w:ascii="IRNazanin" w:hAnsi="IRNazanin" w:eastAsia="IRNazanin" w:cs="IRNazanin"/>
          <w:lang w:bidi="fa-IR"/>
          <w:color w:val="111111"/>
          <w:sz w:val="28"/>
          <w:szCs w:val="28"/>
          <w:rtl/>
        </w:rPr>
        <w:t xml:space="preserve">وكيف كان فهو خارج عمّا نحن فيه من اجتماع الحكمين لما عرفت من أنّ متعلّق کلّ من الحكمين غير الآخر.</w:t>
      </w:r>
    </w:p>
    <w:p>
      <w:pPr>
        <w:pStyle w:val="Heading6"/>
      </w:pPr>
      <w:bookmarkStart w:id="721" w:name="_Toc402"/>
      <w:r>
        <w:t>[عدم الاجتماع في نذر النوافل]</w:t>
      </w:r>
      <w:bookmarkEnd w:id="721"/>
    </w:p>
    <w:p>
      <w:pPr>
        <w:pStyle w:val="BookText"/>
      </w:pPr>
      <w:r>
        <w:rPr>
          <w:rFonts w:ascii="IRNazanin" w:hAnsi="IRNazanin" w:eastAsia="IRNazanin" w:cs="IRNazanin"/>
          <w:lang w:bidi="fa-IR"/>
          <w:color w:val="111111"/>
          <w:sz w:val="28"/>
          <w:szCs w:val="28"/>
          <w:rtl/>
        </w:rPr>
        <w:t xml:space="preserve">هذا</w:t>
      </w:r>
      <w:r>
        <w:rPr>
          <w:rStyle w:val="FootnoteReference"/>
        </w:rPr>
        <w:footnoteReference w:id="1589"/>
      </w:r>
      <w:r>
        <w:rPr>
          <w:rFonts w:ascii="Amiri" w:hAnsi="Amiri" w:eastAsia="Amiri" w:cs="Amiri"/>
          <w:lang w:bidi="ar-SA"/>
          <w:color w:val="111111"/>
          <w:sz w:val="28"/>
          <w:szCs w:val="28"/>
          <w:rtl/>
        </w:rPr>
        <w:t xml:space="preserve">وربما يمكن أن يظنّ ظانّ أنّ مسألة النذر - أعني نذر النوافل - من اجتماع الحكمين حيث إنّ الصلاة المنذورة مستحبّة من حيث هي وواجبة باعتبار كونها منذورة فيكون هذا المورد</w:t>
      </w:r>
      <w:r>
        <w:rPr>
          <w:rStyle w:val="FootnoteReference"/>
        </w:rPr>
        <w:footnoteReference w:id="1590"/>
      </w:r>
      <w:r>
        <w:rPr>
          <w:rFonts w:ascii="IRNazanin" w:hAnsi="IRNazanin" w:eastAsia="IRNazanin" w:cs="IRNazanin"/>
          <w:lang w:bidi="fa-IR"/>
          <w:color w:val="111111"/>
          <w:sz w:val="28"/>
          <w:szCs w:val="28"/>
          <w:rtl/>
        </w:rPr>
        <w:t xml:space="preserve">أیضاً من الموارد الواردة في الشرع ومن موارد النقض.</w:t>
      </w:r>
    </w:p>
    <w:p>
      <w:pPr>
        <w:pStyle w:val="BookText"/>
      </w:pPr>
      <w:r>
        <w:rPr>
          <w:rFonts w:ascii="IRNazanin" w:hAnsi="IRNazanin" w:eastAsia="IRNazanin" w:cs="IRNazanin"/>
          <w:lang w:bidi="fa-IR"/>
          <w:color w:val="111111"/>
          <w:sz w:val="28"/>
          <w:szCs w:val="28"/>
          <w:rtl/>
        </w:rPr>
        <w:t xml:space="preserve">ولكنّ التحقیق أنّه ليس كذلك؛ لأنّه من انقلاب الاستحباب وجوباً بالعرض بناءً على أنّ قوله: «فِ بنذرك» معرِّف ومرآة</w:t>
      </w:r>
      <w:r>
        <w:rPr>
          <w:rStyle w:val="FootnoteReference"/>
        </w:rPr>
        <w:footnoteReference w:id="1591"/>
      </w:r>
      <w:r>
        <w:rPr>
          <w:rFonts w:ascii="Amiri" w:hAnsi="Amiri" w:eastAsia="Amiri" w:cs="Amiri"/>
          <w:lang w:bidi="ar-SA"/>
          <w:color w:val="111111"/>
          <w:sz w:val="28"/>
          <w:szCs w:val="28"/>
          <w:rtl/>
        </w:rPr>
        <w:t xml:space="preserve">لما يجب بالنذر من الأفعال، فهو عبارة أخرى عن قوله: «صلّ وصُم وتصدّق» ونحو ذلك لا أنّه عنوان من العناوين.</w:t>
      </w:r>
    </w:p>
    <w:p>
      <w:pPr>
        <w:pStyle w:val="BookText"/>
      </w:pPr>
      <w:r>
        <w:rPr>
          <w:rFonts w:ascii="Amiri" w:hAnsi="Amiri" w:eastAsia="Amiri" w:cs="Amiri"/>
          <w:lang w:bidi="ar-SA"/>
          <w:color w:val="111111"/>
          <w:sz w:val="28"/>
          <w:szCs w:val="28"/>
          <w:rtl/>
        </w:rPr>
        <w:t xml:space="preserve">وذلك لأنّه على هذا التقدير يكون من قبيل التقييد لما دلّ على استحباب الأمور المذكورة والأمر الندبي انقلب أمراً وجوبيّاً بهذا الدّليل.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26" w:name="pg6784_51444"/>
    <w:bookmarkEnd w:id="226"/>
    <w:p>
      <w:pPr>
        <w:pStyle w:val="BookText"/>
      </w:pPr>
      <w:r>
        <w:rPr>
          <w:rFonts w:ascii="Amiri" w:hAnsi="Amiri" w:eastAsia="Amiri" w:cs="Amiri"/>
          <w:lang w:bidi="ar-SA"/>
          <w:color w:val="111111"/>
          <w:sz w:val="28"/>
          <w:szCs w:val="28"/>
          <w:rtl/>
        </w:rPr>
        <w:t xml:space="preserve">وأمّا بناءً على كونه</w:t>
      </w:r>
      <w:r>
        <w:rPr>
          <w:rStyle w:val="FootnoteReference"/>
        </w:rPr>
        <w:footnoteReference w:id="1592"/>
      </w:r>
      <w:r>
        <w:rPr>
          <w:rFonts w:ascii="IRNazanin" w:hAnsi="IRNazanin" w:eastAsia="IRNazanin" w:cs="IRNazanin"/>
          <w:lang w:bidi="fa-IR"/>
          <w:color w:val="111111"/>
          <w:sz w:val="28"/>
          <w:szCs w:val="28"/>
          <w:rtl/>
        </w:rPr>
        <w:t xml:space="preserve">عنواناً من العناوين وأنّ الملحوظ نفس عنوان العمل بما جعله على نفسه والوفاء بمقتضاه فنقول: إنّه حینئذٍ من العناوين الثانوية المغايرة فيوجودها الحقيقي الّذي هو عين الاعتبار للعنوان الأوّلي فذات الصّلاة مستحبّة وعنوان الوفاء واجب وهو نظير عنوان التأديب بالنسبة إلى نفس الضرب.</w:t>
      </w:r>
    </w:p>
    <w:p>
      <w:pPr>
        <w:pStyle w:val="BookText"/>
      </w:pPr>
      <w:r>
        <w:rPr>
          <w:rFonts w:ascii="IRNazanin" w:hAnsi="IRNazanin" w:eastAsia="IRNazanin" w:cs="IRNazanin"/>
          <w:lang w:bidi="fa-IR"/>
          <w:color w:val="111111"/>
          <w:sz w:val="28"/>
          <w:szCs w:val="28"/>
          <w:rtl/>
        </w:rPr>
        <w:t xml:space="preserve">نعم الصلاة المذكورة مقدّمة لهذا الواجب فبناء على وجوب المقدّمة تكون واجبة من هذه الجهة فلا بدّ من الالتزام بالانقلاب حینئذٍ.</w:t>
      </w:r>
    </w:p>
    <w:p>
      <w:pPr>
        <w:pStyle w:val="BookText"/>
      </w:pPr>
      <w:r>
        <w:rPr>
          <w:rFonts w:ascii="IRNazanin" w:hAnsi="IRNazanin" w:eastAsia="IRNazanin" w:cs="IRNazanin"/>
          <w:lang w:bidi="fa-IR"/>
          <w:color w:val="111111"/>
          <w:sz w:val="28"/>
          <w:szCs w:val="28"/>
          <w:rtl/>
        </w:rPr>
        <w:t xml:space="preserve">والتحقیق هو الوجه الأوّل من المعرّفية والمرآتية؛ وذلك لأنّ الظاهر أنّ الإيجاب الشرعي الوارد على النذر إمضاء لما فعله الناذر وجعله على نفسه وهو قد التزم بالصلاة والصّوم وجعلهما واجباً على نفسه فيكون الوجوب الشرعي أیضاً وارداً عليهما لا على عنوان الوفاء بما هو وفاء.</w:t>
      </w:r>
    </w:p>
    <w:p>
      <w:pPr>
        <w:pStyle w:val="BookText"/>
      </w:pPr>
      <w:r>
        <w:rPr>
          <w:rFonts w:ascii="Amiri" w:hAnsi="Amiri" w:eastAsia="Amiri" w:cs="Amiri"/>
          <w:lang w:bidi="ar-SA"/>
          <w:color w:val="111111"/>
          <w:sz w:val="28"/>
          <w:szCs w:val="28"/>
          <w:rtl/>
        </w:rPr>
        <w:t xml:space="preserve">فإن قلت: فعلى هذا لا يجب الوفاء بالنذر إذا فرضنا أنّ الناذر جعل شيئاً على نفسه بعنوان الاستحباب؛ إذ مقتضى إمضائه استحبابه لا وجوبه.</w:t>
      </w:r>
    </w:p>
    <w:p>
      <w:pPr>
        <w:pStyle w:val="BookText"/>
      </w:pPr>
      <w:r>
        <w:rPr>
          <w:rFonts w:ascii="IRNazanin" w:hAnsi="IRNazanin" w:eastAsia="IRNazanin" w:cs="IRNazanin"/>
          <w:lang w:bidi="fa-IR"/>
          <w:color w:val="111111"/>
          <w:sz w:val="28"/>
          <w:szCs w:val="28"/>
          <w:rtl/>
        </w:rPr>
        <w:t xml:space="preserve">قلت: نلتزم بذلك بل نقول: إنّه خارج عن حقیقة النذر فإنّ حقیقته الالتزام وجعل الشي‌ء لازماً على نفسه فمثل الجعل الندبي لا يشمله أدلّة النذر على الوجهين من العنوانية والمرآتية.</w:t>
      </w:r>
    </w:p>
    <w:p>
      <w:pPr>
        <w:pStyle w:val="Heading6"/>
      </w:pPr>
      <w:bookmarkStart w:id="722" w:name="_Toc403"/>
      <w:r>
        <w:t>[المباحات والمستحبّات التي صارت مقدّمة للواجب]</w:t>
      </w:r>
      <w:bookmarkEnd w:id="722"/>
    </w:p>
    <w:p>
      <w:pPr>
        <w:pStyle w:val="BookText"/>
      </w:pPr>
      <w:r>
        <w:rPr>
          <w:rFonts w:ascii="Amiri" w:hAnsi="Amiri" w:eastAsia="Amiri" w:cs="Amiri"/>
          <w:lang w:bidi="ar-SA"/>
          <w:color w:val="111111"/>
          <w:sz w:val="28"/>
          <w:szCs w:val="28"/>
          <w:rtl/>
        </w:rPr>
        <w:t xml:space="preserve">هذا وممّا ذكر ظهر حال المباحات والمستحبّات الّتي صارت مقدّمة للواجب فإنّها ليست من اجتماع الوجوب والاستحباب أو الإباحة للانقلاب المذكور.</w:t>
      </w:r>
    </w:p>
    <w:p>
      <w:pPr>
        <w:pStyle w:val="BookText"/>
      </w:pPr>
      <w:r>
        <w:rPr>
          <w:rFonts w:ascii="Amiri" w:hAnsi="Amiri" w:eastAsia="Amiri" w:cs="Amiri"/>
          <w:lang w:bidi="ar-SA"/>
          <w:color w:val="111111"/>
          <w:sz w:val="28"/>
          <w:szCs w:val="28"/>
          <w:rtl/>
        </w:rPr>
        <w:t xml:space="preserve">ولكنّ الإنصاف أنّها من اجتماع الحكمين وإن لم نقل به في مسألة</w:t>
      </w:r>
      <w:r>
        <w:rPr>
          <w:rStyle w:val="FootnoteReference"/>
        </w:rPr>
        <w:footnoteReference w:id="1593"/>
      </w:r>
      <w:r>
        <w:rPr>
          <w:rFonts w:ascii="IRNazanin" w:hAnsi="IRNazanin" w:eastAsia="IRNazanin" w:cs="IRNazanin"/>
          <w:lang w:bidi="fa-IR"/>
          <w:color w:val="111111"/>
          <w:sz w:val="28"/>
          <w:szCs w:val="28"/>
          <w:rtl/>
        </w:rPr>
        <w:t xml:space="preserve">النذر وقلنا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بالانقلاب على الوجه الأوّل.</w:t>
      </w:r>
    </w:p>
    <w:p>
      <w:pPr>
        <w:pStyle w:val="BookText"/>
      </w:pPr>
      <w:r>
        <w:rPr>
          <w:rFonts w:ascii="Amiri" w:hAnsi="Amiri" w:eastAsia="Amiri" w:cs="Amiri"/>
          <w:lang w:bidi="ar-SA"/>
          <w:color w:val="111111"/>
          <w:sz w:val="28"/>
          <w:szCs w:val="28"/>
          <w:rtl/>
        </w:rPr>
        <w:t xml:space="preserve">وذلك لأنّه يحصل من ملاحظة انضمام الاستحباب إلى الوجوب المقدّمي رجحان زائد على المقدار الكافي في الوجوب، فبناء على مذهب المانعين يحصل الوجوب المتأكّد وبناء على مذهب المجوّزين يكون للفعل جهتان ويستحقّ الثواب على عمله وإن لم يكن الوجوب المقدّمي موجباً للثواب،</w:t>
      </w:r>
      <w:r>
        <w:rPr>
          <w:rStyle w:val="FootnoteReference"/>
        </w:rPr>
        <w:footnoteReference w:id="1594"/>
      </w:r>
      <w:r>
        <w:rPr>
          <w:rFonts w:ascii="Amiri" w:hAnsi="Amiri" w:eastAsia="Amiri" w:cs="Amiri"/>
          <w:lang w:bidi="ar-SA"/>
          <w:color w:val="111111"/>
          <w:sz w:val="28"/>
          <w:szCs w:val="28"/>
          <w:rtl/>
        </w:rPr>
        <w:t xml:space="preserve">وعلى القول به يستحقّثوابين.</w:t>
      </w:r>
    </w:p>
    <w:p>
      <w:pPr>
        <w:pStyle w:val="BookText"/>
      </w:pPr>
      <w:r>
        <w:rPr>
          <w:rFonts w:ascii="Amiri" w:hAnsi="Amiri" w:eastAsia="Amiri" w:cs="Amiri"/>
          <w:lang w:bidi="ar-SA"/>
          <w:color w:val="111111"/>
          <w:sz w:val="28"/>
          <w:szCs w:val="28"/>
          <w:rtl/>
        </w:rPr>
        <w:t xml:space="preserve">وهذا بخلاف مسألة النذر على الوجه الأوّل فإنّه لا يحصل من النذر إلّا انقلاب الأمر الندبي وجوبياً ولا يكون هناك تأكيد ولا استحقاق ثوابين.</w:t>
      </w:r>
    </w:p>
    <w:p>
      <w:pPr>
        <w:pStyle w:val="BookText"/>
      </w:pPr>
      <w:r>
        <w:rPr>
          <w:rFonts w:ascii="Amiri" w:hAnsi="Amiri" w:eastAsia="Amiri" w:cs="Amiri"/>
          <w:lang w:bidi="ar-SA"/>
          <w:color w:val="111111"/>
          <w:sz w:val="28"/>
          <w:szCs w:val="28"/>
          <w:rtl/>
        </w:rPr>
        <w:t xml:space="preserve">والسّر فيه أنّ الواجب فيها امتثال الأمر الندبي فيكون الوجوب وارداً</w:t>
      </w:r>
      <w:r>
        <w:rPr>
          <w:rStyle w:val="FootnoteReference"/>
        </w:rPr>
        <w:footnoteReference w:id="1595"/>
      </w:r>
      <w:r>
        <w:rPr>
          <w:rFonts w:ascii="Amiri" w:hAnsi="Amiri" w:eastAsia="Amiri" w:cs="Amiri"/>
          <w:lang w:bidi="ar-SA"/>
          <w:color w:val="111111"/>
          <w:sz w:val="28"/>
          <w:szCs w:val="28"/>
          <w:rtl/>
        </w:rPr>
        <w:t xml:space="preserve">على الفعل المستحبّ بعنوان أنّه مستحبّ بخلاف باب المقدّمة فإنّ الوجوب العرضي وارد على ما ورد عليه الاستحباب من ذات الفعل؛ لأنّه المقدّمة لا الفعل بعنوان أنّه مستحبّ.</w:t>
      </w:r>
    </w:p>
    <w:p>
      <w:pPr>
        <w:pStyle w:val="BookText"/>
      </w:pPr>
      <w:r>
        <w:rPr>
          <w:rFonts w:ascii="Amiri" w:hAnsi="Amiri" w:eastAsia="Amiri" w:cs="Amiri"/>
          <w:lang w:bidi="ar-SA"/>
          <w:color w:val="111111"/>
          <w:sz w:val="28"/>
          <w:szCs w:val="28"/>
          <w:rtl/>
        </w:rPr>
        <w:t xml:space="preserve">نعم لازم هذا البيان أنّه لو فرضنا أنّ الناذر جعل على نفسه ذات الفعل الندبي مع قطع النظر</w:t>
      </w:r>
      <w:r>
        <w:rPr>
          <w:rStyle w:val="FootnoteReference"/>
        </w:rPr>
        <w:footnoteReference w:id="1596"/>
      </w:r>
      <w:r>
        <w:rPr>
          <w:rFonts w:ascii="IRNazanin" w:hAnsi="IRNazanin" w:eastAsia="IRNazanin" w:cs="IRNazanin"/>
          <w:lang w:bidi="fa-IR"/>
          <w:color w:val="111111"/>
          <w:sz w:val="28"/>
          <w:szCs w:val="28"/>
          <w:rtl/>
        </w:rPr>
        <w:t xml:space="preserve">عن الأمر الندبي وقلنا بصحّة ذلك - لأنّه وإن کان يعتبر في النذر أن يكون متعلّقه راجحاً إلّا أنّ ذات الفعل أیضاً راجح لأنّه مورد للأمر الندبي ولا دليل على اعتبار أزيد من ذلك فلا يلزم قصده امتثال الأمر الندبي - فحینئذٍ يلزمنا القول باجتماع الحكمين؛ لأنّ الوجوب النذري على هذا في عرض الاستحباب؛ إذ هو وارد على ما ورد عليه ولازمه تعدّد الثواب ثواب النذر وثواب الأمر الندبي إذا قصدهما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27" w:name="pg6784_51446"/>
    <w:bookmarkEnd w:id="227"/>
    <w:p>
      <w:pPr>
        <w:pStyle w:val="BookText"/>
      </w:pPr>
      <w:r>
        <w:rPr>
          <w:rFonts w:ascii="Amiri" w:hAnsi="Amiri" w:eastAsia="Amiri" w:cs="Amiri"/>
          <w:lang w:bidi="ar-SA"/>
          <w:color w:val="111111"/>
          <w:sz w:val="28"/>
          <w:szCs w:val="28"/>
          <w:rtl/>
        </w:rPr>
        <w:t xml:space="preserve">حال العمل فلا بدّ على مذهب المانعين من التوجيه بالتأكّد. فتدبّر.</w:t>
      </w:r>
    </w:p>
    <w:p>
      <w:pPr>
        <w:pStyle w:val="Heading6"/>
      </w:pPr>
      <w:bookmarkStart w:id="723" w:name="_Toc404"/>
      <w:r>
        <w:t>[الأموال المباحة إذا طرأها الحرمة بعنوان الغصب]</w:t>
      </w:r>
      <w:bookmarkEnd w:id="723"/>
    </w:p>
    <w:p>
      <w:pPr>
        <w:pStyle w:val="BookText"/>
      </w:pPr>
      <w:r>
        <w:rPr>
          <w:rFonts w:ascii="Amiri" w:hAnsi="Amiri" w:eastAsia="Amiri" w:cs="Amiri"/>
          <w:lang w:bidi="ar-SA"/>
          <w:color w:val="111111"/>
          <w:sz w:val="28"/>
          <w:szCs w:val="28"/>
          <w:rtl/>
        </w:rPr>
        <w:t xml:space="preserve">ويمكن أن يعدّ من اجتماع الحكمين مسألة الأموال المباحة إذا طرأها</w:t>
      </w:r>
      <w:r>
        <w:rPr>
          <w:rStyle w:val="FootnoteReference"/>
        </w:rPr>
        <w:footnoteReference w:id="1597"/>
      </w:r>
      <w:r>
        <w:rPr>
          <w:rFonts w:ascii="Amiri" w:hAnsi="Amiri" w:eastAsia="Amiri" w:cs="Amiri"/>
          <w:lang w:bidi="ar-SA"/>
          <w:color w:val="111111"/>
          <w:sz w:val="28"/>
          <w:szCs w:val="28"/>
          <w:rtl/>
        </w:rPr>
        <w:t xml:space="preserve">الحرمة بعنوان الغصب فالغنم المغصوب مباح وحرام فهى نظير المباح الّذي صار مقدّمة للحرام إذا قلنا بحرمته كما إذا كان سبباً.</w:t>
      </w:r>
    </w:p>
    <w:p>
      <w:pPr>
        <w:pStyle w:val="BookText"/>
      </w:pPr>
      <w:r>
        <w:rPr>
          <w:rFonts w:ascii="Amiri" w:hAnsi="Amiri" w:eastAsia="Amiri" w:cs="Amiri"/>
          <w:lang w:bidi="ar-SA"/>
          <w:color w:val="111111"/>
          <w:sz w:val="28"/>
          <w:szCs w:val="28"/>
          <w:rtl/>
        </w:rPr>
        <w:t xml:space="preserve">بل الإنصاف أنّ المقام أولى وذلك لأنّ الظاهر أنّ قوله: «الغنم حلال» أو </w:t>
      </w:r>
      <w:r>
        <w:rPr>
          <w:rFonts w:ascii="Amiri" w:hAnsi="Amiri" w:eastAsia="Amiri" w:cs="Amiri"/>
          <w:lang w:bidi="ar-SA"/>
          <w:color w:val="111111"/>
          <w:sz w:val="28"/>
          <w:szCs w:val="28"/>
          <w:rtl/>
        </w:rPr>
        <w:t xml:space="preserve">أُحِلّ لَكُم الطّيباتُ</w:t>
      </w:r>
      <w:r>
        <w:rPr>
          <w:rStyle w:val="FootnoteReference"/>
        </w:rPr>
        <w:footnoteReference w:id="1598"/>
      </w:r>
      <w:r>
        <w:rPr>
          <w:rFonts w:ascii="Amiri" w:hAnsi="Amiri" w:eastAsia="Amiri" w:cs="Amiri"/>
          <w:lang w:bidi="ar-SA"/>
          <w:color w:val="111111"/>
          <w:sz w:val="28"/>
          <w:szCs w:val="28"/>
          <w:rtl/>
        </w:rPr>
        <w:t xml:space="preserve">أو نحو ذلك ليست مقيّدة بعدم ورود العنوان المحرّم بل تفيد الحلّيّة الذاتيّة الّتي لا تنافي الحرمة العرضيّة وتجتمع</w:t>
      </w:r>
      <w:r>
        <w:rPr>
          <w:rStyle w:val="FootnoteReference"/>
        </w:rPr>
        <w:footnoteReference w:id="1599"/>
      </w:r>
      <w:r>
        <w:rPr>
          <w:rFonts w:ascii="IRNazanin" w:hAnsi="IRNazanin" w:eastAsia="IRNazanin" w:cs="IRNazanin"/>
          <w:lang w:bidi="fa-IR"/>
          <w:color w:val="111111"/>
          <w:sz w:val="28"/>
          <w:szCs w:val="28"/>
          <w:rtl/>
        </w:rPr>
        <w:t xml:space="preserve">معها</w:t>
      </w:r>
      <w:r>
        <w:rPr>
          <w:rStyle w:val="FootnoteReference"/>
        </w:rPr>
        <w:footnoteReference w:id="1600"/>
      </w:r>
      <w:r>
        <w:rPr>
          <w:rFonts w:ascii="Amiri" w:hAnsi="Amiri" w:eastAsia="Amiri" w:cs="Amiri"/>
          <w:lang w:bidi="ar-SA"/>
          <w:color w:val="111111"/>
          <w:sz w:val="28"/>
          <w:szCs w:val="28"/>
          <w:rtl/>
        </w:rPr>
        <w:t xml:space="preserve">وإن قلنا بالتقييد في الأفعالالمباحة الّتي صارت مقدّمة لواجب أو حرام والوجه في الفرق أنّ إباحة تلك الأفعال ليست إلّا من باب عدم وجود العنوان الموجب أو المحرّم وإلّا فهي</w:t>
      </w:r>
      <w:r>
        <w:rPr>
          <w:rStyle w:val="FootnoteReference"/>
        </w:rPr>
        <w:footnoteReference w:id="1601"/>
      </w:r>
      <w:r>
        <w:rPr>
          <w:rFonts w:ascii="IRNazanin" w:hAnsi="IRNazanin" w:eastAsia="IRNazanin" w:cs="IRNazanin"/>
          <w:lang w:bidi="fa-IR"/>
          <w:color w:val="111111"/>
          <w:sz w:val="28"/>
          <w:szCs w:val="28"/>
          <w:rtl/>
        </w:rPr>
        <w:t xml:space="preserve">ليست عنواناً مجعولاً وداخلاً تحت کلّي جعله الشارع مباحاً بالخصوص بخلاف إباحة الأعيان المباحة فإنّها كذلك فالأفعال مباحة غالباً أو کلّياً من جهة عدم دخولها تحت أحد العناوين الواجبة أو المحرّمة والأعيان المذكورة مباحة بعناوينها الخاصّة في بيان</w:t>
      </w:r>
      <w:r>
        <w:rPr>
          <w:rStyle w:val="FootnoteReference"/>
        </w:rPr>
        <w:footnoteReference w:id="1602"/>
      </w:r>
      <w:r>
        <w:rPr>
          <w:rFonts w:ascii="Amiri" w:hAnsi="Amiri" w:eastAsia="Amiri" w:cs="Amiri"/>
          <w:lang w:bidi="ar-SA"/>
          <w:color w:val="111111"/>
          <w:sz w:val="28"/>
          <w:szCs w:val="28"/>
          <w:rtl/>
        </w:rPr>
        <w:t xml:space="preserve">الشارع فالإباحة في الأوّل مقيّدة وفي الثاني مطلقة واللازم عدم الاجتماع في الأوّل والاجتماع في الثاني [و]</w:t>
      </w:r>
      <w:r>
        <w:rPr>
          <w:rStyle w:val="FootnoteReference"/>
        </w:rPr>
        <w:footnoteReference w:id="1603"/>
      </w:r>
      <w:r>
        <w:rPr>
          <w:rFonts w:ascii="Amiri" w:hAnsi="Amiri" w:eastAsia="Amiri" w:cs="Amiri"/>
          <w:lang w:bidi="ar-SA"/>
          <w:color w:val="111111"/>
          <w:sz w:val="28"/>
          <w:szCs w:val="28"/>
          <w:rtl/>
        </w:rPr>
        <w:t xml:space="preserve">لا أقلّ من احتمال الفرق بما ذكرنا. فتدبّر.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ويمكن أیضاً بذكر</w:t>
      </w:r>
      <w:r>
        <w:rPr>
          <w:rStyle w:val="FootnoteReference"/>
        </w:rPr>
        <w:footnoteReference w:id="1604"/>
      </w:r>
      <w:r>
        <w:rPr>
          <w:rFonts w:ascii="Amiri" w:hAnsi="Amiri" w:eastAsia="Amiri" w:cs="Amiri"/>
          <w:lang w:bidi="ar-SA"/>
          <w:color w:val="111111"/>
          <w:sz w:val="28"/>
          <w:szCs w:val="28"/>
          <w:rtl/>
        </w:rPr>
        <w:t xml:space="preserve">جملة أخرى من الموارد الّتي اجتمع فيها حكمان يمكن أن يحصل القطع بجواز اجتماع الأمر والنهي بملاحظتها</w:t>
      </w:r>
      <w:r>
        <w:rPr>
          <w:rStyle w:val="FootnoteReference"/>
        </w:rPr>
        <w:footnoteReference w:id="1605"/>
      </w:r>
      <w:r>
        <w:rPr>
          <w:rFonts w:ascii="Amiri" w:hAnsi="Amiri" w:eastAsia="Amiri" w:cs="Amiri"/>
          <w:lang w:bidi="ar-SA"/>
          <w:color w:val="111111"/>
          <w:sz w:val="28"/>
          <w:szCs w:val="28"/>
          <w:rtl/>
        </w:rPr>
        <w:t xml:space="preserve">فعليك بالتتبّع والتأمّل والتثبّت.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28" w:name="pg6784_51448"/>
    <w:bookmarkEnd w:id="228"/>
    <w:p>
      <w:pPr>
        <w:pStyle w:val="Heading4"/>
      </w:pPr>
      <w:bookmarkStart w:id="724" w:name="_Toc405"/>
      <w:r>
        <w:t>[في تحریر أدلّة المانعين والجواب عنها]</w:t>
      </w:r>
      <w:bookmarkEnd w:id="724"/>
    </w:p>
    <w:p>
      <w:pPr>
        <w:pStyle w:val="Heading5"/>
      </w:pPr>
      <w:bookmarkStart w:id="725" w:name="_Toc406"/>
      <w:r>
        <w:t>اشارة</w:t>
      </w:r>
      <w:bookmarkEnd w:id="725"/>
    </w:p>
    <w:p>
      <w:pPr>
        <w:pStyle w:val="BookText"/>
      </w:pPr>
      <w:r>
        <w:rPr>
          <w:rFonts w:ascii="Amiri" w:hAnsi="Amiri" w:eastAsia="Amiri" w:cs="Amiri"/>
          <w:lang w:bidi="ar-SA"/>
          <w:color w:val="111111"/>
          <w:sz w:val="28"/>
          <w:szCs w:val="28"/>
          <w:rtl/>
        </w:rPr>
        <w:t xml:space="preserve">حجّة المانعين وجوه:</w:t>
      </w:r>
    </w:p>
    <w:p>
      <w:pPr>
        <w:pStyle w:val="Heading5"/>
      </w:pPr>
      <w:bookmarkStart w:id="726" w:name="_Toc407"/>
      <w:r>
        <w:t>[الدليل الأوّل: كون الاجتماع من التکلیف المحال للزوم اجتماع الضدّين]</w:t>
      </w:r>
      <w:bookmarkEnd w:id="726"/>
    </w:p>
    <w:p>
      <w:pPr>
        <w:pStyle w:val="BookText"/>
      </w:pPr>
      <w:r>
        <w:rPr>
          <w:rFonts w:ascii="IRNazanin" w:hAnsi="IRNazanin" w:eastAsia="IRNazanin" w:cs="IRNazanin"/>
          <w:lang w:bidi="fa-IR"/>
          <w:color w:val="111111"/>
          <w:sz w:val="28"/>
          <w:szCs w:val="28"/>
          <w:rtl/>
        </w:rPr>
        <w:t xml:space="preserve">أحدها: ما يكون ناظراً إلى أنّ الاجتماع من باب التکلیف المحال</w:t>
      </w:r>
      <w:r>
        <w:rPr>
          <w:rStyle w:val="FootnoteReference"/>
        </w:rPr>
        <w:footnoteReference w:id="1606"/>
      </w:r>
      <w:r>
        <w:rPr>
          <w:rFonts w:ascii="IRNazanin" w:hAnsi="IRNazanin" w:eastAsia="IRNazanin" w:cs="IRNazanin"/>
          <w:lang w:bidi="fa-IR"/>
          <w:color w:val="111111"/>
          <w:sz w:val="28"/>
          <w:szCs w:val="28"/>
          <w:rtl/>
        </w:rPr>
        <w:t xml:space="preserve">وقد لخّصته من جملة من تقريرات الاستدلال وهو أنّ اجتماع الأمر والنهي يستلزم اجتماع الضدّين المحال؛ إذ لازمه اجتماع الوجوب والحرمة في محلّ واحدٍ؛ وذلك لأنّه لا يمكن تعلّق الطلب بالماهيّة من حيث هي مع قطع النظر عن الوجود والعدم وعن كونها خارجيّة لما مرّ سابقاً من أنّه لا يبقى على هذا فرق بين الأمر والنهي؛ إذ هما مشتركان في الطّلب، وأیضاً لا تأثير للقدرة إلّا في الوجود والعدم فلا يصحّ التکلیف إلّا بهما، وأیضاً الماهيّة من حيث هي ليست إلّا هي فلا يعقل طلبها، وأیضاً المتبادر من الأمر والنهي رجحان الوجود أو العدم لا الطّبيعة من حيث هي، بل قد يقال: إنّ الوجود مأخوذ في نفس موادّ الأفعال ولذا ترى أنّ ضرب ويضرب يفيدان الحكم بإيجاد الضرب في الماضي أو المستقبل، وإذا لم تكن</w:t>
      </w:r>
      <w:r>
        <w:rPr>
          <w:rStyle w:val="FootnoteReference"/>
        </w:rPr>
        <w:footnoteReference w:id="1607"/>
      </w:r>
      <w:r>
        <w:rPr>
          <w:rFonts w:ascii="Amiri" w:hAnsi="Amiri" w:eastAsia="Amiri" w:cs="Amiri"/>
          <w:lang w:bidi="ar-SA"/>
          <w:color w:val="111111"/>
          <w:sz w:val="28"/>
          <w:szCs w:val="28"/>
          <w:rtl/>
        </w:rPr>
        <w:t xml:space="preserve">الطبيعة مورداً للطلب:</w:t>
      </w:r>
    </w:p>
    <w:p>
      <w:pPr>
        <w:pStyle w:val="BookText"/>
      </w:pPr>
      <w:r>
        <w:rPr>
          <w:rFonts w:ascii="Amiri" w:hAnsi="Amiri" w:eastAsia="Amiri" w:cs="Amiri"/>
          <w:lang w:bidi="ar-SA"/>
          <w:color w:val="111111"/>
          <w:sz w:val="28"/>
          <w:szCs w:val="28"/>
          <w:rtl/>
        </w:rPr>
        <w:t xml:space="preserve">فإمّا أن نقول: إنّ متعلّقه الأفراد ابتداء وتكون</w:t>
      </w:r>
      <w:r>
        <w:rPr>
          <w:rStyle w:val="FootnoteReference"/>
        </w:rPr>
        <w:footnoteReference w:id="1608"/>
      </w:r>
      <w:r>
        <w:rPr>
          <w:rFonts w:ascii="IRNazanin" w:hAnsi="IRNazanin" w:eastAsia="IRNazanin" w:cs="IRNazanin"/>
          <w:lang w:bidi="fa-IR"/>
          <w:color w:val="111111"/>
          <w:sz w:val="28"/>
          <w:szCs w:val="28"/>
          <w:rtl/>
        </w:rPr>
        <w:t xml:space="preserve">الطبيعة متصوّرة من حيث كونها عنواناً لها وحینئذٍ فلزوم اجتماع الوجوب والحرمة في محلّ واحد واضح.</w:t>
      </w:r>
    </w:p>
    <w:p>
      <w:pPr>
        <w:pStyle w:val="BookText"/>
      </w:pPr>
      <w:r>
        <w:rPr>
          <w:rFonts w:ascii="Amiri" w:hAnsi="Amiri" w:eastAsia="Amiri" w:cs="Amiri"/>
          <w:lang w:bidi="ar-SA"/>
          <w:color w:val="111111"/>
          <w:sz w:val="28"/>
          <w:szCs w:val="28"/>
          <w:rtl/>
        </w:rPr>
        <w:t xml:space="preserve">وإمّا أن نقول: إنّ متعلّقه هو الوجود والعدم أو الإيجاد والترك بناء على القول بأصالة الوجود وأنّ المجعول للفاعل ليس إلّا هو وأنّ الماهيات اعتبارات منتزعة</w:t>
      </w:r>
      <w:r>
        <w:rPr>
          <w:rStyle w:val="FootnoteReference"/>
        </w:rPr>
        <w:footnoteReference w:id="1609"/>
      </w:r>
      <w:r>
        <w:rPr>
          <w:rFonts w:ascii="IRNazanin" w:hAnsi="IRNazanin" w:eastAsia="IRNazanin" w:cs="IRNazanin"/>
          <w:lang w:bidi="fa-IR"/>
          <w:color w:val="111111"/>
          <w:sz w:val="28"/>
          <w:szCs w:val="28"/>
          <w:rtl/>
        </w:rPr>
        <w:t xml:space="preserve">من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أنحاء الوجودات، فيكون المطلوب بالأمر هو وجود الطّبيعة وبالنهي عدم وجودها، والوجود المفهومي المشترك بين الموجودات</w:t>
      </w:r>
      <w:r>
        <w:rPr>
          <w:rStyle w:val="FootnoteReference"/>
        </w:rPr>
        <w:footnoteReference w:id="1610"/>
      </w:r>
      <w:r>
        <w:rPr>
          <w:rFonts w:ascii="Amiri" w:hAnsi="Amiri" w:eastAsia="Amiri" w:cs="Amiri"/>
          <w:lang w:bidi="ar-SA"/>
          <w:color w:val="111111"/>
          <w:sz w:val="28"/>
          <w:szCs w:val="28"/>
          <w:rtl/>
        </w:rPr>
        <w:t xml:space="preserve">ليس قابلاً لذلك؛ لأنّه أمر اعتباري صِرف، فيكون المطلوب والمبغوض هو الوجود الخارجي الحقيقي، لا بمعنى أنّالطلب يتعلّق به بعد تحقّقه في الخارج؛ إذ هو محال؛ لأنّه مستلزم لتحصيل الحاصل، بل بمعنى أنّ الآمر يجعل مفهوم الوجود مرآة</w:t>
      </w:r>
      <w:r>
        <w:rPr>
          <w:rStyle w:val="FootnoteReference"/>
        </w:rPr>
        <w:footnoteReference w:id="1611"/>
      </w:r>
      <w:r>
        <w:rPr>
          <w:rFonts w:ascii="IRNazanin" w:hAnsi="IRNazanin" w:eastAsia="IRNazanin" w:cs="IRNazanin"/>
          <w:lang w:bidi="fa-IR"/>
          <w:color w:val="111111"/>
          <w:sz w:val="28"/>
          <w:szCs w:val="28"/>
          <w:rtl/>
        </w:rPr>
        <w:t xml:space="preserve">لملاحظة الوجودات الخارجيّة ويعلّق الطلب عليها قبل تحقّقها والوجود الخارجي واحد بالنسبة إلى المأمور به والمنهي عنه في مورد الاجتماع؛ إذ المفروض تصادقهما ومعناه الاتّحاد في الوجود وحینئذٍ فيلزم كون ذلك الوجود الواحد مطلوباً ومبغوضاً معاً.</w:t>
      </w:r>
    </w:p>
    <w:p>
      <w:pPr>
        <w:pStyle w:val="BookText"/>
      </w:pPr>
      <w:r>
        <w:rPr>
          <w:rFonts w:ascii="Amiri" w:hAnsi="Amiri" w:eastAsia="Amiri" w:cs="Amiri"/>
          <w:lang w:bidi="ar-SA"/>
          <w:color w:val="111111"/>
          <w:sz w:val="28"/>
          <w:szCs w:val="28"/>
          <w:rtl/>
        </w:rPr>
        <w:t xml:space="preserve">وإمّا أن نقول: إنّ متعلّقه الطبيعة الخارجيّة أي الطبيعة من حيث الوجود والعدم بناء على القول بأصالة الماهيّة</w:t>
      </w:r>
      <w:r>
        <w:rPr>
          <w:rStyle w:val="FootnoteReference"/>
        </w:rPr>
        <w:footnoteReference w:id="1612"/>
      </w:r>
      <w:r>
        <w:rPr>
          <w:rFonts w:ascii="IRNazanin" w:hAnsi="IRNazanin" w:eastAsia="IRNazanin" w:cs="IRNazanin"/>
          <w:lang w:bidi="fa-IR"/>
          <w:color w:val="111111"/>
          <w:sz w:val="28"/>
          <w:szCs w:val="28"/>
          <w:rtl/>
        </w:rPr>
        <w:t xml:space="preserve">وأنّ الوجود أمر اعتباري لا حقیقة له في الخارج، بمعنى أنّ الآمر يلاحظ الماهيّة</w:t>
      </w:r>
      <w:r>
        <w:rPr>
          <w:rStyle w:val="FootnoteReference"/>
        </w:rPr>
        <w:footnoteReference w:id="1613"/>
      </w:r>
      <w:r>
        <w:rPr>
          <w:rFonts w:ascii="Amiri" w:hAnsi="Amiri" w:eastAsia="Amiri" w:cs="Amiri"/>
          <w:lang w:bidi="ar-SA"/>
          <w:color w:val="111111"/>
          <w:sz w:val="28"/>
          <w:szCs w:val="28"/>
          <w:rtl/>
        </w:rPr>
        <w:t xml:space="preserve">الخارجيّة من حيث كونها خارجيّة ويجعلها متعلّقاً للطلب والمنع لا بمعنى أنّهما لا يتعلّقان إلّا بما هو موجود في الخارج وإلّا لزم تحصيل</w:t>
      </w:r>
      <w:r>
        <w:rPr>
          <w:rStyle w:val="FootnoteReference"/>
        </w:rPr>
        <w:footnoteReference w:id="1614"/>
      </w:r>
      <w:r>
        <w:rPr>
          <w:rFonts w:ascii="Amiri" w:hAnsi="Amiri" w:eastAsia="Amiri" w:cs="Amiri"/>
          <w:lang w:bidi="ar-SA"/>
          <w:color w:val="111111"/>
          <w:sz w:val="28"/>
          <w:szCs w:val="28"/>
          <w:rtl/>
        </w:rPr>
        <w:t xml:space="preserve">الحاصل على حذو ما مرّ في الوجود والعدم.</w:t>
      </w:r>
    </w:p>
    <w:p>
      <w:pPr>
        <w:pStyle w:val="BookText"/>
      </w:pPr>
      <w:r>
        <w:rPr>
          <w:rFonts w:ascii="IRNazanin" w:hAnsi="IRNazanin" w:eastAsia="IRNazanin" w:cs="IRNazanin"/>
          <w:lang w:bidi="fa-IR"/>
          <w:color w:val="111111"/>
          <w:sz w:val="28"/>
          <w:szCs w:val="28"/>
          <w:rtl/>
        </w:rPr>
        <w:t xml:space="preserve">وحینئذٍ نقول: إنّ الکلّيين متّحدان من حيث كونهما خارجيين؛ لأنّ ملاكه الوجود الخارجي وهما متّحدان فيه بمعنى أنّهما صارا بحيث ينتزع منهما وجود واحد فمع الاجتماع يلزم ورود الوجوب والحرمة على مورد واحد.</w:t>
      </w:r>
    </w:p>
    <w:p>
      <w:pPr>
        <w:pStyle w:val="BookText"/>
      </w:pPr>
      <w:r>
        <w:rPr>
          <w:rFonts w:ascii="Amiri" w:hAnsi="Amiri" w:eastAsia="Amiri" w:cs="Amiri"/>
          <w:lang w:bidi="ar-SA"/>
          <w:color w:val="111111"/>
          <w:sz w:val="28"/>
          <w:szCs w:val="28"/>
          <w:rtl/>
        </w:rPr>
        <w:t xml:space="preserve">ودعوى أنّ الممنوع اجتماعهما مع اتّحاد الجهة ومع تعدّدها كما في المقام لا مانع؛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مدفوعة بأنّ التعدّد مُجدٍ إذا كانتا تقييديتين</w:t>
      </w:r>
      <w:r>
        <w:rPr>
          <w:rStyle w:val="FootnoteReference"/>
        </w:rPr>
        <w:footnoteReference w:id="1615"/>
      </w:r>
      <w:r>
        <w:rPr>
          <w:rFonts w:ascii="IRNazanin" w:hAnsi="IRNazanin" w:eastAsia="IRNazanin" w:cs="IRNazanin"/>
          <w:lang w:bidi="fa-IR"/>
          <w:color w:val="111111"/>
          <w:sz w:val="28"/>
          <w:szCs w:val="28"/>
          <w:rtl/>
        </w:rPr>
        <w:t xml:space="preserve">بحيث يكون متعلّق کلّ من الحكمين غير الآخر وفي المقام ليس كذلك.</w:t>
      </w:r>
    </w:p>
    <w:p>
      <w:pPr>
        <w:pStyle w:val="BookText"/>
      </w:pPr>
      <w:r>
        <w:rPr>
          <w:rFonts w:ascii="Amiri" w:hAnsi="Amiri" w:eastAsia="Amiri" w:cs="Amiri"/>
          <w:lang w:bidi="ar-SA"/>
          <w:color w:val="111111"/>
          <w:sz w:val="28"/>
          <w:szCs w:val="28"/>
          <w:rtl/>
        </w:rPr>
        <w:t xml:space="preserve">أمّا بناءً على كون المتعلّق هو الفرد فواضح؛ لأنّ المفروض ورودهما على ذلك الفرد، غاية الأمر أنّ علّة الوجوب هو الصلاتية مثلاً وعلّة الحرمة الغصبيّة وإلّا فمحلّ الحكمين نفس الفرد وهو واحد.</w:t>
      </w:r>
    </w:p>
    <w:p>
      <w:pPr>
        <w:pStyle w:val="BookText"/>
      </w:pPr>
      <w:r>
        <w:rPr>
          <w:rFonts w:ascii="Amiri" w:hAnsi="Amiri" w:eastAsia="Amiri" w:cs="Amiri"/>
          <w:lang w:bidi="ar-SA"/>
          <w:color w:val="111111"/>
          <w:sz w:val="28"/>
          <w:szCs w:val="28"/>
          <w:rtl/>
        </w:rPr>
        <w:t xml:space="preserve">وأمّا بناءً على كون المطلوب هو وجود الطبيعة أو إيجادها فلأنّ ذلك الوجودلايتعدّد بإضافته إلى الغصب أو الصلاة والمفروض أنّه محلّ الحكم وتعدّدهما لا يثمر فيه بعد عدم ورود الحكم عليهما من حيث هما.</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1616"/>
      </w:r>
      <w:r>
        <w:rPr>
          <w:rFonts w:ascii="IRNazanin" w:hAnsi="IRNazanin" w:eastAsia="IRNazanin" w:cs="IRNazanin"/>
          <w:lang w:bidi="fa-IR"/>
          <w:color w:val="111111"/>
          <w:sz w:val="28"/>
          <w:szCs w:val="28"/>
          <w:rtl/>
        </w:rPr>
        <w:t xml:space="preserve">الوجود المفهومي الاعتباري يمكن دعوى تعدّده؛ لأنّه يصدق اعتباره بالنسبة إلى کلّ من الطبيعتين لكنّ المفروض أنّه ليس مناطاً في الحكم بل المناط الوجود الحقيقي الخارجي فتعدّد الجهة في هذه الصورة أیضاً لا يثمر لكونها</w:t>
      </w:r>
      <w:r>
        <w:rPr>
          <w:rStyle w:val="FootnoteReference"/>
        </w:rPr>
        <w:footnoteReference w:id="1617"/>
      </w:r>
      <w:r>
        <w:rPr>
          <w:rFonts w:ascii="Amiri" w:hAnsi="Amiri" w:eastAsia="Amiri" w:cs="Amiri"/>
          <w:lang w:bidi="ar-SA"/>
          <w:color w:val="111111"/>
          <w:sz w:val="28"/>
          <w:szCs w:val="28"/>
          <w:rtl/>
        </w:rPr>
        <w:t xml:space="preserve">تعلیليّة كالسّابق.</w:t>
      </w:r>
    </w:p>
    <w:p>
      <w:pPr>
        <w:pStyle w:val="BookText"/>
      </w:pPr>
      <w:r>
        <w:rPr>
          <w:rFonts w:ascii="IRNazanin" w:hAnsi="IRNazanin" w:eastAsia="IRNazanin" w:cs="IRNazanin"/>
          <w:lang w:bidi="fa-IR"/>
          <w:color w:val="111111"/>
          <w:sz w:val="28"/>
          <w:szCs w:val="28"/>
          <w:rtl/>
        </w:rPr>
        <w:t xml:space="preserve">وأمّا بناءً على كون المطلوب هو الطبيعة الخارجيّة فإنّه وإن کان</w:t>
      </w:r>
      <w:r>
        <w:rPr>
          <w:rStyle w:val="FootnoteReference"/>
        </w:rPr>
        <w:footnoteReference w:id="1618"/>
      </w:r>
      <w:r>
        <w:rPr>
          <w:rFonts w:ascii="IRNazanin" w:hAnsi="IRNazanin" w:eastAsia="IRNazanin" w:cs="IRNazanin"/>
          <w:lang w:bidi="fa-IR"/>
          <w:color w:val="111111"/>
          <w:sz w:val="28"/>
          <w:szCs w:val="28"/>
          <w:rtl/>
        </w:rPr>
        <w:t xml:space="preserve">يمكن دعوى أنّ کلّاً من الحكمين وارد على غير ما ورد عليه الآخر؛ لأنّ الموجود الخارجي متّصف بالوجوب لكونه صلاة وبالحرمة لكونه غصباً والجهتان تقييديتان، إلّا أنّ النافع من الجهة التقييدية ما يكون بحيث يتعدّد الموضوع والمحلّ للحكمين من الحيثيّة الّتي تعلّق بها الحكم وليس كذلك في المقام؛ لأنّ الطبيعة المأمور بها إنّما أمر بها من حيث وجودها الخارجي وكذا الطّبيعة المنهي عنها ولا تعدّد من هذه الحيثيّة؛ لأنّ المفروض وحدة وجودهما.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وبتقرير آخر إنّما ينفع تعدّد الجهة إذا كان المقيّد بأحد القيدين غير المقيّد بالقيد الآخر كما في الضرب التأديبي والظّلمي، فلا بدّ أن يكون هناك مطلق يعتبر تارة مقيّداً بقيد ومحلّاً لحكم بهذا الاعتبار وتارة مقيّداً بقيد آخر ومحلّاً لحكم آخر باعتباره بحيث لايكون للمطلق من حيث هو حكم، وفي المقام ليس إلّا الفرد الموجود في الخارج الّذي يكون بأحد الاعتبارين صلاة وبالاعتبار الآخر غصباً، ولا يتعدّد هو بتعدّدهما فهذه الصّورة أیضاً نظير الجهة التعلیليّة ومجرّد كون الحكم وارداً في الحقيقة على الجهتين أعني الصّلاة والغصب لا ينفع بعد كون الحكم وارداً عليهما بلحاظ خارجيتهما والمفروض اتّحادهما من هذه الحيثيّة.</w:t>
      </w:r>
    </w:p>
    <w:p>
      <w:pPr>
        <w:pStyle w:val="BookText"/>
      </w:pPr>
      <w:r>
        <w:rPr>
          <w:rFonts w:ascii="IRNazanin" w:hAnsi="IRNazanin" w:eastAsia="IRNazanin" w:cs="IRNazanin"/>
          <w:lang w:bidi="fa-IR"/>
          <w:color w:val="111111"/>
          <w:sz w:val="28"/>
          <w:szCs w:val="28"/>
          <w:rtl/>
        </w:rPr>
        <w:t xml:space="preserve">وإنّما لم نجعل هذه الصّورة من الجهة التعلیليّة وقلنا: إنّها نظيرها؛ لأنّ الحكمليس وارداً في هذه الصّورة على الموجود الخارجي الّذي هو الفرد كما في الصورة الأولى ولا على الوجود الّذي هو واحد كما في الصورة الثانية حتّى يقال: إنّ وجوبهما إنّما هو لأجل كونهما فرداً أو وجوداً للصّلاة وحرمتهما إنّما هي لأجل كونهما فرداً أو وجوداً للغصب بل الحكم في هذه الصورة وارد على الطبيعتين الخارجیتين</w:t>
      </w:r>
      <w:r>
        <w:rPr>
          <w:rStyle w:val="FootnoteReference"/>
        </w:rPr>
        <w:footnoteReference w:id="1619"/>
      </w:r>
      <w:r>
        <w:rPr>
          <w:rFonts w:ascii="IRNazanin" w:hAnsi="IRNazanin" w:eastAsia="IRNazanin" w:cs="IRNazanin"/>
          <w:lang w:bidi="fa-IR"/>
          <w:color w:val="111111"/>
          <w:sz w:val="28"/>
          <w:szCs w:val="28"/>
          <w:rtl/>
        </w:rPr>
        <w:t xml:space="preserve">وإسناده إلى الفرد الموجود إنّما هو بالعرض ومن باب أنّه هو</w:t>
      </w:r>
      <w:r>
        <w:rPr>
          <w:rStyle w:val="FootnoteReference"/>
        </w:rPr>
        <w:footnoteReference w:id="1620"/>
      </w:r>
      <w:r>
        <w:rPr>
          <w:rFonts w:ascii="IRNazanin" w:hAnsi="IRNazanin" w:eastAsia="IRNazanin" w:cs="IRNazanin"/>
          <w:lang w:bidi="fa-IR"/>
          <w:color w:val="111111"/>
          <w:sz w:val="28"/>
          <w:szCs w:val="28"/>
          <w:rtl/>
        </w:rPr>
        <w:t xml:space="preserve">متّحد مع الکلّيين فيصدق أنّ الحكم وارد على نفس الجهتين وليس كالسّابقتين حيث إنّ الجهتين فيهما علّتان</w:t>
      </w:r>
      <w:r>
        <w:rPr>
          <w:rStyle w:val="FootnoteReference"/>
        </w:rPr>
        <w:footnoteReference w:id="1621"/>
      </w:r>
      <w:r>
        <w:rPr>
          <w:rFonts w:ascii="Amiri" w:hAnsi="Amiri" w:eastAsia="Amiri" w:cs="Amiri"/>
          <w:lang w:bidi="ar-SA"/>
          <w:color w:val="111111"/>
          <w:sz w:val="28"/>
          <w:szCs w:val="28"/>
          <w:rtl/>
        </w:rPr>
        <w:t xml:space="preserve">للحكم.</w:t>
      </w:r>
    </w:p>
    <w:p>
      <w:pPr>
        <w:pStyle w:val="BookText"/>
      </w:pPr>
      <w:r>
        <w:rPr>
          <w:rFonts w:ascii="IRNazanin" w:hAnsi="IRNazanin" w:eastAsia="IRNazanin" w:cs="IRNazanin"/>
          <w:lang w:bidi="fa-IR"/>
          <w:color w:val="111111"/>
          <w:sz w:val="28"/>
          <w:szCs w:val="28"/>
          <w:rtl/>
        </w:rPr>
        <w:t xml:space="preserve">والحاصل: أنّ الحكم في هذه الصّورة وإن کان وارداً على الجهتين إلّا أنّه لا ينفع في رفع المحذور من اجتماع المتضادّين لعدم تعدّد المتعلّقين في الخارج.</w:t>
      </w:r>
    </w:p>
    <w:p>
      <w:pPr>
        <w:pStyle w:val="BookText"/>
      </w:pPr>
      <w:r>
        <w:rPr>
          <w:rFonts w:ascii="Amiri" w:hAnsi="Amiri" w:eastAsia="Amiri" w:cs="Amiri"/>
          <w:lang w:bidi="ar-SA"/>
          <w:color w:val="111111"/>
          <w:sz w:val="28"/>
          <w:szCs w:val="28"/>
          <w:rtl/>
        </w:rPr>
        <w:t xml:space="preserve">وما يقال من منع اتّحاد الطبيعتين في الوجود الخارجي لاستحالة اتّحاد غير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الجنس والفصل والمفروض في المقام غيرهما، أمّا بناءً على العموم من وجه فواضح وأمّا بناءً على العموم المطلق فلأنّ الأخصّ ليس فصلاً بالنسبة إلى الأعمّ بل من الأعراض اللاحقة له فيكونان بحسب الوجود متباينين فعلى تقدير القول بأنّ المتعلّق هو الوجود يكون المتعلّق مختلفاً وكذا على تقدير القول بأنّه الطبيعة الخارجيّة فلم يجتمع الضدّان في محلّ واحد؛</w:t>
      </w:r>
    </w:p>
    <w:p>
      <w:pPr>
        <w:pStyle w:val="BookText"/>
      </w:pPr>
      <w:r>
        <w:rPr>
          <w:rFonts w:ascii="Amiri" w:hAnsi="Amiri" w:eastAsia="Amiri" w:cs="Amiri"/>
          <w:lang w:bidi="ar-SA"/>
          <w:color w:val="111111"/>
          <w:sz w:val="28"/>
          <w:szCs w:val="28"/>
          <w:rtl/>
        </w:rPr>
        <w:t xml:space="preserve">مدفوع أوّلاً: بأنّ ذلك أي التغاير في الوجود إنّما يتمّ بالنسبة إلى الماهيات المتأصلة في الخارج بحيث يكون ما يحاذيها موجوداً في الخارج ففيها لا يعقل الاتّحاد إلّا إذا كان أحدهما جنساً والآخر فصلاً، وأمّا الأمور الاعتباريّة المنتزعة من الوجود الخارجي ممّا لا يكون الموجود المتأصّل إلّا ما ينتزع منها فلا نسلّم فيها ذلك؛ إذ يمكن اتّحادها في الوجود الخارجي من جهة اتّحاد ما ينتزع منها</w:t>
      </w:r>
      <w:r>
        <w:rPr>
          <w:rStyle w:val="FootnoteReference"/>
        </w:rPr>
        <w:footnoteReference w:id="1622"/>
      </w:r>
    </w:p>
    <w:p>
      <w:pPr>
        <w:pStyle w:val="BookText"/>
      </w:pPr>
      <w:r>
        <w:rPr>
          <w:rFonts w:ascii="Amiri" w:hAnsi="Amiri" w:eastAsia="Amiri" w:cs="Amiri"/>
          <w:lang w:bidi="ar-SA"/>
          <w:color w:val="111111"/>
          <w:sz w:val="28"/>
          <w:szCs w:val="28"/>
          <w:rtl/>
        </w:rPr>
        <w:t xml:space="preserve">وثانياً: سلّمنا أنّهما متعدّدان في الوجود بحسب الواقع إلّا أنّه لا شكّ فياتّحادهما فيه بوجه آخر ولذا يصحّ حمل أحدهما على الآخر وتكون</w:t>
      </w:r>
      <w:r>
        <w:rPr>
          <w:rStyle w:val="FootnoteReference"/>
        </w:rPr>
        <w:footnoteReference w:id="1623"/>
      </w:r>
      <w:r>
        <w:rPr>
          <w:rFonts w:ascii="IRNazanin" w:hAnsi="IRNazanin" w:eastAsia="IRNazanin" w:cs="IRNazanin"/>
          <w:lang w:bidi="fa-IR"/>
          <w:color w:val="111111"/>
          <w:sz w:val="28"/>
          <w:szCs w:val="28"/>
          <w:rtl/>
        </w:rPr>
        <w:t xml:space="preserve">النسبة بينهما التصادق بالعموم من وجه أو غيره، فغاية الأمر أنّ هناك جهة مغايرة وجهة اتّحاد فلو ورد عليهما الحكم من الجهة الأولی</w:t>
      </w:r>
      <w:r>
        <w:rPr>
          <w:rStyle w:val="FootnoteReference"/>
        </w:rPr>
        <w:footnoteReference w:id="1624"/>
      </w:r>
      <w:r>
        <w:rPr>
          <w:rFonts w:ascii="Amiri" w:hAnsi="Amiri" w:eastAsia="Amiri" w:cs="Amiri"/>
          <w:lang w:bidi="ar-SA"/>
          <w:color w:val="111111"/>
          <w:sz w:val="28"/>
          <w:szCs w:val="28"/>
          <w:rtl/>
        </w:rPr>
        <w:t xml:space="preserve">جاز تعدّد الحكمين وأمّا إذا ورد عليهما من الجهة الثانية فلايجوز ذلك وفي محلّ النزاع الحكم وارد عليهما من الجهة الثانية ولذا جعل بينهما العموم من وجه.</w:t>
      </w:r>
    </w:p>
    <w:p>
      <w:pPr>
        <w:pStyle w:val="BookText"/>
      </w:pPr>
      <w:r>
        <w:rPr>
          <w:rFonts w:ascii="IRNazanin" w:hAnsi="IRNazanin" w:eastAsia="IRNazanin" w:cs="IRNazanin"/>
          <w:lang w:bidi="fa-IR"/>
          <w:color w:val="111111"/>
          <w:sz w:val="28"/>
          <w:szCs w:val="28"/>
          <w:rtl/>
        </w:rPr>
        <w:t xml:space="preserve">كيف ولو كان من الجهة الأولى كان بينهما التباين یعني أنّ الحكم وارد على وجود الصّلاة والغصب لا على جهة الصّلاتيّة وجهة الغصبيّة وهما في الوجود متّحدان.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29" w:name="pg6784_51453"/>
    <w:bookmarkEnd w:id="229"/>
    <w:p>
      <w:pPr>
        <w:pStyle w:val="BookText"/>
      </w:pPr>
      <w:r>
        <w:rPr>
          <w:rFonts w:ascii="IRNazanin" w:hAnsi="IRNazanin" w:eastAsia="IRNazanin" w:cs="IRNazanin"/>
          <w:lang w:bidi="fa-IR"/>
          <w:color w:val="111111"/>
          <w:sz w:val="28"/>
          <w:szCs w:val="28"/>
          <w:rtl/>
        </w:rPr>
        <w:t xml:space="preserve">فتحصّل أنّه لا يجوز الاجتماع على شي‌ء من الأقوال في متعلّق الأحکام سواء جعلناه الأفراد أو وجود الطبيعة أو الطبيعة من حيث الوجود والطبيعة الخارجيّة.</w:t>
      </w:r>
    </w:p>
    <w:p>
      <w:pPr>
        <w:pStyle w:val="BookText"/>
      </w:pPr>
      <w:r>
        <w:rPr>
          <w:rFonts w:ascii="Amiri" w:hAnsi="Amiri" w:eastAsia="Amiri" w:cs="Amiri"/>
          <w:lang w:bidi="ar-SA"/>
          <w:color w:val="111111"/>
          <w:sz w:val="28"/>
          <w:szCs w:val="28"/>
          <w:rtl/>
        </w:rPr>
        <w:t xml:space="preserve">نعم لو كان يمكن التعلّق بالطّبيعة من حيث</w:t>
      </w:r>
      <w:r>
        <w:rPr>
          <w:rStyle w:val="FootnoteReference"/>
        </w:rPr>
        <w:footnoteReference w:id="1625"/>
      </w:r>
      <w:r>
        <w:rPr>
          <w:rFonts w:ascii="Amiri" w:hAnsi="Amiri" w:eastAsia="Amiri" w:cs="Amiri"/>
          <w:lang w:bidi="ar-SA"/>
          <w:color w:val="111111"/>
          <w:sz w:val="28"/>
          <w:szCs w:val="28"/>
          <w:rtl/>
        </w:rPr>
        <w:t xml:space="preserve">هي أمكن القول بجواز الاجتماع لكنّه واضح الفساد حسبما مرّ هنا وفيما سبق.</w:t>
      </w:r>
    </w:p>
    <w:p>
      <w:pPr>
        <w:pStyle w:val="BookText"/>
      </w:pPr>
      <w:r>
        <w:rPr>
          <w:rFonts w:ascii="Amiri" w:hAnsi="Amiri" w:eastAsia="Amiri" w:cs="Amiri"/>
          <w:lang w:bidi="ar-SA"/>
          <w:color w:val="111111"/>
          <w:sz w:val="28"/>
          <w:szCs w:val="28"/>
          <w:rtl/>
        </w:rPr>
        <w:t xml:space="preserve">فلا بدّ للقائل بالجواز أن يلتزم بأحد أمور:</w:t>
      </w:r>
    </w:p>
    <w:p>
      <w:pPr>
        <w:pStyle w:val="BookText"/>
      </w:pPr>
      <w:r>
        <w:rPr>
          <w:rFonts w:ascii="Amiri" w:hAnsi="Amiri" w:eastAsia="Amiri" w:cs="Amiri"/>
          <w:lang w:bidi="ar-SA"/>
          <w:color w:val="111111"/>
          <w:sz w:val="28"/>
          <w:szCs w:val="28"/>
          <w:rtl/>
        </w:rPr>
        <w:t xml:space="preserve">إمّا القول بعدم تضادّ الأمر والنّهي والوجوب والحرمة؛</w:t>
      </w:r>
    </w:p>
    <w:p>
      <w:pPr>
        <w:pStyle w:val="BookText"/>
      </w:pPr>
      <w:r>
        <w:rPr>
          <w:rFonts w:ascii="Amiri" w:hAnsi="Amiri" w:eastAsia="Amiri" w:cs="Amiri"/>
          <w:lang w:bidi="ar-SA"/>
          <w:color w:val="111111"/>
          <w:sz w:val="28"/>
          <w:szCs w:val="28"/>
          <w:rtl/>
        </w:rPr>
        <w:t xml:space="preserve">وإمّا القول بجواز اجتماع الضدّين؛</w:t>
      </w:r>
    </w:p>
    <w:p>
      <w:pPr>
        <w:pStyle w:val="BookText"/>
      </w:pPr>
      <w:r>
        <w:rPr>
          <w:rFonts w:ascii="Amiri" w:hAnsi="Amiri" w:eastAsia="Amiri" w:cs="Amiri"/>
          <w:lang w:bidi="ar-SA"/>
          <w:color w:val="111111"/>
          <w:sz w:val="28"/>
          <w:szCs w:val="28"/>
          <w:rtl/>
        </w:rPr>
        <w:t xml:space="preserve">وإمّا القول بعدم وحدة المحلّ</w:t>
      </w:r>
      <w:r>
        <w:rPr>
          <w:rStyle w:val="FootnoteReference"/>
        </w:rPr>
        <w:footnoteReference w:id="1626"/>
      </w:r>
      <w:r>
        <w:rPr>
          <w:rFonts w:ascii="Amiri" w:hAnsi="Amiri" w:eastAsia="Amiri" w:cs="Amiri"/>
          <w:lang w:bidi="ar-SA"/>
          <w:color w:val="111111"/>
          <w:sz w:val="28"/>
          <w:szCs w:val="28"/>
          <w:rtl/>
        </w:rPr>
        <w:t xml:space="preserve">إمّا لأنّ المتعلّق هو الطبيعة من حيث هي</w:t>
      </w:r>
      <w:r>
        <w:rPr>
          <w:rStyle w:val="FootnoteReference"/>
        </w:rPr>
        <w:footnoteReference w:id="1627"/>
      </w:r>
      <w:r>
        <w:rPr>
          <w:rFonts w:ascii="IRNazanin" w:hAnsi="IRNazanin" w:eastAsia="IRNazanin" w:cs="IRNazanin"/>
          <w:lang w:bidi="fa-IR"/>
          <w:color w:val="111111"/>
          <w:sz w:val="28"/>
          <w:szCs w:val="28"/>
          <w:rtl/>
        </w:rPr>
        <w:t xml:space="preserve">وإمّا لأنّ الکلّيين لا يتّحدان في الخارج وبحسب الوجود الخارجي؛</w:t>
      </w:r>
    </w:p>
    <w:p>
      <w:pPr>
        <w:pStyle w:val="BookText"/>
      </w:pPr>
      <w:r>
        <w:rPr>
          <w:rFonts w:ascii="Amiri" w:hAnsi="Amiri" w:eastAsia="Amiri" w:cs="Amiri"/>
          <w:lang w:bidi="ar-SA"/>
          <w:color w:val="111111"/>
          <w:sz w:val="28"/>
          <w:szCs w:val="28"/>
          <w:rtl/>
        </w:rPr>
        <w:t xml:space="preserve">وإمّا القول بإجداء تعدّد الجهة.</w:t>
      </w:r>
    </w:p>
    <w:p>
      <w:pPr>
        <w:pStyle w:val="BookText"/>
      </w:pPr>
      <w:r>
        <w:rPr>
          <w:rFonts w:ascii="Amiri" w:hAnsi="Amiri" w:eastAsia="Amiri" w:cs="Amiri"/>
          <w:lang w:bidi="ar-SA"/>
          <w:color w:val="111111"/>
          <w:sz w:val="28"/>
          <w:szCs w:val="28"/>
          <w:rtl/>
        </w:rPr>
        <w:t xml:space="preserve">وقد عرفت أنّه لا يمكن الالتزام بشي‌ء من ذلك.</w:t>
      </w:r>
    </w:p>
    <w:p>
      <w:pPr>
        <w:pStyle w:val="Heading5"/>
      </w:pPr>
      <w:bookmarkStart w:id="727" w:name="_Toc408"/>
      <w:r>
        <w:t>[نقد الدلیل الأوّل]</w:t>
      </w:r>
      <w:bookmarkEnd w:id="727"/>
    </w:p>
    <w:p>
      <w:pPr>
        <w:pStyle w:val="BookText"/>
      </w:pPr>
      <w:r>
        <w:rPr>
          <w:rFonts w:ascii="Amiri" w:hAnsi="Amiri" w:eastAsia="Amiri" w:cs="Amiri"/>
          <w:lang w:bidi="ar-SA"/>
          <w:color w:val="111111"/>
          <w:sz w:val="28"/>
          <w:szCs w:val="28"/>
          <w:rtl/>
        </w:rPr>
        <w:t xml:space="preserve">هذا ونقول في الجواب: أمّا كون المتعلّق هو الأفراد فقد عرفت فساده سابقاً.</w:t>
      </w:r>
    </w:p>
    <w:p>
      <w:pPr>
        <w:pStyle w:val="BookText"/>
      </w:pPr>
      <w:r>
        <w:rPr>
          <w:rFonts w:ascii="IRNazanin" w:hAnsi="IRNazanin" w:eastAsia="IRNazanin" w:cs="IRNazanin"/>
          <w:lang w:bidi="fa-IR"/>
          <w:color w:val="111111"/>
          <w:sz w:val="28"/>
          <w:szCs w:val="28"/>
          <w:rtl/>
        </w:rPr>
        <w:t xml:space="preserve">وأمّا كونه هو الوجود والإيجاد فأوّلاً في محلّ المنع أیضاً بل التحقیق أنّالوجود معتبر في نفس الوجوب والطلب حسبما عرفت سابقاً فيكون المتعلّق هو الطبيعة من حيث هي</w:t>
      </w:r>
      <w:r>
        <w:rPr>
          <w:rStyle w:val="FootnoteReference"/>
        </w:rPr>
        <w:footnoteReference w:id="1628"/>
      </w:r>
    </w:p>
    <w:p>
      <w:pPr>
        <w:pStyle w:val="BookText"/>
      </w:pPr>
      <w:r>
        <w:rPr>
          <w:rFonts w:ascii="IRNazanin" w:hAnsi="IRNazanin" w:eastAsia="IRNazanin" w:cs="IRNazanin"/>
          <w:lang w:bidi="fa-IR"/>
          <w:color w:val="111111"/>
          <w:sz w:val="28"/>
          <w:szCs w:val="28"/>
          <w:rtl/>
        </w:rPr>
        <w:t xml:space="preserve">وثانياً: على فرض التعلّق بالوجود نقول: إنّ الوجود أمر کلّي كسائر الکلّيات ويكون المحبوب هو هذا الوجود من حيث كونه فرداً لوجود الصلاة والمبغوض هو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حيث كونه فرداً لوجود الغصب وليس المتعلّق شخص هذا الوجود،</w:t>
      </w:r>
      <w:r>
        <w:rPr>
          <w:rStyle w:val="FootnoteReference"/>
        </w:rPr>
        <w:footnoteReference w:id="1629"/>
      </w:r>
      <w:r>
        <w:rPr>
          <w:rFonts w:ascii="IRNazanin" w:hAnsi="IRNazanin" w:eastAsia="IRNazanin" w:cs="IRNazanin"/>
          <w:lang w:bidi="fa-IR"/>
          <w:color w:val="111111"/>
          <w:sz w:val="28"/>
          <w:szCs w:val="28"/>
          <w:rtl/>
        </w:rPr>
        <w:t xml:space="preserve">فيكون كما لو قلنا إنّ المتعلّق الطبيعة الکلّية.</w:t>
      </w:r>
    </w:p>
    <w:p>
      <w:pPr>
        <w:pStyle w:val="BookText"/>
      </w:pPr>
      <w:r>
        <w:rPr>
          <w:rFonts w:ascii="IRNazanin" w:hAnsi="IRNazanin" w:eastAsia="IRNazanin" w:cs="IRNazanin"/>
          <w:lang w:bidi="fa-IR"/>
          <w:color w:val="111111"/>
          <w:sz w:val="28"/>
          <w:szCs w:val="28"/>
          <w:rtl/>
        </w:rPr>
        <w:t xml:space="preserve">ودعوى أنّه لا يعقل كون الوجود کلّياً في عرض سائر الکلّيات بل هو إمّا کلّي سِعِيٌّ أو أفراد متباينة الحقائق على اختلاف المذهبين قد عرفت ما فيها.</w:t>
      </w:r>
    </w:p>
    <w:p>
      <w:pPr>
        <w:pStyle w:val="BookText"/>
      </w:pPr>
      <w:r>
        <w:rPr>
          <w:rFonts w:ascii="IRNazanin" w:hAnsi="IRNazanin" w:eastAsia="IRNazanin" w:cs="IRNazanin"/>
          <w:lang w:bidi="fa-IR"/>
          <w:color w:val="111111"/>
          <w:sz w:val="28"/>
          <w:szCs w:val="28"/>
          <w:rtl/>
        </w:rPr>
        <w:t xml:space="preserve">فإن قلت: إذا كان الوجود کلّياً ففي مقام التشخّص يحتاج إلى وجود آخر ليتشخّص؛ إذ کلّ کلّي إنّما يتشخّص بالوجود وهو محال؛ إذ لا وجود للوجود.</w:t>
      </w:r>
    </w:p>
    <w:p>
      <w:pPr>
        <w:pStyle w:val="BookText"/>
      </w:pPr>
      <w:r>
        <w:rPr>
          <w:rFonts w:ascii="Amiri" w:hAnsi="Amiri" w:eastAsia="Amiri" w:cs="Amiri"/>
          <w:lang w:bidi="ar-SA"/>
          <w:color w:val="111111"/>
          <w:sz w:val="28"/>
          <w:szCs w:val="28"/>
          <w:rtl/>
        </w:rPr>
        <w:t xml:space="preserve">قلت: التشخّص إنّما هو بخصوصيّاته</w:t>
      </w:r>
      <w:r>
        <w:rPr>
          <w:rStyle w:val="FootnoteReference"/>
        </w:rPr>
        <w:footnoteReference w:id="1630"/>
      </w:r>
      <w:r>
        <w:rPr>
          <w:rFonts w:ascii="Amiri" w:hAnsi="Amiri" w:eastAsia="Amiri" w:cs="Amiri"/>
          <w:lang w:bidi="ar-SA"/>
          <w:color w:val="111111"/>
          <w:sz w:val="28"/>
          <w:szCs w:val="28"/>
          <w:rtl/>
        </w:rPr>
        <w:t xml:space="preserve">فأنحاء الوجودات مشخّصة لطبيعته</w:t>
      </w:r>
      <w:r>
        <w:rPr>
          <w:rStyle w:val="FootnoteReference"/>
        </w:rPr>
        <w:footnoteReference w:id="1631"/>
      </w:r>
      <w:r>
        <w:rPr>
          <w:rFonts w:ascii="IRNazanin" w:hAnsi="IRNazanin" w:eastAsia="IRNazanin" w:cs="IRNazanin"/>
          <w:lang w:bidi="fa-IR"/>
          <w:color w:val="111111"/>
          <w:sz w:val="28"/>
          <w:szCs w:val="28"/>
          <w:rtl/>
        </w:rPr>
        <w:t xml:space="preserve">وهذا كما أنّ خصوصيّات الأفراد مشخّصات لسائر الکلّيات بناء على أصالة الماهيّة واعتباريّته</w:t>
      </w:r>
      <w:r>
        <w:rPr>
          <w:rStyle w:val="FootnoteReference"/>
        </w:rPr>
        <w:footnoteReference w:id="1632"/>
      </w:r>
      <w:r>
        <w:rPr>
          <w:rFonts w:ascii="Amiri" w:hAnsi="Amiri" w:eastAsia="Amiri" w:cs="Amiri"/>
          <w:lang w:bidi="ar-SA"/>
          <w:color w:val="111111"/>
          <w:sz w:val="28"/>
          <w:szCs w:val="28"/>
          <w:rtl/>
        </w:rPr>
        <w:t xml:space="preserve">فنمنع أنّ التشخّص بالوجود، غاية الأمر أنّه يساوق الوجود فلا يلزم أن يكون بالوجود ومع فرضه فنخصّصه بغير الوجود ونقول: التشخّص في الوجود بخصوصيّات أخر غير الوجود. فتدبّر.</w:t>
      </w:r>
    </w:p>
    <w:p>
      <w:pPr>
        <w:pStyle w:val="BookText"/>
      </w:pPr>
      <w:r>
        <w:rPr>
          <w:rFonts w:ascii="Amiri" w:hAnsi="Amiri" w:eastAsia="Amiri" w:cs="Amiri"/>
          <w:lang w:bidi="ar-SA"/>
          <w:color w:val="111111"/>
          <w:sz w:val="28"/>
          <w:szCs w:val="28"/>
          <w:rtl/>
        </w:rPr>
        <w:t xml:space="preserve">ثمّ إذا قلنا: إنّ المتعلّق هو الوجود فلا يلزم أن نقول بأصالته حتّى يقال: إنّ الوجود الحقيقي الخارجي متعلّق للأحكام وهو واحد، بل يمكن أن يقال بأصالة الماهيّة ولا يضرّ اعتباريّته</w:t>
      </w:r>
      <w:r>
        <w:rPr>
          <w:rStyle w:val="FootnoteReference"/>
        </w:rPr>
        <w:footnoteReference w:id="1633"/>
      </w:r>
      <w:r>
        <w:rPr>
          <w:rFonts w:ascii="IRNazanin" w:hAnsi="IRNazanin" w:eastAsia="IRNazanin" w:cs="IRNazanin"/>
          <w:lang w:bidi="fa-IR"/>
          <w:color w:val="111111"/>
          <w:sz w:val="28"/>
          <w:szCs w:val="28"/>
          <w:rtl/>
        </w:rPr>
        <w:t xml:space="preserve">في كونه متعلّقاً للطلب والوجوب؛ إذ ليس أمراً اعتبارياً يكفيه صرف الاعتبار، بل هو أمر منتزع من الماهيّة إذا حصلت في الخارج فهو أمر اعتباري له جهة تحقّق وتحصّل فيمكن أن يتعلّق به الطلب، وحینئذٍ نقول: الوجودالمنتزع من ماهيّة الصلاة في الخارج غير ما هو منتزع من ماهيّة الغصب فيتعدّد المتعلّق.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أنّ الوجود المفهومي لمّا كان أمراً اعتبارياً صرفاً لا يمكن أن يتعلّق به الطلب لكن الوجودات الخاصّة</w:t>
      </w:r>
      <w:r>
        <w:rPr>
          <w:rStyle w:val="FootnoteReference"/>
        </w:rPr>
        <w:footnoteReference w:id="1634"/>
      </w:r>
      <w:r>
        <w:rPr>
          <w:rFonts w:ascii="IRNazanin" w:hAnsi="IRNazanin" w:eastAsia="IRNazanin" w:cs="IRNazanin"/>
          <w:lang w:bidi="fa-IR"/>
          <w:color w:val="111111"/>
          <w:sz w:val="28"/>
          <w:szCs w:val="28"/>
          <w:rtl/>
        </w:rPr>
        <w:t xml:space="preserve">المنتزعة من الماهيّات الخارجيّة بوصف كونها خارجيّة لا مانع من تعلّق الطلب بها ويمكن دعوى تعدّدها بالنسبة إلى مورد اجتماع الکلّيين بناء على أصالة الماهيّة.</w:t>
      </w:r>
    </w:p>
    <w:p>
      <w:pPr>
        <w:pStyle w:val="BookText"/>
      </w:pPr>
      <w:r>
        <w:rPr>
          <w:rFonts w:ascii="Amiri" w:hAnsi="Amiri" w:eastAsia="Amiri" w:cs="Amiri"/>
          <w:lang w:bidi="ar-SA"/>
          <w:color w:val="111111"/>
          <w:sz w:val="28"/>
          <w:szCs w:val="28"/>
          <w:rtl/>
        </w:rPr>
        <w:t xml:space="preserve">وأمّا كون المتعلّق هو الطبيعة الخارجية فمع الإغماض عمّا ذكرنا من أنّ الوجود معتبر في مفهوم الطلب ومعه يكون</w:t>
      </w:r>
      <w:r>
        <w:rPr>
          <w:rStyle w:val="FootnoteReference"/>
        </w:rPr>
        <w:footnoteReference w:id="1635"/>
      </w:r>
      <w:r>
        <w:rPr>
          <w:rFonts w:ascii="IRNazanin" w:hAnsi="IRNazanin" w:eastAsia="IRNazanin" w:cs="IRNazanin"/>
          <w:lang w:bidi="fa-IR"/>
          <w:color w:val="111111"/>
          <w:sz w:val="28"/>
          <w:szCs w:val="28"/>
          <w:rtl/>
        </w:rPr>
        <w:t xml:space="preserve">المتعلّق هو الطبيعة من حيث هي وإن کان صحيحاً إلّا أنّه لا ينتج ما ذكره؛ إذ بناء على أصالة الماهيّة كما هو المفروض على هذا التقدير نمنع وحدة الطبيعتين</w:t>
      </w:r>
      <w:r>
        <w:rPr>
          <w:rStyle w:val="FootnoteReference"/>
        </w:rPr>
        <w:footnoteReference w:id="1636"/>
      </w:r>
      <w:r>
        <w:rPr>
          <w:rFonts w:ascii="IRNazanin" w:hAnsi="IRNazanin" w:eastAsia="IRNazanin" w:cs="IRNazanin"/>
          <w:lang w:bidi="fa-IR"/>
          <w:color w:val="111111"/>
          <w:sz w:val="28"/>
          <w:szCs w:val="28"/>
          <w:rtl/>
        </w:rPr>
        <w:t xml:space="preserve">إذ ملاك وحدتهما هو وحدة وجودهما وإذا كان أمراً اعتبارياً فيكون الوجود المنسوب إلى کلّ منهما اعتباراً مغايراً لما ينسب إلى الآخر.</w:t>
      </w:r>
    </w:p>
    <w:p>
      <w:pPr>
        <w:pStyle w:val="BookText"/>
      </w:pPr>
      <w:r>
        <w:rPr>
          <w:rFonts w:ascii="IRNazanin" w:hAnsi="IRNazanin" w:eastAsia="IRNazanin" w:cs="IRNazanin"/>
          <w:lang w:bidi="fa-IR"/>
          <w:color w:val="111111"/>
          <w:sz w:val="28"/>
          <w:szCs w:val="28"/>
          <w:rtl/>
        </w:rPr>
        <w:t xml:space="preserve">ودعوى أنّه وإن کان يمكن اعتبار المغايرة إلّا أنّه يمكن اعتبار وجود واحد لهما معاً أیضاً كما هو مقتضى التّصادق؛</w:t>
      </w:r>
    </w:p>
    <w:p>
      <w:pPr>
        <w:pStyle w:val="BookText"/>
      </w:pPr>
      <w:r>
        <w:rPr>
          <w:rFonts w:ascii="IRNazanin" w:hAnsi="IRNazanin" w:eastAsia="IRNazanin" w:cs="IRNazanin"/>
          <w:lang w:bidi="fa-IR"/>
          <w:color w:val="111111"/>
          <w:sz w:val="28"/>
          <w:szCs w:val="28"/>
          <w:rtl/>
        </w:rPr>
        <w:t xml:space="preserve">مدفوعة بأنّه لا یثمر بعد إمکان لحاظ مغايرتهما أیضاً كما لا يخفى.</w:t>
      </w:r>
    </w:p>
    <w:p>
      <w:pPr>
        <w:pStyle w:val="BookText"/>
      </w:pPr>
      <w:r>
        <w:rPr>
          <w:rFonts w:ascii="IRNazanin" w:hAnsi="IRNazanin" w:eastAsia="IRNazanin" w:cs="IRNazanin"/>
          <w:lang w:bidi="fa-IR"/>
          <w:color w:val="111111"/>
          <w:sz w:val="28"/>
          <w:szCs w:val="28"/>
          <w:rtl/>
        </w:rPr>
        <w:t xml:space="preserve">هذا وعلى فرض اتّحادهما في الوجود نقول: إنّ محلّ الطّلب والمنع هو نفس الکلّيّين غاية الأمر دخول التقيّد</w:t>
      </w:r>
      <w:r>
        <w:rPr>
          <w:rStyle w:val="FootnoteReference"/>
        </w:rPr>
        <w:footnoteReference w:id="1637"/>
      </w:r>
      <w:r>
        <w:rPr>
          <w:rFonts w:ascii="IRNazanin" w:hAnsi="IRNazanin" w:eastAsia="IRNazanin" w:cs="IRNazanin"/>
          <w:lang w:bidi="fa-IR"/>
          <w:color w:val="111111"/>
          <w:sz w:val="28"/>
          <w:szCs w:val="28"/>
          <w:rtl/>
        </w:rPr>
        <w:t xml:space="preserve">بالوجود وهما متغايران وإن اتّحد القيد الّذي يكون تقيّده معتبراً في کلّ منهما.</w:t>
      </w:r>
    </w:p>
    <w:p>
      <w:pPr>
        <w:pStyle w:val="BookText"/>
      </w:pPr>
      <w:r>
        <w:rPr>
          <w:rFonts w:ascii="IRNazanin" w:hAnsi="IRNazanin" w:eastAsia="IRNazanin" w:cs="IRNazanin"/>
          <w:lang w:bidi="fa-IR"/>
          <w:color w:val="111111"/>
          <w:sz w:val="28"/>
          <w:szCs w:val="28"/>
          <w:rtl/>
        </w:rPr>
        <w:t xml:space="preserve">ومن ذلك يظهر حال ما إذا قلنا بالتعلّق بالطبيعة وقلنا بأصالة الوجود فإنّ القيد وهو الوجود ليس مناطاً في الحكم بل نفس الکلّيين ولا يضرّ كونهما من الأمور الاعتباريّة لما عرفت على القول بأنّ المتعلّق هو الوجود من أنّ الأمر الاعتباري الّذي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لايمكن تعلّق الطلب به ما يكون اعتبارياً صرفاً لا مثل المقام فإنّ الطبيعة الخارجيّة ممّا يمكن طلبه وإن قلنا إنّ المتحقّق في الخارج وجوده، ولذا لا يَفرُق العقل في جواز طلب وجود الطّبيعة بين القولين، وكذا في جواز طلب الطّبيعة من حيث الوجود.</w:t>
      </w:r>
    </w:p>
    <w:p>
      <w:pPr>
        <w:pStyle w:val="BookText"/>
      </w:pPr>
      <w:r>
        <w:rPr>
          <w:rFonts w:ascii="IRNazanin" w:hAnsi="IRNazanin" w:eastAsia="IRNazanin" w:cs="IRNazanin"/>
          <w:lang w:bidi="fa-IR"/>
          <w:color w:val="111111"/>
          <w:sz w:val="28"/>
          <w:szCs w:val="28"/>
          <w:rtl/>
        </w:rPr>
        <w:t xml:space="preserve">فظهر أنّ ابتناء القولين في المقام أعني كون المتعلّق هو الوجود أو الطبيعة الخارجيّة على القولين من أصالة الوجود أو الماهيّة حسبما ظهر من تقرير الاستدلال ويظهر من کلام صاحب الفصول</w:t>
      </w:r>
      <w:r>
        <w:rPr>
          <w:rStyle w:val="FootnoteReference"/>
        </w:rPr>
        <w:footnoteReference w:id="1638"/>
      </w:r>
      <w:r>
        <w:rPr>
          <w:rFonts w:ascii="Amiri" w:hAnsi="Amiri" w:eastAsia="Amiri" w:cs="Amiri"/>
          <w:lang w:bidi="ar-SA"/>
          <w:color w:val="111111"/>
          <w:sz w:val="28"/>
          <w:szCs w:val="28"/>
          <w:rtl/>
        </w:rPr>
        <w:t xml:space="preserve">ليس في محلّه.</w:t>
      </w:r>
    </w:p>
    <w:p>
      <w:pPr>
        <w:pStyle w:val="BookText"/>
      </w:pPr>
      <w:r>
        <w:rPr>
          <w:rFonts w:ascii="IRNazanin" w:hAnsi="IRNazanin" w:eastAsia="IRNazanin" w:cs="IRNazanin"/>
          <w:lang w:bidi="fa-IR"/>
          <w:color w:val="111111"/>
          <w:sz w:val="28"/>
          <w:szCs w:val="28"/>
          <w:rtl/>
        </w:rPr>
        <w:t xml:space="preserve">فحاصل الکلام أنّ لنا أن نقول: إنّ المتعلّق هو الطبيعة من حيث الوجود وإنّ الطّبيعتين متغايرتان</w:t>
      </w:r>
      <w:r>
        <w:rPr>
          <w:rStyle w:val="FootnoteReference"/>
        </w:rPr>
        <w:footnoteReference w:id="1639"/>
      </w:r>
      <w:r>
        <w:rPr>
          <w:rFonts w:ascii="Amiri" w:hAnsi="Amiri" w:eastAsia="Amiri" w:cs="Amiri"/>
          <w:lang w:bidi="ar-SA"/>
          <w:color w:val="111111"/>
          <w:sz w:val="28"/>
          <w:szCs w:val="28"/>
          <w:rtl/>
        </w:rPr>
        <w:t xml:space="preserve">والفرد الخارجيّ والوجود المشترك بينهما ليس مناطاً في الحكم فلا يضرّ وحدته، والامتثال إنّما يتحقّق بإيجاد الطبيعة المطلوبة بإيجاد الفرد وهو من حيث هو لا حكم له</w:t>
      </w:r>
      <w:r>
        <w:rPr>
          <w:rStyle w:val="FootnoteReference"/>
        </w:rPr>
        <w:footnoteReference w:id="1640"/>
      </w:r>
      <w:r>
        <w:rPr>
          <w:rFonts w:ascii="Amiri" w:hAnsi="Amiri" w:eastAsia="Amiri" w:cs="Amiri"/>
          <w:lang w:bidi="ar-SA"/>
          <w:color w:val="111111"/>
          <w:sz w:val="28"/>
          <w:szCs w:val="28"/>
          <w:rtl/>
        </w:rPr>
        <w:t xml:space="preserve">حتّى إذا كان مباحاً أیضاً.</w:t>
      </w:r>
    </w:p>
    <w:p>
      <w:pPr>
        <w:pStyle w:val="BookText"/>
      </w:pPr>
      <w:r>
        <w:rPr>
          <w:rFonts w:ascii="IRNazanin" w:hAnsi="IRNazanin" w:eastAsia="IRNazanin" w:cs="IRNazanin"/>
          <w:lang w:bidi="fa-IR"/>
          <w:color w:val="111111"/>
          <w:sz w:val="28"/>
          <w:szCs w:val="28"/>
          <w:rtl/>
        </w:rPr>
        <w:t xml:space="preserve">نعم یتّصف إذا كان مباحاً بالوجوب العرضي والمقدّمي بناءً على جعله مقدّمة وإذا كان حراماً فلا یتّصف بهذا الوجوب أیضاً.</w:t>
      </w:r>
    </w:p>
    <w:p>
      <w:pPr>
        <w:pStyle w:val="BookText"/>
      </w:pPr>
      <w:r>
        <w:rPr>
          <w:rFonts w:ascii="Amiri" w:hAnsi="Amiri" w:eastAsia="Amiri" w:cs="Amiri"/>
          <w:lang w:bidi="ar-SA"/>
          <w:color w:val="111111"/>
          <w:sz w:val="28"/>
          <w:szCs w:val="28"/>
          <w:rtl/>
        </w:rPr>
        <w:t xml:space="preserve">وأمّا الوجوب الشرعي فهو وارد على نفس الطبيعة.</w:t>
      </w:r>
    </w:p>
    <w:p>
      <w:pPr>
        <w:pStyle w:val="BookText"/>
      </w:pPr>
      <w:r>
        <w:rPr>
          <w:rFonts w:ascii="IRNazanin" w:hAnsi="IRNazanin" w:eastAsia="IRNazanin" w:cs="IRNazanin"/>
          <w:lang w:bidi="fa-IR"/>
          <w:color w:val="111111"/>
          <w:sz w:val="28"/>
          <w:szCs w:val="28"/>
          <w:rtl/>
        </w:rPr>
        <w:t xml:space="preserve">وإن شئت فقل: إنّ الفرد متّصف بالوجوب وبالحرمة معاً لكن من جهتين تقييديّتين بمعنى أنّ الحكم في الحقيقة وارد على التقیّدين</w:t>
      </w:r>
      <w:r>
        <w:rPr>
          <w:rStyle w:val="FootnoteReference"/>
        </w:rPr>
        <w:footnoteReference w:id="1641"/>
      </w:r>
    </w:p>
    <w:p>
      <w:pPr>
        <w:pStyle w:val="BookText"/>
      </w:pPr>
      <w:r>
        <w:rPr>
          <w:rFonts w:ascii="IRNazanin" w:hAnsi="IRNazanin" w:eastAsia="IRNazanin" w:cs="IRNazanin"/>
          <w:lang w:bidi="fa-IR"/>
          <w:color w:val="111111"/>
          <w:sz w:val="28"/>
          <w:szCs w:val="28"/>
          <w:rtl/>
        </w:rPr>
        <w:t xml:space="preserve">ومن ذلك يظهر أنّ ما ذكر من أنّ النافع من تعدّد الجهة التقييدية إنّما هو ما إذا كان کلّ من المقيَّدين ممتازاً عن الآخر في الوجود</w:t>
      </w:r>
      <w:r>
        <w:rPr>
          <w:rStyle w:val="FootnoteReference"/>
        </w:rPr>
        <w:footnoteReference w:id="1642"/>
      </w:r>
      <w:r>
        <w:rPr>
          <w:rFonts w:ascii="IRNazanin" w:hAnsi="IRNazanin" w:eastAsia="IRNazanin" w:cs="IRNazanin"/>
          <w:lang w:bidi="fa-IR"/>
          <w:color w:val="111111"/>
          <w:sz w:val="28"/>
          <w:szCs w:val="28"/>
          <w:rtl/>
        </w:rPr>
        <w:t xml:space="preserve">لا وجه له؛ إذ یکفي ورود الحكم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نفس الجهة وإن لم يتعدّد الوجود بعد ما لم يكن محلّاً للحكم.</w:t>
      </w:r>
    </w:p>
    <w:p>
      <w:pPr>
        <w:pStyle w:val="BookText"/>
      </w:pPr>
      <w:r>
        <w:rPr>
          <w:rFonts w:ascii="Amiri" w:hAnsi="Amiri" w:eastAsia="Amiri" w:cs="Amiri"/>
          <w:lang w:bidi="ar-SA"/>
          <w:color w:val="111111"/>
          <w:sz w:val="28"/>
          <w:szCs w:val="28"/>
          <w:rtl/>
        </w:rPr>
        <w:t xml:space="preserve">وأمّا ما يظهر من بعضهم من أنّ الجهة التقييدية لا تتصوّر</w:t>
      </w:r>
      <w:r>
        <w:rPr>
          <w:rStyle w:val="FootnoteReference"/>
        </w:rPr>
        <w:footnoteReference w:id="1643"/>
      </w:r>
      <w:r>
        <w:rPr>
          <w:rFonts w:ascii="IRNazanin" w:hAnsi="IRNazanin" w:eastAsia="IRNazanin" w:cs="IRNazanin"/>
          <w:lang w:bidi="fa-IR"/>
          <w:color w:val="111111"/>
          <w:sz w:val="28"/>
          <w:szCs w:val="28"/>
          <w:rtl/>
        </w:rPr>
        <w:t xml:space="preserve">إلّا إذا كان هناك عامّ ورد عليه قيدان وكان کلّ منهما موجوداً بوجود مغاير للآخر كالضرب المنقسم إلى التأديب والظلم، وأمّا إذا كان أمراً واحداً كالفرد فيما نحن فيه فلا يعقل كونالجهة فيه</w:t>
      </w:r>
      <w:r>
        <w:rPr>
          <w:rStyle w:val="FootnoteReference"/>
        </w:rPr>
        <w:footnoteReference w:id="1644"/>
      </w:r>
      <w:r>
        <w:rPr>
          <w:rFonts w:ascii="Amiri" w:hAnsi="Amiri" w:eastAsia="Amiri" w:cs="Amiri"/>
          <w:lang w:bidi="ar-SA"/>
          <w:color w:val="111111"/>
          <w:sz w:val="28"/>
          <w:szCs w:val="28"/>
          <w:rtl/>
        </w:rPr>
        <w:t xml:space="preserve">تقييدية؛ إذ لا يمكن تعدّد الفرد الواحد؛</w:t>
      </w:r>
      <w:r>
        <w:rPr>
          <w:rStyle w:val="FootnoteReference"/>
        </w:rPr>
        <w:footnoteReference w:id="1645"/>
      </w:r>
    </w:p>
    <w:p>
      <w:pPr>
        <w:pStyle w:val="BookText"/>
      </w:pPr>
      <w:r>
        <w:rPr>
          <w:rFonts w:ascii="IRNazanin" w:hAnsi="IRNazanin" w:eastAsia="IRNazanin" w:cs="IRNazanin"/>
          <w:lang w:bidi="fa-IR"/>
          <w:color w:val="111111"/>
          <w:sz w:val="28"/>
          <w:szCs w:val="28"/>
          <w:rtl/>
        </w:rPr>
        <w:t xml:space="preserve">وقال (رحمة الله‌علیه) في ص146: «وأنت خبير بأنّه لا مجال للشك فى جواز توارد الحكمين المتضادين في تفصيل الكلي إلى جزئيين كالأمر بالضّرب للتأديب والنّهي عن الضّرب للإهانة مع عدم اختلاف المتعلّق بالحسّ وإن كان الأظهر عدم اجتماع الحكمين المتضادّين فى مورد واحد باختلاف الجهة فى تفصيل الجزئي إلى كليّين كما يظهر ممّا مرّ، ودعوى اختلاف المتعلّق بالحسّ على ذلك فى غير المحلّ، نعم الحقّ عدم جواز توارد الحكمين المتضادّين في تحليل الجزئي إلى كليّين كالصّلاة في الدار المغصوبة من باب اختلاف الجهة بالجهة التقييدية كما مرّ».</w:t>
      </w:r>
    </w:p>
    <w:p>
      <w:pPr>
        <w:pStyle w:val="BookText"/>
      </w:pPr>
      <w:r>
        <w:rPr>
          <w:rFonts w:ascii="IRNazanin" w:hAnsi="IRNazanin" w:eastAsia="IRNazanin" w:cs="IRNazanin"/>
          <w:lang w:bidi="fa-IR"/>
          <w:color w:val="111111"/>
          <w:sz w:val="28"/>
          <w:szCs w:val="28"/>
          <w:rtl/>
        </w:rPr>
        <w:t xml:space="preserve">ففيه ما لا يخفی؛ إذ نمنع انحصار الجهة التقييدية فيما ذكر، بل هي أعمّ منه وممّا ذكرنا ممّا كان الشي‌ء الواحد محلّاً لحكمين باعتبارين يكون الحكم في الحقيقة وارداً على کلّ من الاعتبارين أي الجهتين.</w:t>
      </w:r>
    </w:p>
    <w:p>
      <w:pPr>
        <w:pStyle w:val="BookText"/>
      </w:pPr>
      <w:r>
        <w:rPr>
          <w:rFonts w:ascii="IRNazanin" w:hAnsi="IRNazanin" w:eastAsia="IRNazanin" w:cs="IRNazanin"/>
          <w:lang w:bidi="fa-IR"/>
          <w:color w:val="111111"/>
          <w:sz w:val="28"/>
          <w:szCs w:val="28"/>
          <w:rtl/>
        </w:rPr>
        <w:t xml:space="preserve">وإن ضويق عن تسمية هذا جهة تقييدية نقول: إنّ مثل هذا لا بأس به سواء سمّيته جهة تقييديّة أو تعلیليّة لكن من الواضح أنّه ليس من الجهة التعلیليّة؛ إذ ملاكها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ورود الحكم على المقيّد بالجهة بحيث كانت الجهة علّة ومناطاً في ورود الحكم كما في المصالح والمفاسد الموجبة للوجوب والحرمة ومن المعلوم أنّه ليس الحال في المقام كذلك إلّا على القول بتعلّق الأحکام بخصوص الأفراد</w:t>
      </w:r>
      <w:r>
        <w:rPr>
          <w:rStyle w:val="FootnoteReference"/>
        </w:rPr>
        <w:footnoteReference w:id="1646"/>
      </w:r>
      <w:r>
        <w:rPr>
          <w:rFonts w:ascii="Amiri" w:hAnsi="Amiri" w:eastAsia="Amiri" w:cs="Amiri"/>
          <w:lang w:bidi="ar-SA"/>
          <w:color w:val="111111"/>
          <w:sz w:val="28"/>
          <w:szCs w:val="28"/>
          <w:rtl/>
        </w:rPr>
        <w:t xml:space="preserve">ابتداءً أو على الوجود الخارجي الواحد والمفروض تعلّقه بنفس الطبيعة ووروده على الفرد أو الوجود الخاصّ إنّما هو بالعرض ومن باب الانطباق.</w:t>
      </w:r>
    </w:p>
    <w:p>
      <w:pPr>
        <w:pStyle w:val="BookText"/>
      </w:pPr>
      <w:r>
        <w:rPr>
          <w:rFonts w:ascii="IRNazanin" w:hAnsi="IRNazanin" w:eastAsia="IRNazanin" w:cs="IRNazanin"/>
          <w:lang w:bidi="fa-IR"/>
          <w:color w:val="111111"/>
          <w:sz w:val="28"/>
          <w:szCs w:val="28"/>
          <w:rtl/>
        </w:rPr>
        <w:t xml:space="preserve">هذا وأمّا ما ذكر من حديث تغاير الکلّيين في الوجود وعدم معقوليّة اتّحادهما في مثل المقام فقد عرفت سابقاً الکلام فيه وأنّه إنّما يتمّ في العناوين الثانوية دون الأوّلية مثل الصّلاة والغصب.</w:t>
      </w:r>
    </w:p>
    <w:p>
      <w:pPr>
        <w:pStyle w:val="BookText"/>
      </w:pPr>
      <w:r>
        <w:rPr>
          <w:rFonts w:ascii="Amiri" w:hAnsi="Amiri" w:eastAsia="Amiri" w:cs="Amiri"/>
          <w:lang w:bidi="ar-SA"/>
          <w:color w:val="111111"/>
          <w:sz w:val="28"/>
          <w:szCs w:val="28"/>
          <w:rtl/>
        </w:rPr>
        <w:t xml:space="preserve">ودعوى كونهما من العناوين الثانوية</w:t>
      </w:r>
      <w:r>
        <w:rPr>
          <w:rStyle w:val="FootnoteReference"/>
        </w:rPr>
        <w:footnoteReference w:id="1647"/>
      </w:r>
      <w:r>
        <w:rPr>
          <w:rFonts w:ascii="Amiri" w:hAnsi="Amiri" w:eastAsia="Amiri" w:cs="Amiri"/>
          <w:lang w:bidi="ar-SA"/>
          <w:color w:val="111111"/>
          <w:sz w:val="28"/>
          <w:szCs w:val="28"/>
          <w:rtl/>
        </w:rPr>
        <w:t xml:space="preserve">قد عرفت فسادها فلا يتمّ القول بجواز الاجتماع فيها إلّا بما ذكرنا من أنّ الفرد والوجود الوحداني ليسا محلّاً ومناطاً للحكم.نعم يمكن الالتزام</w:t>
      </w:r>
      <w:r>
        <w:rPr>
          <w:rStyle w:val="FootnoteReference"/>
        </w:rPr>
        <w:footnoteReference w:id="1648"/>
      </w:r>
      <w:r>
        <w:rPr>
          <w:rFonts w:ascii="IRNazanin" w:hAnsi="IRNazanin" w:eastAsia="IRNazanin" w:cs="IRNazanin"/>
          <w:lang w:bidi="fa-IR"/>
          <w:color w:val="111111"/>
          <w:sz w:val="28"/>
          <w:szCs w:val="28"/>
          <w:rtl/>
        </w:rPr>
        <w:t xml:space="preserve">به في العناوين الأوّلية أیضاً إذا قلنا بأصالة الماهيّة وكون الوجود اعتبارياً؛ إذ الماهيّتان</w:t>
      </w:r>
      <w:r>
        <w:rPr>
          <w:rStyle w:val="FootnoteReference"/>
        </w:rPr>
        <w:footnoteReference w:id="1649"/>
      </w:r>
      <w:r>
        <w:rPr>
          <w:rFonts w:ascii="IRNazanin" w:hAnsi="IRNazanin" w:eastAsia="IRNazanin" w:cs="IRNazanin"/>
          <w:lang w:bidi="fa-IR"/>
          <w:color w:val="111111"/>
          <w:sz w:val="28"/>
          <w:szCs w:val="28"/>
          <w:rtl/>
        </w:rPr>
        <w:t xml:space="preserve">اللّتان بينهما عموم من وجه لا يعقل اتّحادهما من حيث هما مع قطع النظر عن الوجود ومع جعل الوجود أمراً اعتبارياً يمكن دعوى تعدّد هذا الاعتبار بالنسبة إليهما فهما متعدّدان من حيث الوجود أیضاً كما مرّت</w:t>
      </w:r>
      <w:r>
        <w:rPr>
          <w:rStyle w:val="FootnoteReference"/>
        </w:rPr>
        <w:footnoteReference w:id="1650"/>
      </w:r>
      <w:r>
        <w:rPr>
          <w:rFonts w:ascii="IRNazanin" w:hAnsi="IRNazanin" w:eastAsia="IRNazanin" w:cs="IRNazanin"/>
          <w:lang w:bidi="fa-IR"/>
          <w:color w:val="111111"/>
          <w:sz w:val="28"/>
          <w:szCs w:val="28"/>
          <w:rtl/>
        </w:rPr>
        <w:t xml:space="preserve">الإشارة إلیه آنفاً.</w:t>
      </w:r>
    </w:p>
    <w:p>
      <w:pPr>
        <w:pStyle w:val="BookText"/>
      </w:pPr>
      <w:r>
        <w:rPr>
          <w:rFonts w:ascii="Amiri" w:hAnsi="Amiri" w:eastAsia="Amiri" w:cs="Amiri"/>
          <w:lang w:bidi="ar-SA"/>
          <w:color w:val="111111"/>
          <w:sz w:val="28"/>
          <w:szCs w:val="28"/>
          <w:rtl/>
        </w:rPr>
        <w:t xml:space="preserve">وممّا ذكرنا ظهر عدم تماميّة الجواب الأوّل</w:t>
      </w:r>
      <w:r>
        <w:rPr>
          <w:rStyle w:val="FootnoteReference"/>
        </w:rPr>
        <w:footnoteReference w:id="1651"/>
      </w:r>
      <w:r>
        <w:rPr>
          <w:rFonts w:ascii="IRNazanin" w:hAnsi="IRNazanin" w:eastAsia="IRNazanin" w:cs="IRNazanin"/>
          <w:lang w:bidi="fa-IR"/>
          <w:color w:val="111111"/>
          <w:sz w:val="28"/>
          <w:szCs w:val="28"/>
          <w:rtl/>
        </w:rPr>
        <w:t xml:space="preserve">الّذي ذكر في الاستدلال من الفرق بين الکلّيات المتأصّلة وغيرها؛ إذ قد عرفت أنّ غير المتأصّلة أولى بالتعدّد من حيث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الوجود إذا كان المراد منها العناوين الثانوية والأمور الاعتباريّة.</w:t>
      </w:r>
    </w:p>
    <w:p>
      <w:pPr>
        <w:pStyle w:val="BookText"/>
      </w:pPr>
      <w:r>
        <w:rPr>
          <w:rFonts w:ascii="Amiri" w:hAnsi="Amiri" w:eastAsia="Amiri" w:cs="Amiri"/>
          <w:lang w:bidi="ar-SA"/>
          <w:color w:val="111111"/>
          <w:sz w:val="28"/>
          <w:szCs w:val="28"/>
          <w:rtl/>
        </w:rPr>
        <w:t xml:space="preserve">فدعوى تعدّد الوجود في الأمور المتأصّلة والاتّحاد في غيرها خلاف الصّواب.</w:t>
      </w:r>
    </w:p>
    <w:p>
      <w:pPr>
        <w:pStyle w:val="BookText"/>
      </w:pPr>
      <w:r>
        <w:rPr>
          <w:rFonts w:ascii="Amiri" w:hAnsi="Amiri" w:eastAsia="Amiri" w:cs="Amiri"/>
          <w:lang w:bidi="ar-SA"/>
          <w:color w:val="111111"/>
          <w:sz w:val="28"/>
          <w:szCs w:val="28"/>
          <w:rtl/>
        </w:rPr>
        <w:t xml:space="preserve">مع أنّ ظاهر المجيب</w:t>
      </w:r>
      <w:r>
        <w:rPr>
          <w:rStyle w:val="FootnoteReference"/>
        </w:rPr>
        <w:footnoteReference w:id="1652"/>
      </w:r>
      <w:r>
        <w:rPr>
          <w:rFonts w:ascii="Amiri" w:hAnsi="Amiri" w:eastAsia="Amiri" w:cs="Amiri"/>
          <w:lang w:bidi="ar-SA"/>
          <w:color w:val="111111"/>
          <w:sz w:val="28"/>
          <w:szCs w:val="28"/>
          <w:rtl/>
        </w:rPr>
        <w:t xml:space="preserve">في المقام وصريحه في مقام آخر كون الصّلاة والغصب من الأمور الغير المتأصّلة وقد عرفت عدم تماميّته</w:t>
      </w:r>
      <w:r>
        <w:rPr>
          <w:rStyle w:val="FootnoteReference"/>
        </w:rPr>
        <w:footnoteReference w:id="1653"/>
      </w:r>
    </w:p>
    <w:p>
      <w:pPr>
        <w:pStyle w:val="BookText"/>
      </w:pPr>
      <w:r>
        <w:rPr>
          <w:rFonts w:ascii="Amiri" w:hAnsi="Amiri" w:eastAsia="Amiri" w:cs="Amiri"/>
          <w:lang w:bidi="ar-SA"/>
          <w:color w:val="111111"/>
          <w:sz w:val="28"/>
          <w:szCs w:val="28"/>
          <w:rtl/>
        </w:rPr>
        <w:t xml:space="preserve">وأمّا الجواب الثاني</w:t>
      </w:r>
      <w:r>
        <w:rPr>
          <w:rStyle w:val="FootnoteReference"/>
        </w:rPr>
        <w:footnoteReference w:id="1654"/>
      </w:r>
      <w:r>
        <w:rPr>
          <w:rFonts w:ascii="IRNazanin" w:hAnsi="IRNazanin" w:eastAsia="IRNazanin" w:cs="IRNazanin"/>
          <w:lang w:bidi="fa-IR"/>
          <w:color w:val="111111"/>
          <w:sz w:val="28"/>
          <w:szCs w:val="28"/>
          <w:rtl/>
        </w:rPr>
        <w:t xml:space="preserve">فيرد عليه أنّك إذا سلّمت تعدّد الوجود الواقعي في مورد الاجتماع فيندفع المحذور من اجتماع الضدّين، واتّحادهما من وجه آخر لا يضرّ بالمطلب مع أنّه ممنوع؛ إذ مع تسليم المغايرة في الوجود في الواقع لا وجه للاتّحاد أیضاً وصحّة الحمل تقتضي</w:t>
      </w:r>
      <w:r>
        <w:rPr>
          <w:rStyle w:val="FootnoteReference"/>
        </w:rPr>
        <w:footnoteReference w:id="1655"/>
      </w:r>
      <w:r>
        <w:rPr>
          <w:rFonts w:ascii="Amiri" w:hAnsi="Amiri" w:eastAsia="Amiri" w:cs="Amiri"/>
          <w:lang w:bidi="ar-SA"/>
          <w:color w:val="111111"/>
          <w:sz w:val="28"/>
          <w:szCs w:val="28"/>
          <w:rtl/>
        </w:rPr>
        <w:t xml:space="preserve">عدم المغايرة في الوجود فهي دليل على عدم المغايرة وعدم صحّة تسليمها فلا وجه للتسليم ودعوى الاتّحاد والمغايرة من وجهين.</w:t>
      </w:r>
    </w:p>
    <w:p>
      <w:pPr>
        <w:pStyle w:val="BookText"/>
      </w:pPr>
      <w:r>
        <w:rPr>
          <w:rFonts w:ascii="Amiri" w:hAnsi="Amiri" w:eastAsia="Amiri" w:cs="Amiri"/>
          <w:lang w:bidi="ar-SA"/>
          <w:color w:val="111111"/>
          <w:sz w:val="28"/>
          <w:szCs w:val="28"/>
          <w:rtl/>
        </w:rPr>
        <w:t xml:space="preserve">وإن أراد من المغايرة الواقعيّة مغايرة حيثيّة الغصبيّة لحيثيّة الصّلاتيّة ومن الاتّحاد الاتّحاد في الوجود؛</w:t>
      </w:r>
    </w:p>
    <w:p>
      <w:pPr>
        <w:pStyle w:val="BookText"/>
      </w:pPr>
      <w:r>
        <w:rPr>
          <w:rFonts w:ascii="Amiri" w:hAnsi="Amiri" w:eastAsia="Amiri" w:cs="Amiri"/>
          <w:lang w:bidi="ar-SA"/>
          <w:color w:val="111111"/>
          <w:sz w:val="28"/>
          <w:szCs w:val="28"/>
          <w:rtl/>
        </w:rPr>
        <w:t xml:space="preserve">ففيه: أنّ حيثيّة الغصبيّة وحيثيّة الصّلاتيّة ليستا من الموجودات الخارجيّة بوجودممتاز عن وجود نفس الغصب والصّلاة.</w:t>
      </w:r>
    </w:p>
    <w:p>
      <w:pPr>
        <w:pStyle w:val="BookText"/>
      </w:pPr>
      <w:r>
        <w:rPr>
          <w:rFonts w:ascii="Amiri" w:hAnsi="Amiri" w:eastAsia="Amiri" w:cs="Amiri"/>
          <w:lang w:bidi="ar-SA"/>
          <w:color w:val="111111"/>
          <w:sz w:val="28"/>
          <w:szCs w:val="28"/>
          <w:rtl/>
        </w:rPr>
        <w:t xml:space="preserve">ثمّ على فرض تسليم ما ذكره من تعدّد الوجود من جهة والاتّحاد من أخرى نمنع أنّ الحكم في المقام بلحاظ جهة الاتّحاد؛ إذ غاية ما في الباب أنّ الحكم إنّما هو بلحاظ الوجود بمعنى أنّ الوجوب ورد على طبيعة الصّلاة من حيث وجودها. وأمّا كون ذلك الوجود هو الوجود المتّحد مع الغصب دون الوجود المغاير لوجوده فلا دليل عليه بل مقتضى التعليق على عنوان الصّلاة اعتبار الوجود المغاير كما لا يخفى.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کلّه إن أراد من تسليم المغايرة في الوجود التسليم في مورد الاجتماع كما هو ظاهر کلامه.</w:t>
      </w:r>
    </w:p>
    <w:p>
      <w:pPr>
        <w:pStyle w:val="BookText"/>
      </w:pPr>
      <w:r>
        <w:rPr>
          <w:rFonts w:ascii="IRNazanin" w:hAnsi="IRNazanin" w:eastAsia="IRNazanin" w:cs="IRNazanin"/>
          <w:lang w:bidi="fa-IR"/>
          <w:color w:val="111111"/>
          <w:sz w:val="28"/>
          <w:szCs w:val="28"/>
          <w:rtl/>
        </w:rPr>
        <w:t xml:space="preserve">وإن أراد أنّهما متغايران في الوجود في غير مورد الاجتماع فلا يحتاج إلى هذه البيانات وليس تسليماً لتعدّد الوجود الّذي هو في کلام المُورد؛ إذ مراده إنّما هو بالنسبة إلى مورد الاجتماع.</w:t>
      </w:r>
    </w:p>
    <w:p>
      <w:pPr>
        <w:pStyle w:val="BookText"/>
      </w:pPr>
      <w:r>
        <w:rPr>
          <w:rFonts w:ascii="IRNazanin" w:hAnsi="IRNazanin" w:eastAsia="IRNazanin" w:cs="IRNazanin"/>
          <w:lang w:bidi="fa-IR"/>
          <w:color w:val="111111"/>
          <w:sz w:val="28"/>
          <w:szCs w:val="28"/>
          <w:rtl/>
        </w:rPr>
        <w:t xml:space="preserve">فتحصّل أنّه يمكن القول بجواز الاجتماع إذا قلنا: إنّ المتعلّق هو الطّبيعة من حيث هي وإنّ الوجود معتبر في مفهوم الطلب، وكذا إذا قلنا إنّ المتعلّق هو الإيجاد والوجود وقلنا: إنّه أمر کلّي كسائر الکلّيات، وكذا إذا قلنا إنّه هو الوجود وإنّه ليس کلّياً بل له أفراد متباينة الحقائق في وجودها الاعتباري ولكن قلنا بأصالة الماهيّة، وكذا إذا قلنا: إنّه هو الطبيعة من حيث الوجود مع دخول</w:t>
      </w:r>
      <w:r>
        <w:rPr>
          <w:rStyle w:val="FootnoteReference"/>
        </w:rPr>
        <w:footnoteReference w:id="1656"/>
      </w:r>
      <w:r>
        <w:rPr>
          <w:rFonts w:ascii="Amiri" w:hAnsi="Amiri" w:eastAsia="Amiri" w:cs="Amiri"/>
          <w:lang w:bidi="ar-SA"/>
          <w:color w:val="111111"/>
          <w:sz w:val="28"/>
          <w:szCs w:val="28"/>
          <w:rtl/>
        </w:rPr>
        <w:t xml:space="preserve">التقيّد</w:t>
      </w:r>
      <w:r>
        <w:rPr>
          <w:rStyle w:val="FootnoteReference"/>
        </w:rPr>
        <w:footnoteReference w:id="1657"/>
      </w:r>
      <w:r>
        <w:rPr>
          <w:rFonts w:ascii="Amiri" w:hAnsi="Amiri" w:eastAsia="Amiri" w:cs="Amiri"/>
          <w:lang w:bidi="ar-SA"/>
          <w:color w:val="111111"/>
          <w:sz w:val="28"/>
          <w:szCs w:val="28"/>
          <w:rtl/>
        </w:rPr>
        <w:t xml:space="preserve">وخروج القيد وإن قلنا بوحدة الطبيعتين في الوجود سواء قلنا بأصالة الوجود أو بأصالة الماهيّة، وكذا إذا قلنا: إنّه هو الطبيعة المقيّدة بالوجود مع كون الطبيعتين أو إحداهما</w:t>
      </w:r>
      <w:r>
        <w:rPr>
          <w:rStyle w:val="FootnoteReference"/>
        </w:rPr>
        <w:footnoteReference w:id="1658"/>
      </w:r>
      <w:r>
        <w:rPr>
          <w:rFonts w:ascii="Amiri" w:hAnsi="Amiri" w:eastAsia="Amiri" w:cs="Amiri"/>
          <w:lang w:bidi="ar-SA"/>
          <w:color w:val="111111"/>
          <w:sz w:val="28"/>
          <w:szCs w:val="28"/>
          <w:rtl/>
        </w:rPr>
        <w:t xml:space="preserve">من العناوين الثانوية، وكذا إذا كانا من العناوين الأوّلية إذا قلنا بتعدّدهما من حيث الوجود.</w:t>
      </w:r>
    </w:p>
    <w:p>
      <w:pPr>
        <w:pStyle w:val="BookText"/>
      </w:pPr>
      <w:r>
        <w:rPr>
          <w:rFonts w:ascii="IRNazanin" w:hAnsi="IRNazanin" w:eastAsia="IRNazanin" w:cs="IRNazanin"/>
          <w:lang w:bidi="fa-IR"/>
          <w:color w:val="111111"/>
          <w:sz w:val="28"/>
          <w:szCs w:val="28"/>
          <w:rtl/>
        </w:rPr>
        <w:t xml:space="preserve">فيبقى عدم الجواز مختصّاً بما إذا قلنا بتعلّق الأحکام بالأفراد ابتداءً سواء قلنا باستفادة ذلك من الأوامر أوّلاً أو بواسطة التعليق على الطبيعة إذا جعلناها مرآةً لملاحظة الأفراد نظير الوضع فيما يكون وضعه عامّاً والموضوع له خاصّاً كما فيالمبهمات</w:t>
      </w:r>
      <w:r>
        <w:rPr>
          <w:rStyle w:val="FootnoteReference"/>
        </w:rPr>
        <w:footnoteReference w:id="1659"/>
      </w:r>
      <w:r>
        <w:rPr>
          <w:rFonts w:ascii="IRNazanin" w:hAnsi="IRNazanin" w:eastAsia="IRNazanin" w:cs="IRNazanin"/>
          <w:lang w:bidi="fa-IR"/>
          <w:color w:val="111111"/>
          <w:sz w:val="28"/>
          <w:szCs w:val="28"/>
          <w:rtl/>
        </w:rPr>
        <w:t xml:space="preserve">وقد عرفت سابقاً أنّ هذا القول</w:t>
      </w:r>
      <w:r>
        <w:rPr>
          <w:rStyle w:val="FootnoteReference"/>
        </w:rPr>
        <w:footnoteReference w:id="1660"/>
      </w:r>
      <w:r>
        <w:rPr>
          <w:rFonts w:ascii="IRNazanin" w:hAnsi="IRNazanin" w:eastAsia="IRNazanin" w:cs="IRNazanin"/>
          <w:lang w:bidi="fa-IR"/>
          <w:color w:val="111111"/>
          <w:sz w:val="28"/>
          <w:szCs w:val="28"/>
          <w:rtl/>
        </w:rPr>
        <w:t xml:space="preserve">بکلا تصويريه</w:t>
      </w:r>
      <w:r>
        <w:rPr>
          <w:rStyle w:val="FootnoteReference"/>
        </w:rPr>
        <w:footnoteReference w:id="1661"/>
      </w:r>
      <w:r>
        <w:rPr>
          <w:rFonts w:ascii="IRNazanin" w:hAnsi="IRNazanin" w:eastAsia="IRNazanin" w:cs="IRNazanin"/>
          <w:lang w:bidi="fa-IR"/>
          <w:color w:val="111111"/>
          <w:sz w:val="28"/>
          <w:szCs w:val="28"/>
          <w:rtl/>
        </w:rPr>
        <w:t xml:space="preserve">بمعزل عن الصّواب.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إذا جعلت الأحکام متعلّقة بالطّبائع من حيث الوجود فلا مناص عن القول بعدم جواز الاجتماع؛ وذلك لأنّه لا شك أنّ الکلّي الطّبيعي عين الأفراد في الخارج وإذا كان وجوده عين وجود الأفراد فلا بدّ أن يكون وجوبه أیضاً عين وجوبها وكذا في الحرمة فيلزم الاجتماع في الفرد من هذه الجهة ومن المعلوم عدم تعدّد الفرد المجمع للکلّيّين في الخارج بتعدّد الجهة. فلا بدّ لك إمّا القول</w:t>
      </w:r>
      <w:r>
        <w:rPr>
          <w:rStyle w:val="FootnoteReference"/>
        </w:rPr>
        <w:footnoteReference w:id="1662"/>
      </w:r>
      <w:r>
        <w:rPr>
          <w:rFonts w:ascii="IRNazanin" w:hAnsi="IRNazanin" w:eastAsia="IRNazanin" w:cs="IRNazanin"/>
          <w:lang w:bidi="fa-IR"/>
          <w:color w:val="111111"/>
          <w:sz w:val="28"/>
          <w:szCs w:val="28"/>
          <w:rtl/>
        </w:rPr>
        <w:t xml:space="preserve">بعدم اعتبار الوجود في متعلّق الأحکام، أو القول بعدم عينيّة الفرد للکلّي في الوجود، أو القول بعدم جواز الاجتماع، فما ذكرت من أنّ الفرد ليس مورداً للحكم الشرعي وأنّه وارد على الطبيعة حقیقة والفرد منطبق عليها وأنّ الامتثال إنّما هو من جهة الانطباق على المطلوب لا من جهة أنّه مطلوب ليس بصحيح؛ إذ لا معنى لوجود الطبيعة من حيث الوجود وعدم وجوب الفرد الّذي هو عينها في الوجود.</w:t>
      </w:r>
    </w:p>
    <w:p>
      <w:pPr>
        <w:pStyle w:val="BookText"/>
      </w:pPr>
      <w:r>
        <w:rPr>
          <w:rFonts w:ascii="IRNazanin" w:hAnsi="IRNazanin" w:eastAsia="IRNazanin" w:cs="IRNazanin"/>
          <w:lang w:bidi="fa-IR"/>
          <w:color w:val="111111"/>
          <w:sz w:val="28"/>
          <w:szCs w:val="28"/>
          <w:rtl/>
        </w:rPr>
        <w:t xml:space="preserve">قلت: نمنع أنّ ما كان متّحداً مع شي‌ء في الوجود يلزم أن يرد عليه حكمه وإن کان</w:t>
      </w:r>
      <w:r>
        <w:rPr>
          <w:rStyle w:val="FootnoteReference"/>
        </w:rPr>
        <w:footnoteReference w:id="1663"/>
      </w:r>
      <w:r>
        <w:rPr>
          <w:rFonts w:ascii="Amiri" w:hAnsi="Amiri" w:eastAsia="Amiri" w:cs="Amiri"/>
          <w:lang w:bidi="ar-SA"/>
          <w:color w:val="111111"/>
          <w:sz w:val="28"/>
          <w:szCs w:val="28"/>
          <w:rtl/>
        </w:rPr>
        <w:t xml:space="preserve">ذلك الحكم باعتبار الوجود.</w:t>
      </w:r>
    </w:p>
    <w:p>
      <w:pPr>
        <w:pStyle w:val="BookText"/>
      </w:pPr>
      <w:r>
        <w:rPr>
          <w:rFonts w:ascii="IRNazanin" w:hAnsi="IRNazanin" w:eastAsia="IRNazanin" w:cs="IRNazanin"/>
          <w:lang w:bidi="fa-IR"/>
          <w:color w:val="111111"/>
          <w:sz w:val="28"/>
          <w:szCs w:val="28"/>
          <w:rtl/>
        </w:rPr>
        <w:t xml:space="preserve">ألا ترى أنّ الفرد متّصف في الخارج بأنّه مصداق خارجي للطبيعة الخارجيّة ولايصحّ أن يقال: إنّ الکلّي الخارجي مصداق لنفسه مع أنّ الفرد باعترافك عين الکلّي الخارجي في الخارج، وكذا يصحّ اتّصاف الکلّي الخارجي بالکلّية الخارجيّة ولا يصحّ اتّصاف الفرد الخارجي بها.</w:t>
      </w:r>
    </w:p>
    <w:p>
      <w:pPr>
        <w:pStyle w:val="BookText"/>
      </w:pPr>
      <w:r>
        <w:rPr>
          <w:rFonts w:ascii="IRNazanin" w:hAnsi="IRNazanin" w:eastAsia="IRNazanin" w:cs="IRNazanin"/>
          <w:lang w:bidi="fa-IR"/>
          <w:color w:val="111111"/>
          <w:sz w:val="28"/>
          <w:szCs w:val="28"/>
          <w:rtl/>
        </w:rPr>
        <w:t xml:space="preserve">نعم الفرد بما هو کلّي أي متّحد معه متّصفٌ بأنّه کلّي والکلّي بما هو فرد متّصف بأنّه مصداق لا من حيث هو فكذا في الوجوب الفرد بما هو کلّي متّصف بالوجوب الوارد عليه لا بما هو فرد، وهذا في الحقيقة ليس إلّا اتّصاف الکلّيبالوجوب؛ إذ الفرد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هو</w:t>
      </w:r>
      <w:r>
        <w:rPr>
          <w:rStyle w:val="FootnoteReference"/>
        </w:rPr>
        <w:footnoteReference w:id="1664"/>
      </w:r>
      <w:r>
        <w:rPr>
          <w:rFonts w:ascii="IRNazanin" w:hAnsi="IRNazanin" w:eastAsia="IRNazanin" w:cs="IRNazanin"/>
          <w:lang w:bidi="fa-IR"/>
          <w:color w:val="111111"/>
          <w:sz w:val="28"/>
          <w:szCs w:val="28"/>
          <w:rtl/>
        </w:rPr>
        <w:t xml:space="preserve">کلّي ليس إلّا الکلّي فهو في حدّ نفسه لا یتّصف بالوجوب وكذا بالحرمة.</w:t>
      </w:r>
    </w:p>
    <w:p>
      <w:pPr>
        <w:pStyle w:val="BookText"/>
      </w:pPr>
      <w:r>
        <w:rPr>
          <w:rFonts w:ascii="Amiri" w:hAnsi="Amiri" w:eastAsia="Amiri" w:cs="Amiri"/>
          <w:lang w:bidi="ar-SA"/>
          <w:color w:val="111111"/>
          <w:sz w:val="28"/>
          <w:szCs w:val="28"/>
          <w:rtl/>
        </w:rPr>
        <w:t xml:space="preserve">وهذا معنى ما ذكرنا أنّه متّصف بالحكمين بالجهتين التقييديّتين</w:t>
      </w:r>
      <w:r>
        <w:rPr>
          <w:rStyle w:val="FootnoteReference"/>
        </w:rPr>
        <w:footnoteReference w:id="1665"/>
      </w:r>
      <w:r>
        <w:rPr>
          <w:rFonts w:ascii="IRNazanin" w:hAnsi="IRNazanin" w:eastAsia="IRNazanin" w:cs="IRNazanin"/>
          <w:lang w:bidi="fa-IR"/>
          <w:color w:val="111111"/>
          <w:sz w:val="28"/>
          <w:szCs w:val="28"/>
          <w:rtl/>
        </w:rPr>
        <w:t xml:space="preserve">بمعنى ورود الحكم على الجهتين، مع أنّه لو كان اللّازم اتّصاف الفرد بما اتّصف به الکلّي من حيث الوجود لزم أن يكون وجوبه تعيينياً؛ لأنّ وجوب الکلّي كذلك وليس كذلك؛ إذ لا إشکال في جواز ترك کلّ فرد إلى بدل</w:t>
      </w:r>
      <w:r>
        <w:rPr>
          <w:rStyle w:val="FootnoteReference"/>
        </w:rPr>
        <w:footnoteReference w:id="1666"/>
      </w:r>
    </w:p>
    <w:p>
      <w:pPr>
        <w:pStyle w:val="BookText"/>
      </w:pPr>
      <w:r>
        <w:rPr>
          <w:rFonts w:ascii="IRNazanin" w:hAnsi="IRNazanin" w:eastAsia="IRNazanin" w:cs="IRNazanin"/>
          <w:lang w:bidi="fa-IR"/>
          <w:color w:val="111111"/>
          <w:sz w:val="28"/>
          <w:szCs w:val="28"/>
          <w:rtl/>
        </w:rPr>
        <w:t xml:space="preserve">وما قيل من أنّا نلتزم بكون وجوب الفرد أیضاً تعيينياً كتعيينيّة وجوب الکلّي بمعنى عدم كفاية فرد من ماهيّة أخرى مقامه؛ لأنّ هذا معنى كون الکلّي واجباً تعيينيّاً فلا ينافي قيام فرد آخر من هذا الکلّي مقام هذا الفرد؛</w:t>
      </w:r>
    </w:p>
    <w:p>
      <w:pPr>
        <w:pStyle w:val="BookText"/>
      </w:pPr>
      <w:r>
        <w:rPr>
          <w:rFonts w:ascii="Amiri" w:hAnsi="Amiri" w:eastAsia="Amiri" w:cs="Amiri"/>
          <w:lang w:bidi="ar-SA"/>
          <w:color w:val="111111"/>
          <w:sz w:val="28"/>
          <w:szCs w:val="28"/>
          <w:rtl/>
        </w:rPr>
        <w:t xml:space="preserve">مدفوع بأنّ مرجع هذا إلى أنّ وجوبه ليس إلّا من حيث انطباق</w:t>
      </w:r>
      <w:r>
        <w:rPr>
          <w:rStyle w:val="FootnoteReference"/>
        </w:rPr>
        <w:footnoteReference w:id="1667"/>
      </w:r>
      <w:r>
        <w:rPr>
          <w:rFonts w:ascii="IRNazanin" w:hAnsi="IRNazanin" w:eastAsia="IRNazanin" w:cs="IRNazanin"/>
          <w:lang w:bidi="fa-IR"/>
          <w:color w:val="111111"/>
          <w:sz w:val="28"/>
          <w:szCs w:val="28"/>
          <w:rtl/>
        </w:rPr>
        <w:t xml:space="preserve">الکلّي عليه وإلّا فلو كان واجباً في حدّ نفسه بعين وجوب الکلّي لزم كونه تعيينيّاً بمعنى عدم قيام غيره مقامه، كما أنّ غير الکلّي لا يقوم مقامه.</w:t>
      </w:r>
    </w:p>
    <w:p>
      <w:pPr>
        <w:pStyle w:val="BookText"/>
      </w:pPr>
      <w:r>
        <w:rPr>
          <w:rFonts w:ascii="IRNazanin" w:hAnsi="IRNazanin" w:eastAsia="IRNazanin" w:cs="IRNazanin"/>
          <w:lang w:bidi="fa-IR"/>
          <w:color w:val="111111"/>
          <w:sz w:val="28"/>
          <w:szCs w:val="28"/>
          <w:rtl/>
        </w:rPr>
        <w:t xml:space="preserve">مع أنّه كيف يعقل وحدة الإيجاب وتعدّد الواجب بحيث يكون کلّ منهما واجباً في حدّ نفسه؟! وإنّما المعقول كون أحدهما واجباً حقیقةً والآخر واجباً بالعرض من باب اتّحاده مع الواجب والمفروض أنّ الواجب الحقيقي هو الکلّي بناء على التعلّق بالطّبائع.</w:t>
      </w:r>
    </w:p>
    <w:p>
      <w:pPr>
        <w:pStyle w:val="BookText"/>
      </w:pPr>
      <w:r>
        <w:rPr>
          <w:rFonts w:ascii="IRNazanin" w:hAnsi="IRNazanin" w:eastAsia="IRNazanin" w:cs="IRNazanin"/>
          <w:lang w:bidi="fa-IR"/>
          <w:color w:val="111111"/>
          <w:sz w:val="28"/>
          <w:szCs w:val="28"/>
          <w:rtl/>
        </w:rPr>
        <w:t xml:space="preserve">فإن قلت: فاللازم على ما ذكرت كون الوجود في أحدهما أیضاً حقیقيّاً وفي الآخر بالمجاز.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30" w:name="pg6784_51463"/>
    <w:bookmarkEnd w:id="230"/>
    <w:p>
      <w:pPr>
        <w:pStyle w:val="BookText"/>
      </w:pPr>
      <w:r>
        <w:rPr>
          <w:rFonts w:ascii="Amiri" w:hAnsi="Amiri" w:eastAsia="Amiri" w:cs="Amiri"/>
          <w:lang w:bidi="ar-SA"/>
          <w:color w:val="111111"/>
          <w:sz w:val="28"/>
          <w:szCs w:val="28"/>
          <w:rtl/>
        </w:rPr>
        <w:t xml:space="preserve">قلت: فرق بين الوجود والوجوب؛ إذ الأوّل مداره التحقّق</w:t>
      </w:r>
      <w:r>
        <w:rPr>
          <w:rStyle w:val="FootnoteReference"/>
        </w:rPr>
        <w:footnoteReference w:id="1668"/>
      </w:r>
      <w:r>
        <w:rPr>
          <w:rFonts w:ascii="IRNazanin" w:hAnsi="IRNazanin" w:eastAsia="IRNazanin" w:cs="IRNazanin"/>
          <w:lang w:bidi="fa-IR"/>
          <w:color w:val="111111"/>
          <w:sz w:val="28"/>
          <w:szCs w:val="28"/>
          <w:rtl/>
        </w:rPr>
        <w:t xml:space="preserve">في الخارج وهو صادق بالنسبة إلى کلّ منهما حقیقة بخلاف الوجوب فإنّه باعتبار المعتبِر الّذي هو الحاكم وهو إنّما اعتبره بالنسبة إلى الکلّي فقط دون الفرد.</w:t>
      </w:r>
    </w:p>
    <w:p>
      <w:pPr>
        <w:pStyle w:val="BookText"/>
      </w:pPr>
      <w:r>
        <w:rPr>
          <w:rFonts w:ascii="IRNazanin" w:hAnsi="IRNazanin" w:eastAsia="IRNazanin" w:cs="IRNazanin"/>
          <w:lang w:bidi="fa-IR"/>
          <w:color w:val="111111"/>
          <w:sz w:val="28"/>
          <w:szCs w:val="28"/>
          <w:rtl/>
        </w:rPr>
        <w:t xml:space="preserve">ألا ترى أنّ إيجاد أحد المتلازمين يستلزم إيجاد الآخر حقیقة وإيجابه لا يستلزم إيجاب الآخر إلّا</w:t>
      </w:r>
      <w:r>
        <w:rPr>
          <w:rStyle w:val="FootnoteReference"/>
        </w:rPr>
        <w:footnoteReference w:id="1669"/>
      </w:r>
      <w:r>
        <w:rPr>
          <w:rFonts w:ascii="Amiri" w:hAnsi="Amiri" w:eastAsia="Amiri" w:cs="Amiri"/>
          <w:lang w:bidi="ar-SA"/>
          <w:color w:val="111111"/>
          <w:sz w:val="28"/>
          <w:szCs w:val="28"/>
          <w:rtl/>
        </w:rPr>
        <w:t xml:space="preserve">بالعرض والمجاز؛ فلا يكون وضع الجَدْي خلف القفا</w:t>
      </w:r>
      <w:r>
        <w:rPr>
          <w:rStyle w:val="FootnoteReference"/>
        </w:rPr>
        <w:footnoteReference w:id="1670"/>
      </w:r>
      <w:r>
        <w:rPr>
          <w:rFonts w:ascii="Amiri" w:hAnsi="Amiri" w:eastAsia="Amiri" w:cs="Amiri"/>
          <w:lang w:bidi="ar-SA"/>
          <w:color w:val="111111"/>
          <w:sz w:val="28"/>
          <w:szCs w:val="28"/>
          <w:rtl/>
        </w:rPr>
        <w:t xml:space="preserve">واجباً</w:t>
      </w:r>
      <w:r>
        <w:rPr>
          <w:rStyle w:val="FootnoteReference"/>
        </w:rPr>
        <w:footnoteReference w:id="1671"/>
      </w:r>
    </w:p>
    <w:p>
      <w:pPr>
        <w:pStyle w:val="Heading5"/>
      </w:pPr>
      <w:bookmarkStart w:id="728" w:name="_Toc409"/>
      <w:r>
        <w:t>[الدليل الثاني: كون الاجتماع تکلیفاً بما لا يطاق]</w:t>
      </w:r>
      <w:bookmarkEnd w:id="728"/>
    </w:p>
    <w:p>
      <w:pPr>
        <w:pStyle w:val="BookText"/>
      </w:pPr>
      <w:r>
        <w:rPr>
          <w:rFonts w:ascii="Amiri" w:hAnsi="Amiri" w:eastAsia="Amiri" w:cs="Amiri"/>
          <w:lang w:bidi="ar-SA"/>
          <w:color w:val="111111"/>
          <w:sz w:val="28"/>
          <w:szCs w:val="28"/>
          <w:rtl/>
        </w:rPr>
        <w:t xml:space="preserve">الثاني</w:t>
      </w:r>
      <w:r>
        <w:rPr>
          <w:rStyle w:val="FootnoteReference"/>
        </w:rPr>
        <w:footnoteReference w:id="1672"/>
      </w:r>
      <w:r>
        <w:rPr>
          <w:rFonts w:ascii="IRNazanin" w:hAnsi="IRNazanin" w:eastAsia="IRNazanin" w:cs="IRNazanin"/>
          <w:lang w:bidi="fa-IR"/>
          <w:color w:val="111111"/>
          <w:sz w:val="28"/>
          <w:szCs w:val="28"/>
          <w:rtl/>
        </w:rPr>
        <w:t xml:space="preserve">: من الوجوه أنّا لو سلّمنا عدم كون الاجتماع من التکلیف المحال وأنّه</w:t>
      </w:r>
      <w:r>
        <w:rPr>
          <w:rStyle w:val="FootnoteReference"/>
        </w:rPr>
        <w:footnoteReference w:id="1673"/>
      </w:r>
      <w:r>
        <w:rPr>
          <w:rFonts w:ascii="IRNazanin" w:hAnsi="IRNazanin" w:eastAsia="IRNazanin" w:cs="IRNazanin"/>
          <w:lang w:bidi="fa-IR"/>
          <w:color w:val="111111"/>
          <w:sz w:val="28"/>
          <w:szCs w:val="28"/>
          <w:rtl/>
        </w:rPr>
        <w:t xml:space="preserve">لا يلزم منه الجمع بين الضدّين أو النقيضين من جهة أنّ متعلّق التکلیفين متعدّد وأنّ الفرد بما هو ليس مناطاً ومتعلّقاً للحكم ولا مانع من تعليق الوجوب على الطبيعة من غير تقييدها بغير الفرد المحرّم إلّا أنّه لا إشکال في أنّه لا يمكن للمکلّف العمل بمقتضى التکلیفين بالنّسبة إلى الفرد المجمع؛ إذ لا يمكنه إيجاده وترك إيجاده فيلزم التکلیف بالمحال.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31" w:name="pg6784_51464"/>
    <w:bookmarkEnd w:id="231"/>
    <w:p>
      <w:pPr>
        <w:pStyle w:val="BookText"/>
      </w:pPr>
      <w:r>
        <w:rPr>
          <w:rFonts w:ascii="IRNazanin" w:hAnsi="IRNazanin" w:eastAsia="IRNazanin" w:cs="IRNazanin"/>
          <w:lang w:bidi="fa-IR"/>
          <w:color w:val="111111"/>
          <w:sz w:val="28"/>
          <w:szCs w:val="28"/>
          <w:rtl/>
        </w:rPr>
        <w:t xml:space="preserve">ولا يجدي تعدّد الجهة في الخروج عن كونه تکلیفاً بما لا يطاق بعد عدم التعدّد في الخارج.</w:t>
      </w:r>
    </w:p>
    <w:p>
      <w:pPr>
        <w:pStyle w:val="BookText"/>
      </w:pPr>
      <w:r>
        <w:rPr>
          <w:rFonts w:ascii="IRNazanin" w:hAnsi="IRNazanin" w:eastAsia="IRNazanin" w:cs="IRNazanin"/>
          <w:lang w:bidi="fa-IR"/>
          <w:color w:val="111111"/>
          <w:sz w:val="28"/>
          <w:szCs w:val="28"/>
          <w:rtl/>
        </w:rPr>
        <w:t xml:space="preserve">ومجرّد وجود المندوحة لا یکفي في رفع القبح وإلّا لجاز الأمر الندبي بالفعل والترك معاً لوجود المندوحة من حيث عدم الإلزام بأحد الطرفين، فاللازم تقييدمتعلّق أحد الطلبين ليخرج عن كونه تکلیفاً بما لا يطاق الامتثال به.</w:t>
      </w:r>
    </w:p>
    <w:p>
      <w:pPr>
        <w:pStyle w:val="BookText"/>
      </w:pPr>
      <w:r>
        <w:rPr>
          <w:rFonts w:ascii="IRNazanin" w:hAnsi="IRNazanin" w:eastAsia="IRNazanin" w:cs="IRNazanin"/>
          <w:lang w:bidi="fa-IR"/>
          <w:color w:val="111111"/>
          <w:sz w:val="28"/>
          <w:szCs w:val="28"/>
          <w:rtl/>
        </w:rPr>
        <w:t xml:space="preserve">والحاصل: أنّ جعل المتعلّق هو الطبيعة من غير نظر إلى الأفراد إنّما يثمر في رفع كونه تکلیفاً محالاً؛ لأنّه يكفيه ورود کلّ من الطّلبين على غير ما ورد عليه الآخر في مقام الإرادة والإنشاء، وأمّا في مقام العمل فلا يمكن للمکلّف العمل بهما معاً بالنسبة إلى محلّ الاجتماع فإنّه مقام الإيجاد الخارجي ولا يمكن الإيجاد وتركه.</w:t>
      </w:r>
    </w:p>
    <w:p>
      <w:pPr>
        <w:pStyle w:val="Heading5"/>
      </w:pPr>
      <w:bookmarkStart w:id="729" w:name="_Toc410"/>
      <w:r>
        <w:t>[نقد الدلیل الثاني]</w:t>
      </w:r>
      <w:bookmarkEnd w:id="729"/>
    </w:p>
    <w:p>
      <w:pPr>
        <w:pStyle w:val="BookText"/>
      </w:pPr>
      <w:r>
        <w:rPr>
          <w:rFonts w:ascii="IRNazanin" w:hAnsi="IRNazanin" w:eastAsia="IRNazanin" w:cs="IRNazanin"/>
          <w:lang w:bidi="fa-IR"/>
          <w:color w:val="111111"/>
          <w:sz w:val="28"/>
          <w:szCs w:val="28"/>
          <w:rtl/>
        </w:rPr>
        <w:t xml:space="preserve">والجواب: أنّ ذلك إنّما يلزم إذا كان الفرد متعلّقاً للتکلیفين ولو بالتخيير الشرعي في أحدهما وأمّا مع فرض عدم ورود الحكم عليه أصلاً</w:t>
      </w:r>
      <w:r>
        <w:rPr>
          <w:rStyle w:val="FootnoteReference"/>
        </w:rPr>
        <w:footnoteReference w:id="1674"/>
      </w:r>
      <w:r>
        <w:rPr>
          <w:rFonts w:ascii="IRNazanin" w:hAnsi="IRNazanin" w:eastAsia="IRNazanin" w:cs="IRNazanin"/>
          <w:lang w:bidi="fa-IR"/>
          <w:color w:val="111111"/>
          <w:sz w:val="28"/>
          <w:szCs w:val="28"/>
          <w:rtl/>
        </w:rPr>
        <w:t xml:space="preserve">فلا يكون من التکلیف بالمحال وإنّما يلزم ذلك إذا كان إيجاد الطبيعة وتركها مطلوباً للآمر وليس كذلك على ما هو المفروض، فكون التکلیف محالاً وبالمحال متلازمين في المقام، والّذي يخرجه عن الأوّل يخرجه عن الثاني أیضاً.</w:t>
      </w:r>
    </w:p>
    <w:p>
      <w:pPr>
        <w:pStyle w:val="BookText"/>
      </w:pPr>
      <w:r>
        <w:rPr>
          <w:rFonts w:ascii="IRNazanin" w:hAnsi="IRNazanin" w:eastAsia="IRNazanin" w:cs="IRNazanin"/>
          <w:lang w:bidi="fa-IR"/>
          <w:color w:val="111111"/>
          <w:sz w:val="28"/>
          <w:szCs w:val="28"/>
          <w:rtl/>
        </w:rPr>
        <w:t xml:space="preserve">نعم إنّما يصحّ التمسّك بكون التکلیف بالمحال إذا فرضنا عدم المضادّة بين الوجوب والحرمة ولو مع وحدة المتعلّق وقلنا: إنّ المتعلّق هو الفرد، فإنّه حینئذٍ تکلیف بالمحال وإن لم يكن محالاً والمفروض أنّه ليس البناء على ذلك.</w:t>
      </w:r>
    </w:p>
    <w:p>
      <w:pPr>
        <w:pStyle w:val="BookText"/>
      </w:pPr>
      <w:r>
        <w:rPr>
          <w:rFonts w:ascii="Amiri" w:hAnsi="Amiri" w:eastAsia="Amiri" w:cs="Amiri"/>
          <w:lang w:bidi="ar-SA"/>
          <w:color w:val="111111"/>
          <w:sz w:val="28"/>
          <w:szCs w:val="28"/>
          <w:rtl/>
        </w:rPr>
        <w:t xml:space="preserve">وممّا ذكرنا ظهر الفرق بين المقام وبين الأمر بالفعل والترك على وجه الندب فإنّ عدم الجواز فيه إنّما هو من جهة ورود الأمر عليهما شرعاً وإلّا فلو فرض كونه مثل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32" w:name="pg6784_51465"/>
    <w:bookmarkEnd w:id="232"/>
    <w:p>
      <w:pPr>
        <w:pStyle w:val="BookText"/>
      </w:pPr>
      <w:r>
        <w:rPr>
          <w:rFonts w:ascii="Amiri" w:hAnsi="Amiri" w:eastAsia="Amiri" w:cs="Amiri"/>
          <w:lang w:bidi="ar-SA"/>
          <w:color w:val="111111"/>
          <w:sz w:val="28"/>
          <w:szCs w:val="28"/>
          <w:rtl/>
        </w:rPr>
        <w:t xml:space="preserve">المقام بأن يكون المتعلّق عنواناً منطبقاً</w:t>
      </w:r>
      <w:r>
        <w:rPr>
          <w:rStyle w:val="FootnoteReference"/>
        </w:rPr>
        <w:footnoteReference w:id="1675"/>
      </w:r>
      <w:r>
        <w:rPr>
          <w:rFonts w:ascii="IRNazanin" w:hAnsi="IRNazanin" w:eastAsia="IRNazanin" w:cs="IRNazanin"/>
          <w:lang w:bidi="fa-IR"/>
          <w:color w:val="111111"/>
          <w:sz w:val="28"/>
          <w:szCs w:val="28"/>
          <w:rtl/>
        </w:rPr>
        <w:t xml:space="preserve">على الفعل وعنواناً</w:t>
      </w:r>
      <w:r>
        <w:rPr>
          <w:rStyle w:val="FootnoteReference"/>
        </w:rPr>
        <w:footnoteReference w:id="1676"/>
      </w:r>
      <w:r>
        <w:rPr>
          <w:rFonts w:ascii="Amiri" w:hAnsi="Amiri" w:eastAsia="Amiri" w:cs="Amiri"/>
          <w:lang w:bidi="ar-SA"/>
          <w:color w:val="111111"/>
          <w:sz w:val="28"/>
          <w:szCs w:val="28"/>
          <w:rtl/>
        </w:rPr>
        <w:t xml:space="preserve">آخر منطبقاً</w:t>
      </w:r>
      <w:r>
        <w:rPr>
          <w:rStyle w:val="FootnoteReference"/>
        </w:rPr>
        <w:footnoteReference w:id="1677"/>
      </w:r>
      <w:r>
        <w:rPr>
          <w:rFonts w:ascii="IRNazanin" w:hAnsi="IRNazanin" w:eastAsia="IRNazanin" w:cs="IRNazanin"/>
          <w:lang w:bidi="fa-IR"/>
          <w:color w:val="111111"/>
          <w:sz w:val="28"/>
          <w:szCs w:val="28"/>
          <w:rtl/>
        </w:rPr>
        <w:t xml:space="preserve">على الترك فلا مانع منه أیضاً.</w:t>
      </w:r>
    </w:p>
    <w:p>
      <w:pPr>
        <w:pStyle w:val="Heading5"/>
      </w:pPr>
      <w:bookmarkStart w:id="730" w:name="_Toc411"/>
      <w:r>
        <w:t>[الدليل الثالث: كون اجتماع الوجوب والحرمة نظير اجتماع السواد والبياض]</w:t>
      </w:r>
      <w:bookmarkEnd w:id="730"/>
    </w:p>
    <w:p>
      <w:pPr>
        <w:pStyle w:val="BookText"/>
      </w:pPr>
      <w:r>
        <w:rPr>
          <w:rFonts w:ascii="IRNazanin" w:hAnsi="IRNazanin" w:eastAsia="IRNazanin" w:cs="IRNazanin"/>
          <w:lang w:bidi="fa-IR"/>
          <w:color w:val="111111"/>
          <w:sz w:val="28"/>
          <w:szCs w:val="28"/>
          <w:rtl/>
        </w:rPr>
        <w:t xml:space="preserve">الثّالث: أنّ الوجوب والحرمة وكذا غيرهما من الأحکام التکلیفيّة من الأعراض الخارجيّة اللاحقة لأفعال المکلّفين في وجودها الخارجي نظير السّواد والبياض ونظيرسائر الأحکام الشرعیّة الوضعيّة مثل الطّهارة والنّجاسة ونحوهما، فكما لا يجوز كون شي‌ء واحد متّصفاً بالبياض والسواد أو مصداقاً لطبيعة الأبيض والأسود أو للطّاهر والنجس فكذا في المقام،</w:t>
      </w:r>
      <w:r>
        <w:rPr>
          <w:rStyle w:val="FootnoteReference"/>
        </w:rPr>
        <w:footnoteReference w:id="1678"/>
      </w:r>
    </w:p>
    <w:p>
      <w:pPr>
        <w:pStyle w:val="BookText"/>
      </w:pPr>
      <w:r>
        <w:rPr>
          <w:rFonts w:ascii="Amiri" w:hAnsi="Amiri" w:eastAsia="Amiri" w:cs="Amiri"/>
          <w:lang w:bidi="ar-SA"/>
          <w:color w:val="111111"/>
          <w:sz w:val="28"/>
          <w:szCs w:val="28"/>
          <w:rtl/>
        </w:rPr>
        <w:t xml:space="preserve">وثانيهما: أن يكون شي‌ء واحد شخصي مصداقاً لطبيعتين متغايرتين مفهوماً، ويكون كلّ واحدة من تينك الطبيعتين محلّاً لواحد من الضدّين. ولا فرق في الاستحالة بين القسمين؛ ضرورة أنّ المتّصف بالضدّين على الثاني أيضاً هو المصداق، فإنّ الوجوب والحرمة كالبياض والسواد والحركة والسكون من الأوصاف اللاحقة للماهيّة باعتبار الوجود، ولا ريب أنّ الطبيعتين متّحدتان وجوداً وإن اختلفتا مفهوماً».</w:t>
      </w:r>
    </w:p>
    <w:p>
      <w:pPr>
        <w:pStyle w:val="BookText"/>
      </w:pPr>
      <w:r>
        <w:rPr>
          <w:rFonts w:ascii="IRNazanin" w:hAnsi="IRNazanin" w:eastAsia="IRNazanin" w:cs="IRNazanin"/>
          <w:lang w:bidi="fa-IR"/>
          <w:color w:val="111111"/>
          <w:sz w:val="28"/>
          <w:szCs w:val="28"/>
          <w:rtl/>
        </w:rPr>
        <w:t xml:space="preserve">ولذا لو قال الشارع: «کلّ ماء طاهر» وقال أیضاً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«کلّ ملاقٍ للنجاسة نجس»، لا يحكم في الماء الملاقي للنجاسة بأنّه طاهر من جهة ونجس من أخرى.</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33" w:name="pg6784_51466"/>
    <w:bookmarkEnd w:id="233"/>
    <w:p>
      <w:pPr>
        <w:pStyle w:val="BookText"/>
      </w:pPr>
      <w:r>
        <w:rPr>
          <w:rFonts w:ascii="IRNazanin" w:hAnsi="IRNazanin" w:eastAsia="IRNazanin" w:cs="IRNazanin"/>
          <w:lang w:bidi="fa-IR"/>
          <w:color w:val="111111"/>
          <w:sz w:val="28"/>
          <w:szCs w:val="28"/>
          <w:rtl/>
        </w:rPr>
        <w:t xml:space="preserve">وبعبارة أخری: لا فرق في عدم جواز اجتماع الضدّين بين أن يكون فرد واحد متّصفاً بهما من حيث هو أو يكون مصداقاً لطبيعتين متضادّتين فإنّ تضادّ الطبيعتين أیضاً إنّما هو بلحاظ الاجتماع في الفرد، فلا يمكن أن يكون جسم واحد متّصفاً بالبياض والسواد ولا أن يكون مصداقاً للأبيض والأسود.</w:t>
      </w:r>
    </w:p>
    <w:p>
      <w:pPr>
        <w:pStyle w:val="BookText"/>
      </w:pPr>
      <w:r>
        <w:rPr>
          <w:rFonts w:ascii="IRNazanin" w:hAnsi="IRNazanin" w:eastAsia="IRNazanin" w:cs="IRNazanin"/>
          <w:lang w:bidi="fa-IR"/>
          <w:color w:val="111111"/>
          <w:sz w:val="28"/>
          <w:szCs w:val="28"/>
          <w:rtl/>
        </w:rPr>
        <w:t xml:space="preserve">ففي المقام أیضاً كما لا يمكن أن يكون الفرد واجباً وحراماً كذا لا يمكن أن يكون مصداقاً للواجب والحرام.</w:t>
      </w:r>
    </w:p>
    <w:p>
      <w:pPr>
        <w:pStyle w:val="BookText"/>
      </w:pPr>
      <w:r>
        <w:rPr>
          <w:rFonts w:ascii="IRNazanin" w:hAnsi="IRNazanin" w:eastAsia="IRNazanin" w:cs="IRNazanin"/>
          <w:lang w:bidi="fa-IR"/>
          <w:color w:val="111111"/>
          <w:sz w:val="28"/>
          <w:szCs w:val="28"/>
          <w:rtl/>
        </w:rPr>
        <w:t xml:space="preserve">وغاية ما يقول المجوّزون: أنّ الفرد ليس محلّاً للحكم الشرعي من حيث هو وأمّا كونه مصداقاً للواجب والحرام فلا يمكن إنكاره والمحذور لازم عليه أیضاً كما عرفت.</w:t>
      </w:r>
    </w:p>
    <w:p>
      <w:pPr>
        <w:pStyle w:val="Heading5"/>
      </w:pPr>
      <w:bookmarkStart w:id="731" w:name="_Toc412"/>
      <w:r>
        <w:t>[نقد الدلیل الثالث]</w:t>
      </w:r>
      <w:bookmarkEnd w:id="731"/>
    </w:p>
    <w:p>
      <w:pPr>
        <w:pStyle w:val="BookText"/>
      </w:pPr>
      <w:r>
        <w:rPr>
          <w:rFonts w:ascii="IRNazanin" w:hAnsi="IRNazanin" w:eastAsia="IRNazanin" w:cs="IRNazanin"/>
          <w:lang w:bidi="fa-IR"/>
          <w:color w:val="111111"/>
          <w:sz w:val="28"/>
          <w:szCs w:val="28"/>
          <w:rtl/>
        </w:rPr>
        <w:t xml:space="preserve">والجواب: أنّا نمنع كون الأحکام التکلیفية نظير السواد والبياض</w:t>
      </w:r>
      <w:r>
        <w:rPr>
          <w:rStyle w:val="FootnoteReference"/>
        </w:rPr>
        <w:footnoteReference w:id="1679"/>
      </w:r>
    </w:p>
    <w:p>
      <w:pPr>
        <w:pStyle w:val="BookText"/>
      </w:pPr>
      <w:r>
        <w:rPr>
          <w:rFonts w:ascii="IRNazanin" w:hAnsi="IRNazanin" w:eastAsia="IRNazanin" w:cs="IRNazanin"/>
          <w:lang w:bidi="fa-IR"/>
          <w:color w:val="111111"/>
          <w:sz w:val="28"/>
          <w:szCs w:val="28"/>
          <w:rtl/>
        </w:rPr>
        <w:t xml:space="preserve">ولکن اعترض علیه آیة الله السیّد محمّد الروحاني (رحمة الله‌علیه)</w:t>
      </w:r>
    </w:p>
    <w:p>
      <w:pPr>
        <w:pStyle w:val="BookText"/>
      </w:pPr>
      <w:r>
        <w:rPr>
          <w:rFonts w:ascii="IRNazanin" w:hAnsi="IRNazanin" w:eastAsia="IRNazanin" w:cs="IRNazanin"/>
          <w:lang w:bidi="fa-IR"/>
          <w:color w:val="111111"/>
          <w:sz w:val="28"/>
          <w:szCs w:val="28"/>
          <w:rtl/>
        </w:rPr>
        <w:t xml:space="preserve">في منتقى الأصول، ج3، ص82 وبعد وقال بالتضادّ بین الحکمین في المراحل الأربعة من المصلحة والإرادة والإنشاء والفعلیّة وقال في ج3، ص85: «و بما انه يستحيل الدعوة إلى الفعل و الترك في آن واحد كان ثبوت الحكمين في أنفسهما مستحيلا لعدم ترتب الدعوة على كل من الاعتبارين معا، كما لا يخفى. فظهر من جميع ما تقدم: ان الحكمين متنافيان و لا يمكن اجتماعهما في المراحل الأربعة». ولکن بعد ذلك في ج3، ص101 وبعد بنى الاجتماع في بعض الشقوق على التفکیك بین ذات الفعل والخصوصیة فراجع: منتقى الأصول، ج3، ص102. وفي کلامه الأخیر تأمّل.</w:t>
      </w:r>
    </w:p>
    <w:p>
      <w:pPr>
        <w:pStyle w:val="BookText"/>
      </w:pPr>
      <w:r>
        <w:rPr>
          <w:rFonts w:ascii="IRNazanin" w:hAnsi="IRNazanin" w:eastAsia="IRNazanin" w:cs="IRNazanin"/>
          <w:lang w:bidi="fa-IR"/>
          <w:color w:val="111111"/>
          <w:sz w:val="28"/>
          <w:szCs w:val="28"/>
          <w:rtl/>
        </w:rPr>
        <w:t xml:space="preserve">وقال المیرزا جواد التبریزي (رحمة الله‌علیه) في دروس في مسائل علم الأصول، ج2، ص367:«وبالجملة ليس المدعى أنّ الأحكام في مرتبة إنشائها أو فعليتها من المتضادّات ليقال: إنّ التضاد أو التماثل لا يجري في الاعتباريات، بل المدعّى أنّ الأحكام متنافيات في جهة المبدأ لها أو في الغرض منها، فلا يمكن جعل أكثر من اعتبار واحد في فعل واحد ولو كان بعنوانين».</w:t>
      </w:r>
    </w:p>
    <w:p>
      <w:pPr>
        <w:pStyle w:val="BookText"/>
      </w:pPr>
      <w:r>
        <w:rPr>
          <w:rFonts w:ascii="IRNazanin" w:hAnsi="IRNazanin" w:eastAsia="IRNazanin" w:cs="IRNazanin"/>
          <w:lang w:bidi="fa-IR"/>
          <w:color w:val="111111"/>
          <w:sz w:val="28"/>
          <w:szCs w:val="28"/>
          <w:rtl/>
        </w:rPr>
        <w:t xml:space="preserve">وقال العلّامة الشیهد السیّد محمّدباقر الصدر (رحمة الله‌علیه)</w:t>
      </w:r>
    </w:p>
    <w:p>
      <w:pPr>
        <w:pStyle w:val="BookText"/>
      </w:pPr>
      <w:r>
        <w:rPr>
          <w:rFonts w:ascii="Amiri" w:hAnsi="Amiri" w:eastAsia="Amiri" w:cs="Amiri"/>
          <w:lang w:bidi="ar-SA"/>
          <w:color w:val="111111"/>
          <w:sz w:val="28"/>
          <w:szCs w:val="28"/>
          <w:rtl/>
        </w:rPr>
        <w:t xml:space="preserve">في دروس في علم الأصول، ج2(الحلقة الثالثة)، ص287: «لا شكّ في التضادّ بين الأحكام التكليفية الواقعية، وعلى هذا الأساس يمتنع اجتماع الأمر والنهي، لتضادّهما بلحاظ المبادئ وعالم الملاك، وبلحاظ النتائج وعالم الامتثال. أمّا الأوّل فلأنّ مبادئ الأمر هي المصلحة والمحبوبية، ومبادئ النهي هي المفسدة والمبغوضية. وأمّا الثاني فلضيق قدرة المكلف عن امتثالهما معاً، وعدم إمكان الترتّب بينهما. وقد سبق في مباحث القدرة أنّه كلّما ضاقت قدرة المكلف عن الجمع بين شيئين ولم يكن بالإمكان الترتّب بين أمريهما وحكميهما امتنع جعل الحكمين».</w:t>
      </w:r>
    </w:p>
    <w:p>
      <w:pPr>
        <w:pStyle w:val="BookText"/>
      </w:pPr>
      <w:r>
        <w:rPr>
          <w:rFonts w:ascii="Amiri" w:hAnsi="Amiri" w:eastAsia="Amiri" w:cs="Amiri"/>
          <w:lang w:bidi="ar-SA"/>
          <w:color w:val="111111"/>
          <w:sz w:val="28"/>
          <w:szCs w:val="28"/>
          <w:rtl/>
        </w:rPr>
        <w:t xml:space="preserve">والطهارة</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والنجاسة، فإنّ المتّصف بالسواد ليس إلّا الأفراد، والطبيعة لا تتصف إلّا إذا صارت متّحدة مع الفرد ويكون اتّصافها بالسواد من باب اتّحادها مع الفرد الّذي هو متّصف به ولذا لا يطلق الأسود على ما لم يوجد بعدُ، فقبل وجوده لا يكون أسود إلّا بالتقدير وكذا في الطهارة والنجاسة.</w:t>
      </w:r>
    </w:p>
    <w:p>
      <w:pPr>
        <w:pStyle w:val="BookText"/>
      </w:pPr>
      <w:r>
        <w:rPr>
          <w:rFonts w:ascii="IRNazanin" w:hAnsi="IRNazanin" w:eastAsia="IRNazanin" w:cs="IRNazanin"/>
          <w:lang w:bidi="fa-IR"/>
          <w:color w:val="111111"/>
          <w:sz w:val="28"/>
          <w:szCs w:val="28"/>
          <w:rtl/>
        </w:rPr>
        <w:t xml:space="preserve">وهذا بخلاف الوجوب والحرمة فإنّ الطبيعة متّصفة بهما قبل وجودها وإن کان بلحاظ وجودها والفرد یتّصف بهما من باب اتّحاده مع الطبيعة، فالمقام عكس ما هو الحال في السواد والبياض؛ إذ الفرد یتّصف بهما حقیقة والطبيعة بالعرض من باب اتّحادها مع الفرد والوجوب والحرمة لاحقان أوّلاً للطبيعة ويلحقان الفرد بالعرض من باب اتّحاده معها ولو كان الوجوب نظير السواد لم یتّصف المحلّ به قبل وجوده إلّا تقديراً كما في السواد مع أنّه لا یتّصف به إلّا قبل وجوده وإلّا لزم طلب الحاصل وهو محال.</w:t>
      </w:r>
    </w:p>
    <w:p>
      <w:pPr>
        <w:pStyle w:val="BookText"/>
      </w:pPr>
      <w:r>
        <w:rPr>
          <w:rFonts w:ascii="IRNazanin" w:hAnsi="IRNazanin" w:eastAsia="IRNazanin" w:cs="IRNazanin"/>
          <w:lang w:bidi="fa-IR"/>
          <w:color w:val="111111"/>
          <w:sz w:val="28"/>
          <w:szCs w:val="28"/>
          <w:rtl/>
        </w:rPr>
        <w:t xml:space="preserve">وقول</w:t>
      </w:r>
      <w:r>
        <w:rPr>
          <w:rStyle w:val="FootnoteReference"/>
        </w:rPr>
        <w:footnoteReference w:id="1680"/>
      </w:r>
      <w:r>
        <w:rPr>
          <w:rFonts w:ascii="IRNazanin" w:hAnsi="IRNazanin" w:eastAsia="IRNazanin" w:cs="IRNazanin"/>
          <w:lang w:bidi="fa-IR"/>
          <w:color w:val="111111"/>
          <w:sz w:val="28"/>
          <w:szCs w:val="28"/>
          <w:rtl/>
        </w:rPr>
        <w:t xml:space="preserve">الشارع: «الماء طاهر» قضية مقدّرة وقوله: «الصّلاة واجبة» قضيّة محقّقة، فالماء یتّصف بالطّهارة إذا وجد والصّلاة متّصفة بالوجوب قبل الوجود فمحلّ الوجوب ذات الصّلاة لكن بلحاظ الوجود.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34" w:name="pg6784_51468"/>
    <w:bookmarkEnd w:id="234"/>
    <w:p>
      <w:pPr>
        <w:pStyle w:val="BookText"/>
      </w:pPr>
      <w:r>
        <w:rPr>
          <w:rFonts w:ascii="Amiri" w:hAnsi="Amiri" w:eastAsia="Amiri" w:cs="Amiri"/>
          <w:lang w:bidi="ar-SA"/>
          <w:color w:val="111111"/>
          <w:sz w:val="28"/>
          <w:szCs w:val="28"/>
          <w:rtl/>
        </w:rPr>
        <w:t xml:space="preserve">مع أنّك عرفت أنّ الوجود معتبر في نفس الوجوب لا في</w:t>
      </w:r>
      <w:r>
        <w:rPr>
          <w:rStyle w:val="FootnoteReference"/>
        </w:rPr>
        <w:footnoteReference w:id="1681"/>
      </w:r>
      <w:r>
        <w:rPr>
          <w:rFonts w:ascii="Amiri" w:hAnsi="Amiri" w:eastAsia="Amiri" w:cs="Amiri"/>
          <w:lang w:bidi="ar-SA"/>
          <w:color w:val="111111"/>
          <w:sz w:val="28"/>
          <w:szCs w:val="28"/>
          <w:rtl/>
        </w:rPr>
        <w:t xml:space="preserve">المتعلّق فيصحّ القول بأنّ متعلّقه نفس ذات الصّلاة مع قطع النظر عن الوجود فكون الصّلاة محلّاً للوجوب نظير كونها</w:t>
      </w:r>
      <w:r>
        <w:rPr>
          <w:rStyle w:val="FootnoteReference"/>
        </w:rPr>
        <w:footnoteReference w:id="1682"/>
      </w:r>
      <w:r>
        <w:rPr>
          <w:rFonts w:ascii="Amiri" w:hAnsi="Amiri" w:eastAsia="Amiri" w:cs="Amiri"/>
          <w:lang w:bidi="ar-SA"/>
          <w:color w:val="111111"/>
          <w:sz w:val="28"/>
          <w:szCs w:val="28"/>
          <w:rtl/>
        </w:rPr>
        <w:t xml:space="preserve">محلّاً للوجود فكما أنّ الماهيّة معروضة</w:t>
      </w:r>
      <w:r>
        <w:rPr>
          <w:rStyle w:val="FootnoteReference"/>
        </w:rPr>
        <w:footnoteReference w:id="1683"/>
      </w:r>
      <w:r>
        <w:rPr>
          <w:rFonts w:ascii="Amiri" w:hAnsi="Amiri" w:eastAsia="Amiri" w:cs="Amiri"/>
          <w:lang w:bidi="ar-SA"/>
          <w:color w:val="111111"/>
          <w:sz w:val="28"/>
          <w:szCs w:val="28"/>
          <w:rtl/>
        </w:rPr>
        <w:t xml:space="preserve">للوجود في الخارج لكن لا بحيث يكون محلّيّتها له بعد تحقّقها في الخارج بل تحقّقها إنّما هو به فكذا الصّلاة الخارجيّة متّصفة بالوجوب لكن لا بمعنى أنّها بعد تحقّقها في الخارج تصير محلّاً له بل اتّصافها به قبل تحقّقها فكون الوجوب من الأعراض الخارجيّة نظير كون الوجود منها فكما لا يقتضي محلّاً موجوداً قبل العروض فكذا في الوجوب. فتدبّر.</w:t>
      </w:r>
    </w:p>
    <w:p>
      <w:pPr>
        <w:pStyle w:val="Heading5"/>
      </w:pPr>
      <w:bookmarkStart w:id="732" w:name="_Toc413"/>
      <w:r>
        <w:t>[الدليل الرابع: لزوم اتّصاف الشي‌ء الواحد بالحسن والقبح من اجتماع الأمر والنهي]</w:t>
      </w:r>
      <w:bookmarkEnd w:id="732"/>
    </w:p>
    <w:p>
      <w:pPr>
        <w:pStyle w:val="BookText"/>
      </w:pPr>
      <w:r>
        <w:rPr>
          <w:rFonts w:ascii="Amiri" w:hAnsi="Amiri" w:eastAsia="Amiri" w:cs="Amiri"/>
          <w:lang w:bidi="ar-SA"/>
          <w:color w:val="111111"/>
          <w:sz w:val="28"/>
          <w:szCs w:val="28"/>
          <w:rtl/>
        </w:rPr>
        <w:t xml:space="preserve">الرّابع‌</w:t>
      </w:r>
      <w:r>
        <w:rPr>
          <w:rStyle w:val="FootnoteReference"/>
        </w:rPr>
        <w:footnoteReference w:id="1684"/>
      </w:r>
      <w:r>
        <w:rPr>
          <w:rFonts w:ascii="IRNazanin" w:hAnsi="IRNazanin" w:eastAsia="IRNazanin" w:cs="IRNazanin"/>
          <w:lang w:bidi="fa-IR"/>
          <w:color w:val="111111"/>
          <w:sz w:val="28"/>
          <w:szCs w:val="28"/>
          <w:rtl/>
        </w:rPr>
        <w:t xml:space="preserve">: أنّ الأحکام الشرعیّة بناء على قواعد</w:t>
      </w:r>
      <w:r>
        <w:rPr>
          <w:rStyle w:val="FootnoteReference"/>
        </w:rPr>
        <w:footnoteReference w:id="1685"/>
      </w:r>
      <w:r>
        <w:rPr>
          <w:rFonts w:ascii="IRNazanin" w:hAnsi="IRNazanin" w:eastAsia="IRNazanin" w:cs="IRNazanin"/>
          <w:lang w:bidi="fa-IR"/>
          <w:color w:val="111111"/>
          <w:sz w:val="28"/>
          <w:szCs w:val="28"/>
          <w:rtl/>
        </w:rPr>
        <w:t xml:space="preserve">العدليّة تابعة للحسن والقبح فلايجوز الأمر إلّا بما كان حسناً ولا النهي إلّا عمّا كان قبيحاً فاجتماعهما لا يكون إلّا باجتماع الحسن والقبح والشي‌ء الواحد لا یتّصف بهما معاً؛ إذ هما وإن كانا من الأمور الاعتباريّة إلّا أنّهما لا تلحقان</w:t>
      </w:r>
      <w:r>
        <w:rPr>
          <w:rStyle w:val="FootnoteReference"/>
        </w:rPr>
        <w:footnoteReference w:id="1686"/>
      </w:r>
      <w:r>
        <w:rPr>
          <w:rFonts w:ascii="Amiri" w:hAnsi="Amiri" w:eastAsia="Amiri" w:cs="Amiri"/>
          <w:lang w:bidi="ar-SA"/>
          <w:color w:val="111111"/>
          <w:sz w:val="28"/>
          <w:szCs w:val="28"/>
          <w:rtl/>
        </w:rPr>
        <w:t xml:space="preserve">إلّا الأفعال الخارجيّة باعتبار كونها خارجيّة ولذا لا يعدّ من تصوّر حقائق العبادات أو المحرّمات من فاعل الحسن والقبيح، فهما نظير الوحدة اللاحقة للواحد والزّوجيّة اللاحقة للاثنين لا من قبيل الجنسيّة اللاحقة للحيوان والفصليّة اللاحقة للناطق فإنّ لحوقهما بحسب الوجود الذهني فقط، فإذا كان</w:t>
      </w:r>
      <w:r>
        <w:rPr>
          <w:rStyle w:val="FootnoteReference"/>
        </w:rPr>
        <w:footnoteReference w:id="1687"/>
      </w:r>
      <w:r>
        <w:rPr>
          <w:rFonts w:ascii="Amiri" w:hAnsi="Amiri" w:eastAsia="Amiri" w:cs="Amiri"/>
          <w:lang w:bidi="ar-SA"/>
          <w:color w:val="111111"/>
          <w:sz w:val="28"/>
          <w:szCs w:val="28"/>
          <w:rtl/>
        </w:rPr>
        <w:t xml:space="preserve">طبيعة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35" w:name="pg6784_51469"/>
    <w:bookmarkEnd w:id="235"/>
    <w:p>
      <w:pPr>
        <w:pStyle w:val="BookText"/>
      </w:pPr>
      <w:r>
        <w:rPr>
          <w:rFonts w:ascii="IRNazanin" w:hAnsi="IRNazanin" w:eastAsia="IRNazanin" w:cs="IRNazanin"/>
          <w:lang w:bidi="fa-IR"/>
          <w:color w:val="111111"/>
          <w:sz w:val="28"/>
          <w:szCs w:val="28"/>
          <w:rtl/>
        </w:rPr>
        <w:t xml:space="preserve">متّصفة بالحسن وأخرى بالقبح واتّحدتا في المصداق فلا يمكن اتّصافه بمقتضى الطبيعتين من الحسن والقبح وإلّا لزم كون الشي‌ء الواحد حسناً وقبيحاً فلا بدّ من تغليب أحدهما والحكم بثبوته فقط وبعدمهما مع التكافؤ وإذا كان الأمر فيهما على هذا الوجهفالحكم الشرعي التابع لهما أیضاً كذلك.</w:t>
      </w:r>
    </w:p>
    <w:p>
      <w:pPr>
        <w:pStyle w:val="BookText"/>
      </w:pPr>
      <w:r>
        <w:rPr>
          <w:rFonts w:ascii="IRNazanin" w:hAnsi="IRNazanin" w:eastAsia="IRNazanin" w:cs="IRNazanin"/>
          <w:lang w:bidi="fa-IR"/>
          <w:color w:val="111111"/>
          <w:sz w:val="28"/>
          <w:szCs w:val="28"/>
          <w:rtl/>
        </w:rPr>
        <w:t xml:space="preserve">فإن قلت: مجرّد كونهما من الأوصاف الخارجيّة لا يقتضي ما ذكرت ولذا نرى أنّ الوحدة والكثرة تجتمعان في شي‌ء واحد باعتبارين مع كونهما من الأوصاف اللاحقة للموجودات الخارجيّة. ألا ترى أنّ العشرة متّصفة بالكثرة وبالوحدة کلّ باعتبار. فَلِمَ لا يكون الشي‌ء الواحد أیضاً حسناً وقبيحاً كذلك؟</w:t>
      </w:r>
    </w:p>
    <w:p>
      <w:pPr>
        <w:pStyle w:val="BookText"/>
      </w:pPr>
      <w:r>
        <w:rPr>
          <w:rFonts w:ascii="Amiri" w:hAnsi="Amiri" w:eastAsia="Amiri" w:cs="Amiri"/>
          <w:lang w:bidi="ar-SA"/>
          <w:color w:val="111111"/>
          <w:sz w:val="28"/>
          <w:szCs w:val="28"/>
          <w:rtl/>
        </w:rPr>
        <w:t xml:space="preserve">قلت: متعلّق الوحدة في المثال غير متعلّق الكثرة فإنّ متعلّق</w:t>
      </w:r>
      <w:r>
        <w:rPr>
          <w:rStyle w:val="FootnoteReference"/>
        </w:rPr>
        <w:footnoteReference w:id="1688"/>
      </w:r>
      <w:r>
        <w:rPr>
          <w:rFonts w:ascii="IRNazanin" w:hAnsi="IRNazanin" w:eastAsia="IRNazanin" w:cs="IRNazanin"/>
          <w:lang w:bidi="fa-IR"/>
          <w:color w:val="111111"/>
          <w:sz w:val="28"/>
          <w:szCs w:val="28"/>
          <w:rtl/>
        </w:rPr>
        <w:t xml:space="preserve">الأوّل العشرة مع وصف الانضمام والهيئة الاجتماعيّة، ومتعلّق الثاني نفس الآحاد المنضمّة فالمركّب من الآحاد والهيئة غير نفس الآحاد فقط، فيجوز اتّصاف المركّب بوصف مضادّ لما یتّصف به</w:t>
      </w:r>
      <w:r>
        <w:rPr>
          <w:rStyle w:val="FootnoteReference"/>
        </w:rPr>
        <w:footnoteReference w:id="1689"/>
      </w:r>
      <w:r>
        <w:rPr>
          <w:rFonts w:ascii="IRNazanin" w:hAnsi="IRNazanin" w:eastAsia="IRNazanin" w:cs="IRNazanin"/>
          <w:lang w:bidi="fa-IR"/>
          <w:color w:val="111111"/>
          <w:sz w:val="28"/>
          <w:szCs w:val="28"/>
          <w:rtl/>
        </w:rPr>
        <w:t xml:space="preserve">نفس الآحاد وذلك كالإنسان الأبيض أي المقيّد بالأبيضيّة حيث یتّصف بأنّه جوهر والمجموع المركّب من الإنسان والأبيضيّة ليس كذلك.</w:t>
      </w:r>
    </w:p>
    <w:p>
      <w:pPr>
        <w:pStyle w:val="BookText"/>
      </w:pPr>
      <w:r>
        <w:rPr>
          <w:rFonts w:ascii="Amiri" w:hAnsi="Amiri" w:eastAsia="Amiri" w:cs="Amiri"/>
          <w:lang w:bidi="ar-SA"/>
          <w:color w:val="111111"/>
          <w:sz w:val="28"/>
          <w:szCs w:val="28"/>
          <w:rtl/>
        </w:rPr>
        <w:t xml:space="preserve">وأمّا في مقامنا فالفعل الخارجي الواحد مصداق لطبيعتين ومجمع حكمين ولا مغايرة بين محلّيهما.</w:t>
      </w:r>
    </w:p>
    <w:p>
      <w:pPr>
        <w:pStyle w:val="Heading5"/>
      </w:pPr>
      <w:bookmarkStart w:id="733" w:name="_Toc414"/>
      <w:r>
        <w:t>[نقد الدلیل الرابع]</w:t>
      </w:r>
      <w:bookmarkEnd w:id="733"/>
    </w:p>
    <w:p>
      <w:pPr>
        <w:pStyle w:val="BookText"/>
      </w:pPr>
      <w:r>
        <w:rPr>
          <w:rFonts w:ascii="IRNazanin" w:hAnsi="IRNazanin" w:eastAsia="IRNazanin" w:cs="IRNazanin"/>
          <w:lang w:bidi="fa-IR"/>
          <w:color w:val="111111"/>
          <w:sz w:val="28"/>
          <w:szCs w:val="28"/>
          <w:rtl/>
        </w:rPr>
        <w:t xml:space="preserve">والجواب عنه أیضاً يظهر ممّا ذكرنا فإنّا نقول: إنّ الفرد لا یتّصف بحسن ولا قبح وإنّما المتّصف بهما الطبيعة المقيّدة بالوجود مع دخول التقيّد</w:t>
      </w:r>
      <w:r>
        <w:rPr>
          <w:rStyle w:val="FootnoteReference"/>
        </w:rPr>
        <w:footnoteReference w:id="1690"/>
      </w:r>
      <w:r>
        <w:rPr>
          <w:rFonts w:ascii="Amiri" w:hAnsi="Amiri" w:eastAsia="Amiri" w:cs="Amiri"/>
          <w:lang w:bidi="ar-SA"/>
          <w:color w:val="111111"/>
          <w:sz w:val="28"/>
          <w:szCs w:val="28"/>
          <w:rtl/>
        </w:rPr>
        <w:t xml:space="preserve">وخروج القيد ومعه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إشکال. فالحال فيهما كحال نفس الحكمين بل أهون.</w:t>
      </w:r>
    </w:p>
    <w:p>
      <w:pPr>
        <w:pStyle w:val="BookText"/>
      </w:pPr>
      <w:r>
        <w:rPr>
          <w:rFonts w:ascii="Amiri" w:hAnsi="Amiri" w:eastAsia="Amiri" w:cs="Amiri"/>
          <w:lang w:bidi="ar-SA"/>
          <w:color w:val="111111"/>
          <w:sz w:val="28"/>
          <w:szCs w:val="28"/>
          <w:rtl/>
        </w:rPr>
        <w:t xml:space="preserve">ولذا قد يقال بجواز اجتماعهما في شي‌ء واحد باعتبارين مع القول بعدم جواز اجتماع الحكمين وعدم كفاية المغايرة الاعتباريّة في متعلّقهما.</w:t>
      </w:r>
    </w:p>
    <w:p>
      <w:pPr>
        <w:pStyle w:val="BookText"/>
      </w:pPr>
      <w:r>
        <w:rPr>
          <w:rFonts w:ascii="Amiri" w:hAnsi="Amiri" w:eastAsia="Amiri" w:cs="Amiri"/>
          <w:lang w:bidi="ar-SA"/>
          <w:color w:val="111111"/>
          <w:sz w:val="28"/>
          <w:szCs w:val="28"/>
          <w:rtl/>
        </w:rPr>
        <w:t xml:space="preserve">ثمّ إنّ جعل الحسن والقبح من قبيل الوحدة والزوجيّة لا يناسب المدّعى فإنّهما من الأوصاف اللاحقة للأعمّ من الموجود الخارجي كما لا يخفى.</w:t>
      </w:r>
    </w:p>
    <w:p>
      <w:pPr>
        <w:pStyle w:val="BookText"/>
      </w:pPr>
      <w:r>
        <w:rPr>
          <w:rFonts w:ascii="Amiri" w:hAnsi="Amiri" w:eastAsia="Amiri" w:cs="Amiri"/>
          <w:lang w:bidi="ar-SA"/>
          <w:color w:val="111111"/>
          <w:sz w:val="28"/>
          <w:szCs w:val="28"/>
          <w:rtl/>
        </w:rPr>
        <w:t xml:space="preserve">وكذا نفي كونهما من قبيل الجنسيّة والفصليّة؛ إذ لم يتوهّم أحد كونهما مثلهما في كونهما من الأمور اللاحقة للموجود الذهني فقط، ولا يثمر عدم كونهما منقبيلهما في المدّعى؛ إذ لو كانا من لواحق الطّبيعة مع قطع النظر عن الوجود الخارجي والذهني صدق عدم كونهما من قبيل المذكورين ولا ينفع فيما هو المدّعى، وكان الأحسن أن يقال: إنّهما من قبيل السّواد والبياض لا من قبيل الوحدة والكثرة وأشباههما.</w:t>
      </w:r>
    </w:p>
    <w:p>
      <w:pPr>
        <w:pStyle w:val="BookText"/>
      </w:pPr>
      <w:r>
        <w:rPr>
          <w:rFonts w:ascii="Amiri" w:hAnsi="Amiri" w:eastAsia="Amiri" w:cs="Amiri"/>
          <w:lang w:bidi="ar-SA"/>
          <w:color w:val="111111"/>
          <w:sz w:val="28"/>
          <w:szCs w:val="28"/>
          <w:rtl/>
        </w:rPr>
        <w:t xml:space="preserve">ثمّ لا يخفى أنّ التغاير المدّعى في متعلّقي الوحدة والكثرة في مثال العشرة ليس إلّا بمجرّد الاعتبار وإلّا ففي الخارج ليس إلّا نفس الآحاد المنضمّة والهيئة الانضماميّة ليست إلّا باعتبار المعتبِر ويمكن ادّعاء مثل ذلك في الصّلاة في الدّار الغصبيّة.</w:t>
      </w:r>
    </w:p>
    <w:p>
      <w:pPr>
        <w:pStyle w:val="BookText"/>
      </w:pPr>
      <w:r>
        <w:rPr>
          <w:rFonts w:ascii="IRNazanin" w:hAnsi="IRNazanin" w:eastAsia="IRNazanin" w:cs="IRNazanin"/>
          <w:lang w:bidi="fa-IR"/>
          <w:color w:val="111111"/>
          <w:sz w:val="28"/>
          <w:szCs w:val="28"/>
          <w:rtl/>
        </w:rPr>
        <w:t xml:space="preserve">ثمّ اعلم أنّ هذا الدليل مأخوذ من کلام صاحب الفصول (رحمة الله‌علیه) لكنّي غيّرت تقريره قليلاً لما فيه من سوء بيان في الجملة، وذلك لأنّه قال: إنّ قاعدة التحسين والتقبيح قاضية بأنّ الأمر يستتبع حسناً في المأمور به والنهي يستتبع قبحاً في المنهي عنه فمتى اجتمعت الجهتان في شي‌ء فإمّا أن تتكافئا</w:t>
      </w:r>
      <w:r>
        <w:rPr>
          <w:rStyle w:val="FootnoteReference"/>
        </w:rPr>
        <w:footnoteReference w:id="1691"/>
      </w:r>
      <w:r>
        <w:rPr>
          <w:rFonts w:ascii="IRNazanin" w:hAnsi="IRNazanin" w:eastAsia="IRNazanin" w:cs="IRNazanin"/>
          <w:lang w:bidi="fa-IR"/>
          <w:color w:val="111111"/>
          <w:sz w:val="28"/>
          <w:szCs w:val="28"/>
          <w:rtl/>
        </w:rPr>
        <w:t xml:space="preserve">فيرجع حكمه إلى الإباحة أو یترجح إحداهما</w:t>
      </w:r>
      <w:r>
        <w:rPr>
          <w:rStyle w:val="FootnoteReference"/>
        </w:rPr>
        <w:footnoteReference w:id="1692"/>
      </w:r>
      <w:r>
        <w:rPr>
          <w:rFonts w:ascii="IRNazanin" w:hAnsi="IRNazanin" w:eastAsia="IRNazanin" w:cs="IRNazanin"/>
          <w:lang w:bidi="fa-IR"/>
          <w:color w:val="111111"/>
          <w:sz w:val="28"/>
          <w:szCs w:val="28"/>
          <w:rtl/>
        </w:rPr>
        <w:t xml:space="preserve">على الأخرى فيرجع حكمه إلى الأحکام الأربعة.</w:t>
      </w:r>
      <w:r>
        <w:rPr>
          <w:rStyle w:val="FootnoteReference"/>
        </w:rPr>
        <w:footnoteReference w:id="1693"/>
      </w:r>
    </w:p>
    <w:p>
      <w:pPr>
        <w:pStyle w:val="BookText"/>
      </w:pPr>
      <w:r>
        <w:rPr>
          <w:rFonts w:ascii="Amiri" w:hAnsi="Amiri" w:eastAsia="Amiri" w:cs="Amiri"/>
          <w:lang w:bidi="ar-SA"/>
          <w:color w:val="111111"/>
          <w:sz w:val="28"/>
          <w:szCs w:val="28"/>
          <w:rtl/>
        </w:rPr>
        <w:t xml:space="preserve">ثمّ بعد ذلك بيّن عدم جواز اجتماع الحسن والقبح؛ لأنّهما من لواحق الأمور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الخارجيّة.</w:t>
      </w:r>
      <w:r>
        <w:rPr>
          <w:rStyle w:val="FootnoteReference"/>
        </w:rPr>
        <w:footnoteReference w:id="1694"/>
      </w:r>
    </w:p>
    <w:p>
      <w:pPr>
        <w:pStyle w:val="BookText"/>
      </w:pPr>
      <w:r>
        <w:rPr>
          <w:rFonts w:ascii="IRNazanin" w:hAnsi="IRNazanin" w:eastAsia="IRNazanin" w:cs="IRNazanin"/>
          <w:lang w:bidi="fa-IR"/>
          <w:color w:val="111111"/>
          <w:sz w:val="28"/>
          <w:szCs w:val="28"/>
          <w:rtl/>
        </w:rPr>
        <w:t xml:space="preserve">فمقتضى أوّل کلامه أنّ الحسن والقبح يجتمعان لكن يحصل بينهما الكسر والانكسار والحكم تابع للغالب منهما، ومقتضى آخره عدم اجتماعهما كالوجوب والحرمة.</w:t>
      </w:r>
    </w:p>
    <w:p>
      <w:pPr>
        <w:pStyle w:val="BookText"/>
      </w:pPr>
      <w:r>
        <w:rPr>
          <w:rFonts w:ascii="Amiri" w:hAnsi="Amiri" w:eastAsia="Amiri" w:cs="Amiri"/>
          <w:lang w:bidi="ar-SA"/>
          <w:color w:val="111111"/>
          <w:sz w:val="28"/>
          <w:szCs w:val="28"/>
          <w:rtl/>
        </w:rPr>
        <w:t xml:space="preserve">ولا يخفى المنافاة</w:t>
      </w:r>
      <w:r>
        <w:rPr>
          <w:rStyle w:val="FootnoteReference"/>
        </w:rPr>
        <w:footnoteReference w:id="1695"/>
      </w:r>
      <w:r>
        <w:rPr>
          <w:rFonts w:ascii="Amiri" w:hAnsi="Amiri" w:eastAsia="Amiri" w:cs="Amiri"/>
          <w:lang w:bidi="ar-SA"/>
          <w:color w:val="111111"/>
          <w:sz w:val="28"/>
          <w:szCs w:val="28"/>
          <w:rtl/>
        </w:rPr>
        <w:t xml:space="preserve">بينهما؛ إذ مع كونهما من لواحق الأفعال الخارجيّة وعدم اجتماعهما بحسب الوجود الخارجي لا معنى للكسر والانكسار بينهما، فالكسر والانكسار إنّما يتمّ إذا كانا لاحقين للطّبيعة من حيث هي حتّى يكون في الفرد جهتاهما بلحاظ مصداقيّته للطّبيعتين.ألا ترى أنّا إذا قلنا: لا يجوز اتّصاف الشي‌ء الواحد بالوجوب والحرمة، لا يصحّ لنا أن نقول: يحصل الكسر والانكسار بينهما. فالكسر والانكسار فرع تحقّقهما.</w:t>
      </w:r>
    </w:p>
    <w:p>
      <w:pPr>
        <w:pStyle w:val="BookText"/>
      </w:pPr>
      <w:r>
        <w:rPr>
          <w:rFonts w:ascii="IRNazanin" w:hAnsi="IRNazanin" w:eastAsia="IRNazanin" w:cs="IRNazanin"/>
          <w:lang w:bidi="fa-IR"/>
          <w:color w:val="111111"/>
          <w:sz w:val="28"/>
          <w:szCs w:val="28"/>
          <w:rtl/>
        </w:rPr>
        <w:t xml:space="preserve">نعم يمكن أن يحمل قوله: «فمتى اجتمعت الجهتان» على إرادة اجتماع مقتضيیهما</w:t>
      </w:r>
      <w:r>
        <w:rPr>
          <w:rStyle w:val="FootnoteReference"/>
        </w:rPr>
        <w:footnoteReference w:id="1696"/>
      </w:r>
      <w:r>
        <w:rPr>
          <w:rFonts w:ascii="IRNazanin" w:hAnsi="IRNazanin" w:eastAsia="IRNazanin" w:cs="IRNazanin"/>
          <w:lang w:bidi="fa-IR"/>
          <w:color w:val="111111"/>
          <w:sz w:val="28"/>
          <w:szCs w:val="28"/>
          <w:rtl/>
        </w:rPr>
        <w:t xml:space="preserve">لا اجتماعهما بنفسهما، لكنّه خلاف ظاهر کلامه كما لا يخفى.</w:t>
      </w:r>
    </w:p>
    <w:p>
      <w:pPr>
        <w:pStyle w:val="BookText"/>
      </w:pPr>
      <w:r>
        <w:rPr>
          <w:rFonts w:ascii="IRNazanin" w:hAnsi="IRNazanin" w:eastAsia="IRNazanin" w:cs="IRNazanin"/>
          <w:lang w:bidi="fa-IR"/>
          <w:color w:val="111111"/>
          <w:sz w:val="28"/>
          <w:szCs w:val="28"/>
          <w:rtl/>
        </w:rPr>
        <w:t xml:space="preserve">وكيف كان لا ينبغي التأمّل في عدم تماميّة هذا الدليل؛ إذ معلوم أنّه لا مانع من اجتماع الحسن والقبح في شي‌ء واحد باعتبارين والفرد یتّصف حقیقة بکلّ منهما فعلاً.</w:t>
      </w:r>
    </w:p>
    <w:p>
      <w:pPr>
        <w:pStyle w:val="BookText"/>
      </w:pPr>
      <w:r>
        <w:rPr>
          <w:rFonts w:ascii="IRNazanin" w:hAnsi="IRNazanin" w:eastAsia="IRNazanin" w:cs="IRNazanin"/>
          <w:lang w:bidi="fa-IR"/>
          <w:color w:val="111111"/>
          <w:sz w:val="28"/>
          <w:szCs w:val="28"/>
          <w:rtl/>
        </w:rPr>
        <w:t xml:space="preserve">نعم يحصل الكسر والانكسار بينهما لو أريد الحسن المطلق أو القبح المطلق لكن ليس هذا منافياً للاجتماع بل مؤكّده؛ إذ لا بدّ من وجود کلّ منهما حتّى يحصل الكسر والانكسار.</w:t>
      </w:r>
    </w:p>
    <w:p>
      <w:pPr>
        <w:pStyle w:val="BookText"/>
      </w:pPr>
      <w:r>
        <w:rPr>
          <w:rFonts w:ascii="Amiri" w:hAnsi="Amiri" w:eastAsia="Amiri" w:cs="Amiri"/>
          <w:lang w:bidi="ar-SA"/>
          <w:color w:val="111111"/>
          <w:sz w:val="28"/>
          <w:szCs w:val="28"/>
          <w:rtl/>
        </w:rPr>
        <w:t xml:space="preserve">والشاهد على ما ذكرنا مضافاً إلى الوجدان أنّه يمكن قطعاً كون طبيعة مقتضية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36" w:name="pg6784_51472"/>
    <w:bookmarkEnd w:id="236"/>
    <w:p>
      <w:pPr>
        <w:pStyle w:val="BookText"/>
      </w:pPr>
      <w:r>
        <w:rPr>
          <w:rFonts w:ascii="Amiri" w:hAnsi="Amiri" w:eastAsia="Amiri" w:cs="Amiri"/>
          <w:lang w:bidi="ar-SA"/>
          <w:color w:val="111111"/>
          <w:sz w:val="28"/>
          <w:szCs w:val="28"/>
          <w:rtl/>
        </w:rPr>
        <w:t xml:space="preserve">بذاتها للحسن وأخرى مقتضية كذلك</w:t>
      </w:r>
      <w:r>
        <w:rPr>
          <w:rStyle w:val="FootnoteReference"/>
        </w:rPr>
        <w:footnoteReference w:id="1697"/>
      </w:r>
      <w:r>
        <w:rPr>
          <w:rFonts w:ascii="IRNazanin" w:hAnsi="IRNazanin" w:eastAsia="IRNazanin" w:cs="IRNazanin"/>
          <w:lang w:bidi="fa-IR"/>
          <w:color w:val="111111"/>
          <w:sz w:val="28"/>
          <w:szCs w:val="28"/>
          <w:rtl/>
        </w:rPr>
        <w:t xml:space="preserve">للقبح فإذا اجتمعا</w:t>
      </w:r>
      <w:r>
        <w:rPr>
          <w:rStyle w:val="FootnoteReference"/>
        </w:rPr>
        <w:footnoteReference w:id="1698"/>
      </w:r>
      <w:r>
        <w:rPr>
          <w:rFonts w:ascii="IRNazanin" w:hAnsi="IRNazanin" w:eastAsia="IRNazanin" w:cs="IRNazanin"/>
          <w:lang w:bidi="fa-IR"/>
          <w:color w:val="111111"/>
          <w:sz w:val="28"/>
          <w:szCs w:val="28"/>
          <w:rtl/>
        </w:rPr>
        <w:t xml:space="preserve">في مصداق فهو متّصف بکلیهما كما في الكذب والإحسان، فإنّ قبح الأوّل كحسن الثاني ذاتي فإذا فرض كون الكذب في مورد إحساناً في حقّ الغير كما في إنجاء مؤمن فهو مجمع الوصفين فيكون مورداً للمزاحمة فلا بدّ من ترجيح أحدهما في مقام الحكم والعمل، ولا فرق بينه وبين ما إذا دار الأمر بين الإتیان بقبيح أو ترك حسن في موردين فإنّ مجرّد المزاحمة بينهما لا يوجب خروجهما عمّا هما عليه.</w:t>
      </w:r>
    </w:p>
    <w:p>
      <w:pPr>
        <w:pStyle w:val="BookText"/>
      </w:pPr>
      <w:r>
        <w:rPr>
          <w:rFonts w:ascii="Amiri" w:hAnsi="Amiri" w:eastAsia="Amiri" w:cs="Amiri"/>
          <w:lang w:bidi="ar-SA"/>
          <w:color w:val="111111"/>
          <w:sz w:val="28"/>
          <w:szCs w:val="28"/>
          <w:rtl/>
        </w:rPr>
        <w:t xml:space="preserve">وكذا إذا دار الأمر بين ارتكاب قبيح أو أقبح فإنّ وجوب تقديم القبيح لايقتضي رفع قبحه بل هو من الاضطرار المسوّغ لارتكاب</w:t>
      </w:r>
      <w:r>
        <w:rPr>
          <w:rStyle w:val="FootnoteReference"/>
        </w:rPr>
        <w:footnoteReference w:id="1699"/>
      </w:r>
      <w:r>
        <w:rPr>
          <w:rFonts w:ascii="Amiri" w:hAnsi="Amiri" w:eastAsia="Amiri" w:cs="Amiri"/>
          <w:lang w:bidi="ar-SA"/>
          <w:color w:val="111111"/>
          <w:sz w:val="28"/>
          <w:szCs w:val="28"/>
          <w:rtl/>
        </w:rPr>
        <w:t xml:space="preserve">القبيح. وهذا واضحٌ جدّاً.</w:t>
      </w:r>
    </w:p>
    <w:p>
      <w:pPr>
        <w:pStyle w:val="BookText"/>
      </w:pPr>
      <w:r>
        <w:rPr>
          <w:rFonts w:ascii="Amiri" w:hAnsi="Amiri" w:eastAsia="Amiri" w:cs="Amiri"/>
          <w:lang w:bidi="ar-SA"/>
          <w:color w:val="111111"/>
          <w:sz w:val="28"/>
          <w:szCs w:val="28"/>
          <w:rtl/>
        </w:rPr>
        <w:t xml:space="preserve">فتبيّن جواز اجتماع الحسن والقبح في شي‌ء واحد شخصي من جهتين وإن كانتا</w:t>
      </w:r>
      <w:r>
        <w:rPr>
          <w:rStyle w:val="FootnoteReference"/>
        </w:rPr>
        <w:footnoteReference w:id="1700"/>
      </w:r>
      <w:r>
        <w:rPr>
          <w:rFonts w:ascii="IRNazanin" w:hAnsi="IRNazanin" w:eastAsia="IRNazanin" w:cs="IRNazanin"/>
          <w:lang w:bidi="fa-IR"/>
          <w:color w:val="111111"/>
          <w:sz w:val="28"/>
          <w:szCs w:val="28"/>
          <w:rtl/>
        </w:rPr>
        <w:t xml:space="preserve">تعلیليّتين بحيث كان المتّصف نفس الفرد حقیقة وإن کان لا يجوز ذلك بالنسبة إلى الوجوب والحرمة. فتدبّر.</w:t>
      </w:r>
    </w:p>
    <w:p>
      <w:pPr>
        <w:pStyle w:val="Heading5"/>
      </w:pPr>
      <w:bookmarkStart w:id="734" w:name="_Toc415"/>
      <w:r>
        <w:t>[الدليل الخامس: تبعيّة الحكم الشرعي للغالب من الجهتين بعد الكسر والانكسار]</w:t>
      </w:r>
      <w:bookmarkEnd w:id="734"/>
    </w:p>
    <w:p>
      <w:pPr>
        <w:pStyle w:val="BookText"/>
      </w:pPr>
      <w:r>
        <w:rPr>
          <w:rFonts w:ascii="IRNazanin" w:hAnsi="IRNazanin" w:eastAsia="IRNazanin" w:cs="IRNazanin"/>
          <w:lang w:bidi="fa-IR"/>
          <w:color w:val="111111"/>
          <w:sz w:val="28"/>
          <w:szCs w:val="28"/>
          <w:rtl/>
        </w:rPr>
        <w:t xml:space="preserve">الخامس: سلّمنا أنّ جميع مبادئ الأمر والنهي من المحبوبيّة والمبغوضیّة والحسن والقبح والراجحيّة والمرجوحيّة والمصلحة والمفسدة لا مانع من اجتماعهما</w:t>
      </w:r>
      <w:r>
        <w:rPr>
          <w:rStyle w:val="FootnoteReference"/>
        </w:rPr>
        <w:footnoteReference w:id="1701"/>
      </w:r>
      <w:r>
        <w:rPr>
          <w:rFonts w:ascii="IRNazanin" w:hAnsi="IRNazanin" w:eastAsia="IRNazanin" w:cs="IRNazanin"/>
          <w:lang w:bidi="fa-IR"/>
          <w:color w:val="111111"/>
          <w:sz w:val="28"/>
          <w:szCs w:val="28"/>
          <w:rtl/>
        </w:rPr>
        <w:t xml:space="preserve">من</w:t>
      </w:r>
      <w:r>
        <w:rPr>
          <w:rStyle w:val="FootnoteReference"/>
        </w:rPr>
        <w:footnoteReference w:id="1702"/>
      </w:r>
      <w:r>
        <w:rPr>
          <w:rFonts w:ascii="Amiri" w:hAnsi="Amiri" w:eastAsia="Amiri" w:cs="Amiri"/>
          <w:lang w:bidi="ar-SA"/>
          <w:color w:val="111111"/>
          <w:sz w:val="28"/>
          <w:szCs w:val="28"/>
          <w:rtl/>
        </w:rPr>
        <w:t xml:space="preserve">الجهتين، إلّا أنّا نقول: إنّ الحكم الشرعي بناءً على قواعد العدليّة تابع لما هو الغالب من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37" w:name="pg6784_51473"/>
    <w:bookmarkEnd w:id="237"/>
    <w:p>
      <w:pPr>
        <w:pStyle w:val="BookText"/>
      </w:pPr>
      <w:r>
        <w:rPr>
          <w:rFonts w:ascii="IRNazanin" w:hAnsi="IRNazanin" w:eastAsia="IRNazanin" w:cs="IRNazanin"/>
          <w:lang w:bidi="fa-IR"/>
          <w:color w:val="111111"/>
          <w:sz w:val="28"/>
          <w:szCs w:val="28"/>
          <w:rtl/>
        </w:rPr>
        <w:t xml:space="preserve">الجهتين بعد الكسر والانكسار ولا يجوز إيراد حكمين على موضوع واحد بمقتضى کلّ من تينك الجهتين.</w:t>
      </w:r>
    </w:p>
    <w:p>
      <w:pPr>
        <w:pStyle w:val="BookText"/>
      </w:pPr>
      <w:r>
        <w:rPr>
          <w:rFonts w:ascii="Amiri" w:hAnsi="Amiri" w:eastAsia="Amiri" w:cs="Amiri"/>
          <w:lang w:bidi="ar-SA"/>
          <w:color w:val="111111"/>
          <w:sz w:val="28"/>
          <w:szCs w:val="28"/>
          <w:rtl/>
        </w:rPr>
        <w:t xml:space="preserve">وكذا الحال في أوامر الموالي</w:t>
      </w:r>
      <w:r>
        <w:rPr>
          <w:rStyle w:val="FootnoteReference"/>
        </w:rPr>
        <w:footnoteReference w:id="1703"/>
      </w:r>
      <w:r>
        <w:rPr>
          <w:rFonts w:ascii="Amiri" w:hAnsi="Amiri" w:eastAsia="Amiri" w:cs="Amiri"/>
          <w:lang w:bidi="ar-SA"/>
          <w:color w:val="111111"/>
          <w:sz w:val="28"/>
          <w:szCs w:val="28"/>
          <w:rtl/>
        </w:rPr>
        <w:t xml:space="preserve">والعبيد.ألا ترى أنّه لو كان في شرب السّكنجبين مصلحة من وجه ومفسدة من آخر يلاحظ ما هو الأقوى أو الأهمّ ويحكم على طبقه ولا يؤمر بالشّرب وتركه وكذا إذا كان في فعل واحد مصلحة وفي تركه مصلحة أخرى لا يحكم بوجوب فعله وتركه بل يحكم على طبق الغالب وبالإباحة مع التساوي.</w:t>
      </w:r>
      <w:r>
        <w:rPr>
          <w:rStyle w:val="FootnoteReference"/>
        </w:rPr>
        <w:footnoteReference w:id="1704"/>
      </w:r>
    </w:p>
    <w:p>
      <w:pPr>
        <w:pStyle w:val="BookText"/>
      </w:pPr>
      <w:r>
        <w:rPr>
          <w:rFonts w:ascii="Amiri" w:hAnsi="Amiri" w:eastAsia="Amiri" w:cs="Amiri"/>
          <w:lang w:bidi="ar-SA"/>
          <w:color w:val="111111"/>
          <w:sz w:val="28"/>
          <w:szCs w:val="28"/>
          <w:rtl/>
        </w:rPr>
        <w:t xml:space="preserve">وهكذا الحال في جميع المقامات بل الغالب أنّ في الأفعال جهات متعارضة ولايتعدّد حكمها، ففي المقام لا بدّ في</w:t>
      </w:r>
      <w:r>
        <w:rPr>
          <w:rStyle w:val="FootnoteReference"/>
        </w:rPr>
        <w:footnoteReference w:id="1705"/>
      </w:r>
      <w:r>
        <w:rPr>
          <w:rFonts w:ascii="IRNazanin" w:hAnsi="IRNazanin" w:eastAsia="IRNazanin" w:cs="IRNazanin"/>
          <w:lang w:bidi="fa-IR"/>
          <w:color w:val="111111"/>
          <w:sz w:val="28"/>
          <w:szCs w:val="28"/>
          <w:rtl/>
        </w:rPr>
        <w:t xml:space="preserve">مجمع الکلّيّين الحكم على طبق ما هو الأقوى من حيث مناط الحكم وإن أغمضنا عن كون الاجتماع تکلیفاً مُحالاً أو بالمحال.</w:t>
      </w:r>
    </w:p>
    <w:p>
      <w:pPr>
        <w:pStyle w:val="Heading5"/>
      </w:pPr>
      <w:bookmarkStart w:id="735" w:name="_Toc416"/>
      <w:r>
        <w:t>[نقد الدلیل الخامس]</w:t>
      </w:r>
      <w:bookmarkEnd w:id="735"/>
    </w:p>
    <w:p>
      <w:pPr>
        <w:pStyle w:val="BookText"/>
      </w:pPr>
      <w:r>
        <w:rPr>
          <w:rFonts w:ascii="IRNazanin" w:hAnsi="IRNazanin" w:eastAsia="IRNazanin" w:cs="IRNazanin"/>
          <w:lang w:bidi="fa-IR"/>
          <w:color w:val="111111"/>
          <w:sz w:val="28"/>
          <w:szCs w:val="28"/>
          <w:rtl/>
        </w:rPr>
        <w:t xml:space="preserve">والجواب - بعد الإغماض عن أنّ الحكم تابع لحسن التشريع وإن لم يكن في الفعل مصلحة أو مفسدة ويكفيه كون المصلحة في نفس التکلیف -: أنّا نقول: إنّ ما ذكر مسلّم بالنّسبة إلى العنوان المأمور به أو المنهي عنه فإذا فرضنا أنّ الأمر تعلّق بالطّبيعة ولو كان باعتبار الوجود فاللازم ملاحظة المصلحة الفعليّة الباقية بعد الكسر والانكسار فيها وكذا بالنّسبة إلى النّهي، فنقول: طبيعة الصّلاة ذات مصلحة كذائيّة وطبيعة الغصب ذات مفسدة كذائيّة فلا بدّ من تعلّق الأمر بالأولى والنهي بالثانية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38" w:name="pg6784_51474"/>
    <w:bookmarkEnd w:id="238"/>
    <w:p>
      <w:pPr>
        <w:pStyle w:val="BookText"/>
      </w:pPr>
      <w:r>
        <w:rPr>
          <w:rFonts w:ascii="Amiri" w:hAnsi="Amiri" w:eastAsia="Amiri" w:cs="Amiri"/>
          <w:lang w:bidi="ar-SA"/>
          <w:color w:val="111111"/>
          <w:sz w:val="28"/>
          <w:szCs w:val="28"/>
          <w:rtl/>
        </w:rPr>
        <w:t xml:space="preserve">والفرد ليس مأموراً به حتّى يلاحظ فيه الكسر والانكسار.</w:t>
      </w:r>
    </w:p>
    <w:p>
      <w:pPr>
        <w:pStyle w:val="BookText"/>
      </w:pPr>
      <w:r>
        <w:rPr>
          <w:rFonts w:ascii="Amiri" w:hAnsi="Amiri" w:eastAsia="Amiri" w:cs="Amiri"/>
          <w:lang w:bidi="ar-SA"/>
          <w:color w:val="111111"/>
          <w:sz w:val="28"/>
          <w:szCs w:val="28"/>
          <w:rtl/>
        </w:rPr>
        <w:t xml:space="preserve">فظهر الفرق بين ما نحن فيه ومثال السّكنجبين حيث إنّه عنوان واحد تعارض فيه المصلحة والمفسدة وليست إحداهما في عنوان والأخرى في الآخر واجتمعا في مصداق واحد ولو فرض تعلّق الطّلب بعنوان آخر منطبق عليه يكون نظير ما نحن فيه كما إذا قال: «أزل الصّفراء ولا تشرب ما يزيل البلغم» مثلاً.</w:t>
      </w:r>
    </w:p>
    <w:p>
      <w:pPr>
        <w:pStyle w:val="BookText"/>
      </w:pPr>
      <w:r>
        <w:rPr>
          <w:rFonts w:ascii="Amiri" w:hAnsi="Amiri" w:eastAsia="Amiri" w:cs="Amiri"/>
          <w:lang w:bidi="ar-SA"/>
          <w:color w:val="111111"/>
          <w:sz w:val="28"/>
          <w:szCs w:val="28"/>
          <w:rtl/>
        </w:rPr>
        <w:t xml:space="preserve">بل أقول: هذا الدليل أدلّ على عكس المدّعى حيث إنّ مقتضاه أنّ الحكم تابع لما فيه المصلحة، والمفروض أنّ في نفس الطبيعة مصلحة خالصة والخصوصيّات المنضمّة إليها في وجودها الخارجي ممّا ليست راجعة إلى خصوصيّات الأفراد من حيث إنّها أفراد كالغصبيّة في مثال الصّلاة ليست مناطاً في مصلحتها وإن كانت ملحوظة بلحاظ الوجود وكانت تلك الخصوصيّات متّحدة معها من حيث الوجود.</w:t>
      </w:r>
    </w:p>
    <w:p>
      <w:pPr>
        <w:pStyle w:val="Heading5"/>
      </w:pPr>
      <w:bookmarkStart w:id="736" w:name="_Toc417"/>
      <w:r>
        <w:t>[الدليل السادس: اقتضاء حكم العقل بتقيّد الطبيعة بغير الفرد المحرّم]</w:t>
      </w:r>
      <w:bookmarkEnd w:id="736"/>
    </w:p>
    <w:p>
      <w:pPr>
        <w:pStyle w:val="BookText"/>
      </w:pPr>
      <w:r>
        <w:rPr>
          <w:rFonts w:ascii="IRNazanin" w:hAnsi="IRNazanin" w:eastAsia="IRNazanin" w:cs="IRNazanin"/>
          <w:lang w:bidi="fa-IR"/>
          <w:color w:val="111111"/>
          <w:sz w:val="28"/>
          <w:szCs w:val="28"/>
          <w:rtl/>
        </w:rPr>
        <w:t xml:space="preserve">السّادس: سلّمنا أنّ کلّاً من الأمر والنّهي متعلّق بالطّبيعة وكذا جميع مباديهما وأنّ الفرد ليس مورداً للحكم أصلاً وأنّه لا يلزم من الاجتماع تکلیف مُحال ولا بالمحال لمغايرة المتعلّقين</w:t>
      </w:r>
      <w:r>
        <w:rPr>
          <w:rStyle w:val="FootnoteReference"/>
        </w:rPr>
        <w:footnoteReference w:id="1706"/>
      </w:r>
      <w:r>
        <w:rPr>
          <w:rFonts w:ascii="Amiri" w:hAnsi="Amiri" w:eastAsia="Amiri" w:cs="Amiri"/>
          <w:lang w:bidi="ar-SA"/>
          <w:color w:val="111111"/>
          <w:sz w:val="28"/>
          <w:szCs w:val="28"/>
          <w:rtl/>
        </w:rPr>
        <w:t xml:space="preserve">إلّا أنّه لا يمكن إرسال الطّبيعة المأمور بها وبقائها على إطلاقها بل هي مقيّدة بحكم العقل بغير الفرد المحرّم؛ لأنّ المفروض أنّه</w:t>
      </w:r>
      <w:r>
        <w:rPr>
          <w:rStyle w:val="FootnoteReference"/>
        </w:rPr>
        <w:footnoteReference w:id="1707"/>
      </w:r>
      <w:r>
        <w:rPr>
          <w:rFonts w:ascii="Amiri" w:hAnsi="Amiri" w:eastAsia="Amiri" w:cs="Amiri"/>
          <w:lang w:bidi="ar-SA"/>
          <w:color w:val="111111"/>
          <w:sz w:val="28"/>
          <w:szCs w:val="28"/>
          <w:rtl/>
        </w:rPr>
        <w:t xml:space="preserve">فيه مفسدة غالبة على المصلحة الموجودة فيه من جهة انطباقه على الطبيعة المأمور بها بحيث لا يمكن للشارع الأمر به بخصوصه إذا أراد ذلك.</w:t>
      </w:r>
    </w:p>
    <w:p>
      <w:pPr>
        <w:pStyle w:val="BookText"/>
      </w:pPr>
      <w:r>
        <w:rPr>
          <w:rFonts w:ascii="Amiri" w:hAnsi="Amiri" w:eastAsia="Amiri" w:cs="Amiri"/>
          <w:lang w:bidi="ar-SA"/>
          <w:color w:val="111111"/>
          <w:sz w:val="28"/>
          <w:szCs w:val="28"/>
          <w:rtl/>
        </w:rPr>
        <w:t xml:space="preserve">فالطّبيعة المأمور بها الواجدة للمصلحة الداعية إلى طلبها بجميع أفرادها وإن كانت مطلقة من حيث هي ولم يقيّدها الشّارع بما عدا الفرد المحرّم إلّا أنّها مقيّدة بحكم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39" w:name="pg6784_51475"/>
    <w:bookmarkEnd w:id="239"/>
    <w:p>
      <w:pPr>
        <w:pStyle w:val="BookText"/>
      </w:pPr>
      <w:r>
        <w:rPr>
          <w:rFonts w:ascii="IRNazanin" w:hAnsi="IRNazanin" w:eastAsia="IRNazanin" w:cs="IRNazanin"/>
          <w:lang w:bidi="fa-IR"/>
          <w:color w:val="111111"/>
          <w:sz w:val="28"/>
          <w:szCs w:val="28"/>
          <w:rtl/>
        </w:rPr>
        <w:t xml:space="preserve">العقل،</w:t>
      </w:r>
      <w:r>
        <w:rPr>
          <w:rStyle w:val="FootnoteReference"/>
        </w:rPr>
        <w:footnoteReference w:id="1708"/>
      </w:r>
      <w:r>
        <w:rPr>
          <w:rFonts w:ascii="Amiri" w:hAnsi="Amiri" w:eastAsia="Amiri" w:cs="Amiri"/>
          <w:lang w:bidi="ar-SA"/>
          <w:color w:val="111111"/>
          <w:sz w:val="28"/>
          <w:szCs w:val="28"/>
          <w:rtl/>
        </w:rPr>
        <w:t xml:space="preserve">كما إذا كان بعض الأفراد غير مقدور فإنّ الأمر بالطّبيعة لا يبقى بحكمالعقل على</w:t>
      </w:r>
      <w:r>
        <w:rPr>
          <w:rStyle w:val="FootnoteReference"/>
        </w:rPr>
        <w:footnoteReference w:id="1709"/>
      </w:r>
      <w:r>
        <w:rPr>
          <w:rFonts w:ascii="IRNazanin" w:hAnsi="IRNazanin" w:eastAsia="IRNazanin" w:cs="IRNazanin"/>
          <w:lang w:bidi="fa-IR"/>
          <w:color w:val="111111"/>
          <w:sz w:val="28"/>
          <w:szCs w:val="28"/>
          <w:rtl/>
        </w:rPr>
        <w:t xml:space="preserve">إطلاقه</w:t>
      </w:r>
      <w:r>
        <w:rPr>
          <w:rStyle w:val="FootnoteReference"/>
        </w:rPr>
        <w:footnoteReference w:id="1710"/>
      </w:r>
      <w:r>
        <w:rPr>
          <w:rFonts w:ascii="IRNazanin" w:hAnsi="IRNazanin" w:eastAsia="IRNazanin" w:cs="IRNazanin"/>
          <w:lang w:bidi="fa-IR"/>
          <w:color w:val="111111"/>
          <w:sz w:val="28"/>
          <w:szCs w:val="28"/>
          <w:rtl/>
        </w:rPr>
        <w:t xml:space="preserve">بل ينصبّ على ما عدا ذلك الفرد والمانع الشّرعي كالمانع العقلي عند العقل وإذا كانت مقيّدة فلا یکفي الإتیان به في مقام الامتثال.</w:t>
      </w:r>
    </w:p>
    <w:p>
      <w:pPr>
        <w:pStyle w:val="Heading5"/>
      </w:pPr>
      <w:bookmarkStart w:id="737" w:name="_Toc418"/>
      <w:r>
        <w:t>[نقد الدلیل السادس]</w:t>
      </w:r>
      <w:bookmarkEnd w:id="737"/>
    </w:p>
    <w:p>
      <w:pPr>
        <w:pStyle w:val="BookText"/>
      </w:pPr>
      <w:r>
        <w:rPr>
          <w:rFonts w:ascii="IRNazanin" w:hAnsi="IRNazanin" w:eastAsia="IRNazanin" w:cs="IRNazanin"/>
          <w:lang w:bidi="fa-IR"/>
          <w:color w:val="111111"/>
          <w:sz w:val="28"/>
          <w:szCs w:val="28"/>
          <w:rtl/>
        </w:rPr>
        <w:t xml:space="preserve">والجواب أنّه إن أريد من التقييد المذكور أنّ العقل لا يرخّص في الإتیان بذلك الفرد</w:t>
      </w:r>
      <w:r>
        <w:rPr>
          <w:rStyle w:val="FootnoteReference"/>
        </w:rPr>
        <w:footnoteReference w:id="1711"/>
      </w:r>
      <w:r>
        <w:rPr>
          <w:rFonts w:ascii="IRNazanin" w:hAnsi="IRNazanin" w:eastAsia="IRNazanin" w:cs="IRNazanin"/>
          <w:lang w:bidi="fa-IR"/>
          <w:color w:val="111111"/>
          <w:sz w:val="28"/>
          <w:szCs w:val="28"/>
          <w:rtl/>
        </w:rPr>
        <w:t xml:space="preserve">تکلیفاً فهو كذلك لكنّه لا ينافي صحّته من جهة الرخصة الوضعية من حيث انطباقه على الطّبيعة واشتماله على مصلحتها وإن أريد التّقييد من حيث الترخيص الوضعي بحيث يكون كسائر التّقييدات الشرعیّة فلا نسلّم ذلك بل لا يجوز للعقل ولا للشرع ذلك بعد اشتماله على ما هو مناط الطّلب المتعلّق بالطّبيعة، وعدم قابليّته لتعلّق التکلیف به بنفسه من جهة المزاحمة المذكورة غير ضائر في مصداقيّته لما هو المأمور به، فالتقييد على هذا الوجه منافٍ لتبعیّة الأحکام للمصالح؛ إذ لازمه تفويت المصلحة الموجودة فيه على فرض العصيان لخطاب آخر. فتدبّر.</w:t>
      </w:r>
    </w:p>
    <w:p>
      <w:pPr>
        <w:pStyle w:val="Heading5"/>
      </w:pPr>
      <w:bookmarkStart w:id="738" w:name="_Toc419"/>
      <w:r>
        <w:t>[الدليل السابع: عدم الفرق بين المقام وبين موارد التعارض]</w:t>
      </w:r>
      <w:bookmarkEnd w:id="738"/>
    </w:p>
    <w:p>
      <w:pPr>
        <w:pStyle w:val="BookText"/>
      </w:pPr>
      <w:r>
        <w:rPr>
          <w:rFonts w:ascii="Amiri" w:hAnsi="Amiri" w:eastAsia="Amiri" w:cs="Amiri"/>
          <w:lang w:bidi="ar-SA"/>
          <w:color w:val="111111"/>
          <w:sz w:val="28"/>
          <w:szCs w:val="28"/>
          <w:rtl/>
        </w:rPr>
        <w:t xml:space="preserve">السّابع: أنّ الأصوليّين</w:t>
      </w:r>
      <w:r>
        <w:rPr>
          <w:rStyle w:val="FootnoteReference"/>
        </w:rPr>
        <w:footnoteReference w:id="1712"/>
      </w:r>
      <w:r>
        <w:rPr>
          <w:rFonts w:ascii="IRNazanin" w:hAnsi="IRNazanin" w:eastAsia="IRNazanin" w:cs="IRNazanin"/>
          <w:lang w:bidi="fa-IR"/>
          <w:color w:val="111111"/>
          <w:sz w:val="28"/>
          <w:szCs w:val="28"/>
          <w:rtl/>
        </w:rPr>
        <w:t xml:space="preserve">متّفقون على إجراء أحكام التعارض على مثل «أکرم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 ولا تكرم الفاسق» ممّا كان بين متعلقي متعلّقي الطّلبین</w:t>
      </w:r>
      <w:r>
        <w:rPr>
          <w:rStyle w:val="FootnoteReference"/>
        </w:rPr>
        <w:footnoteReference w:id="1713"/>
      </w:r>
      <w:r>
        <w:rPr>
          <w:rFonts w:ascii="Amiri" w:hAnsi="Amiri" w:eastAsia="Amiri" w:cs="Amiri"/>
          <w:lang w:bidi="ar-SA"/>
          <w:color w:val="111111"/>
          <w:sz w:val="28"/>
          <w:szCs w:val="28"/>
          <w:rtl/>
        </w:rPr>
        <w:t xml:space="preserve">عموم من وجه ولا فرق بينه وبين مثل «صلّ</w:t>
      </w:r>
      <w:r>
        <w:rPr>
          <w:rStyle w:val="FootnoteReference"/>
        </w:rPr>
        <w:footnoteReference w:id="1714"/>
      </w:r>
      <w:r>
        <w:rPr>
          <w:rFonts w:ascii="IRNazanin" w:hAnsi="IRNazanin" w:eastAsia="IRNazanin" w:cs="IRNazanin"/>
          <w:lang w:bidi="fa-IR"/>
          <w:color w:val="111111"/>
          <w:sz w:val="28"/>
          <w:szCs w:val="28"/>
          <w:rtl/>
        </w:rPr>
        <w:t xml:space="preserve">ولا تغصب» ممّا كان العموم من وجه بين نفس المتعلّقين فلا بدّ وأن يكونا من المتعارضين وأن لا يجوز الحكم باجتماع الحكمين فيهما أیضاً.</w:t>
      </w:r>
    </w:p>
    <w:p>
      <w:pPr>
        <w:pStyle w:val="BookText"/>
      </w:pPr>
      <w:r>
        <w:rPr>
          <w:rFonts w:ascii="IRNazanin" w:hAnsi="IRNazanin" w:eastAsia="IRNazanin" w:cs="IRNazanin"/>
          <w:lang w:bidi="fa-IR"/>
          <w:color w:val="111111"/>
          <w:sz w:val="28"/>
          <w:szCs w:val="28"/>
          <w:rtl/>
        </w:rPr>
        <w:t xml:space="preserve">ودعوى</w:t>
      </w:r>
      <w:r>
        <w:rPr>
          <w:rStyle w:val="FootnoteReference"/>
        </w:rPr>
        <w:footnoteReference w:id="1715"/>
      </w:r>
    </w:p>
    <w:p>
      <w:pPr>
        <w:pStyle w:val="BookText"/>
      </w:pPr>
      <w:r>
        <w:rPr>
          <w:rFonts w:ascii="Amiri" w:hAnsi="Amiri" w:eastAsia="Amiri" w:cs="Amiri"/>
          <w:lang w:bidi="ar-SA"/>
          <w:color w:val="111111"/>
          <w:sz w:val="28"/>
          <w:szCs w:val="28"/>
          <w:rtl/>
        </w:rPr>
        <w:t xml:space="preserve">ويمكن الإيراد بمنع هذا الفرق فإنّ الأحكام إن قلنا بأنّها تتعلّق بالطّبائع فيجب القول به في المقامين وإن قلنا بأنّها تتعلّق بالأفراد فكذلك، فالفرق تحكّم، مضافاً إلى أنّ مورد الحكم هو أصل الإكرام مثلاً؛ إذ الطّلب وارد عليه والعالم والفاسق متعلّقان له. فافهم.</w:t>
      </w:r>
    </w:p>
    <w:p>
      <w:pPr>
        <w:pStyle w:val="BookText"/>
      </w:pPr>
      <w:r>
        <w:rPr>
          <w:rFonts w:ascii="Amiri" w:hAnsi="Amiri" w:eastAsia="Amiri" w:cs="Amiri"/>
          <w:lang w:bidi="ar-SA"/>
          <w:color w:val="111111"/>
          <w:sz w:val="28"/>
          <w:szCs w:val="28"/>
          <w:rtl/>
        </w:rPr>
        <w:t xml:space="preserve">والأولى أن يقال في وجه الفرق: إنّ ماهيّة الإكرام في المقامين واحدة بخلاف ماهيّة الصّلاة والغصب فإنّهما متغايرتان وإن كانتا موجودتين بوجود واحد، فالجواز في الثّاني إنّما هو لتغاير موردي الأمر والنّهي فيه بخلاف الأوّل».</w:t>
      </w:r>
    </w:p>
    <w:p>
      <w:pPr>
        <w:pStyle w:val="BookText"/>
      </w:pPr>
      <w:r>
        <w:rPr>
          <w:rFonts w:ascii="Amiri" w:hAnsi="Amiri" w:eastAsia="Amiri" w:cs="Amiri"/>
          <w:lang w:bidi="ar-SA"/>
          <w:color w:val="111111"/>
          <w:sz w:val="28"/>
          <w:szCs w:val="28"/>
          <w:rtl/>
        </w:rPr>
        <w:t xml:space="preserve">الفرق بأنّ الحكم في المثالين الأوّلين متعلّق بالأفراد ابتداءً ولفظ العالم والفاسق مرآة للأفراد فكأنّه راجع إلى العامّ الأصولي فيكون الاجتماع فيه من الاجتماع الآمري، كما ترى؛ إذ ظاهرهم جريان الحكم المذكور حتّى مع كون الحكم معلّقاً على طبيعة العالم والفاسق وكونهما عنوانين لا معرّفين.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أنّ کلّية الدعوى المذكورة في جميع المقامات لا بيّنة عليها ويمكن ادّعاء مثلها فيما هو محلّ النزاع في المقام.</w:t>
      </w:r>
    </w:p>
    <w:p>
      <w:pPr>
        <w:pStyle w:val="BookText"/>
      </w:pPr>
      <w:r>
        <w:rPr>
          <w:rFonts w:ascii="IRNazanin" w:hAnsi="IRNazanin" w:eastAsia="IRNazanin" w:cs="IRNazanin"/>
          <w:lang w:bidi="fa-IR"/>
          <w:color w:val="111111"/>
          <w:sz w:val="28"/>
          <w:szCs w:val="28"/>
          <w:rtl/>
        </w:rPr>
        <w:t xml:space="preserve">فإن قلت: فرق آخر بين المقامين وهو أنّ المتعلّق في المثال الأوّل وهو الإکرام واحد في الأمر والنهي وتعلّقه بالعالم والفاسق لا يخرجه عن ذلك، غاية الأمر أنّه إذا كان العالم غير الفاسق يكون الإکرام متعدّداً من حيث شخصه وأمّا في موردالاجتماع فيلزم تعلّق</w:t>
      </w:r>
      <w:r>
        <w:rPr>
          <w:rStyle w:val="FootnoteReference"/>
        </w:rPr>
        <w:footnoteReference w:id="1716"/>
      </w:r>
      <w:r>
        <w:rPr>
          <w:rFonts w:ascii="IRNazanin" w:hAnsi="IRNazanin" w:eastAsia="IRNazanin" w:cs="IRNazanin"/>
          <w:lang w:bidi="fa-IR"/>
          <w:color w:val="111111"/>
          <w:sz w:val="28"/>
          <w:szCs w:val="28"/>
          <w:rtl/>
        </w:rPr>
        <w:t xml:space="preserve">الوجوب والحرمة بعنوان واحد وهو الإکرام بخلاف المقام فإنّ الغصب غير الصّلاة من حيث الطّبيعة والمفهوم فيتعدّد المتعلّق حتّى في مورد الاجتماع.</w:t>
      </w:r>
    </w:p>
    <w:p>
      <w:pPr>
        <w:pStyle w:val="BookText"/>
      </w:pPr>
      <w:r>
        <w:rPr>
          <w:rFonts w:ascii="IRNazanin" w:hAnsi="IRNazanin" w:eastAsia="IRNazanin" w:cs="IRNazanin"/>
          <w:lang w:bidi="fa-IR"/>
          <w:color w:val="111111"/>
          <w:sz w:val="28"/>
          <w:szCs w:val="28"/>
          <w:rtl/>
        </w:rPr>
        <w:t xml:space="preserve">قلت: لا نسلّم ذلك فإنّ الإکرام المتعلّق للأمر هو المضاف إلى العالم وهو نوع مغاير للإکرام المتعلّق للنهي وهو المضاف إلى الفاسق ومع اختلاف الإضافة لا يتحقّق الاتّحاد الّذي هو مناط التناقض أو التضادّ؛ إذ لم يتعلّقا بشي‌ء واحد.</w:t>
      </w:r>
    </w:p>
    <w:p>
      <w:pPr>
        <w:pStyle w:val="BookText"/>
      </w:pPr>
      <w:r>
        <w:rPr>
          <w:rFonts w:ascii="IRNazanin" w:hAnsi="IRNazanin" w:eastAsia="IRNazanin" w:cs="IRNazanin"/>
          <w:lang w:bidi="fa-IR"/>
          <w:color w:val="111111"/>
          <w:sz w:val="28"/>
          <w:szCs w:val="28"/>
          <w:rtl/>
        </w:rPr>
        <w:t xml:space="preserve">ودعوى أنّ هذا القدر</w:t>
      </w:r>
      <w:r>
        <w:rPr>
          <w:rStyle w:val="FootnoteReference"/>
        </w:rPr>
        <w:footnoteReference w:id="1717"/>
      </w:r>
      <w:r>
        <w:rPr>
          <w:rFonts w:ascii="IRNazanin" w:hAnsi="IRNazanin" w:eastAsia="IRNazanin" w:cs="IRNazanin"/>
          <w:lang w:bidi="fa-IR"/>
          <w:color w:val="111111"/>
          <w:sz w:val="28"/>
          <w:szCs w:val="28"/>
          <w:rtl/>
        </w:rPr>
        <w:t xml:space="preserve">من الاختلاف لا یکفي في التعدّد؛ لأنّه مجرّد الاعتبار وإلّا فإکرام العالم الفاسق بإکرام واحد شي‌ء واحد فإضافته إلى العالم والفاسق لايوجب تعدّده، فهو كالبياض الموجود في الثوب المعمول من القطن حيث إنّه واحد حقیقة وإن کان يمكن إضافته إلى القطن وإلى اللباس وتعدّد هذه الإضافة لا يوجب تعدّده؛</w:t>
      </w:r>
    </w:p>
    <w:p>
      <w:pPr>
        <w:pStyle w:val="BookText"/>
      </w:pPr>
      <w:r>
        <w:rPr>
          <w:rFonts w:ascii="IRNazanin" w:hAnsi="IRNazanin" w:eastAsia="IRNazanin" w:cs="IRNazanin"/>
          <w:lang w:bidi="fa-IR"/>
          <w:color w:val="111111"/>
          <w:sz w:val="28"/>
          <w:szCs w:val="28"/>
          <w:rtl/>
        </w:rPr>
        <w:t xml:space="preserve">مدفوعة بأنّ المغايرة المذكورة كافية إذا كانت في عنوان الحكم بأن يكون الحكم وارداً على عنوان إکرام الفاسق وإکرام العادل لا</w:t>
      </w:r>
      <w:r>
        <w:rPr>
          <w:rStyle w:val="FootnoteReference"/>
        </w:rPr>
        <w:footnoteReference w:id="1718"/>
      </w:r>
      <w:r>
        <w:rPr>
          <w:rFonts w:ascii="IRNazanin" w:hAnsi="IRNazanin" w:eastAsia="IRNazanin" w:cs="IRNazanin"/>
          <w:lang w:bidi="fa-IR"/>
          <w:color w:val="111111"/>
          <w:sz w:val="28"/>
          <w:szCs w:val="28"/>
          <w:rtl/>
        </w:rPr>
        <w:t xml:space="preserve">على عنوان الإکرام، والمفروض اعتباره كذلك، فالاتّحاد في المفهوم مع قطع النظر عن الإضافة لا يضرّ بالمطلب.</w:t>
      </w:r>
    </w:p>
    <w:p>
      <w:pPr>
        <w:pStyle w:val="BookText"/>
      </w:pPr>
      <w:r>
        <w:rPr>
          <w:rFonts w:ascii="IRNazanin" w:hAnsi="IRNazanin" w:eastAsia="IRNazanin" w:cs="IRNazanin"/>
          <w:lang w:bidi="fa-IR"/>
          <w:color w:val="111111"/>
          <w:sz w:val="28"/>
          <w:szCs w:val="28"/>
          <w:rtl/>
        </w:rPr>
        <w:t xml:space="preserve">وفي مثال البياض أیضاً إذا كان حكم معلّقاً على عنوان بياض اللّباس وآخر على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40" w:name="pg6784_51478"/>
    <w:bookmarkEnd w:id="240"/>
    <w:p>
      <w:pPr>
        <w:pStyle w:val="BookText"/>
      </w:pPr>
      <w:r>
        <w:rPr>
          <w:rFonts w:ascii="Amiri" w:hAnsi="Amiri" w:eastAsia="Amiri" w:cs="Amiri"/>
          <w:lang w:bidi="ar-SA"/>
          <w:color w:val="111111"/>
          <w:sz w:val="28"/>
          <w:szCs w:val="28"/>
          <w:rtl/>
        </w:rPr>
        <w:t xml:space="preserve">عنوان بياض القطن يكون التعدّد المذكور كافياً.</w:t>
      </w:r>
    </w:p>
    <w:p>
      <w:pPr>
        <w:pStyle w:val="BookText"/>
      </w:pPr>
      <w:r>
        <w:rPr>
          <w:rFonts w:ascii="Amiri" w:hAnsi="Amiri" w:eastAsia="Amiri" w:cs="Amiri"/>
          <w:lang w:bidi="ar-SA"/>
          <w:color w:val="111111"/>
          <w:sz w:val="28"/>
          <w:szCs w:val="28"/>
          <w:rtl/>
        </w:rPr>
        <w:t xml:space="preserve">فالمدار هو العنوانيّة في لسان الدّليل والتعدّد من هذه الحيثيّة وإن كانت الحقيقة واحدة في الخارج.</w:t>
      </w:r>
    </w:p>
    <w:p>
      <w:pPr>
        <w:pStyle w:val="BookText"/>
      </w:pPr>
      <w:r>
        <w:rPr>
          <w:rFonts w:ascii="Amiri" w:hAnsi="Amiri" w:eastAsia="Amiri" w:cs="Amiri"/>
          <w:lang w:bidi="ar-SA"/>
          <w:color w:val="111111"/>
          <w:sz w:val="28"/>
          <w:szCs w:val="28"/>
          <w:rtl/>
        </w:rPr>
        <w:t xml:space="preserve">فتحصّل عدم الفرق بين المقامين فمقتضى إجماعهم على إجراء حكم المعارضة في المثال الأوّل إجراؤه</w:t>
      </w:r>
      <w:r>
        <w:rPr>
          <w:rStyle w:val="FootnoteReference"/>
        </w:rPr>
        <w:footnoteReference w:id="1719"/>
      </w:r>
      <w:r>
        <w:rPr>
          <w:rFonts w:ascii="IRNazanin" w:hAnsi="IRNazanin" w:eastAsia="IRNazanin" w:cs="IRNazanin"/>
          <w:lang w:bidi="fa-IR"/>
          <w:color w:val="111111"/>
          <w:sz w:val="28"/>
          <w:szCs w:val="28"/>
          <w:rtl/>
        </w:rPr>
        <w:t xml:space="preserve">في مثال النزاع أیضاً.</w:t>
      </w:r>
      <w:r>
        <w:rPr>
          <w:rStyle w:val="FootnoteReference"/>
        </w:rPr>
        <w:footnoteReference w:id="1720"/>
      </w:r>
    </w:p>
    <w:p>
      <w:pPr>
        <w:pStyle w:val="Heading5"/>
      </w:pPr>
      <w:bookmarkStart w:id="739" w:name="_Toc420"/>
      <w:r>
        <w:t>[نقد الدلیل السابع]</w:t>
      </w:r>
      <w:bookmarkEnd w:id="739"/>
    </w:p>
    <w:p>
      <w:pPr>
        <w:pStyle w:val="BookText"/>
      </w:pPr>
      <w:r>
        <w:rPr>
          <w:rFonts w:ascii="Amiri" w:hAnsi="Amiri" w:eastAsia="Amiri" w:cs="Amiri"/>
          <w:lang w:bidi="ar-SA"/>
          <w:color w:val="111111"/>
          <w:sz w:val="28"/>
          <w:szCs w:val="28"/>
          <w:rtl/>
        </w:rPr>
        <w:t xml:space="preserve">والجواب: أوّلاً: أنّ هذا الإجماع إنّما ينفع إذا لم يعلم اختلافهم في المثال الثاني ومع العلم بالنزاع والاختلاف كيف</w:t>
      </w:r>
      <w:r>
        <w:rPr>
          <w:rStyle w:val="FootnoteReference"/>
        </w:rPr>
        <w:footnoteReference w:id="1721"/>
      </w:r>
      <w:r>
        <w:rPr>
          <w:rFonts w:ascii="Amiri" w:hAnsi="Amiri" w:eastAsia="Amiri" w:cs="Amiri"/>
          <w:lang w:bidi="ar-SA"/>
          <w:color w:val="111111"/>
          <w:sz w:val="28"/>
          <w:szCs w:val="28"/>
          <w:rtl/>
        </w:rPr>
        <w:t xml:space="preserve">يمكن إجراء حكم الإجماع؟!</w:t>
      </w:r>
    </w:p>
    <w:p>
      <w:pPr>
        <w:pStyle w:val="BookText"/>
      </w:pPr>
      <w:r>
        <w:rPr>
          <w:rFonts w:ascii="Amiri" w:hAnsi="Amiri" w:eastAsia="Amiri" w:cs="Amiri"/>
          <w:lang w:bidi="ar-SA"/>
          <w:color w:val="111111"/>
          <w:sz w:val="28"/>
          <w:szCs w:val="28"/>
          <w:rtl/>
        </w:rPr>
        <w:t xml:space="preserve">غاية الأمر أن يكون هذا إيراداً عليهم.</w:t>
      </w:r>
    </w:p>
    <w:p>
      <w:pPr>
        <w:pStyle w:val="BookText"/>
      </w:pPr>
      <w:r>
        <w:rPr>
          <w:rFonts w:ascii="IRNazanin" w:hAnsi="IRNazanin" w:eastAsia="IRNazanin" w:cs="IRNazanin"/>
          <w:lang w:bidi="fa-IR"/>
          <w:color w:val="111111"/>
          <w:sz w:val="28"/>
          <w:szCs w:val="28"/>
          <w:rtl/>
        </w:rPr>
        <w:t xml:space="preserve">نعم إنّما يثمر مع النزاع أیضاً إذا كنّا عالمين بصحّة إجماعهم هناك وكشفه عن الواقع ولكن ليس كذلك بل يحتمل خطاؤهم هناك ويحتمل أن يكون ذلك منهم من جهة اعتقادهم الفرق بين المثالين بأحد الوجهين المذكورين أو غيرهما وإلّا فمع التفاتهم إلى عدم الفرق لا نسلّم إجراءهم أحكام التعارض على المثال الأوّل أیضاً.</w:t>
      </w:r>
    </w:p>
    <w:p>
      <w:pPr>
        <w:pStyle w:val="BookText"/>
      </w:pPr>
      <w:r>
        <w:rPr>
          <w:rFonts w:ascii="Amiri" w:hAnsi="Amiri" w:eastAsia="Amiri" w:cs="Amiri"/>
          <w:lang w:bidi="ar-SA"/>
          <w:color w:val="111111"/>
          <w:sz w:val="28"/>
          <w:szCs w:val="28"/>
          <w:rtl/>
        </w:rPr>
        <w:t xml:space="preserve">ويحتمل أن يكون نظرهم في هذا النزاع إلى حكم العقل وفي ذلك الباب إلى حكم</w:t>
      </w:r>
      <w:r>
        <w:rPr>
          <w:rStyle w:val="FootnoteReference"/>
        </w:rPr>
        <w:footnoteReference w:id="1722"/>
      </w:r>
      <w:r>
        <w:rPr>
          <w:rFonts w:ascii="IRNazanin" w:hAnsi="IRNazanin" w:eastAsia="IRNazanin" w:cs="IRNazanin"/>
          <w:lang w:bidi="fa-IR"/>
          <w:color w:val="111111"/>
          <w:sz w:val="28"/>
          <w:szCs w:val="28"/>
          <w:rtl/>
        </w:rPr>
        <w:t xml:space="preserve">العرف والظاهر أنّهم في باب التعارض أیضاً لا يفرقون بين المثالين وكذا في المقام وهذا كاشف عن اختلاف نظرهم في المقامين.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41" w:name="pg6784_51479"/>
    <w:bookmarkEnd w:id="241"/>
    <w:p>
      <w:pPr>
        <w:pStyle w:val="BookText"/>
      </w:pPr>
      <w:r>
        <w:rPr>
          <w:rFonts w:ascii="IRNazanin" w:hAnsi="IRNazanin" w:eastAsia="IRNazanin" w:cs="IRNazanin"/>
          <w:lang w:bidi="fa-IR"/>
          <w:color w:val="111111"/>
          <w:sz w:val="28"/>
          <w:szCs w:val="28"/>
          <w:rtl/>
        </w:rPr>
        <w:t xml:space="preserve">وثانياً: نقول إنّ نظرهم في المقام إلى باب التزاحم وإلى مورد يكون الحكم معلقاً على الطبيعة بحيث يعلم وجود المصلحة أو المفسدة في جميع الأفراد ولم يكن هناك مانع إلّا الأمر والنّهي وعدم إمکان الجمع بينهما أو إمکانه وفي المثال الّذي ذكره إلى ما لم يحرز فيه ذلك وليس نظرهم إلى الفرق بين المثالين.</w:t>
      </w:r>
    </w:p>
    <w:p>
      <w:pPr>
        <w:pStyle w:val="BookText"/>
      </w:pPr>
      <w:r>
        <w:rPr>
          <w:rFonts w:ascii="IRNazanin" w:hAnsi="IRNazanin" w:eastAsia="IRNazanin" w:cs="IRNazanin"/>
          <w:lang w:bidi="fa-IR"/>
          <w:color w:val="111111"/>
          <w:sz w:val="28"/>
          <w:szCs w:val="28"/>
          <w:rtl/>
        </w:rPr>
        <w:t xml:space="preserve">والحاصل: أنّ کلامهم في المقام بعد فرض شمول النهي لجميع الأفراد على سبيل التعيين وشمول الأمر لجميع الأفراد على التخيير العقلي مع قطع النّظر عن النهي وفي ذلك المقام مختصٌّ بما كان احتمال التخصيص وعدم الإرادة متحقّقاً في کلّ من العامّين فلا دلالة لما أجمعوا عليه هناك على شي‌ء ولا إشکال عليهم أیضاً.</w:t>
      </w:r>
    </w:p>
    <w:p>
      <w:pPr>
        <w:pStyle w:val="Heading5"/>
      </w:pPr>
      <w:bookmarkStart w:id="740" w:name="_Toc421"/>
      <w:r>
        <w:t>[الدليل الثامن: انكشاف حكم العقل بعدم جواز الاجتماع من فهم العرف]</w:t>
      </w:r>
      <w:bookmarkEnd w:id="740"/>
    </w:p>
    <w:p>
      <w:pPr>
        <w:pStyle w:val="BookText"/>
      </w:pPr>
      <w:r>
        <w:rPr>
          <w:rFonts w:ascii="IRNazanin" w:hAnsi="IRNazanin" w:eastAsia="IRNazanin" w:cs="IRNazanin"/>
          <w:lang w:bidi="fa-IR"/>
          <w:color w:val="111111"/>
          <w:sz w:val="28"/>
          <w:szCs w:val="28"/>
          <w:rtl/>
        </w:rPr>
        <w:t xml:space="preserve">الثّامن: أنّ العرف يفهم في مثل «صلّ ولا تغصب» ونحوه من أمثلة الاجتماع التخصيص وأنّ الشارع لم يُرد کلّاً من العامّين بعمومه وهذا كاشف إجمالي عن حكم العقل بعدم جواز الاجتماع؛ إذ ليس في اللّفظ ما يدلّ عليه.</w:t>
      </w:r>
    </w:p>
    <w:p>
      <w:pPr>
        <w:pStyle w:val="BookText"/>
      </w:pPr>
      <w:r>
        <w:rPr>
          <w:rFonts w:ascii="IRNazanin" w:hAnsi="IRNazanin" w:eastAsia="IRNazanin" w:cs="IRNazanin"/>
          <w:lang w:bidi="fa-IR"/>
          <w:color w:val="111111"/>
          <w:sz w:val="28"/>
          <w:szCs w:val="28"/>
          <w:rtl/>
        </w:rPr>
        <w:t xml:space="preserve">مع أنّه لو كان في اللّفظ ما يدلّ عليه أیضاً كفى في الحكم بعدم جواز الاجتماع.</w:t>
      </w:r>
      <w:r>
        <w:rPr>
          <w:rStyle w:val="FootnoteReference"/>
        </w:rPr>
        <w:footnoteReference w:id="1723"/>
      </w:r>
    </w:p>
    <w:p>
      <w:pPr>
        <w:pStyle w:val="Heading5"/>
      </w:pPr>
      <w:bookmarkStart w:id="741" w:name="_Toc422"/>
      <w:r>
        <w:t>[نقد الدلیل الثامن]</w:t>
      </w:r>
      <w:bookmarkEnd w:id="741"/>
    </w:p>
    <w:p>
      <w:pPr>
        <w:pStyle w:val="BookText"/>
      </w:pPr>
      <w:r>
        <w:rPr>
          <w:rFonts w:ascii="Amiri" w:hAnsi="Amiri" w:eastAsia="Amiri" w:cs="Amiri"/>
          <w:lang w:bidi="ar-SA"/>
          <w:color w:val="111111"/>
          <w:sz w:val="28"/>
          <w:szCs w:val="28"/>
          <w:rtl/>
        </w:rPr>
        <w:t xml:space="preserve">والجواب - بعد تسليم فهم العرف التخصيص - أنّ ذلك مسلّم فيما كان من باب التعارض بأن يكون في مورد لم يعلم تعليق الحكم على الطّبيعة السّارية في جميع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42" w:name="pg6784_51480"/>
    <w:bookmarkEnd w:id="242"/>
    <w:p>
      <w:pPr>
        <w:pStyle w:val="BookText"/>
      </w:pPr>
      <w:r>
        <w:rPr>
          <w:rFonts w:ascii="IRNazanin" w:hAnsi="IRNazanin" w:eastAsia="IRNazanin" w:cs="IRNazanin"/>
          <w:lang w:bidi="fa-IR"/>
          <w:color w:val="111111"/>
          <w:sz w:val="28"/>
          <w:szCs w:val="28"/>
          <w:rtl/>
        </w:rPr>
        <w:t xml:space="preserve">الأفراد وكون جميعها واجداً لمصلحة الحكم واحتمل قصر الحكم والمصلحة على بعض الأفراد، وقد عرفت أنّ محلّ النزاع إنّما هو فيما كان من باب التّزاحم والعرف لا يفهم التخصيص في مثله ولو فهموا لم يكن ذلك حجة؛ إذ لا يرجع إلى اللّفظ بلالمسألة حینئذٍ</w:t>
      </w:r>
      <w:r>
        <w:rPr>
          <w:rStyle w:val="FootnoteReference"/>
        </w:rPr>
        <w:footnoteReference w:id="1724"/>
      </w:r>
      <w:r>
        <w:rPr>
          <w:rFonts w:ascii="Amiri" w:hAnsi="Amiri" w:eastAsia="Amiri" w:cs="Amiri"/>
          <w:lang w:bidi="ar-SA"/>
          <w:color w:val="111111"/>
          <w:sz w:val="28"/>
          <w:szCs w:val="28"/>
          <w:rtl/>
        </w:rPr>
        <w:t xml:space="preserve">عقليّة لا دخل لفهم العرف فيها.</w:t>
      </w:r>
    </w:p>
    <w:p>
      <w:pPr>
        <w:pStyle w:val="Heading5"/>
      </w:pPr>
      <w:bookmarkStart w:id="742" w:name="_Toc423"/>
      <w:r>
        <w:t>[الدليل التاسع: نسبة الناس الآمر بشي‌ء من جهة والناهي عنه من جهة آخر إلى السّفاهة]</w:t>
      </w:r>
      <w:bookmarkEnd w:id="742"/>
    </w:p>
    <w:p>
      <w:pPr>
        <w:pStyle w:val="BookText"/>
      </w:pPr>
      <w:r>
        <w:rPr>
          <w:rFonts w:ascii="Amiri" w:hAnsi="Amiri" w:eastAsia="Amiri" w:cs="Amiri"/>
          <w:lang w:bidi="ar-SA"/>
          <w:color w:val="111111"/>
          <w:sz w:val="28"/>
          <w:szCs w:val="28"/>
          <w:rtl/>
        </w:rPr>
        <w:t xml:space="preserve">التّاسع: أنّه لو قال أحد: «افعل هذا الفعل من هذه الجهة ولا تفعله من تلك الجهة» كأن يقول: «تصرّف في هذا المكان من جهة كونه صلاة ولا تتصرّف فيه من جهة كونه غصباً» لنسبوه إلى السّفاهة وخفّة الرّأي ولولا امتناع الاجتماع لم يكن كذلك.</w:t>
      </w:r>
    </w:p>
    <w:p>
      <w:pPr>
        <w:pStyle w:val="BookText"/>
      </w:pPr>
      <w:r>
        <w:rPr>
          <w:rFonts w:ascii="Amiri" w:hAnsi="Amiri" w:eastAsia="Amiri" w:cs="Amiri"/>
          <w:lang w:bidi="ar-SA"/>
          <w:color w:val="111111"/>
          <w:sz w:val="28"/>
          <w:szCs w:val="28"/>
          <w:rtl/>
        </w:rPr>
        <w:t xml:space="preserve">وبتقرير آخر لو جاز الاجتماع ولو مع تعدّد الجهة لجاز التصريح به مع أنّه لا يجوز قطعاً.</w:t>
      </w:r>
      <w:r>
        <w:rPr>
          <w:rStyle w:val="FootnoteReference"/>
        </w:rPr>
        <w:footnoteReference w:id="1725"/>
      </w:r>
    </w:p>
    <w:p>
      <w:pPr>
        <w:pStyle w:val="Heading5"/>
      </w:pPr>
      <w:bookmarkStart w:id="743" w:name="_Toc424"/>
      <w:r>
        <w:t>[نقد الدلیل التاسع]</w:t>
      </w:r>
      <w:bookmarkEnd w:id="743"/>
    </w:p>
    <w:p>
      <w:pPr>
        <w:pStyle w:val="BookText"/>
      </w:pPr>
      <w:r>
        <w:rPr>
          <w:rFonts w:ascii="Amiri" w:hAnsi="Amiri" w:eastAsia="Amiri" w:cs="Amiri"/>
          <w:lang w:bidi="ar-SA"/>
          <w:color w:val="111111"/>
          <w:sz w:val="28"/>
          <w:szCs w:val="28"/>
          <w:rtl/>
        </w:rPr>
        <w:t xml:space="preserve">والجواب أنّ ذلك مسلّم فيما لو</w:t>
      </w:r>
      <w:r>
        <w:rPr>
          <w:rStyle w:val="FootnoteReference"/>
        </w:rPr>
        <w:footnoteReference w:id="1726"/>
      </w:r>
      <w:r>
        <w:rPr>
          <w:rFonts w:ascii="IRNazanin" w:hAnsi="IRNazanin" w:eastAsia="IRNazanin" w:cs="IRNazanin"/>
          <w:lang w:bidi="fa-IR"/>
          <w:color w:val="111111"/>
          <w:sz w:val="28"/>
          <w:szCs w:val="28"/>
          <w:rtl/>
        </w:rPr>
        <w:t xml:space="preserve">كان الفرد مورداً للحكم من جهتين تعلیليّتين</w:t>
      </w:r>
      <w:r>
        <w:rPr>
          <w:rStyle w:val="FootnoteReference"/>
        </w:rPr>
        <w:footnoteReference w:id="1727"/>
      </w:r>
      <w:r>
        <w:rPr>
          <w:rFonts w:ascii="IRNazanin" w:hAnsi="IRNazanin" w:eastAsia="IRNazanin" w:cs="IRNazanin"/>
          <w:lang w:bidi="fa-IR"/>
          <w:color w:val="111111"/>
          <w:sz w:val="28"/>
          <w:szCs w:val="28"/>
          <w:rtl/>
        </w:rPr>
        <w:t xml:space="preserve">وقد عرفت خلافه.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43" w:name="pg6784_51481"/>
    <w:bookmarkEnd w:id="243"/>
    <w:p>
      <w:pPr>
        <w:pStyle w:val="BookText"/>
      </w:pPr>
      <w:r>
        <w:rPr>
          <w:rFonts w:ascii="IRNazanin" w:hAnsi="IRNazanin" w:eastAsia="IRNazanin" w:cs="IRNazanin"/>
          <w:lang w:bidi="fa-IR"/>
          <w:color w:val="111111"/>
          <w:sz w:val="28"/>
          <w:szCs w:val="28"/>
          <w:rtl/>
        </w:rPr>
        <w:t xml:space="preserve">ولذا</w:t>
      </w:r>
      <w:r>
        <w:rPr>
          <w:rStyle w:val="FootnoteReference"/>
        </w:rPr>
        <w:footnoteReference w:id="1728"/>
      </w:r>
      <w:r>
        <w:rPr>
          <w:rFonts w:ascii="Amiri" w:hAnsi="Amiri" w:eastAsia="Amiri" w:cs="Amiri"/>
          <w:lang w:bidi="ar-SA"/>
          <w:color w:val="111111"/>
          <w:sz w:val="28"/>
          <w:szCs w:val="28"/>
          <w:rtl/>
        </w:rPr>
        <w:t xml:space="preserve">ترى أنّه يصحّ أن يقول: «صلّ ولا تغصب ولو أتيت بالصّلاة في الدار الغصبيّة أتيت بمطلوبي لكن أعاقبك على مخالفة النهي» ولو كان الأمر مقيّداً بما عدا</w:t>
      </w:r>
      <w:r>
        <w:rPr>
          <w:rStyle w:val="FootnoteReference"/>
        </w:rPr>
        <w:footnoteReference w:id="1729"/>
      </w:r>
      <w:r>
        <w:rPr>
          <w:rFonts w:ascii="Amiri" w:hAnsi="Amiri" w:eastAsia="Amiri" w:cs="Amiri"/>
          <w:lang w:bidi="ar-SA"/>
          <w:color w:val="111111"/>
          <w:sz w:val="28"/>
          <w:szCs w:val="28"/>
          <w:rtl/>
        </w:rPr>
        <w:t xml:space="preserve">هذا الفرد لم يصحّ ذلك.</w:t>
      </w:r>
      <w:r>
        <w:rPr>
          <w:rStyle w:val="FootnoteReference"/>
        </w:rPr>
        <w:footnoteReference w:id="1730"/>
      </w:r>
    </w:p>
    <w:p>
      <w:pPr>
        <w:pStyle w:val="Heading5"/>
      </w:pPr>
      <w:bookmarkStart w:id="744" w:name="_Toc425"/>
      <w:r>
        <w:t>[الدليل العاشر: شرط تعلّق الأمر بشي‌ء في ضمن العموم أن لا يعلم إنكار الآمر لفرديّته]</w:t>
      </w:r>
      <w:bookmarkEnd w:id="744"/>
    </w:p>
    <w:p>
      <w:pPr>
        <w:pStyle w:val="BookText"/>
      </w:pPr>
      <w:r>
        <w:rPr>
          <w:rFonts w:ascii="Amiri" w:hAnsi="Amiri" w:eastAsia="Amiri" w:cs="Amiri"/>
          <w:lang w:bidi="ar-SA"/>
          <w:color w:val="111111"/>
          <w:sz w:val="28"/>
          <w:szCs w:val="28"/>
          <w:rtl/>
        </w:rPr>
        <w:t xml:space="preserve">العاشر: أنّه يشترط في تعلّق الأمر بشي‌ء في ضمن العموم أن يكون ذلك الشي‌ء - مضافاً إلى كونه فرداً لذلك العامّ - بحيث لم يعلم من الخارج أنّه لو سئل من الآمر أو الناهي تعلّق أمره أو نهيه به أنكره وتحاشى عنه، ولو علم ذلك يكشف عن عدم كونه مشمولاً للأمر في ضمن العموم ولو على سبيل الانطباق، ومن المعلوم أنّه لو قال: «اذهب إلى السّوق ولا تركب» فسئل عن الذهاب راكباً لا يجيب ب-: «افعل ولاتفعل».</w:t>
      </w:r>
      <w:r>
        <w:rPr>
          <w:rStyle w:val="FootnoteReference"/>
        </w:rPr>
        <w:footnoteReference w:id="1731"/>
      </w:r>
    </w:p>
    <w:p>
      <w:pPr>
        <w:pStyle w:val="Heading5"/>
      </w:pPr>
      <w:bookmarkStart w:id="745" w:name="_Toc426"/>
      <w:r>
        <w:t>[نقد الدلیل العاشر]</w:t>
      </w:r>
      <w:bookmarkEnd w:id="745"/>
    </w:p>
    <w:p>
      <w:pPr>
        <w:pStyle w:val="BookText"/>
      </w:pPr>
      <w:r>
        <w:rPr>
          <w:rFonts w:ascii="Amiri" w:hAnsi="Amiri" w:eastAsia="Amiri" w:cs="Amiri"/>
          <w:lang w:bidi="ar-SA"/>
          <w:color w:val="111111"/>
          <w:sz w:val="28"/>
          <w:szCs w:val="28"/>
          <w:rtl/>
        </w:rPr>
        <w:t xml:space="preserve">ويظهر</w:t>
      </w:r>
      <w:r>
        <w:rPr>
          <w:rStyle w:val="FootnoteReference"/>
        </w:rPr>
        <w:footnoteReference w:id="1732"/>
      </w:r>
      <w:r>
        <w:rPr>
          <w:rFonts w:ascii="IRNazanin" w:hAnsi="IRNazanin" w:eastAsia="IRNazanin" w:cs="IRNazanin"/>
          <w:lang w:bidi="fa-IR"/>
          <w:color w:val="111111"/>
          <w:sz w:val="28"/>
          <w:szCs w:val="28"/>
          <w:rtl/>
        </w:rPr>
        <w:t xml:space="preserve">جوابه ممّا مرّ فإنّ دخوله في المطلوب على وجه الانطباق لا يتوقّف على إمکان كونه بنفسه متعلّقاً للأمر والنهي، ولذا لو سئل أنّ هذا الفرد منطبق على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44" w:name="pg6784_51482"/>
    <w:bookmarkEnd w:id="244"/>
    <w:p>
      <w:pPr>
        <w:pStyle w:val="BookText"/>
      </w:pPr>
      <w:r>
        <w:rPr>
          <w:rFonts w:ascii="Amiri" w:hAnsi="Amiri" w:eastAsia="Amiri" w:cs="Amiri"/>
          <w:lang w:bidi="ar-SA"/>
          <w:color w:val="111111"/>
          <w:sz w:val="28"/>
          <w:szCs w:val="28"/>
          <w:rtl/>
        </w:rPr>
        <w:t xml:space="preserve">مطلوبك بحيث لو أتيت به كنت آتياً بمطلوبك أو لا؟ يجيب قطعاً بأنّه منطبق.</w:t>
      </w:r>
    </w:p>
    <w:p>
      <w:pPr>
        <w:pStyle w:val="Heading5"/>
      </w:pPr>
      <w:bookmarkStart w:id="746" w:name="_Toc427"/>
      <w:r>
        <w:t>[الإشکال على الاجتماع بعدم إمکان الامتثال]</w:t>
      </w:r>
      <w:bookmarkEnd w:id="746"/>
    </w:p>
    <w:p>
      <w:pPr>
        <w:pStyle w:val="BookText"/>
      </w:pPr>
      <w:r>
        <w:rPr>
          <w:rFonts w:ascii="IRNazanin" w:hAnsi="IRNazanin" w:eastAsia="IRNazanin" w:cs="IRNazanin"/>
          <w:lang w:bidi="fa-IR"/>
          <w:color w:val="111111"/>
          <w:sz w:val="28"/>
          <w:szCs w:val="28"/>
          <w:rtl/>
        </w:rPr>
        <w:t xml:space="preserve">ثمّ إنّه قد يقال: إنّه لا مانع من اجتماع الأمر والنّهي في شي‌ء واحد على ما مرّ إلّا أنّه لا يمكن الامتثال بهذا الفرد؛ لأنّه موقوف على قصد القربة ولا يمكن ذلك؛ إذ لايطاع الله تعالى من حيث يعصى، والفعل الّذي علم كونه مبغوضاً للشارع من جهة المفسدة الغالبة على المصلحة كيف يمكن التقرّب به إلیه؟!</w:t>
      </w:r>
    </w:p>
    <w:p>
      <w:pPr>
        <w:pStyle w:val="Heading5"/>
      </w:pPr>
      <w:bookmarkStart w:id="747" w:name="_Toc428"/>
      <w:r>
        <w:t>[جواب الإشکال]</w:t>
      </w:r>
      <w:bookmarkEnd w:id="747"/>
    </w:p>
    <w:p>
      <w:pPr>
        <w:pStyle w:val="BookText"/>
      </w:pPr>
      <w:r>
        <w:rPr>
          <w:rFonts w:ascii="Amiri" w:hAnsi="Amiri" w:eastAsia="Amiri" w:cs="Amiri"/>
          <w:lang w:bidi="ar-SA"/>
          <w:color w:val="111111"/>
          <w:sz w:val="28"/>
          <w:szCs w:val="28"/>
          <w:rtl/>
        </w:rPr>
        <w:t xml:space="preserve">والجواب عنه يظهر ممّا مرّ؛ إذ الامتثال والتقرّب إنّما هو من جهة كونه مصداقاً للمأمور به وواجداً لمصلحته فلا تكون</w:t>
      </w:r>
      <w:r>
        <w:rPr>
          <w:rStyle w:val="FootnoteReference"/>
        </w:rPr>
        <w:footnoteReference w:id="1733"/>
      </w:r>
      <w:r>
        <w:rPr>
          <w:rFonts w:ascii="IRNazanin" w:hAnsi="IRNazanin" w:eastAsia="IRNazanin" w:cs="IRNazanin"/>
          <w:lang w:bidi="fa-IR"/>
          <w:color w:val="111111"/>
          <w:sz w:val="28"/>
          <w:szCs w:val="28"/>
          <w:rtl/>
        </w:rPr>
        <w:t xml:space="preserve">الإطاعة من حيث العصيان؛ إذ لا يتقرّب بهذا الفعل من جهة كونه غصباً مثلاً بل من جهة كونه صلاة ولا مانع منه بل لا يعقل عدم إمکان قصد الامتثال والقربة مع فرض وجود الأمر بعد الاعتراف بالتعلّق بالطّبيعة وعدم كون الفرد محلّاً للحكم سواء كان مباحاً أو محرّماً؛ إذ المدار حینئذٍ على قصد الإتیان بالطبيعة الموجودة في ضمن هذا الفرد. وهذا واضح.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45" w:name="pg6784_51483"/>
    <w:bookmarkEnd w:id="245"/>
    <w:p>
      <w:pPr>
        <w:pStyle w:val="Heading4"/>
      </w:pPr>
      <w:bookmarkStart w:id="748" w:name="_Toc429"/>
      <w:r>
        <w:t>[في تحریر حجّة المفصّل بین العقل والعرف]</w:t>
      </w:r>
      <w:bookmarkEnd w:id="748"/>
    </w:p>
    <w:p>
      <w:pPr>
        <w:pStyle w:val="BookText"/>
      </w:pPr>
      <w:r>
        <w:rPr>
          <w:rFonts w:ascii="Amiri" w:hAnsi="Amiri" w:eastAsia="Amiri" w:cs="Amiri"/>
          <w:lang w:bidi="ar-SA"/>
          <w:color w:val="111111"/>
          <w:sz w:val="28"/>
          <w:szCs w:val="28"/>
          <w:rtl/>
        </w:rPr>
        <w:t xml:space="preserve">ويمكن أن يحتجَّ</w:t>
      </w:r>
      <w:r>
        <w:rPr>
          <w:rStyle w:val="FootnoteReference"/>
        </w:rPr>
        <w:footnoteReference w:id="1734"/>
      </w:r>
      <w:r>
        <w:rPr>
          <w:rFonts w:ascii="Amiri" w:hAnsi="Amiri" w:eastAsia="Amiri" w:cs="Amiri"/>
          <w:lang w:bidi="ar-SA"/>
          <w:color w:val="111111"/>
          <w:sz w:val="28"/>
          <w:szCs w:val="28"/>
          <w:rtl/>
        </w:rPr>
        <w:t xml:space="preserve">للمفصّل بين العقل والعرف وأنّه يجوز عقلاً لا عرفاً على ما نسب إلى سلطان المحقّقين في حاشية المعالم</w:t>
      </w:r>
      <w:r>
        <w:rPr>
          <w:rStyle w:val="FootnoteReference"/>
        </w:rPr>
        <w:footnoteReference w:id="1735"/>
      </w:r>
      <w:r>
        <w:rPr>
          <w:rFonts w:ascii="Amiri" w:hAnsi="Amiri" w:eastAsia="Amiri" w:cs="Amiri"/>
          <w:lang w:bidi="ar-SA"/>
          <w:color w:val="111111"/>
          <w:sz w:val="28"/>
          <w:szCs w:val="28"/>
          <w:rtl/>
        </w:rPr>
        <w:t xml:space="preserve">والأردبيلي</w:t>
      </w:r>
      <w:r>
        <w:rPr>
          <w:rStyle w:val="FootnoteReference"/>
        </w:rPr>
        <w:footnoteReference w:id="1736"/>
      </w:r>
    </w:p>
    <w:p>
      <w:pPr>
        <w:pStyle w:val="BookText"/>
      </w:pPr>
      <w:r>
        <w:rPr>
          <w:rFonts w:ascii="IRNazanin" w:hAnsi="IRNazanin" w:eastAsia="IRNazanin" w:cs="IRNazanin"/>
          <w:lang w:bidi="fa-IR"/>
          <w:color w:val="111111"/>
          <w:sz w:val="28"/>
          <w:szCs w:val="28"/>
          <w:rtl/>
        </w:rPr>
        <w:t xml:space="preserve">في الوضوء في المکان الغصبي: «لم يأت بالمأمور به عرفاً... نعم العقل يجوّز الصحة لو صرّح بأنّه لو فعلت في المكان الغصبى بعد نهيك عنه لصحّ وعوقبت بما فعلت من مخالفة الأمر في الجملة». ولکن قال الشیخ الأنصاري (رحمة الله‌علیه) «ولعلّ موضع الاستفادة من هذا الكلام قوله: «لأنّه لم يأت بالمأمور به عرفاً، نعم العقل يجوّز الصحّة لو صرّح» وأنت خبير بما في هذه الاستفادة؛ إذ لم نجد لكلامه دلالة على المدّعى بوجه». ولتفصیل الکلام راجع: مطارح الأنظار، ج1، ص612.</w:t>
      </w:r>
    </w:p>
    <w:p>
      <w:pPr>
        <w:pStyle w:val="BookText"/>
      </w:pPr>
      <w:r>
        <w:rPr>
          <w:rFonts w:ascii="IRNazanin" w:hAnsi="IRNazanin" w:eastAsia="IRNazanin" w:cs="IRNazanin"/>
          <w:lang w:bidi="fa-IR"/>
          <w:color w:val="111111"/>
          <w:sz w:val="28"/>
          <w:szCs w:val="28"/>
          <w:rtl/>
        </w:rPr>
        <w:t xml:space="preserve">وسيّد الرياض (رحمة الله‌علیه)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الله أعلم.- وإن</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46" w:name="pg6784_51484"/>
    <w:bookmarkEnd w:id="246"/>
    <w:p>
      <w:pPr>
        <w:pStyle w:val="BookText"/>
      </w:pPr>
      <w:r>
        <w:rPr>
          <w:rFonts w:ascii="Amiri" w:hAnsi="Amiri" w:eastAsia="Amiri" w:cs="Amiri"/>
          <w:lang w:bidi="ar-SA"/>
          <w:color w:val="111111"/>
          <w:sz w:val="28"/>
          <w:szCs w:val="28"/>
          <w:rtl/>
        </w:rPr>
        <w:t xml:space="preserve">عرفت المناقشة في صدق النّسبة إلى الأخيرين</w:t>
      </w:r>
      <w:r>
        <w:rPr>
          <w:rStyle w:val="FootnoteReference"/>
        </w:rPr>
        <w:footnoteReference w:id="1737"/>
      </w:r>
      <w:r>
        <w:rPr>
          <w:rFonts w:ascii="Amiri" w:hAnsi="Amiri" w:eastAsia="Amiri" w:cs="Amiri"/>
          <w:lang w:bidi="ar-SA"/>
          <w:color w:val="111111"/>
          <w:sz w:val="28"/>
          <w:szCs w:val="28"/>
          <w:rtl/>
        </w:rPr>
        <w:t xml:space="preserve">- بأنّه مقتضىالجمع بين أدلّة المجوّزين من عدم لزوم اجتماع الضدّين وغيره من المحاذير وبين ما يظهر في العرف من فهم التعارض بين الأمر والنّهي في مادّة الاجتماع والحكم بلزوم تخصيص أحدهما بالآخر لو ساعد عليه دليل، والتساقط والرّجوع إلى الأصل مع عدمه.</w:t>
      </w:r>
    </w:p>
    <w:p>
      <w:pPr>
        <w:pStyle w:val="Heading4"/>
      </w:pPr>
      <w:bookmarkStart w:id="749" w:name="_Toc430"/>
      <w:r>
        <w:t>[نقد حجّة المفصّل بین العقل والعرف]</w:t>
      </w:r>
      <w:bookmarkEnd w:id="749"/>
    </w:p>
    <w:p>
      <w:pPr>
        <w:pStyle w:val="BookText"/>
      </w:pPr>
      <w:r>
        <w:rPr>
          <w:rFonts w:ascii="IRNazanin" w:hAnsi="IRNazanin" w:eastAsia="IRNazanin" w:cs="IRNazanin"/>
          <w:lang w:bidi="fa-IR"/>
          <w:color w:val="111111"/>
          <w:sz w:val="28"/>
          <w:szCs w:val="28"/>
          <w:rtl/>
        </w:rPr>
        <w:t xml:space="preserve">وربما يورد عليه بأنّ هذا الاختلاف بين العقل والعرف إمّا يكون في موضوع واحد بأن يكونا متّفقين على كون متعلّق الأحکام هي الطّبایع أو الأفراد وإمّا يكون في موضوعين بأن يكون المتعلّق عند العقل الطبایع وعند العرف الأفراد لا سبيل إلى الأوّل لامتناع كون حكم العرف على خلاف حكم العقل، كيف وأهل العرف هم العقلاء؟! وحكمهم بشي‌ء حكم عقلي إجمالي، ولا إلى الثاني؛ إذ على هذا لا نزاع بينهما في أنّه على فرض تعلّق الأحکام بالطّبائع يجوز</w:t>
      </w:r>
      <w:r>
        <w:rPr>
          <w:rStyle w:val="FootnoteReference"/>
        </w:rPr>
        <w:footnoteReference w:id="1738"/>
      </w:r>
      <w:r>
        <w:rPr>
          <w:rFonts w:ascii="IRNazanin" w:hAnsi="IRNazanin" w:eastAsia="IRNazanin" w:cs="IRNazanin"/>
          <w:lang w:bidi="fa-IR"/>
          <w:color w:val="111111"/>
          <w:sz w:val="28"/>
          <w:szCs w:val="28"/>
          <w:rtl/>
        </w:rPr>
        <w:t xml:space="preserve">الاجتماع وعلى فرض التعلّق بالأفراد لايجوز فلا بدّ من تشخيص هذا بعد اتّفاقهما على الحكم على کلّ من التقديرين.</w:t>
      </w:r>
    </w:p>
    <w:p>
      <w:pPr>
        <w:pStyle w:val="BookText"/>
      </w:pPr>
      <w:r>
        <w:rPr>
          <w:rFonts w:ascii="Amiri" w:hAnsi="Amiri" w:eastAsia="Amiri" w:cs="Amiri"/>
          <w:lang w:bidi="ar-SA"/>
          <w:color w:val="111111"/>
          <w:sz w:val="28"/>
          <w:szCs w:val="28"/>
          <w:rtl/>
        </w:rPr>
        <w:t xml:space="preserve">فإن قيل: وجه الاختلاف في الحكم اختلافهما في تشخيص الصّغرى فالعقل بملاحظة أنّ الأمر موضوع لطلب الطبيعة يحكم بأنّها المتعلّق ويجوز الاجتماع،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والعرف يفهم من الأوامر التعلّق بالأفراد وأنّ المراد خلاف الوضع اللغوي فيحكم بالامتناع.</w:t>
      </w:r>
    </w:p>
    <w:p>
      <w:pPr>
        <w:pStyle w:val="BookText"/>
      </w:pPr>
      <w:r>
        <w:rPr>
          <w:rFonts w:ascii="Amiri" w:hAnsi="Amiri" w:eastAsia="Amiri" w:cs="Amiri"/>
          <w:lang w:bidi="ar-SA"/>
          <w:color w:val="111111"/>
          <w:sz w:val="28"/>
          <w:szCs w:val="28"/>
          <w:rtl/>
        </w:rPr>
        <w:t xml:space="preserve">يقال: إذا كان المعنى اللّغوى ما</w:t>
      </w:r>
      <w:r>
        <w:rPr>
          <w:rStyle w:val="FootnoteReference"/>
        </w:rPr>
        <w:footnoteReference w:id="1739"/>
      </w:r>
      <w:r>
        <w:rPr>
          <w:rFonts w:ascii="Amiri" w:hAnsi="Amiri" w:eastAsia="Amiri" w:cs="Amiri"/>
          <w:lang w:bidi="ar-SA"/>
          <w:color w:val="111111"/>
          <w:sz w:val="28"/>
          <w:szCs w:val="28"/>
          <w:rtl/>
        </w:rPr>
        <w:t xml:space="preserve">ذكر فلا وجه للعدول عنه إلّا إذا كان هناك وضع عرفي ثانوي أو قرينة والأوّل معلوم العدم والثاني إمّا عقليّة أو غيرها من غلبة الاستعمال أو الوجود</w:t>
      </w:r>
      <w:r>
        <w:rPr>
          <w:rStyle w:val="FootnoteReference"/>
        </w:rPr>
        <w:footnoteReference w:id="1740"/>
      </w:r>
      <w:r>
        <w:rPr>
          <w:rFonts w:ascii="IRNazanin" w:hAnsi="IRNazanin" w:eastAsia="IRNazanin" w:cs="IRNazanin"/>
          <w:lang w:bidi="fa-IR"/>
          <w:color w:val="111111"/>
          <w:sz w:val="28"/>
          <w:szCs w:val="28"/>
          <w:rtl/>
        </w:rPr>
        <w:t xml:space="preserve">ممّا هو منشأ الاختلاف والأوّل معلوم العدم أو مفروضه؛ إذ لا مانع عند العقل من التعلّق بالطّبيعة على ما هو المفروض وكذا الثاني؛ إذ لا نرى شيئاًيقضي بأنّ المستفاد من الخطابات الشرعیّة غير مداليلها اللّغوية.</w:t>
      </w:r>
    </w:p>
    <w:p>
      <w:pPr>
        <w:pStyle w:val="BookText"/>
      </w:pPr>
      <w:r>
        <w:rPr>
          <w:rFonts w:ascii="Amiri" w:hAnsi="Amiri" w:eastAsia="Amiri" w:cs="Amiri"/>
          <w:lang w:bidi="ar-SA"/>
          <w:color w:val="111111"/>
          <w:sz w:val="28"/>
          <w:szCs w:val="28"/>
          <w:rtl/>
        </w:rPr>
        <w:t xml:space="preserve">ثمّ على فرض وجود الوضع الثانوي أو القرينة المعتبرة فلا وجه لحكم العقل بخلافه؛ إذ لا بدّ له من الحكم على طبق ما يستفاد من الخطابات عند العرف.</w:t>
      </w:r>
    </w:p>
    <w:p>
      <w:pPr>
        <w:pStyle w:val="BookText"/>
      </w:pPr>
      <w:r>
        <w:rPr>
          <w:rFonts w:ascii="IRNazanin" w:hAnsi="IRNazanin" w:eastAsia="IRNazanin" w:cs="IRNazanin"/>
          <w:lang w:bidi="fa-IR"/>
          <w:color w:val="111111"/>
          <w:sz w:val="28"/>
          <w:szCs w:val="28"/>
          <w:rtl/>
        </w:rPr>
        <w:t xml:space="preserve">وبعبارة أخری: يجب عليه الحكم على الموضوع الّذي يستفاد من العرف كونه موضوعاً وعلى أيّ حال فلا وجه للاختلاف بين العقل والعرف.</w:t>
      </w:r>
    </w:p>
    <w:p>
      <w:pPr>
        <w:pStyle w:val="BookText"/>
      </w:pPr>
      <w:r>
        <w:rPr>
          <w:rFonts w:ascii="Amiri" w:hAnsi="Amiri" w:eastAsia="Amiri" w:cs="Amiri"/>
          <w:lang w:bidi="ar-SA"/>
          <w:color w:val="111111"/>
          <w:sz w:val="28"/>
          <w:szCs w:val="28"/>
          <w:rtl/>
        </w:rPr>
        <w:t xml:space="preserve">قلت: يمكن أن يوجّه التفصيل المذكور بوجه آخر وهو أن يقال بأنّ</w:t>
      </w:r>
      <w:r>
        <w:rPr>
          <w:rStyle w:val="FootnoteReference"/>
        </w:rPr>
        <w:footnoteReference w:id="1741"/>
      </w:r>
      <w:r>
        <w:rPr>
          <w:rFonts w:ascii="IRNazanin" w:hAnsi="IRNazanin" w:eastAsia="IRNazanin" w:cs="IRNazanin"/>
          <w:lang w:bidi="fa-IR"/>
          <w:color w:val="111111"/>
          <w:sz w:val="28"/>
          <w:szCs w:val="28"/>
          <w:rtl/>
        </w:rPr>
        <w:t xml:space="preserve">العقل والعرف متطابقان على تعلّق الأحکام بالطّبایع من حيث الوجود وأنّه لو اتّحدت الطّبيعتان في الوجود لا يحصل الامتثال ولا يجوز تعلّق الطّلبين بهما على إطلاقهما إلّا أنّ العقل لدقّة نظره يرى أنّهما متغايران في الوجود؛ لأنّه لا يجوز اتّحاد الکلّيين الذين بينهما عموم من وجه والعرف ينظر بالنظر المسامحي فيحكم باتّحادهما في مورد الاجتماع فيحكم بالمنع وحینئذٍ فالمتّبع حكم العرف؛ لأنّه كما يكون هو المدار في تشخيص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موضوعات الأحکام، ولذا لا يحكم بنجاسة لون الدّم لحكمه بعدم كونه دماً وإن کان بالدقّة العقليّة محكوماً بأنّه دم لعدم جواز انتقال العرض، فكذا يكون هو المدار في تشخيص الإطاعة والعصيان بحسب مصداقهما ومرجع المقام إلى ذلك؛ إذ العرف يحكم بأنّه لا یکفي في امتثال الأمر المتعلّق بالصلاة الإتیان بها في الدار الغصبيّة.</w:t>
      </w:r>
    </w:p>
    <w:p>
      <w:pPr>
        <w:pStyle w:val="BookText"/>
      </w:pPr>
      <w:r>
        <w:rPr>
          <w:rFonts w:ascii="Amiri" w:hAnsi="Amiri" w:eastAsia="Amiri" w:cs="Amiri"/>
          <w:lang w:bidi="ar-SA"/>
          <w:color w:val="111111"/>
          <w:sz w:val="28"/>
          <w:szCs w:val="28"/>
          <w:rtl/>
        </w:rPr>
        <w:t xml:space="preserve">ويمكن أن يجعل المقام من تشخيص الموضوع بأن يقال: إنّ المرجع إلى كون مثل هذا الفعل مصداقاً للمأمور به بما هو مأمور به أم لا؟</w:t>
      </w:r>
    </w:p>
    <w:p>
      <w:pPr>
        <w:pStyle w:val="BookText"/>
      </w:pPr>
      <w:r>
        <w:rPr>
          <w:rFonts w:ascii="IRNazanin" w:hAnsi="IRNazanin" w:eastAsia="IRNazanin" w:cs="IRNazanin"/>
          <w:lang w:bidi="fa-IR"/>
          <w:color w:val="111111"/>
          <w:sz w:val="28"/>
          <w:szCs w:val="28"/>
          <w:rtl/>
        </w:rPr>
        <w:t xml:space="preserve">هذا ولكنّه بعد غير صحيح؛ إذ قد عرفت عدم صحّة القول بعدم اتّحاد الکلّيين في الوجود وأیضاً عرفت أنّه على فرض الاتّحاد أیضاً يجوز الاجتماع فالحكم بعدمه على هذا</w:t>
      </w:r>
      <w:r>
        <w:rPr>
          <w:rStyle w:val="FootnoteReference"/>
        </w:rPr>
        <w:footnoteReference w:id="1742"/>
      </w:r>
      <w:r>
        <w:rPr>
          <w:rFonts w:ascii="Amiri" w:hAnsi="Amiri" w:eastAsia="Amiri" w:cs="Amiri"/>
          <w:lang w:bidi="ar-SA"/>
          <w:color w:val="111111"/>
          <w:sz w:val="28"/>
          <w:szCs w:val="28"/>
          <w:rtl/>
        </w:rPr>
        <w:t xml:space="preserve">التقدير لا وجه له</w:t>
      </w:r>
      <w:r>
        <w:rPr>
          <w:rStyle w:val="FootnoteReference"/>
        </w:rPr>
        <w:footnoteReference w:id="1743"/>
      </w:r>
    </w:p>
    <w:p>
      <w:pPr>
        <w:pStyle w:val="BookText"/>
      </w:pPr>
      <w:r>
        <w:rPr>
          <w:rFonts w:ascii="Amiri" w:hAnsi="Amiri" w:eastAsia="Amiri" w:cs="Amiri"/>
          <w:lang w:bidi="ar-SA"/>
          <w:color w:val="111111"/>
          <w:sz w:val="28"/>
          <w:szCs w:val="28"/>
          <w:rtl/>
        </w:rPr>
        <w:t xml:space="preserve">ثمّ على فرض الاختلاف بين العقل والعرف لا وجه لما ذكر من تقديم العرف؛إذ هو إنّما يكون مرجِعاً في خصوص ما يرجع إلى مداليل الألفاظ وظهوراتها لا في صدق الإطاعة والعصيان فإنّ مداره العقل وإرجاع المقام إلى تشخيص الموضوع كما ترى؛ إذ ليس الاختلاف في صدق الصّلاة من حيث مفهومها مثلاً بل في تعلّق الأمر بمورد الاجتماع وعدمه؛ إذ الشكّ في المصداقيّة للمأمور به بما هو مأمور به ليس إلّا من جهة تعلّق الأمر وعدمه.</w:t>
      </w:r>
    </w:p>
    <w:p>
      <w:pPr>
        <w:pStyle w:val="BookText"/>
      </w:pPr>
      <w:r>
        <w:rPr>
          <w:rFonts w:ascii="Amiri" w:hAnsi="Amiri" w:eastAsia="Amiri" w:cs="Amiri"/>
          <w:lang w:bidi="ar-SA"/>
          <w:color w:val="111111"/>
          <w:sz w:val="28"/>
          <w:szCs w:val="28"/>
          <w:rtl/>
        </w:rPr>
        <w:t xml:space="preserve">فظهر أنّه لا وجه للتفصيل المذكور على فرض وجود القائل به.</w:t>
      </w:r>
    </w:p>
    <w:p>
      <w:pPr>
        <w:pStyle w:val="BookText"/>
      </w:pPr>
      <w:r>
        <w:rPr>
          <w:rFonts w:ascii="IRNazanin" w:hAnsi="IRNazanin" w:eastAsia="IRNazanin" w:cs="IRNazanin"/>
          <w:lang w:bidi="fa-IR"/>
          <w:color w:val="111111"/>
          <w:sz w:val="28"/>
          <w:szCs w:val="28"/>
          <w:rtl/>
        </w:rPr>
        <w:t xml:space="preserve">نعم له وجه لو جعلنا محلّ النزاع من باب التّعارض لا التّزاحم فإنّه يمكن أن يقال حینئذٍ: إنّ العقل يحكم بإمکان الاجتماع إلّا أنّ العرف يفهم التخصيص وعلى هذا يكون البحث قليل الفائدة؛ إذ لا يثمر حكم العقل بإمکان الاجتماع بعد كون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المدار على العرف الحاكم بالتخصيص بالنّسبة إلى أحد الدّليلين.</w:t>
      </w:r>
    </w:p>
    <w:p>
      <w:pPr>
        <w:pStyle w:val="BookText"/>
      </w:pPr>
      <w:r>
        <w:rPr>
          <w:rFonts w:ascii="Amiri" w:hAnsi="Amiri" w:eastAsia="Amiri" w:cs="Amiri"/>
          <w:lang w:bidi="ar-SA"/>
          <w:color w:val="111111"/>
          <w:sz w:val="28"/>
          <w:szCs w:val="28"/>
          <w:rtl/>
        </w:rPr>
        <w:t xml:space="preserve">هذا وممّا ذكرنا تقدر على توجيه التفصيل بعكس هذا التفصيل وهو كون العقل حاكماً بالمنع والعرف حاكماً بالجواز وعلى دفعه إلّا أنّه لا قائل به وإن احتملنا سابقاً استفادته من بعض أدلّتهم. فلا تغفل.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47" w:name="pg6784_51488"/>
    <w:bookmarkEnd w:id="247"/>
    <w:p>
      <w:pPr>
        <w:pStyle w:val="Heading3"/>
      </w:pPr>
      <w:bookmarkStart w:id="750" w:name="_Toc431"/>
      <w:r>
        <w:t>تنبيهات</w:t>
      </w:r>
      <w:bookmarkEnd w:id="750"/>
    </w:p>
    <w:p>
      <w:pPr>
        <w:pStyle w:val="Heading4"/>
      </w:pPr>
      <w:bookmarkStart w:id="751" w:name="_Toc432"/>
      <w:r>
        <w:t>اشارة</w:t>
      </w:r>
      <w:bookmarkEnd w:id="751"/>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48" w:name="pg6784_51489"/>
    <w:bookmarkEnd w:id="248"/>
    <w:p>
      <w:pPr>
        <w:pStyle w:val="Heading4"/>
      </w:pPr>
      <w:bookmarkStart w:id="752" w:name="_Toc433"/>
      <w:r>
        <w:t>[تنبيهات في آخر المسألة]</w:t>
      </w:r>
      <w:bookmarkEnd w:id="752"/>
    </w:p>
    <w:p>
      <w:pPr>
        <w:pStyle w:val="Heading5"/>
      </w:pPr>
      <w:bookmarkStart w:id="753" w:name="_Toc434"/>
      <w:r>
        <w:t>اشارة</w:t>
      </w:r>
      <w:bookmarkEnd w:id="753"/>
    </w:p>
    <w:p>
      <w:pPr>
        <w:pStyle w:val="BookText"/>
      </w:pPr>
      <w:r>
        <w:rPr>
          <w:rFonts w:ascii="Amiri" w:hAnsi="Amiri" w:eastAsia="Amiri" w:cs="Amiri"/>
          <w:lang w:bidi="ar-SA"/>
          <w:color w:val="111111"/>
          <w:sz w:val="28"/>
          <w:szCs w:val="28"/>
          <w:rtl/>
        </w:rPr>
        <w:t xml:space="preserve">وينبغي التّنبيه على أمور:</w:t>
      </w:r>
    </w:p>
    <w:p>
      <w:pPr>
        <w:pStyle w:val="Heading5"/>
      </w:pPr>
      <w:bookmarkStart w:id="754" w:name="_Toc435"/>
      <w:r>
        <w:t>[التنبیه الأوّل: في حكم الکلّيين المتغايرين في الوجود المتلازمين]</w:t>
      </w:r>
      <w:bookmarkEnd w:id="754"/>
    </w:p>
    <w:p>
      <w:pPr>
        <w:pStyle w:val="BookText"/>
      </w:pPr>
      <w:r>
        <w:rPr>
          <w:rFonts w:ascii="Amiri" w:hAnsi="Amiri" w:eastAsia="Amiri" w:cs="Amiri"/>
          <w:lang w:bidi="ar-SA"/>
          <w:color w:val="111111"/>
          <w:sz w:val="28"/>
          <w:szCs w:val="28"/>
          <w:rtl/>
        </w:rPr>
        <w:t xml:space="preserve">الأوّل</w:t>
      </w:r>
      <w:r>
        <w:rPr>
          <w:rStyle w:val="FootnoteReference"/>
        </w:rPr>
        <w:footnoteReference w:id="1744"/>
      </w:r>
      <w:r>
        <w:rPr>
          <w:rFonts w:ascii="IRNazanin" w:hAnsi="IRNazanin" w:eastAsia="IRNazanin" w:cs="IRNazanin"/>
          <w:lang w:bidi="fa-IR"/>
          <w:color w:val="111111"/>
          <w:sz w:val="28"/>
          <w:szCs w:val="28"/>
          <w:rtl/>
        </w:rPr>
        <w:t xml:space="preserve">: إذا لم يكن بين الکلّيّين التصادق بل كانا متغايرين في الوجود لكن كانا متلازمين فإن کان التلازم کلّياً وبحسب جميع الأفراد فلا إشکال في عدم جواز الأمر بأحدهما والنهي عن الآخر سواء كان من الجانبين أو من جانب الأمر فقط بأن يكون جميع أفراد المأمور به ملازماً للمنهي عنه دون صورة العكس، فإنّه لا إشکال في الجواز فيها</w:t>
      </w:r>
      <w:r>
        <w:rPr>
          <w:rStyle w:val="FootnoteReference"/>
        </w:rPr>
        <w:footnoteReference w:id="1745"/>
      </w:r>
      <w:r>
        <w:rPr>
          <w:rFonts w:ascii="Amiri" w:hAnsi="Amiri" w:eastAsia="Amiri" w:cs="Amiri"/>
          <w:lang w:bidi="ar-SA"/>
          <w:color w:val="111111"/>
          <w:sz w:val="28"/>
          <w:szCs w:val="28"/>
          <w:rtl/>
        </w:rPr>
        <w:t xml:space="preserve">في الجملة ويجري فيه البحث الآتي.</w:t>
      </w:r>
    </w:p>
    <w:p>
      <w:pPr>
        <w:pStyle w:val="BookText"/>
      </w:pPr>
      <w:r>
        <w:rPr>
          <w:rFonts w:ascii="IRNazanin" w:hAnsi="IRNazanin" w:eastAsia="IRNazanin" w:cs="IRNazanin"/>
          <w:lang w:bidi="fa-IR"/>
          <w:color w:val="111111"/>
          <w:sz w:val="28"/>
          <w:szCs w:val="28"/>
          <w:rtl/>
        </w:rPr>
        <w:t xml:space="preserve">وإن کان التلازم بحسب بعض الأفراد إمّا بالعلّيّة كأن يكون أحدهما علّة للآخر أو كانا معلولين لثالث كما إذا أمر برمي حجر ونهى عن قتل المسلم فرمى حجراً كان علّة لقتله مع قدرته على الرّمي بغير هذا الوجه، أو نهى عن رمي الحجر وأمر بقتل الكافر فرمى وقتله مع إمکان القتل بوجه آخر، أو أمر بإيقاظ المؤمن ونهى عن إيقاظ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الكافر فصاح صيحة كانت علّة لإيقاظهما</w:t>
      </w:r>
      <w:r>
        <w:rPr>
          <w:rStyle w:val="FootnoteReference"/>
        </w:rPr>
        <w:footnoteReference w:id="1746"/>
      </w:r>
      <w:r>
        <w:rPr>
          <w:rFonts w:ascii="IRNazanin" w:hAnsi="IRNazanin" w:eastAsia="IRNazanin" w:cs="IRNazanin"/>
          <w:lang w:bidi="fa-IR"/>
          <w:color w:val="111111"/>
          <w:sz w:val="28"/>
          <w:szCs w:val="28"/>
          <w:rtl/>
        </w:rPr>
        <w:t xml:space="preserve">مع إمکان الإيقاظ بوجه آخر.</w:t>
      </w:r>
    </w:p>
    <w:p>
      <w:pPr>
        <w:pStyle w:val="BookText"/>
      </w:pPr>
      <w:r>
        <w:rPr>
          <w:rFonts w:ascii="IRNazanin" w:hAnsi="IRNazanin" w:eastAsia="IRNazanin" w:cs="IRNazanin"/>
          <w:lang w:bidi="fa-IR"/>
          <w:color w:val="111111"/>
          <w:sz w:val="28"/>
          <w:szCs w:val="28"/>
          <w:rtl/>
        </w:rPr>
        <w:t xml:space="preserve">وإمّا لا بها كما إذا فرض كون إکرام زيد ملازماً لإهانة عمرو وقد قال الآمر: «أکرم العالم ولا تهن العادل» وكان زيد عالماً وعمرو عادلاً بأن يكون إذا أکرم زيداًمُلجأً ومضطرّاً في إهانة عمرو، وفي هذا قد يكون التلازم من الطرفين وقد يكون من طرف واحد فإن لم يكن للمکلّف مندوحة بأن يكون فرد المأمور به منحصراً في المنهي عنه</w:t>
      </w:r>
      <w:r>
        <w:rPr>
          <w:rStyle w:val="FootnoteReference"/>
        </w:rPr>
        <w:footnoteReference w:id="1747"/>
      </w:r>
      <w:r>
        <w:rPr>
          <w:rFonts w:ascii="IRNazanin" w:hAnsi="IRNazanin" w:eastAsia="IRNazanin" w:cs="IRNazanin"/>
          <w:lang w:bidi="fa-IR"/>
          <w:color w:val="111111"/>
          <w:sz w:val="28"/>
          <w:szCs w:val="28"/>
          <w:rtl/>
        </w:rPr>
        <w:t xml:space="preserve">فلايجوز تواردهما على کلیهما</w:t>
      </w:r>
      <w:r>
        <w:rPr>
          <w:rStyle w:val="FootnoteReference"/>
        </w:rPr>
        <w:footnoteReference w:id="1748"/>
      </w:r>
      <w:r>
        <w:rPr>
          <w:rFonts w:ascii="Amiri" w:hAnsi="Amiri" w:eastAsia="Amiri" w:cs="Amiri"/>
          <w:lang w:bidi="ar-SA"/>
          <w:color w:val="111111"/>
          <w:sz w:val="28"/>
          <w:szCs w:val="28"/>
          <w:rtl/>
        </w:rPr>
        <w:t xml:space="preserve">إذ حاله حال التلازم في الوجود بحسب جميع الأفراد.</w:t>
      </w:r>
    </w:p>
    <w:p>
      <w:pPr>
        <w:pStyle w:val="BookText"/>
      </w:pPr>
      <w:r>
        <w:rPr>
          <w:rFonts w:ascii="Amiri" w:hAnsi="Amiri" w:eastAsia="Amiri" w:cs="Amiri"/>
          <w:lang w:bidi="ar-SA"/>
          <w:color w:val="111111"/>
          <w:sz w:val="28"/>
          <w:szCs w:val="28"/>
          <w:rtl/>
        </w:rPr>
        <w:t xml:space="preserve">وأمّا مع المندوحة كأن يكون للمأمور به فرد آخر غير ملازم للعنوان المنهي عنه كأن يقول: «صلّ ولا تغصب» وكان قادراً على الصّلاة في المكان الّذي لا يلازم</w:t>
      </w:r>
      <w:r>
        <w:rPr>
          <w:rStyle w:val="FootnoteReference"/>
        </w:rPr>
        <w:footnoteReference w:id="1749"/>
      </w:r>
      <w:r>
        <w:rPr>
          <w:rFonts w:ascii="Amiri" w:hAnsi="Amiri" w:eastAsia="Amiri" w:cs="Amiri"/>
          <w:lang w:bidi="ar-SA"/>
          <w:color w:val="111111"/>
          <w:sz w:val="28"/>
          <w:szCs w:val="28"/>
          <w:rtl/>
        </w:rPr>
        <w:t xml:space="preserve">التصرّف في المغصوب بتصرّف غير صلاتي</w:t>
      </w:r>
      <w:r>
        <w:rPr>
          <w:rStyle w:val="FootnoteReference"/>
        </w:rPr>
        <w:footnoteReference w:id="1750"/>
      </w:r>
      <w:r>
        <w:rPr>
          <w:rFonts w:ascii="Amiri" w:hAnsi="Amiri" w:eastAsia="Amiri" w:cs="Amiri"/>
          <w:lang w:bidi="ar-SA"/>
          <w:color w:val="111111"/>
          <w:sz w:val="28"/>
          <w:szCs w:val="28"/>
          <w:rtl/>
        </w:rPr>
        <w:t xml:space="preserve">فصلّى في المكان الملازم لذلك كما إذا صلّى في مكان لا يمكن له الصّلاة فيه إلّا أن يضع رحله</w:t>
      </w:r>
      <w:r>
        <w:rPr>
          <w:rStyle w:val="FootnoteReference"/>
        </w:rPr>
        <w:footnoteReference w:id="1751"/>
      </w:r>
      <w:r>
        <w:rPr>
          <w:rFonts w:ascii="IRNazanin" w:hAnsi="IRNazanin" w:eastAsia="IRNazanin" w:cs="IRNazanin"/>
          <w:lang w:bidi="fa-IR"/>
          <w:color w:val="111111"/>
          <w:sz w:val="28"/>
          <w:szCs w:val="28"/>
          <w:rtl/>
        </w:rPr>
        <w:t xml:space="preserve">مثلاً في المكان المغصوب أو نحو ذلك أو قال: «صلّ ولا تنظر إلى الأجنبيّة»، فصلّى في مكان يلازم النّظر إلى الأجنبيّة حال الصّلاة أو بعدها أو كان قادراً على إکرام غير زيد في المثال المتقدّم فأکرمه مع استلزامه لإهانة عمرو فهل يصحّ عمله بناء على مذهب المانعين ويكون هذا الفرد مصداقاً للمأمور به أم لا؟</w:t>
      </w:r>
    </w:p>
    <w:p>
      <w:pPr>
        <w:pStyle w:val="BookText"/>
      </w:pPr>
      <w:r>
        <w:rPr>
          <w:rFonts w:ascii="IRNazanin" w:hAnsi="IRNazanin" w:eastAsia="IRNazanin" w:cs="IRNazanin"/>
          <w:lang w:bidi="fa-IR"/>
          <w:color w:val="111111"/>
          <w:sz w:val="28"/>
          <w:szCs w:val="28"/>
          <w:rtl/>
        </w:rPr>
        <w:t xml:space="preserve">إن کان المستند في المسألة الدليل الأوّل وهو لزوم اجتماع الضدّين فمن المعلوم عدم شموله للمقام وإن کان المستند غيره من الوجوه الأخر فمقتضاه الشمول لما نحن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 وإن لم يكن من اجتماع الأمر والنهي في شي‌ء واحد، فلو قلنا: إنّ شمول الأمر والنهي للفرد المجمع بين الکلّيّين مستلزم للتکلیف بما لا يطاق في المسألة المتقدّمة، فكذا في المقام لا يجوز شمول الأمر لهذا الإکرام والنهي لهذه الإهانة،</w:t>
      </w:r>
      <w:r>
        <w:rPr>
          <w:rStyle w:val="FootnoteReference"/>
        </w:rPr>
        <w:footnoteReference w:id="1752"/>
      </w:r>
      <w:r>
        <w:rPr>
          <w:rFonts w:ascii="Amiri" w:hAnsi="Amiri" w:eastAsia="Amiri" w:cs="Amiri"/>
          <w:lang w:bidi="ar-SA"/>
          <w:color w:val="111111"/>
          <w:sz w:val="28"/>
          <w:szCs w:val="28"/>
          <w:rtl/>
        </w:rPr>
        <w:t xml:space="preserve">وكذا لا يجوز شمول قوله: «صلّ» للصّلاة المستلزمة للنّظر إلى الأجنبيّة، وكذا إذا قلنا: إنّ الأمر تابع للمصلحة الفعليّة بعد الكسر والانكسار فهذا الفرد لا مصلحة فيه؛ لأنّ مصلحته مزاحمة بمفسدة الفعل الآخر الملازم له فلا يكون مع هذه ذا مصلحةخالصة،</w:t>
      </w:r>
      <w:r>
        <w:rPr>
          <w:rStyle w:val="FootnoteReference"/>
        </w:rPr>
        <w:footnoteReference w:id="1753"/>
      </w:r>
    </w:p>
    <w:p>
      <w:pPr>
        <w:pStyle w:val="BookText"/>
      </w:pPr>
      <w:r>
        <w:rPr>
          <w:rFonts w:ascii="IRNazanin" w:hAnsi="IRNazanin" w:eastAsia="IRNazanin" w:cs="IRNazanin"/>
          <w:lang w:bidi="fa-IR"/>
          <w:color w:val="111111"/>
          <w:sz w:val="28"/>
          <w:szCs w:val="28"/>
          <w:rtl/>
        </w:rPr>
        <w:t xml:space="preserve">لایخلو عن تأمّل، فعلى هذا کلّ من الحکمین الفعلیین المتلازمین موجود بملاکاته.</w:t>
      </w:r>
    </w:p>
    <w:p>
      <w:pPr>
        <w:pStyle w:val="BookText"/>
      </w:pPr>
      <w:r>
        <w:rPr>
          <w:rFonts w:ascii="Amiri" w:hAnsi="Amiri" w:eastAsia="Amiri" w:cs="Amiri"/>
          <w:lang w:bidi="ar-SA"/>
          <w:color w:val="111111"/>
          <w:sz w:val="28"/>
          <w:szCs w:val="28"/>
          <w:rtl/>
        </w:rPr>
        <w:t xml:space="preserve">فلا بدّ من تقييد المأمور به بغير هذا الفرد.</w:t>
      </w:r>
    </w:p>
    <w:p>
      <w:pPr>
        <w:pStyle w:val="BookText"/>
      </w:pPr>
      <w:r>
        <w:rPr>
          <w:rFonts w:ascii="Amiri" w:hAnsi="Amiri" w:eastAsia="Amiri" w:cs="Amiri"/>
          <w:lang w:bidi="ar-SA"/>
          <w:color w:val="111111"/>
          <w:sz w:val="28"/>
          <w:szCs w:val="28"/>
          <w:rtl/>
        </w:rPr>
        <w:t xml:space="preserve">هذا وإنّما تكون صورة حرمة المعلول مع وجوب العلّة ممّا نحن فيه إذا لم نقل بحرمة علّة الحرام وإلّا فتكون داخلة في المسألة المتقدّمة</w:t>
      </w:r>
      <w:r>
        <w:rPr>
          <w:rStyle w:val="FootnoteReference"/>
        </w:rPr>
        <w:footnoteReference w:id="1754"/>
      </w:r>
      <w:r>
        <w:rPr>
          <w:rFonts w:ascii="IRNazanin" w:hAnsi="IRNazanin" w:eastAsia="IRNazanin" w:cs="IRNazanin"/>
          <w:lang w:bidi="fa-IR"/>
          <w:color w:val="111111"/>
          <w:sz w:val="28"/>
          <w:szCs w:val="28"/>
          <w:rtl/>
        </w:rPr>
        <w:t xml:space="preserve">حيث إنّ العلّة حینئذٍ واجبة ومحرّمة، وأمّا صورة العكس فتكون ممّا نحن فيه ولو قلنا بوجوب مقدّمة الواجب؛ لأنّه یختصّ بغير الفرد المحرّم فلا تكون العلّة حینئذٍ واجبة بل محرّمة صرفة إلّا أنّها مسقطة فينحصر الإشکال فيه بالمعلول من حيث ملازمته مع العلّة المحرّمة.</w:t>
      </w:r>
    </w:p>
    <w:p>
      <w:pPr>
        <w:pStyle w:val="BookText"/>
      </w:pPr>
      <w:r>
        <w:rPr>
          <w:rFonts w:ascii="Amiri" w:hAnsi="Amiri" w:eastAsia="Amiri" w:cs="Amiri"/>
          <w:lang w:bidi="ar-SA"/>
          <w:color w:val="111111"/>
          <w:sz w:val="28"/>
          <w:szCs w:val="28"/>
          <w:rtl/>
        </w:rPr>
        <w:t xml:space="preserve">ثمّ لا فرق فيما ذكرنا بين ما لو جعلنا المقام من باب التعارض أو التزاحم كما لايخفى.</w:t>
      </w:r>
    </w:p>
    <w:p>
      <w:pPr>
        <w:pStyle w:val="BookText"/>
      </w:pPr>
      <w:r>
        <w:rPr>
          <w:rFonts w:ascii="IRNazanin" w:hAnsi="IRNazanin" w:eastAsia="IRNazanin" w:cs="IRNazanin"/>
          <w:lang w:bidi="fa-IR"/>
          <w:color w:val="111111"/>
          <w:sz w:val="28"/>
          <w:szCs w:val="28"/>
          <w:rtl/>
        </w:rPr>
        <w:t xml:space="preserve">هذا کلّه في توارد الوجوب والحرمة ونحوهما الاستحباب والكراهة.</w:t>
      </w:r>
    </w:p>
    <w:p>
      <w:pPr>
        <w:pStyle w:val="BookText"/>
      </w:pPr>
      <w:r>
        <w:rPr>
          <w:rFonts w:ascii="Amiri" w:hAnsi="Amiri" w:eastAsia="Amiri" w:cs="Amiri"/>
          <w:lang w:bidi="ar-SA"/>
          <w:color w:val="111111"/>
          <w:sz w:val="28"/>
          <w:szCs w:val="28"/>
          <w:rtl/>
        </w:rPr>
        <w:t xml:space="preserve">وأمّا الوجوب والاستحباب والحرمة والكراهة فالظّاهر</w:t>
      </w:r>
      <w:r>
        <w:rPr>
          <w:rStyle w:val="FootnoteReference"/>
        </w:rPr>
        <w:footnoteReference w:id="1755"/>
      </w:r>
      <w:r>
        <w:rPr>
          <w:rFonts w:ascii="IRNazanin" w:hAnsi="IRNazanin" w:eastAsia="IRNazanin" w:cs="IRNazanin"/>
          <w:lang w:bidi="fa-IR"/>
          <w:color w:val="111111"/>
          <w:sz w:val="28"/>
          <w:szCs w:val="28"/>
          <w:rtl/>
        </w:rPr>
        <w:t xml:space="preserve">أنّه لا مانع منه حتّى في صورة كون التلازم کلّياً من الجانبين. فتدبّر.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49" w:name="pg6784_51492"/>
    <w:bookmarkEnd w:id="249"/>
    <w:p>
      <w:pPr>
        <w:pStyle w:val="Heading5"/>
      </w:pPr>
      <w:bookmarkStart w:id="755" w:name="_Toc436"/>
      <w:r>
        <w:t>[التنبیه الثاني: في إجراء مرجّحات باب التعارض على القول بالامتناع أو تقدیم النهي]</w:t>
      </w:r>
      <w:bookmarkEnd w:id="755"/>
    </w:p>
    <w:p>
      <w:pPr>
        <w:pStyle w:val="Heading6"/>
      </w:pPr>
      <w:bookmarkStart w:id="756" w:name="_Toc437"/>
      <w:r>
        <w:t>اشارة</w:t>
      </w:r>
      <w:bookmarkEnd w:id="756"/>
    </w:p>
    <w:p>
      <w:pPr>
        <w:pStyle w:val="BookText"/>
      </w:pPr>
      <w:r>
        <w:rPr>
          <w:rFonts w:ascii="IRNazanin" w:hAnsi="IRNazanin" w:eastAsia="IRNazanin" w:cs="IRNazanin"/>
          <w:lang w:bidi="fa-IR"/>
          <w:color w:val="111111"/>
          <w:sz w:val="28"/>
          <w:szCs w:val="28"/>
          <w:rtl/>
        </w:rPr>
        <w:t xml:space="preserve">الثاني: إذا قلنا بجواز الاجتماع فلا إشکال؛ إذ يعمل حینئذٍ بمقتضى کلّ منهما من الصحّة والعقاب ونحوهما.</w:t>
      </w:r>
    </w:p>
    <w:p>
      <w:pPr>
        <w:pStyle w:val="Heading6"/>
      </w:pPr>
      <w:bookmarkStart w:id="757" w:name="_Toc438"/>
      <w:r>
        <w:t>[الرجوع إلى المرجّحات على فرض التعارض]</w:t>
      </w:r>
      <w:bookmarkEnd w:id="757"/>
    </w:p>
    <w:p>
      <w:pPr>
        <w:pStyle w:val="BookText"/>
      </w:pPr>
      <w:r>
        <w:rPr>
          <w:rFonts w:ascii="Amiri" w:hAnsi="Amiri" w:eastAsia="Amiri" w:cs="Amiri"/>
          <w:lang w:bidi="ar-SA"/>
          <w:color w:val="111111"/>
          <w:sz w:val="28"/>
          <w:szCs w:val="28"/>
          <w:rtl/>
        </w:rPr>
        <w:t xml:space="preserve">وإذا قلنا بالمنع فذكروا أنّه لا بدّ من رفع اليد عن</w:t>
      </w:r>
      <w:r>
        <w:rPr>
          <w:rStyle w:val="FootnoteReference"/>
        </w:rPr>
        <w:footnoteReference w:id="1756"/>
      </w:r>
      <w:r>
        <w:rPr>
          <w:rFonts w:ascii="Amiri" w:hAnsi="Amiri" w:eastAsia="Amiri" w:cs="Amiri"/>
          <w:lang w:bidi="ar-SA"/>
          <w:color w:val="111111"/>
          <w:sz w:val="28"/>
          <w:szCs w:val="28"/>
          <w:rtl/>
        </w:rPr>
        <w:t xml:space="preserve">أحد الدّليلين لحصول المعارضة بينهما فلا بدّ من الرجوع إلى المرجّحات الدّلاليّة والتعبّديّة من السنديّة وغيرها.</w:t>
      </w:r>
    </w:p>
    <w:p>
      <w:pPr>
        <w:pStyle w:val="BookText"/>
      </w:pPr>
      <w:r>
        <w:rPr>
          <w:rFonts w:ascii="IRNazanin" w:hAnsi="IRNazanin" w:eastAsia="IRNazanin" w:cs="IRNazanin"/>
          <w:lang w:bidi="fa-IR"/>
          <w:color w:val="111111"/>
          <w:sz w:val="28"/>
          <w:szCs w:val="28"/>
          <w:rtl/>
        </w:rPr>
        <w:t xml:space="preserve">وحینئذٍ فمع كونهما قطعيّين من حيث السند المرجِع المرجّحات الدّلاليّة ومع فقدها الرّجوع إلى الأصل ومع قطعيّة أحدهما يقدّم على الآخر وأمّا قطعيّتهما معاً من حيث السند والدّلالة فلا يتصوّر ومع ظنّيّتهما من حيث السند فمع الترجيح الدّلالي يؤخذ به كائناً ما كان ومع عدمه فإن قلنا بالرّجوع إلى المرجّحات السنديّة في العامّين من وجه يرجع إليها وإن قلنا باختصاص ذلك بغيرهما أو لم يكن هناك مرجّح أصلاً فالمرجع إلى الأصل المختلف بحسب المقامات.</w:t>
      </w:r>
    </w:p>
    <w:p>
      <w:pPr>
        <w:pStyle w:val="BookText"/>
      </w:pPr>
      <w:r>
        <w:rPr>
          <w:rFonts w:ascii="Amiri" w:hAnsi="Amiri" w:eastAsia="Amiri" w:cs="Amiri"/>
          <w:lang w:bidi="ar-SA"/>
          <w:color w:val="111111"/>
          <w:sz w:val="28"/>
          <w:szCs w:val="28"/>
          <w:rtl/>
        </w:rPr>
        <w:t xml:space="preserve">ففي مثل الصّلاة في الدار الغصبيّة يحكم بالفساد والإباحة. والتفكيك غير ضائر؛ لأنّه بمقتضى الأصول.</w:t>
      </w:r>
    </w:p>
    <w:p>
      <w:pPr>
        <w:pStyle w:val="Heading6"/>
      </w:pPr>
      <w:bookmarkStart w:id="758" w:name="_Toc439"/>
      <w:r>
        <w:t>[قول بتقدیم النهي من جهة رجحان الدلالة على فرض التعارض]</w:t>
      </w:r>
      <w:bookmarkEnd w:id="758"/>
    </w:p>
    <w:p>
      <w:pPr>
        <w:pStyle w:val="BookText"/>
      </w:pPr>
      <w:r>
        <w:rPr>
          <w:rFonts w:ascii="IRNazanin" w:hAnsi="IRNazanin" w:eastAsia="IRNazanin" w:cs="IRNazanin"/>
          <w:lang w:bidi="fa-IR"/>
          <w:color w:val="111111"/>
          <w:sz w:val="28"/>
          <w:szCs w:val="28"/>
          <w:rtl/>
        </w:rPr>
        <w:t xml:space="preserve">وقد يقال بوجوب تقديم النهي کلّياً من جهة رجحان الدّلالة لوجهين:</w:t>
      </w:r>
    </w:p>
    <w:p>
      <w:pPr>
        <w:pStyle w:val="BookText"/>
      </w:pPr>
      <w:r>
        <w:rPr>
          <w:rFonts w:ascii="Amiri" w:hAnsi="Amiri" w:eastAsia="Amiri" w:cs="Amiri"/>
          <w:lang w:bidi="ar-SA"/>
          <w:color w:val="111111"/>
          <w:sz w:val="28"/>
          <w:szCs w:val="28"/>
          <w:rtl/>
        </w:rPr>
        <w:t xml:space="preserve">أحدهما: ما ذكره جماعة واختاره في الإشارات</w:t>
      </w:r>
      <w:r>
        <w:rPr>
          <w:rStyle w:val="FootnoteReference"/>
        </w:rPr>
        <w:footnoteReference w:id="1757"/>
      </w:r>
      <w:r>
        <w:rPr>
          <w:rFonts w:ascii="Amiri" w:hAnsi="Amiri" w:eastAsia="Amiri" w:cs="Amiri"/>
          <w:lang w:bidi="ar-SA"/>
          <w:color w:val="111111"/>
          <w:sz w:val="28"/>
          <w:szCs w:val="28"/>
          <w:rtl/>
        </w:rPr>
        <w:t xml:space="preserve">من قوّة دلالة النهي؛ لأنّها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بالعموم بخلاف دلالة الأمر فإنّها بالإطلاق.</w:t>
      </w:r>
    </w:p>
    <w:p>
      <w:pPr>
        <w:pStyle w:val="BookText"/>
      </w:pPr>
      <w:r>
        <w:rPr>
          <w:rFonts w:ascii="IRNazanin" w:hAnsi="IRNazanin" w:eastAsia="IRNazanin" w:cs="IRNazanin"/>
          <w:lang w:bidi="fa-IR"/>
          <w:color w:val="111111"/>
          <w:sz w:val="28"/>
          <w:szCs w:val="28"/>
          <w:rtl/>
        </w:rPr>
        <w:t xml:space="preserve">وفيه: أنّ النهي أیضاً يدلّ بالإطلاق، غاية الأمر أنّه يحمل على العموم الاستغراقي بخلاف إطلاق الأمر فإنّه محمول على العموم البدلي وهذا لا يوجب قوّةفيه كما لا يخفى.</w:t>
      </w:r>
    </w:p>
    <w:p>
      <w:pPr>
        <w:pStyle w:val="BookText"/>
      </w:pPr>
      <w:r>
        <w:rPr>
          <w:rFonts w:ascii="Amiri" w:hAnsi="Amiri" w:eastAsia="Amiri" w:cs="Amiri"/>
          <w:lang w:bidi="ar-SA"/>
          <w:color w:val="111111"/>
          <w:sz w:val="28"/>
          <w:szCs w:val="28"/>
          <w:rtl/>
        </w:rPr>
        <w:t xml:space="preserve">الثاني: ما عن المحقّق الأنصاري من أنّ النهي في مادّة الاجتماع ناظر إلى جهة التّرخيص الثابت بالأمر</w:t>
      </w:r>
      <w:r>
        <w:rPr>
          <w:rStyle w:val="FootnoteReference"/>
        </w:rPr>
        <w:footnoteReference w:id="1758"/>
      </w:r>
      <w:r>
        <w:rPr>
          <w:rFonts w:ascii="Amiri" w:hAnsi="Amiri" w:eastAsia="Amiri" w:cs="Amiri"/>
          <w:lang w:bidi="ar-SA"/>
          <w:color w:val="111111"/>
          <w:sz w:val="28"/>
          <w:szCs w:val="28"/>
          <w:rtl/>
        </w:rPr>
        <w:t xml:space="preserve">في الفعل فهو حاكم على الأمر.</w:t>
      </w:r>
      <w:r>
        <w:rPr>
          <w:rStyle w:val="FootnoteReference"/>
        </w:rPr>
        <w:footnoteReference w:id="1759"/>
      </w:r>
    </w:p>
    <w:p>
      <w:pPr>
        <w:pStyle w:val="BookText"/>
      </w:pPr>
      <w:r>
        <w:rPr>
          <w:rFonts w:ascii="Amiri" w:hAnsi="Amiri" w:eastAsia="Amiri" w:cs="Amiri"/>
          <w:lang w:bidi="ar-SA"/>
          <w:color w:val="111111"/>
          <w:sz w:val="28"/>
          <w:szCs w:val="28"/>
          <w:rtl/>
        </w:rPr>
        <w:t xml:space="preserve">وفيه: أنّ النهي إنّما يكون ناظراً إلى الترخيص إذا كان إرشادياً وهو لا يكون إلّا في الخاصّ المطلق.</w:t>
      </w:r>
    </w:p>
    <w:p>
      <w:pPr>
        <w:pStyle w:val="BookText"/>
      </w:pPr>
      <w:r>
        <w:rPr>
          <w:rFonts w:ascii="IRNazanin" w:hAnsi="IRNazanin" w:eastAsia="IRNazanin" w:cs="IRNazanin"/>
          <w:lang w:bidi="fa-IR"/>
          <w:color w:val="111111"/>
          <w:sz w:val="28"/>
          <w:szCs w:val="28"/>
          <w:rtl/>
        </w:rPr>
        <w:t xml:space="preserve">مع أنّه أیضاً من التخصيص لا الحكومة وأیضاً المفروض في المقام كون النهي للحرمة لا الإرشاد وإن کان أخصّ من الأمر.</w:t>
      </w:r>
    </w:p>
    <w:p>
      <w:pPr>
        <w:pStyle w:val="BookText"/>
      </w:pPr>
      <w:r>
        <w:rPr>
          <w:rFonts w:ascii="IRNazanin" w:hAnsi="IRNazanin" w:eastAsia="IRNazanin" w:cs="IRNazanin"/>
          <w:lang w:bidi="fa-IR"/>
          <w:color w:val="111111"/>
          <w:sz w:val="28"/>
          <w:szCs w:val="28"/>
          <w:rtl/>
        </w:rPr>
        <w:t xml:space="preserve">فالکلام</w:t>
      </w:r>
      <w:r>
        <w:rPr>
          <w:rStyle w:val="FootnoteReference"/>
        </w:rPr>
        <w:footnoteReference w:id="1760"/>
      </w:r>
      <w:r>
        <w:rPr>
          <w:rFonts w:ascii="Amiri" w:hAnsi="Amiri" w:eastAsia="Amiri" w:cs="Amiri"/>
          <w:lang w:bidi="ar-SA"/>
          <w:color w:val="111111"/>
          <w:sz w:val="28"/>
          <w:szCs w:val="28"/>
          <w:rtl/>
        </w:rPr>
        <w:t xml:space="preserve">في مثل: «صلّ» و«لا تصلّ في الدار الغصبيّة» داخل في هذا النزاع إذا علم كون النهي للتحريم من جهة خصوصيّة الغصبيّة وإذا كان للتحريم فلا يكون ناظراً إلى الترخيص وإلّا يلزم الاستعمال في التحريم والإرشاد معاً وهو غير جائز؛</w:t>
      </w:r>
      <w:r>
        <w:rPr>
          <w:rStyle w:val="FootnoteReference"/>
        </w:rPr>
        <w:footnoteReference w:id="1761"/>
      </w:r>
      <w:r>
        <w:rPr>
          <w:rFonts w:ascii="Amiri" w:hAnsi="Amiri" w:eastAsia="Amiri" w:cs="Amiri"/>
          <w:lang w:bidi="ar-SA"/>
          <w:color w:val="111111"/>
          <w:sz w:val="28"/>
          <w:szCs w:val="28"/>
          <w:rtl/>
        </w:rPr>
        <w:t xml:space="preserve">إذ لا جامع وعلى فرض وجوده معلوم عدم إرادته وإلّا فيحتاج في إثبات الحرمة إلى دليل خارج؛ إذ الطّلب الجامع بين التحريم والإرشاد لا يدلّ على التحريم.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50" w:name="pg6784_51494"/>
    <w:bookmarkEnd w:id="250"/>
    <w:p>
      <w:pPr>
        <w:pStyle w:val="BookText"/>
      </w:pPr>
      <w:r>
        <w:rPr>
          <w:rFonts w:ascii="IRNazanin" w:hAnsi="IRNazanin" w:eastAsia="IRNazanin" w:cs="IRNazanin"/>
          <w:lang w:bidi="fa-IR"/>
          <w:color w:val="111111"/>
          <w:sz w:val="28"/>
          <w:szCs w:val="28"/>
          <w:rtl/>
        </w:rPr>
        <w:t xml:space="preserve">وإن أراد النظر إلى الترخيص التکلیفي لا الوضعي فكون النهي ناظراً</w:t>
      </w:r>
      <w:r>
        <w:rPr>
          <w:rStyle w:val="FootnoteReference"/>
        </w:rPr>
        <w:footnoteReference w:id="1762"/>
      </w:r>
      <w:r>
        <w:rPr>
          <w:rFonts w:ascii="Amiri" w:hAnsi="Amiri" w:eastAsia="Amiri" w:cs="Amiri"/>
          <w:lang w:bidi="ar-SA"/>
          <w:color w:val="111111"/>
          <w:sz w:val="28"/>
          <w:szCs w:val="28"/>
          <w:rtl/>
        </w:rPr>
        <w:t xml:space="preserve">ليس بأولى من كون الأمر ناظراً</w:t>
      </w:r>
      <w:r>
        <w:rPr>
          <w:rStyle w:val="FootnoteReference"/>
        </w:rPr>
        <w:footnoteReference w:id="1763"/>
      </w:r>
      <w:r>
        <w:rPr>
          <w:rFonts w:ascii="Amiri" w:hAnsi="Amiri" w:eastAsia="Amiri" w:cs="Amiri"/>
          <w:lang w:bidi="ar-SA"/>
          <w:color w:val="111111"/>
          <w:sz w:val="28"/>
          <w:szCs w:val="28"/>
          <w:rtl/>
        </w:rPr>
        <w:t xml:space="preserve">إلى المنع المستفاد من النهي فهما متعارضان في ذلك.</w:t>
      </w:r>
    </w:p>
    <w:p>
      <w:pPr>
        <w:pStyle w:val="Heading6"/>
      </w:pPr>
      <w:bookmarkStart w:id="759" w:name="_Toc440"/>
      <w:r>
        <w:t>[قول بتقدیم النهي تعبّداً لا من جهة رجحان الدلالة]</w:t>
      </w:r>
      <w:bookmarkEnd w:id="759"/>
    </w:p>
    <w:p>
      <w:pPr>
        <w:pStyle w:val="Heading6"/>
      </w:pPr>
      <w:bookmarkStart w:id="760" w:name="_Toc441"/>
      <w:r>
        <w:t>اشارة</w:t>
      </w:r>
      <w:bookmarkEnd w:id="760"/>
    </w:p>
    <w:p>
      <w:pPr>
        <w:pStyle w:val="BookText"/>
      </w:pPr>
      <w:r>
        <w:rPr>
          <w:rFonts w:ascii="IRNazanin" w:hAnsi="IRNazanin" w:eastAsia="IRNazanin" w:cs="IRNazanin"/>
          <w:lang w:bidi="fa-IR"/>
          <w:color w:val="111111"/>
          <w:sz w:val="28"/>
          <w:szCs w:val="28"/>
          <w:rtl/>
        </w:rPr>
        <w:t xml:space="preserve">وقد يقال بتقديم النهي کلّياً أیضاً لا من جهة رجحان الدّلالة بل تعبّداً لوجوه:</w:t>
      </w:r>
    </w:p>
    <w:p>
      <w:pPr>
        <w:pStyle w:val="Heading6"/>
      </w:pPr>
      <w:bookmarkStart w:id="761" w:name="_Toc442"/>
      <w:r>
        <w:t>[الدلیل الأوّل لتقدیم النهي تعبّداً: دفع المفسدة أولى من جلب المنفعة]</w:t>
      </w:r>
      <w:bookmarkEnd w:id="761"/>
    </w:p>
    <w:p>
      <w:pPr>
        <w:pStyle w:val="BookText"/>
      </w:pPr>
      <w:r>
        <w:rPr>
          <w:rFonts w:ascii="Amiri" w:hAnsi="Amiri" w:eastAsia="Amiri" w:cs="Amiri"/>
          <w:lang w:bidi="ar-SA"/>
          <w:color w:val="111111"/>
          <w:sz w:val="28"/>
          <w:szCs w:val="28"/>
          <w:rtl/>
        </w:rPr>
        <w:t xml:space="preserve">أحدها: أنّ دفع المفسدة أولى من جلب المنفعة في صورة الدوران سواء كانتا معلومتين ودار الأمر بين الأمرين أو كان المعلوم إحداهما</w:t>
      </w:r>
      <w:r>
        <w:rPr>
          <w:rStyle w:val="FootnoteReference"/>
        </w:rPr>
        <w:footnoteReference w:id="1764"/>
      </w:r>
      <w:r>
        <w:rPr>
          <w:rFonts w:ascii="IRNazanin" w:hAnsi="IRNazanin" w:eastAsia="IRNazanin" w:cs="IRNazanin"/>
          <w:lang w:bidi="fa-IR"/>
          <w:color w:val="111111"/>
          <w:sz w:val="28"/>
          <w:szCs w:val="28"/>
          <w:rtl/>
        </w:rPr>
        <w:t xml:space="preserve">مع الدوران.</w:t>
      </w:r>
    </w:p>
    <w:p>
      <w:pPr>
        <w:pStyle w:val="Heading6"/>
      </w:pPr>
      <w:bookmarkStart w:id="762" w:name="_Toc443"/>
      <w:r>
        <w:t>[نقد الدلیل الأوّل]</w:t>
      </w:r>
      <w:bookmarkEnd w:id="762"/>
    </w:p>
    <w:p>
      <w:pPr>
        <w:pStyle w:val="BookText"/>
      </w:pPr>
      <w:r>
        <w:rPr>
          <w:rFonts w:ascii="Amiri" w:hAnsi="Amiri" w:eastAsia="Amiri" w:cs="Amiri"/>
          <w:lang w:bidi="ar-SA"/>
          <w:color w:val="111111"/>
          <w:sz w:val="28"/>
          <w:szCs w:val="28"/>
          <w:rtl/>
        </w:rPr>
        <w:t xml:space="preserve">وفيه أوّلاً: أنّه ممنوع بل يختلف المقامات إذا كانتا إلزاميّتين ومع الاختلاف يقدّم الإلزامي على غيره، هذا مع العلم بهما وكونهما متزاحمين وأمّا مع العلم بإحداهما</w:t>
      </w:r>
      <w:r>
        <w:rPr>
          <w:rStyle w:val="FootnoteReference"/>
        </w:rPr>
        <w:footnoteReference w:id="1765"/>
      </w:r>
      <w:r>
        <w:rPr>
          <w:rFonts w:ascii="Amiri" w:hAnsi="Amiri" w:eastAsia="Amiri" w:cs="Amiri"/>
          <w:lang w:bidi="ar-SA"/>
          <w:color w:val="111111"/>
          <w:sz w:val="28"/>
          <w:szCs w:val="28"/>
          <w:rtl/>
        </w:rPr>
        <w:t xml:space="preserve">لا على التعيين كما في المقام فيجوز الرجوع إلى أصل الإباحة أو التخيير.</w:t>
      </w:r>
    </w:p>
    <w:p>
      <w:pPr>
        <w:pStyle w:val="BookText"/>
      </w:pPr>
      <w:r>
        <w:rPr>
          <w:rFonts w:ascii="IRNazanin" w:hAnsi="IRNazanin" w:eastAsia="IRNazanin" w:cs="IRNazanin"/>
          <w:lang w:bidi="fa-IR"/>
          <w:color w:val="111111"/>
          <w:sz w:val="28"/>
          <w:szCs w:val="28"/>
          <w:rtl/>
        </w:rPr>
        <w:t xml:space="preserve">وثانياً: أنّ في ترك الواجب أیضاً مفسدة ملزمة.</w:t>
      </w:r>
    </w:p>
    <w:p>
      <w:pPr>
        <w:pStyle w:val="BookText"/>
      </w:pPr>
      <w:r>
        <w:rPr>
          <w:rFonts w:ascii="Amiri" w:hAnsi="Amiri" w:eastAsia="Amiri" w:cs="Amiri"/>
          <w:lang w:bidi="ar-SA"/>
          <w:color w:val="111111"/>
          <w:sz w:val="28"/>
          <w:szCs w:val="28"/>
          <w:rtl/>
        </w:rPr>
        <w:t xml:space="preserve">وثالثاً: أنّه لا يلزم كون الفعل مشتملاً على مصلحة أو مفسدة؛ إذ يمكن أن تكون</w:t>
      </w:r>
      <w:r>
        <w:rPr>
          <w:rStyle w:val="FootnoteReference"/>
        </w:rPr>
        <w:footnoteReference w:id="1766"/>
      </w:r>
      <w:r>
        <w:rPr>
          <w:rFonts w:ascii="IRNazanin" w:hAnsi="IRNazanin" w:eastAsia="IRNazanin" w:cs="IRNazanin"/>
          <w:lang w:bidi="fa-IR"/>
          <w:color w:val="111111"/>
          <w:sz w:val="28"/>
          <w:szCs w:val="28"/>
          <w:rtl/>
        </w:rPr>
        <w:t xml:space="preserve">المصلحة في التکلیف لا في المکلّف به، وإن أريد العقاب والثواب فلا شكّ أنّ ترك الواجب أیضاً يوجب العقاب كما أنّ ترك الحرام يوجب الثواب أیضاً.</w:t>
      </w:r>
    </w:p>
    <w:p>
      <w:pPr>
        <w:pStyle w:val="BookText"/>
      </w:pPr>
      <w:r>
        <w:rPr>
          <w:rFonts w:ascii="IRNazanin" w:hAnsi="IRNazanin" w:eastAsia="IRNazanin" w:cs="IRNazanin"/>
          <w:lang w:bidi="fa-IR"/>
          <w:color w:val="111111"/>
          <w:sz w:val="28"/>
          <w:szCs w:val="28"/>
          <w:rtl/>
        </w:rPr>
        <w:t xml:space="preserve">هذا وقد يورد عليه أیضاً بأنّ ما نحن فيه ليس من موارد هذه القاعدة؛ لأنّها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51" w:name="pg6784_51495"/>
    <w:bookmarkEnd w:id="251"/>
    <w:p>
      <w:pPr>
        <w:pStyle w:val="BookText"/>
      </w:pPr>
      <w:r>
        <w:rPr>
          <w:rFonts w:ascii="Amiri" w:hAnsi="Amiri" w:eastAsia="Amiri" w:cs="Amiri"/>
          <w:lang w:bidi="ar-SA"/>
          <w:color w:val="111111"/>
          <w:sz w:val="28"/>
          <w:szCs w:val="28"/>
          <w:rtl/>
        </w:rPr>
        <w:t xml:space="preserve">مختصّة بما إذا لم نقل فيه بالترجيح كان المرجع فيه التخيير مثل ما لو دار الأمر بين وجوب شي‌ء وحرمته كشرب التتن</w:t>
      </w:r>
      <w:r>
        <w:rPr>
          <w:rStyle w:val="FootnoteReference"/>
        </w:rPr>
        <w:footnoteReference w:id="1767"/>
      </w:r>
      <w:r>
        <w:rPr>
          <w:rFonts w:ascii="IRNazanin" w:hAnsi="IRNazanin" w:eastAsia="IRNazanin" w:cs="IRNazanin"/>
          <w:lang w:bidi="fa-IR"/>
          <w:color w:val="111111"/>
          <w:sz w:val="28"/>
          <w:szCs w:val="28"/>
          <w:rtl/>
        </w:rPr>
        <w:t xml:space="preserve">مثلاً إذا احتمل وجوبه أیضاً. وفي مثل ما نحن فيه إذا لم نقل بالترجيح نرجع إلى الأصل من الفساد والإباحة فلا مسرح للقاعدة المذكورة فيه.</w:t>
      </w:r>
    </w:p>
    <w:p>
      <w:pPr>
        <w:pStyle w:val="BookText"/>
      </w:pPr>
      <w:r>
        <w:rPr>
          <w:rFonts w:ascii="IRNazanin" w:hAnsi="IRNazanin" w:eastAsia="IRNazanin" w:cs="IRNazanin"/>
          <w:lang w:bidi="fa-IR"/>
          <w:color w:val="111111"/>
          <w:sz w:val="28"/>
          <w:szCs w:val="28"/>
          <w:rtl/>
        </w:rPr>
        <w:t xml:space="preserve">وفيه ما لا يخفى صغرىً وكبرىً؛ إذ أوّلاً نقول: مقتضى القاعدة في المقام أیضاً التخيير بعد عدم الترجيح؛ لأنّه من تعارض النصّين؛ وثانياً لا وجه لتخصيص القاعدة بمورد التخيير.</w:t>
      </w:r>
    </w:p>
    <w:p>
      <w:pPr>
        <w:pStyle w:val="BookText"/>
      </w:pPr>
      <w:r>
        <w:rPr>
          <w:rFonts w:ascii="IRNazanin" w:hAnsi="IRNazanin" w:eastAsia="IRNazanin" w:cs="IRNazanin"/>
          <w:lang w:bidi="fa-IR"/>
          <w:color w:val="111111"/>
          <w:sz w:val="28"/>
          <w:szCs w:val="28"/>
          <w:rtl/>
        </w:rPr>
        <w:t xml:space="preserve">مع أنّ في الدوران بين المحذورين أیضاً لا نسلّم أنّ الأصل هو التخيير.</w:t>
      </w:r>
    </w:p>
    <w:p>
      <w:pPr>
        <w:pStyle w:val="Heading6"/>
      </w:pPr>
      <w:bookmarkStart w:id="763" w:name="_Toc444"/>
      <w:r>
        <w:t>[الدلیل الثاني لتقدیم النهي تعبّداً: الاستقراء]</w:t>
      </w:r>
      <w:bookmarkEnd w:id="763"/>
    </w:p>
    <w:p>
      <w:pPr>
        <w:pStyle w:val="BookText"/>
      </w:pPr>
      <w:r>
        <w:rPr>
          <w:rFonts w:ascii="IRNazanin" w:hAnsi="IRNazanin" w:eastAsia="IRNazanin" w:cs="IRNazanin"/>
          <w:lang w:bidi="fa-IR"/>
          <w:color w:val="111111"/>
          <w:sz w:val="28"/>
          <w:szCs w:val="28"/>
          <w:rtl/>
        </w:rPr>
        <w:t xml:space="preserve">الثاني: الاستقراء؛ لأنّ الغالب في موارد الدّوران بين الوجوب والحرمة تقديم الشارع جانب الحرمة، ولذا أمر بترك العبادة أيّام الاستظهار وبترك الوضوء عند اشتباه الماء الطاهر بالنجس حيث قال: «يهریقهما ويتیمّم».</w:t>
      </w:r>
      <w:r>
        <w:rPr>
          <w:rStyle w:val="FootnoteReference"/>
        </w:rPr>
        <w:footnoteReference w:id="1768"/>
      </w:r>
    </w:p>
    <w:p>
      <w:pPr>
        <w:pStyle w:val="Heading6"/>
      </w:pPr>
      <w:bookmarkStart w:id="764" w:name="_Toc445"/>
      <w:r>
        <w:t>[نقد الدلیل الثاني]</w:t>
      </w:r>
      <w:bookmarkEnd w:id="764"/>
    </w:p>
    <w:p>
      <w:pPr>
        <w:pStyle w:val="BookText"/>
      </w:pPr>
      <w:r>
        <w:rPr>
          <w:rFonts w:ascii="Amiri" w:hAnsi="Amiri" w:eastAsia="Amiri" w:cs="Amiri"/>
          <w:lang w:bidi="ar-SA"/>
          <w:color w:val="111111"/>
          <w:sz w:val="28"/>
          <w:szCs w:val="28"/>
          <w:rtl/>
        </w:rPr>
        <w:t xml:space="preserve">ولا يخفى ما فيه؛ إذ لا تثبت</w:t>
      </w:r>
      <w:r>
        <w:rPr>
          <w:rStyle w:val="FootnoteReference"/>
        </w:rPr>
        <w:footnoteReference w:id="1769"/>
      </w:r>
      <w:r>
        <w:rPr>
          <w:rFonts w:ascii="Amiri" w:hAnsi="Amiri" w:eastAsia="Amiri" w:cs="Amiri"/>
          <w:lang w:bidi="ar-SA"/>
          <w:color w:val="111111"/>
          <w:sz w:val="28"/>
          <w:szCs w:val="28"/>
          <w:rtl/>
        </w:rPr>
        <w:t xml:space="preserve">الغلبة بمجرّد هذين الموردين، مع أنّه لا دليل على اعتبارها؛ إذ غايتها الظنّ.</w:t>
      </w:r>
    </w:p>
    <w:p>
      <w:pPr>
        <w:pStyle w:val="BookText"/>
      </w:pPr>
      <w:r>
        <w:rPr>
          <w:rFonts w:ascii="Amiri" w:hAnsi="Amiri" w:eastAsia="Amiri" w:cs="Amiri"/>
          <w:lang w:bidi="ar-SA"/>
          <w:color w:val="111111"/>
          <w:sz w:val="28"/>
          <w:szCs w:val="28"/>
          <w:rtl/>
        </w:rPr>
        <w:t xml:space="preserve">نعم لا بأس به إذا قلنا بالترجيح به في خصوص الخبرين.</w:t>
      </w:r>
    </w:p>
    <w:p>
      <w:pPr>
        <w:pStyle w:val="BookText"/>
      </w:pPr>
      <w:r>
        <w:rPr>
          <w:rFonts w:ascii="Amiri" w:hAnsi="Amiri" w:eastAsia="Amiri" w:cs="Amiri"/>
          <w:lang w:bidi="ar-SA"/>
          <w:color w:val="111111"/>
          <w:sz w:val="28"/>
          <w:szCs w:val="28"/>
          <w:rtl/>
        </w:rPr>
        <w:t xml:space="preserve">هذا مضافاً إلى أنّ ترك العبادة والوضوء غير معلوم أنّه من هذه الجهة أي من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52" w:name="pg6784_51496"/>
    <w:bookmarkEnd w:id="252"/>
    <w:p>
      <w:pPr>
        <w:pStyle w:val="BookText"/>
      </w:pPr>
      <w:r>
        <w:rPr>
          <w:rFonts w:ascii="Amiri" w:hAnsi="Amiri" w:eastAsia="Amiri" w:cs="Amiri"/>
          <w:lang w:bidi="ar-SA"/>
          <w:color w:val="111111"/>
          <w:sz w:val="28"/>
          <w:szCs w:val="28"/>
          <w:rtl/>
        </w:rPr>
        <w:t xml:space="preserve">جهة تغليب الحرمة</w:t>
      </w:r>
      <w:r>
        <w:rPr>
          <w:rStyle w:val="FootnoteReference"/>
        </w:rPr>
        <w:footnoteReference w:id="1770"/>
      </w:r>
      <w:r>
        <w:rPr>
          <w:rFonts w:ascii="Amiri" w:hAnsi="Amiri" w:eastAsia="Amiri" w:cs="Amiri"/>
          <w:lang w:bidi="ar-SA"/>
          <w:color w:val="111111"/>
          <w:sz w:val="28"/>
          <w:szCs w:val="28"/>
          <w:rtl/>
        </w:rPr>
        <w:t xml:space="preserve">فلعلّه لشي‌ء آخر فلا يثمر في الإلحاق.</w:t>
      </w:r>
    </w:p>
    <w:p>
      <w:pPr>
        <w:pStyle w:val="BookText"/>
      </w:pPr>
      <w:r>
        <w:rPr>
          <w:rFonts w:ascii="Amiri" w:hAnsi="Amiri" w:eastAsia="Amiri" w:cs="Amiri"/>
          <w:lang w:bidi="ar-SA"/>
          <w:color w:val="111111"/>
          <w:sz w:val="28"/>
          <w:szCs w:val="28"/>
          <w:rtl/>
        </w:rPr>
        <w:t xml:space="preserve">مع أنّ الاستظهار ليس بواجب ومسألة الإراقة ليست من المقام لكون حرمة الوضوء تشريعيّة فيمكن الاحتياط فالتقديم تعبّدي.</w:t>
      </w:r>
    </w:p>
    <w:p>
      <w:pPr>
        <w:pStyle w:val="BookText"/>
      </w:pPr>
      <w:r>
        <w:rPr>
          <w:rFonts w:ascii="IRNazanin" w:hAnsi="IRNazanin" w:eastAsia="IRNazanin" w:cs="IRNazanin"/>
          <w:lang w:bidi="fa-IR"/>
          <w:color w:val="111111"/>
          <w:sz w:val="28"/>
          <w:szCs w:val="28"/>
          <w:rtl/>
        </w:rPr>
        <w:t xml:space="preserve">وقد يقال: إنّ الاستظهار على فرض وجوبه لعلّه من باب قاعدة الإمکان في الحيض فلا دلالة فيه على المدّعى من تغليب الحرمة ومسألة الإراقة على فرض كون حرمة الوضوء بالماء النجس ذاتيّة إنّما هي من جهة ثبوت البدل للوضوء وهو التيمّم فلهذا لا يزاحم المحرّم.</w:t>
      </w:r>
    </w:p>
    <w:p>
      <w:pPr>
        <w:pStyle w:val="BookText"/>
      </w:pPr>
      <w:r>
        <w:rPr>
          <w:rFonts w:ascii="IRNazanin" w:hAnsi="IRNazanin" w:eastAsia="IRNazanin" w:cs="IRNazanin"/>
          <w:lang w:bidi="fa-IR"/>
          <w:color w:val="111111"/>
          <w:sz w:val="28"/>
          <w:szCs w:val="28"/>
          <w:rtl/>
        </w:rPr>
        <w:t xml:space="preserve">قلت: يمكن للقائل أن يقول: إنّ السرّ في قاعدة الإمکان هو تغليب الحرمة وأمّا ثبوت البدل فلا دخل له</w:t>
      </w:r>
      <w:r>
        <w:rPr>
          <w:rStyle w:val="FootnoteReference"/>
        </w:rPr>
        <w:footnoteReference w:id="1771"/>
      </w:r>
      <w:r>
        <w:rPr>
          <w:rFonts w:ascii="Amiri" w:hAnsi="Amiri" w:eastAsia="Amiri" w:cs="Amiri"/>
          <w:lang w:bidi="ar-SA"/>
          <w:color w:val="111111"/>
          <w:sz w:val="28"/>
          <w:szCs w:val="28"/>
          <w:rtl/>
        </w:rPr>
        <w:t xml:space="preserve">في عدم المزاحمة؛ إذ لا فرق بين ما له بدل وما لا بدل له في ذلك كما لا يخفى.</w:t>
      </w:r>
    </w:p>
    <w:p>
      <w:pPr>
        <w:pStyle w:val="BookText"/>
      </w:pPr>
      <w:r>
        <w:rPr>
          <w:rFonts w:ascii="Amiri" w:hAnsi="Amiri" w:eastAsia="Amiri" w:cs="Amiri"/>
          <w:lang w:bidi="ar-SA"/>
          <w:color w:val="111111"/>
          <w:sz w:val="28"/>
          <w:szCs w:val="28"/>
          <w:rtl/>
        </w:rPr>
        <w:t xml:space="preserve">فالأولى الاقتصار على أنّ الحرمة تشريعيّة فالتقديم ليس من جهة التغليب.</w:t>
      </w:r>
    </w:p>
    <w:p>
      <w:pPr>
        <w:pStyle w:val="Heading6"/>
      </w:pPr>
      <w:bookmarkStart w:id="765" w:name="_Toc446"/>
      <w:r>
        <w:t>[الدلیل الثالث لتقدیم النهي تعبّداً: أخبار التوقّف]</w:t>
      </w:r>
      <w:bookmarkEnd w:id="765"/>
    </w:p>
    <w:p>
      <w:pPr>
        <w:pStyle w:val="BookText"/>
      </w:pPr>
      <w:r>
        <w:rPr>
          <w:rFonts w:ascii="IRNazanin" w:hAnsi="IRNazanin" w:eastAsia="IRNazanin" w:cs="IRNazanin"/>
          <w:lang w:bidi="fa-IR"/>
          <w:color w:val="111111"/>
          <w:sz w:val="28"/>
          <w:szCs w:val="28"/>
          <w:rtl/>
        </w:rPr>
        <w:t xml:space="preserve">الثّالث: ما دلّ من الأخبار على التوقّف عند تعارض الأمر والنهي المؤيّد بما عن أميرالمؤمنين (علیه‌السلام) من قوله (علیه‌السلام): «أفضل من اكتساب</w:t>
      </w:r>
      <w:r>
        <w:rPr>
          <w:rStyle w:val="FootnoteReference"/>
        </w:rPr>
        <w:footnoteReference w:id="1772"/>
      </w:r>
      <w:r>
        <w:rPr>
          <w:rFonts w:ascii="Amiri" w:hAnsi="Amiri" w:eastAsia="Amiri" w:cs="Amiri"/>
          <w:lang w:bidi="ar-SA"/>
          <w:color w:val="111111"/>
          <w:sz w:val="28"/>
          <w:szCs w:val="28"/>
          <w:rtl/>
        </w:rPr>
        <w:t xml:space="preserve">الحسنات اجتناب السّيئات»</w:t>
      </w:r>
      <w:r>
        <w:rPr>
          <w:rStyle w:val="FootnoteReference"/>
        </w:rPr>
        <w:footnoteReference w:id="1773"/>
      </w:r>
      <w:r>
        <w:rPr>
          <w:rFonts w:ascii="IRNazanin" w:hAnsi="IRNazanin" w:eastAsia="IRNazanin" w:cs="IRNazanin"/>
          <w:lang w:bidi="fa-IR"/>
          <w:color w:val="111111"/>
          <w:sz w:val="28"/>
          <w:szCs w:val="28"/>
          <w:rtl/>
        </w:rPr>
        <w:t xml:space="preserve">وقوله (علیه‌السلام): «إنّ</w:t>
      </w:r>
      <w:r>
        <w:rPr>
          <w:rStyle w:val="FootnoteReference"/>
        </w:rPr>
        <w:footnoteReference w:id="1774"/>
      </w:r>
      <w:r>
        <w:rPr>
          <w:rFonts w:ascii="Amiri" w:hAnsi="Amiri" w:eastAsia="Amiri" w:cs="Amiri"/>
          <w:lang w:bidi="ar-SA"/>
          <w:color w:val="111111"/>
          <w:sz w:val="28"/>
          <w:szCs w:val="28"/>
          <w:rtl/>
        </w:rPr>
        <w:t xml:space="preserve">اجتناب السّيئات أولى من اكتساب الحسنات».</w:t>
      </w:r>
      <w:r>
        <w:rPr>
          <w:rStyle w:val="FootnoteReference"/>
        </w:rPr>
        <w:footnoteReference w:id="1775"/>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53" w:name="pg6784_51497"/>
    <w:bookmarkEnd w:id="253"/>
    <w:p>
      <w:pPr>
        <w:pStyle w:val="Heading6"/>
      </w:pPr>
      <w:bookmarkStart w:id="766" w:name="_Toc447"/>
      <w:r>
        <w:t>[نقد الدلیل الثالث]</w:t>
      </w:r>
      <w:bookmarkEnd w:id="766"/>
    </w:p>
    <w:p>
      <w:pPr>
        <w:pStyle w:val="BookText"/>
      </w:pPr>
      <w:r>
        <w:rPr>
          <w:rFonts w:ascii="Amiri" w:hAnsi="Amiri" w:eastAsia="Amiri" w:cs="Amiri"/>
          <w:lang w:bidi="ar-SA"/>
          <w:color w:val="111111"/>
          <w:sz w:val="28"/>
          <w:szCs w:val="28"/>
          <w:rtl/>
        </w:rPr>
        <w:t xml:space="preserve">وفيه: أنّها معارضة بما دلّ على التخيير</w:t>
      </w:r>
      <w:r>
        <w:rPr>
          <w:rStyle w:val="FootnoteReference"/>
        </w:rPr>
        <w:footnoteReference w:id="1776"/>
      </w:r>
      <w:r>
        <w:rPr>
          <w:rFonts w:ascii="Amiri" w:hAnsi="Amiri" w:eastAsia="Amiri" w:cs="Amiri"/>
          <w:lang w:bidi="ar-SA"/>
          <w:color w:val="111111"/>
          <w:sz w:val="28"/>
          <w:szCs w:val="28"/>
          <w:rtl/>
        </w:rPr>
        <w:t xml:space="preserve">، مع أنّ المراد من التوقّف فيها ليس تغليب جانب الحرمة، مع أنّ الأمر والنهي فيها غير مختصّ بالإلزاميين فيشتمل</w:t>
      </w:r>
      <w:r>
        <w:rPr>
          <w:rStyle w:val="FootnoteReference"/>
        </w:rPr>
        <w:footnoteReference w:id="1777"/>
      </w:r>
      <w:r>
        <w:rPr>
          <w:rFonts w:ascii="Amiri" w:hAnsi="Amiri" w:eastAsia="Amiri" w:cs="Amiri"/>
          <w:lang w:bidi="ar-SA"/>
          <w:color w:val="111111"/>
          <w:sz w:val="28"/>
          <w:szCs w:val="28"/>
          <w:rtl/>
        </w:rPr>
        <w:t xml:space="preserve">غيرهما ولو كانا مختلفين، مع أنّها في عرض سائر الأخبار الدالّة على التوقّف عند تعارض الخبرين مطلقاً</w:t>
      </w:r>
      <w:r>
        <w:rPr>
          <w:rStyle w:val="FootnoteReference"/>
        </w:rPr>
        <w:footnoteReference w:id="1778"/>
      </w:r>
      <w:r>
        <w:rPr>
          <w:rFonts w:ascii="Amiri" w:hAnsi="Amiri" w:eastAsia="Amiri" w:cs="Amiri"/>
          <w:lang w:bidi="ar-SA"/>
          <w:color w:val="111111"/>
          <w:sz w:val="28"/>
          <w:szCs w:val="28"/>
          <w:rtl/>
        </w:rPr>
        <w:t xml:space="preserve">من غير تخصيص بالأمر والنهي.</w:t>
      </w:r>
    </w:p>
    <w:p>
      <w:pPr>
        <w:pStyle w:val="BookText"/>
      </w:pPr>
      <w:r>
        <w:rPr>
          <w:rFonts w:ascii="Amiri" w:hAnsi="Amiri" w:eastAsia="Amiri" w:cs="Amiri"/>
          <w:lang w:bidi="ar-SA"/>
          <w:color w:val="111111"/>
          <w:sz w:val="28"/>
          <w:szCs w:val="28"/>
          <w:rtl/>
        </w:rPr>
        <w:t xml:space="preserve">وأمّا المرسلتان فظاهرتان في معارضة المندوبات مع المحرّمات.</w:t>
      </w:r>
    </w:p>
    <w:p>
      <w:pPr>
        <w:pStyle w:val="Heading6"/>
      </w:pPr>
      <w:bookmarkStart w:id="767" w:name="_Toc448"/>
      <w:r>
        <w:t>[الدلیل الرابع لتقدیم النهي تعبّداً: إفضاء الحرمة إلى مقصودها أتمّ]</w:t>
      </w:r>
      <w:bookmarkEnd w:id="767"/>
    </w:p>
    <w:p>
      <w:pPr>
        <w:pStyle w:val="BookText"/>
      </w:pPr>
      <w:r>
        <w:rPr>
          <w:rFonts w:ascii="Amiri" w:hAnsi="Amiri" w:eastAsia="Amiri" w:cs="Amiri"/>
          <w:lang w:bidi="ar-SA"/>
          <w:color w:val="111111"/>
          <w:sz w:val="28"/>
          <w:szCs w:val="28"/>
          <w:rtl/>
        </w:rPr>
        <w:t xml:space="preserve">الرّابع: أنّ إفضاء الحرمة إلى مقصودها أتمّ من إفضاء الوجوب إلى مقصوده؛ لأنّ مقصود الحرمة يتأتّى بالترك ولو عن غفلة بخلاف الوجوب.</w:t>
      </w:r>
      <w:r>
        <w:rPr>
          <w:rStyle w:val="FootnoteReference"/>
        </w:rPr>
        <w:footnoteReference w:id="1779"/>
      </w:r>
    </w:p>
    <w:p>
      <w:pPr>
        <w:pStyle w:val="Heading6"/>
      </w:pPr>
      <w:bookmarkStart w:id="768" w:name="_Toc449"/>
      <w:r>
        <w:t>[نقد الدلیل الرابع]</w:t>
      </w:r>
      <w:bookmarkEnd w:id="768"/>
    </w:p>
    <w:p>
      <w:pPr>
        <w:pStyle w:val="BookText"/>
      </w:pPr>
      <w:r>
        <w:rPr>
          <w:rFonts w:ascii="Amiri" w:hAnsi="Amiri" w:eastAsia="Amiri" w:cs="Amiri"/>
          <w:lang w:bidi="ar-SA"/>
          <w:color w:val="111111"/>
          <w:sz w:val="28"/>
          <w:szCs w:val="28"/>
          <w:rtl/>
        </w:rPr>
        <w:t xml:space="preserve">وفيه ما لا يخفى.</w:t>
      </w:r>
      <w:r>
        <w:rPr>
          <w:rStyle w:val="FootnoteReference"/>
        </w:rPr>
        <w:footnoteReference w:id="1780"/>
      </w:r>
    </w:p>
    <w:p>
      <w:pPr>
        <w:pStyle w:val="BookText"/>
      </w:pPr>
      <w:r>
        <w:rPr>
          <w:rFonts w:ascii="IRNazanin" w:hAnsi="IRNazanin" w:eastAsia="IRNazanin" w:cs="IRNazanin"/>
          <w:lang w:bidi="fa-IR"/>
          <w:color w:val="111111"/>
          <w:sz w:val="28"/>
          <w:szCs w:val="28"/>
          <w:rtl/>
        </w:rPr>
        <w:t xml:space="preserve">أقول: أوّلاً: مرحلة الجعل تتفاوت عن مرحلة الامتثال، وسهولة الامتثال لا تستلزم ضرورة أکثریة المصلحة في مرحلة الاقتضاء والجعل؛ وثانیاً: على فرض تسلیم أنّ سهولة الامتثال مؤثرة في الحکم بأخذ طرف نقول: کما تکون سهولة في الأخذ بطرف النهي والترك کذلك في الحکم بالتخییر سهولة وراحة؛ لأنّ أحد طرفي التخییر الترک. فالسهولة لا تعیّن الأخذ بطرف النهي وتجتمع مع القول بالتخییر.</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54" w:name="pg6784_51498"/>
    <w:bookmarkEnd w:id="254"/>
    <w:p>
      <w:pPr>
        <w:pStyle w:val="Heading6"/>
      </w:pPr>
      <w:bookmarkStart w:id="769" w:name="_Toc450"/>
      <w:r>
        <w:t>[فرض الاجتماع من التعارض أو التزاحم]</w:t>
      </w:r>
      <w:bookmarkEnd w:id="769"/>
    </w:p>
    <w:p>
      <w:pPr>
        <w:pStyle w:val="BookText"/>
      </w:pPr>
      <w:r>
        <w:rPr>
          <w:rFonts w:ascii="Amiri" w:hAnsi="Amiri" w:eastAsia="Amiri" w:cs="Amiri"/>
          <w:lang w:bidi="ar-SA"/>
          <w:color w:val="111111"/>
          <w:sz w:val="28"/>
          <w:szCs w:val="28"/>
          <w:rtl/>
        </w:rPr>
        <w:t xml:space="preserve">ثمّ لا يخفى أنّ هذه الوجوه على فرض تماميّتها إنّما تدلّ على تقديم جانب الحرمة بعد فقد سائر المرجّحات السنديّة، ولذا ذكرها بعض الأصوليّين</w:t>
      </w:r>
      <w:r>
        <w:rPr>
          <w:rStyle w:val="FootnoteReference"/>
        </w:rPr>
        <w:footnoteReference w:id="1781"/>
      </w:r>
      <w:r>
        <w:rPr>
          <w:rFonts w:ascii="Amiri" w:hAnsi="Amiri" w:eastAsia="Amiri" w:cs="Amiri"/>
          <w:lang w:bidi="ar-SA"/>
          <w:color w:val="111111"/>
          <w:sz w:val="28"/>
          <w:szCs w:val="28"/>
          <w:rtl/>
        </w:rPr>
        <w:t xml:space="preserve">في باب التراجيح واعتمد عليها بعد فقد جميع المرجّحات، فلا وجه للأخذ بها في المقام مقدّماً عليها كما هو ظاهر القائل.</w:t>
      </w:r>
    </w:p>
    <w:p>
      <w:pPr>
        <w:pStyle w:val="BookText"/>
      </w:pPr>
      <w:r>
        <w:rPr>
          <w:rFonts w:ascii="Amiri" w:hAnsi="Amiri" w:eastAsia="Amiri" w:cs="Amiri"/>
          <w:lang w:bidi="ar-SA"/>
          <w:color w:val="111111"/>
          <w:sz w:val="28"/>
          <w:szCs w:val="28"/>
          <w:rtl/>
        </w:rPr>
        <w:t xml:space="preserve">ثمّ أقول من رأس: إنّ جميع ما ذكروه في المقام من الرجوع إلى المرجّحات الدلاليّة والسنديّة والأصل وغير ذلك إنّما يناسب لو كان المقام من باب التعارض.</w:t>
      </w:r>
    </w:p>
    <w:p>
      <w:pPr>
        <w:pStyle w:val="BookText"/>
      </w:pPr>
      <w:r>
        <w:rPr>
          <w:rFonts w:ascii="IRNazanin" w:hAnsi="IRNazanin" w:eastAsia="IRNazanin" w:cs="IRNazanin"/>
          <w:lang w:bidi="fa-IR"/>
          <w:color w:val="111111"/>
          <w:sz w:val="28"/>
          <w:szCs w:val="28"/>
          <w:rtl/>
        </w:rPr>
        <w:t xml:space="preserve">وأمّا على ما هو التحقیق من كونه من باب التزاحم فلا وجه للرجوع إلى المرجّحات المذكورة أصلاً.</w:t>
      </w:r>
    </w:p>
    <w:p>
      <w:pPr>
        <w:pStyle w:val="BookText"/>
      </w:pPr>
      <w:r>
        <w:rPr>
          <w:rFonts w:ascii="IRNazanin" w:hAnsi="IRNazanin" w:eastAsia="IRNazanin" w:cs="IRNazanin"/>
          <w:lang w:bidi="fa-IR"/>
          <w:color w:val="111111"/>
          <w:sz w:val="28"/>
          <w:szCs w:val="28"/>
          <w:rtl/>
        </w:rPr>
        <w:t xml:space="preserve">نعم التمسّك بأولويّة دفع المفسدة على فرض تماميّتها وكذا الاستقراء ألصق بباب التزاحم ولعلّ هذا هو السرّ في التشبّث بهما في المقام مع الإغماض عن المرجّحات السنديّة؛ لأنّ كون المقام من التزاحم مركوز الأذهان وإن كانوا غير ملتفتين إلیه، ولذا يقولون بعدم مانعيّة النّهي الواقعي مع فرض الغفلة أو الجهل، ولو كان من التعارض لم يكن لذلك وجه كما سبقت الإشارة إلیه وسيأتي.</w:t>
      </w:r>
    </w:p>
    <w:p>
      <w:pPr>
        <w:pStyle w:val="BookText"/>
      </w:pPr>
      <w:r>
        <w:rPr>
          <w:rFonts w:ascii="IRNazanin" w:hAnsi="IRNazanin" w:eastAsia="IRNazanin" w:cs="IRNazanin"/>
          <w:lang w:bidi="fa-IR"/>
          <w:color w:val="111111"/>
          <w:sz w:val="28"/>
          <w:szCs w:val="28"/>
          <w:rtl/>
        </w:rPr>
        <w:t xml:space="preserve">ولا فرق على ما ذكرنا بين القطعيّين والظنيّين والمختلفين بل في القطعيين من حيث السند والدلالة أولى كما في مثال الصّلاة والغصب حيث إنّه لا إشکال في دلالة الأمر والنهي ولا في سنديهما.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55" w:name="pg6784_51499"/>
    <w:bookmarkEnd w:id="255"/>
    <w:p>
      <w:pPr>
        <w:pStyle w:val="Heading6"/>
      </w:pPr>
      <w:bookmarkStart w:id="770" w:name="_Toc451"/>
      <w:r>
        <w:t>[تقدیم النهي على فرض الامتناع]</w:t>
      </w:r>
      <w:bookmarkEnd w:id="770"/>
    </w:p>
    <w:p>
      <w:pPr>
        <w:pStyle w:val="BookText"/>
      </w:pPr>
      <w:r>
        <w:rPr>
          <w:rFonts w:ascii="IRNazanin" w:hAnsi="IRNazanin" w:eastAsia="IRNazanin" w:cs="IRNazanin"/>
          <w:lang w:bidi="fa-IR"/>
          <w:color w:val="111111"/>
          <w:sz w:val="28"/>
          <w:szCs w:val="28"/>
          <w:rtl/>
        </w:rPr>
        <w:t xml:space="preserve">وحینئذٍ نقول: لا ينبغي التأمّل في تقديم النهي</w:t>
      </w:r>
      <w:r>
        <w:rPr>
          <w:rStyle w:val="FootnoteReference"/>
        </w:rPr>
        <w:footnoteReference w:id="1782"/>
      </w:r>
      <w:r>
        <w:rPr>
          <w:rFonts w:ascii="IRNazanin" w:hAnsi="IRNazanin" w:eastAsia="IRNazanin" w:cs="IRNazanin"/>
          <w:lang w:bidi="fa-IR"/>
          <w:color w:val="111111"/>
          <w:sz w:val="28"/>
          <w:szCs w:val="28"/>
          <w:rtl/>
        </w:rPr>
        <w:t xml:space="preserve">على فرض عدم جواز</w:t>
      </w:r>
    </w:p>
    <w:p>
      <w:pPr>
        <w:pStyle w:val="BookText"/>
      </w:pPr>
      <w:r>
        <w:rPr>
          <w:rFonts w:ascii="Amiri" w:hAnsi="Amiri" w:eastAsia="Amiri" w:cs="Amiri"/>
          <w:lang w:bidi="ar-SA"/>
          <w:color w:val="111111"/>
          <w:sz w:val="28"/>
          <w:szCs w:val="28"/>
          <w:rtl/>
        </w:rPr>
        <w:t xml:space="preserve">الاجتماع؛ لأنّه من دوران الأمر بين النهي التعييني والوجوب التخييري ومن المعلوم وجوب رفع اليد عن الأمر عند المزاحمة لمكان وجود البدل ولو كان الأمر بالعكس كان بالعكس كما هو واضح.</w:t>
      </w:r>
      <w:r>
        <w:rPr>
          <w:rStyle w:val="FootnoteReference"/>
        </w:rPr>
        <w:footnoteReference w:id="1783"/>
      </w:r>
    </w:p>
    <w:p>
      <w:pPr>
        <w:pStyle w:val="BookText"/>
      </w:pPr>
      <w:r>
        <w:rPr>
          <w:rFonts w:ascii="IRNazanin" w:hAnsi="IRNazanin" w:eastAsia="IRNazanin" w:cs="IRNazanin"/>
          <w:lang w:bidi="fa-IR"/>
          <w:color w:val="111111"/>
          <w:sz w:val="28"/>
          <w:szCs w:val="28"/>
          <w:rtl/>
        </w:rPr>
        <w:t xml:space="preserve">وعن المصنف آیة الله السید محمّدکاظم الطباطبائي الیزدي (رحمة الله‌علیه) في حاشیة فرائد الأصول، ج2، ص235 و236: «قد تكرّر من المصنف هذا الكلام في مواضع عديدة، وأنّ العقل لا يتحيّر في حكم نفسه ولايكون إجمال في حكمه، وتكرّر ما أوردنا عليه من أنّ ذلك أمر ممكن بل واقع يشهد به الوجدان فإنّه فيما نحن فيه يجوز أن يحكم العقل بوجوب الأخذ بشي‌ء في مقابل طرح العلم الإجمالي والرجوع إلى البراءة لكن لا يحكم بوجوب واحد من الاحتمالين مخيراً أو معيناً. وبعبارة أخرى يجوز أن يدرك العقل أمراً على إجماله ولا يدرك تفاصيله».</w:t>
      </w:r>
    </w:p>
    <w:p>
      <w:pPr>
        <w:pStyle w:val="Heading6"/>
      </w:pPr>
      <w:bookmarkStart w:id="771" w:name="_Toc452"/>
      <w:r>
        <w:t>[على فرض التعارض تقتضى القاعدة التخییر لا الرجوع إلى الأصل]</w:t>
      </w:r>
      <w:bookmarkEnd w:id="771"/>
    </w:p>
    <w:p>
      <w:pPr>
        <w:pStyle w:val="BookText"/>
      </w:pPr>
      <w:r>
        <w:rPr>
          <w:rFonts w:ascii="Amiri" w:hAnsi="Amiri" w:eastAsia="Amiri" w:cs="Amiri"/>
          <w:lang w:bidi="ar-SA"/>
          <w:color w:val="111111"/>
          <w:sz w:val="28"/>
          <w:szCs w:val="28"/>
          <w:rtl/>
        </w:rPr>
        <w:t xml:space="preserve">ثمّ على فرض كونه من باب التعارض لا وجه لإطلاقهم الرجوع إلى الأصل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56" w:name="pg6784_51500"/>
    <w:bookmarkEnd w:id="256"/>
    <w:p>
      <w:pPr>
        <w:pStyle w:val="BookText"/>
      </w:pPr>
      <w:r>
        <w:rPr>
          <w:rFonts w:ascii="Amiri" w:hAnsi="Amiri" w:eastAsia="Amiri" w:cs="Amiri"/>
          <w:lang w:bidi="ar-SA"/>
          <w:color w:val="111111"/>
          <w:sz w:val="28"/>
          <w:szCs w:val="28"/>
          <w:rtl/>
        </w:rPr>
        <w:t xml:space="preserve">عند فقد المرجّحات؛ إذ لو كان من تعارض الخبرين فمقتضى القاعدة التخيير كما بيّن</w:t>
      </w:r>
      <w:r>
        <w:rPr>
          <w:rStyle w:val="FootnoteReference"/>
        </w:rPr>
        <w:footnoteReference w:id="1784"/>
      </w:r>
      <w:r>
        <w:rPr>
          <w:rFonts w:ascii="Amiri" w:hAnsi="Amiri" w:eastAsia="Amiri" w:cs="Amiri"/>
          <w:lang w:bidi="ar-SA"/>
          <w:color w:val="111111"/>
          <w:sz w:val="28"/>
          <w:szCs w:val="28"/>
          <w:rtl/>
        </w:rPr>
        <w:t xml:space="preserve">في باب التراجيح.</w:t>
      </w:r>
    </w:p>
    <w:p>
      <w:pPr>
        <w:pStyle w:val="Heading5"/>
      </w:pPr>
      <w:bookmarkStart w:id="772" w:name="_Toc453"/>
      <w:r>
        <w:t>[التنبیه الثالث: في حكم العمل مع تقديم النهي على مذهب المانعين]</w:t>
      </w:r>
      <w:bookmarkEnd w:id="772"/>
    </w:p>
    <w:p>
      <w:pPr>
        <w:pStyle w:val="BookText"/>
      </w:pPr>
      <w:r>
        <w:rPr>
          <w:rFonts w:ascii="IRNazanin" w:hAnsi="IRNazanin" w:eastAsia="IRNazanin" w:cs="IRNazanin"/>
          <w:lang w:bidi="fa-IR"/>
          <w:color w:val="111111"/>
          <w:sz w:val="28"/>
          <w:szCs w:val="28"/>
          <w:rtl/>
        </w:rPr>
        <w:t xml:space="preserve">الثّالث: ظاهر کلماتهم أنّه على مذهب المانعين إذا قدّمنا النهي فالعمل باطل، وكذا إذا شككنا في ترجيح النهي أو الأمر ورجعنا إلى الأصل من غير فرق بين صورة العلم والجهل بموضوع الحرمة أو الحكم والنسيان.</w:t>
      </w:r>
    </w:p>
    <w:p>
      <w:pPr>
        <w:pStyle w:val="BookText"/>
      </w:pPr>
      <w:r>
        <w:rPr>
          <w:rFonts w:ascii="Amiri" w:hAnsi="Amiri" w:eastAsia="Amiri" w:cs="Amiri"/>
          <w:lang w:bidi="ar-SA"/>
          <w:color w:val="111111"/>
          <w:sz w:val="28"/>
          <w:szCs w:val="28"/>
          <w:rtl/>
        </w:rPr>
        <w:t xml:space="preserve">ويظهر من بعضهم الحكم بالصحّة في صورة النسيان والجهل بالموضوع</w:t>
      </w:r>
      <w:r>
        <w:rPr>
          <w:rStyle w:val="FootnoteReference"/>
        </w:rPr>
        <w:footnoteReference w:id="1785"/>
      </w:r>
      <w:r>
        <w:rPr>
          <w:rFonts w:ascii="Amiri" w:hAnsi="Amiri" w:eastAsia="Amiri" w:cs="Amiri"/>
          <w:lang w:bidi="ar-SA"/>
          <w:color w:val="111111"/>
          <w:sz w:val="28"/>
          <w:szCs w:val="28"/>
          <w:rtl/>
        </w:rPr>
        <w:t xml:space="preserve">وأنّ النهي الواقعي لا يوجب البطلان</w:t>
      </w:r>
      <w:r>
        <w:rPr>
          <w:rStyle w:val="FootnoteReference"/>
        </w:rPr>
        <w:footnoteReference w:id="1786"/>
      </w:r>
      <w:r>
        <w:rPr>
          <w:rFonts w:ascii="Amiri" w:hAnsi="Amiri" w:eastAsia="Amiri" w:cs="Amiri"/>
          <w:lang w:bidi="ar-SA"/>
          <w:color w:val="111111"/>
          <w:sz w:val="28"/>
          <w:szCs w:val="28"/>
          <w:rtl/>
        </w:rPr>
        <w:t xml:space="preserve">ولا ينافي الأمر بل عن بعضهم الصحّة في الجاهل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بالحكم أیضاً.</w:t>
      </w:r>
      <w:r>
        <w:rPr>
          <w:rStyle w:val="FootnoteReference"/>
        </w:rPr>
        <w:footnoteReference w:id="1787"/>
      </w:r>
      <w:r>
        <w:rPr>
          <w:rFonts w:ascii="Amiri" w:hAnsi="Amiri" w:eastAsia="Amiri" w:cs="Amiri"/>
          <w:lang w:bidi="ar-SA"/>
          <w:color w:val="111111"/>
          <w:sz w:val="28"/>
          <w:szCs w:val="28"/>
          <w:rtl/>
        </w:rPr>
        <w:t xml:space="preserve">ويظهر من صاحب الجواهر الفرق فيه بين المعذور وغيره.</w:t>
      </w:r>
      <w:r>
        <w:rPr>
          <w:rStyle w:val="FootnoteReference"/>
        </w:rPr>
        <w:footnoteReference w:id="1788"/>
      </w:r>
    </w:p>
    <w:p>
      <w:pPr>
        <w:pStyle w:val="BookText"/>
      </w:pPr>
      <w:r>
        <w:rPr>
          <w:rFonts w:ascii="Amiri" w:hAnsi="Amiri" w:eastAsia="Amiri" w:cs="Amiri"/>
          <w:lang w:bidi="ar-SA"/>
          <w:color w:val="111111"/>
          <w:sz w:val="28"/>
          <w:szCs w:val="28"/>
          <w:rtl/>
        </w:rPr>
        <w:t xml:space="preserve">وادّعى المحقّق الأنصاري في رسالته في قاعدة الضرر تسالمهم على أنّ النهي الواقعي لا يوجب الفساد.</w:t>
      </w:r>
      <w:r>
        <w:rPr>
          <w:rStyle w:val="FootnoteReference"/>
        </w:rPr>
        <w:footnoteReference w:id="1789"/>
      </w:r>
    </w:p>
    <w:p>
      <w:pPr>
        <w:pStyle w:val="BookText"/>
      </w:pPr>
      <w:r>
        <w:rPr>
          <w:rFonts w:ascii="IRNazanin" w:hAnsi="IRNazanin" w:eastAsia="IRNazanin" w:cs="IRNazanin"/>
          <w:lang w:bidi="fa-IR"/>
          <w:color w:val="111111"/>
          <w:sz w:val="28"/>
          <w:szCs w:val="28"/>
          <w:rtl/>
        </w:rPr>
        <w:t xml:space="preserve">ويظهر من صاحب الإشارات وجود القول بالصحّة حتّى حال العلم أیضاً حيث قال: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«اختلفوا في أنّ مقتضى عدم جواز الاجتماع هل مجرّد عدم إمکان كون الشي‌ء الواحد مطلوباً ومبغوضاً أو يزيد عليه الحكم بالبطلان؟ قولان، أشهرهما الثاني واختار أوّلهما بعض الأواخر</w:t>
      </w:r>
      <w:r>
        <w:rPr>
          <w:rStyle w:val="FootnoteReference"/>
        </w:rPr>
        <w:footnoteReference w:id="1790"/>
      </w:r>
      <w:r>
        <w:rPr>
          <w:rFonts w:ascii="IRNazanin" w:hAnsi="IRNazanin" w:eastAsia="IRNazanin" w:cs="IRNazanin"/>
          <w:lang w:bidi="fa-IR"/>
          <w:color w:val="111111"/>
          <w:sz w:val="28"/>
          <w:szCs w:val="28"/>
          <w:rtl/>
        </w:rPr>
        <w:t xml:space="preserve">وتبعه آخر استناداً إلى أنّ قول الشارع «صلّ» مطلق والأمر يقتضي الإجزاء في ضمن کلّ ما صدق عليه المأمور به، وقوله «لا تغصب» أیضاً مطلق يقتضي حرمة کلّ ما صدق عليه أنّه غصب. والقاعدة المتقدّمة بعد استقرارها على عدم الجواز لا يقتضي إلّا لزوم إرجاع أحد العامّين إلى الآخر وأيّد ببعض الأخبار الدالّة على أنّ للنّاس من الأرض حقّاً فلا بدّ من الرجوع إلى المرجّحات الخارجيّة».</w:t>
      </w:r>
      <w:r>
        <w:rPr>
          <w:rStyle w:val="FootnoteReference"/>
        </w:rPr>
        <w:footnoteReference w:id="1791"/>
      </w:r>
    </w:p>
    <w:p>
      <w:pPr>
        <w:pStyle w:val="BookText"/>
      </w:pPr>
      <w:r>
        <w:rPr>
          <w:rFonts w:ascii="Amiri" w:hAnsi="Amiri" w:eastAsia="Amiri" w:cs="Amiri"/>
          <w:lang w:bidi="ar-SA"/>
          <w:color w:val="111111"/>
          <w:sz w:val="28"/>
          <w:szCs w:val="28"/>
          <w:rtl/>
        </w:rPr>
        <w:t xml:space="preserve">ومراده بذلك</w:t>
      </w:r>
      <w:r>
        <w:rPr>
          <w:rStyle w:val="FootnoteReference"/>
        </w:rPr>
        <w:footnoteReference w:id="1792"/>
      </w:r>
      <w:r>
        <w:rPr>
          <w:rFonts w:ascii="Amiri" w:hAnsi="Amiri" w:eastAsia="Amiri" w:cs="Amiri"/>
          <w:lang w:bidi="ar-SA"/>
          <w:color w:val="111111"/>
          <w:sz w:val="28"/>
          <w:szCs w:val="28"/>
          <w:rtl/>
        </w:rPr>
        <w:t xml:space="preserve">البعض المحقّق القمي</w:t>
      </w:r>
      <w:r>
        <w:rPr>
          <w:rStyle w:val="FootnoteReference"/>
        </w:rPr>
        <w:footnoteReference w:id="1793"/>
      </w:r>
      <w:r>
        <w:rPr>
          <w:rFonts w:ascii="IRNazanin" w:hAnsi="IRNazanin" w:eastAsia="IRNazanin" w:cs="IRNazanin"/>
          <w:lang w:bidi="fa-IR"/>
          <w:color w:val="111111"/>
          <w:sz w:val="28"/>
          <w:szCs w:val="28"/>
          <w:rtl/>
        </w:rPr>
        <w:t xml:space="preserve">ولعلّه استظهر من کلامه المذكور أنّمراده الحكم بالصحّة حتّى مع الشكّ في ترجيح أحد العامّين.</w:t>
      </w:r>
    </w:p>
    <w:p>
      <w:pPr>
        <w:pStyle w:val="BookText"/>
      </w:pPr>
      <w:r>
        <w:rPr>
          <w:rFonts w:ascii="IRNazanin" w:hAnsi="IRNazanin" w:eastAsia="IRNazanin" w:cs="IRNazanin"/>
          <w:lang w:bidi="fa-IR"/>
          <w:color w:val="111111"/>
          <w:sz w:val="28"/>
          <w:szCs w:val="28"/>
          <w:rtl/>
        </w:rPr>
        <w:t xml:space="preserve">ولذا أورد عليه بقوله: ويرد عليه أنّ ما ذكره غير منكر إلّا أنّه لا ينافي الحكم بالبطلان بل يؤكّده، فإنّ العامّين إذا تعارضا فيشكّ في الصحّة في مورد الاجتماع فيحكم بالبطلان؛ لأنّ الصحّة [تتوقّف علی] </w:t>
      </w:r>
      <w:r>
        <w:rPr>
          <w:rStyle w:val="FootnoteReference"/>
        </w:rPr>
        <w:footnoteReference w:id="1794"/>
      </w:r>
      <w:r>
        <w:rPr>
          <w:rFonts w:ascii="Amiri" w:hAnsi="Amiri" w:eastAsia="Amiri" w:cs="Amiri"/>
          <w:lang w:bidi="ar-SA"/>
          <w:color w:val="111111"/>
          <w:sz w:val="28"/>
          <w:szCs w:val="28"/>
          <w:rtl/>
        </w:rPr>
        <w:t xml:space="preserve">موافقة الأمر وهو مشكوك.</w:t>
      </w:r>
      <w:r>
        <w:rPr>
          <w:rStyle w:val="FootnoteReference"/>
        </w:rPr>
        <w:footnoteReference w:id="1795"/>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والظّاهر أنّ مراد المحقّق المذكور أنّ مجرّد عدم جواز الاجتماع لا يوجب البطلان؛ إذ يمكن ترجيح الأمر على النهي وتخصيصه بغير مورد الاجتماع لا أنّه مع الشكّ في الترجيح أو مع البناء على تقديم النهي أیضاً يحكم بالصحّة؛ إذ من المعلوم أنّه لا وجه للأخذ بإطلاق الأمر في إفادة الإجزاء حینئذٍ.</w:t>
      </w:r>
    </w:p>
    <w:p>
      <w:pPr>
        <w:pStyle w:val="BookText"/>
      </w:pPr>
      <w:r>
        <w:rPr>
          <w:rFonts w:ascii="IRNazanin" w:hAnsi="IRNazanin" w:eastAsia="IRNazanin" w:cs="IRNazanin"/>
          <w:lang w:bidi="fa-IR"/>
          <w:color w:val="111111"/>
          <w:sz w:val="28"/>
          <w:szCs w:val="28"/>
          <w:rtl/>
        </w:rPr>
        <w:t xml:space="preserve">وحینئذٍ فلا يرد عليه ما ذكره.</w:t>
      </w:r>
    </w:p>
    <w:p>
      <w:pPr>
        <w:pStyle w:val="BookText"/>
      </w:pPr>
      <w:r>
        <w:rPr>
          <w:rFonts w:ascii="Amiri" w:hAnsi="Amiri" w:eastAsia="Amiri" w:cs="Amiri"/>
          <w:lang w:bidi="ar-SA"/>
          <w:color w:val="111111"/>
          <w:sz w:val="28"/>
          <w:szCs w:val="28"/>
          <w:rtl/>
        </w:rPr>
        <w:t xml:space="preserve">وكيف كان فلا وجه لما ذكروه من الفرق بين صورة الجهل والعلم سواء جعلنا المقام من باب التعارض أو التزاحم؛ إذ على الأوّل</w:t>
      </w:r>
      <w:r>
        <w:rPr>
          <w:rStyle w:val="FootnoteReference"/>
        </w:rPr>
        <w:footnoteReference w:id="1796"/>
      </w:r>
      <w:r>
        <w:rPr>
          <w:rFonts w:ascii="IRNazanin" w:hAnsi="IRNazanin" w:eastAsia="IRNazanin" w:cs="IRNazanin"/>
          <w:lang w:bidi="fa-IR"/>
          <w:color w:val="111111"/>
          <w:sz w:val="28"/>
          <w:szCs w:val="28"/>
          <w:rtl/>
        </w:rPr>
        <w:t xml:space="preserve">إذا رجّحنا النهي إمّا بالدّلالة وإمّا بالمرجّحات الأخر لا معنى للفرق بين صورة العلم بالنهي وعدمه؛ إذ هو نظير ما إذا قال: «صلّ ولا تصلّ مستدبراً أو متكتّفاً» أو نحو ذلك فإنّ الواجب حینئذٍ هو الصّلاة المقيّدة بغير الأمرين فمع الإتیان بها معهما يجب عليه الإعادة.</w:t>
      </w:r>
    </w:p>
    <w:p>
      <w:pPr>
        <w:pStyle w:val="BookText"/>
      </w:pPr>
      <w:r>
        <w:rPr>
          <w:rFonts w:ascii="Amiri" w:hAnsi="Amiri" w:eastAsia="Amiri" w:cs="Amiri"/>
          <w:lang w:bidi="ar-SA"/>
          <w:color w:val="111111"/>
          <w:sz w:val="28"/>
          <w:szCs w:val="28"/>
          <w:rtl/>
        </w:rPr>
        <w:t xml:space="preserve">وبالجملة يكون من قبيل سائر التخصيصات والتقييدات في سائر الموارد وهو واضح، وكذا إذا شككنا في الترجيح؛ لأنّه يرجع إلى الشكّ في تعلّق الأمر بالمأتيّ به وهو موجب للشكّ في الخروج عن العهدة.وأمّا على الثاني</w:t>
      </w:r>
      <w:r>
        <w:rPr>
          <w:rStyle w:val="FootnoteReference"/>
        </w:rPr>
        <w:footnoteReference w:id="1797"/>
      </w:r>
      <w:r>
        <w:rPr>
          <w:rFonts w:ascii="IRNazanin" w:hAnsi="IRNazanin" w:eastAsia="IRNazanin" w:cs="IRNazanin"/>
          <w:lang w:bidi="fa-IR"/>
          <w:color w:val="111111"/>
          <w:sz w:val="28"/>
          <w:szCs w:val="28"/>
          <w:rtl/>
        </w:rPr>
        <w:t xml:space="preserve">فلأنّ کلّاً من الدليلين وإن کان تامّاً من حيث السند والدّلالة إلّا أنّه إذا قلنا بعدم جواز اجتماع الطّلبين وأنّ النّهي مقدّم لمكان أهميّته من حيث إنّه تعييني فلا يسقط ذلك النهي في حال الجهل والنسيان فلا يجوز تعلّق الأمر بالفرد المجمع واقعاً، ومجرّد تعلّق الأمر الفعلي من جهة الجهل بالواقع لا يثمر؛ لأنّه أمر خيالي عذري.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يقال: إنّ المانع من</w:t>
      </w:r>
      <w:r>
        <w:rPr>
          <w:rStyle w:val="FootnoteReference"/>
        </w:rPr>
        <w:footnoteReference w:id="1798"/>
      </w:r>
      <w:r>
        <w:rPr>
          <w:rFonts w:ascii="Amiri" w:hAnsi="Amiri" w:eastAsia="Amiri" w:cs="Amiri"/>
          <w:lang w:bidi="ar-SA"/>
          <w:color w:val="111111"/>
          <w:sz w:val="28"/>
          <w:szCs w:val="28"/>
          <w:rtl/>
        </w:rPr>
        <w:t xml:space="preserve">تعلّق الأمر هو النهي الفعلي</w:t>
      </w:r>
      <w:r>
        <w:rPr>
          <w:rStyle w:val="FootnoteReference"/>
        </w:rPr>
        <w:footnoteReference w:id="1799"/>
      </w:r>
    </w:p>
    <w:p>
      <w:pPr>
        <w:pStyle w:val="BookText"/>
      </w:pPr>
      <w:r>
        <w:rPr>
          <w:rFonts w:ascii="IRNazanin" w:hAnsi="IRNazanin" w:eastAsia="IRNazanin" w:cs="IRNazanin"/>
          <w:lang w:bidi="fa-IR"/>
          <w:color w:val="111111"/>
          <w:sz w:val="28"/>
          <w:szCs w:val="28"/>
          <w:rtl/>
        </w:rPr>
        <w:t xml:space="preserve">فراجع: رسائل فقهیّة، ص118.</w:t>
      </w:r>
    </w:p>
    <w:p>
      <w:pPr>
        <w:pStyle w:val="BookText"/>
      </w:pPr>
      <w:r>
        <w:rPr>
          <w:rFonts w:ascii="IRNazanin" w:hAnsi="IRNazanin" w:eastAsia="IRNazanin" w:cs="IRNazanin"/>
          <w:lang w:bidi="fa-IR"/>
          <w:color w:val="111111"/>
          <w:sz w:val="28"/>
          <w:szCs w:val="28"/>
          <w:rtl/>
        </w:rPr>
        <w:t xml:space="preserve">وکذا راجع: فرائد الأصول، ج2، ص420، حیث قال: «والاعتذار عن ذلك: بأنّه يكفي في البطلان اجتماع الصلاة المأمور بها مع ما هو مبغوض في الواقع و معاقب عليه و لو لم يكن منهيّاً عنه بالفعل؛</w:t>
      </w:r>
    </w:p>
    <w:p>
      <w:pPr>
        <w:pStyle w:val="BookText"/>
      </w:pPr>
      <w:r>
        <w:rPr>
          <w:rFonts w:ascii="Amiri" w:hAnsi="Amiri" w:eastAsia="Amiri" w:cs="Amiri"/>
          <w:lang w:bidi="ar-SA"/>
          <w:color w:val="111111"/>
          <w:sz w:val="28"/>
          <w:szCs w:val="28"/>
          <w:rtl/>
        </w:rPr>
        <w:t xml:space="preserve">مدفوع - مضافاً إلى عدم صحّته في نفسه -: بأنّهم صرّحوا بصحّة صلاة من توسّط أرضاً مغصوبة في حال الخروج عنها؛ لعدم النهي عنه وإن كان آثماً بالخروج».</w:t>
      </w:r>
    </w:p>
    <w:p>
      <w:pPr>
        <w:pStyle w:val="BookText"/>
      </w:pPr>
      <w:r>
        <w:rPr>
          <w:rFonts w:ascii="IRNazanin" w:hAnsi="IRNazanin" w:eastAsia="IRNazanin" w:cs="IRNazanin"/>
          <w:lang w:bidi="fa-IR"/>
          <w:color w:val="111111"/>
          <w:sz w:val="28"/>
          <w:szCs w:val="28"/>
          <w:rtl/>
        </w:rPr>
        <w:t xml:space="preserve">قال السیّد محمّد التنکابني (رحمة الله‌علیه) في إیضاح الفرائد، ج2، ص386: «قوله: مضافاً إلى عدم صحّته في نفسه، لأنّ محلّ النزاع في باب اجتماع الأمر والنّهى هو كون الأمر والنهى فعليين فلو كان كلاهما شأنيیّين أو أحدهما فعلياً والآخر شأنياً لم يتحقق التضادّ ولذا حكموا بصحّة صلاة الجاهل بالغصب والمتوسط في الأرض المغصوبة في حال الخروج وغير ذلك».</w:t>
      </w:r>
    </w:p>
    <w:p>
      <w:pPr>
        <w:pStyle w:val="BookText"/>
      </w:pPr>
      <w:r>
        <w:rPr>
          <w:rFonts w:ascii="IRNazanin" w:hAnsi="IRNazanin" w:eastAsia="IRNazanin" w:cs="IRNazanin"/>
          <w:lang w:bidi="fa-IR"/>
          <w:color w:val="111111"/>
          <w:sz w:val="28"/>
          <w:szCs w:val="28"/>
          <w:rtl/>
        </w:rPr>
        <w:t xml:space="preserve">وأمّا المیرزا محمّدحسن الآشتیاني (رحمة الله‌علیه) قال في الرسائل التسع، ص142: «إذا تعلّق النهي النفسي بعنوان قد يجتمع مصداقاً مع أفعال العبادة كالغصب المجامع لأفعال الصلاة، أو الطّهارات فلا محالة يمنع، من امتثال الأمر المتعلّق بالعبادة، المتوقف على قصد التقرّب بالفعل، ضرورة امتناع التقرّب بالمبغوض. ومن هنا يجعل إباحة المكان، أو اللباس شرطاً مثلاً، فإنّ شرطيّتها ليست على حدّ سائر الشرائط المعتبرة في أصل العبادة وصحّتها فإنّها، كما عرفت شرط للامتثال لا العبادة، ومن هنا لا يمكن استفادة الجزئية من الطّلب النفسي، وحيث كانت الاستفادة من الجهة المذكورة، فلا محالة يحكم بصحّة الصلاة مع الجهل، الذي يعذر فيه المكلّف موضوعاً أو حكماً في الجملة، بل مع نسيان الغصب موضوعاً، أو حكماً في الجملة، حيث أن الإباحة الظاهريّة وانتفاء تنجّز النهي يتأتّى معه امتثال الأمر وقصد التقرّب بفعل العبادة، وإن كان حراماً في نفس الأمر، بناءً على كون الوجه ما أشرنا إليه، في مسألة امتناع اجتماع الأمر والنّهي، لا كونهما ضدّين على ما قرّره جماعة، فإنّه بناءً عليه يحتاج إلى كلفة دعوى عدم التضادّ بين النهي الواقعي، والأمر الفعلي وقصر التّضادّ بين الفعليّين منهما؛ فإنّها كما ترى لا يستقيم أصلاً على ما حقّقناه في معنى الحكم الواقعي في محلّه وأنّ الحكم الفعلي ليس حكماً آخر في قبال الحكم الواقعي، وإنّما هو من شئونه ومراتبه بالنظر إلى حكم العقل».</w:t>
      </w:r>
    </w:p>
    <w:p>
      <w:pPr>
        <w:pStyle w:val="BookText"/>
      </w:pPr>
      <w:r>
        <w:rPr>
          <w:rFonts w:ascii="IRNazanin" w:hAnsi="IRNazanin" w:eastAsia="IRNazanin" w:cs="IRNazanin"/>
          <w:lang w:bidi="fa-IR"/>
          <w:color w:val="111111"/>
          <w:sz w:val="28"/>
          <w:szCs w:val="28"/>
          <w:rtl/>
        </w:rPr>
        <w:t xml:space="preserve">والمفروض عدمه؛</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مدفوع بأنّ النهي الواقعي كافٍ في المزاحمة والمانعيّة؛ لأنّه وإن لم يناف الأمرالظاهري إلّا أنّه منافٍ للأمر الواقعي فيرتفع الأمر واقعاً ومع ارتفاعه لا وجه للحكم بالصحّة، مع عدم كون الأمر الظاهري مقتضياً للإجزاء كما هو التحقیق.</w:t>
      </w:r>
      <w:r>
        <w:rPr>
          <w:rStyle w:val="FootnoteReference"/>
        </w:rPr>
        <w:footnoteReference w:id="1800"/>
      </w:r>
    </w:p>
    <w:p>
      <w:pPr>
        <w:pStyle w:val="BookText"/>
      </w:pPr>
      <w:r>
        <w:rPr>
          <w:rFonts w:ascii="IRNazanin" w:hAnsi="IRNazanin" w:eastAsia="IRNazanin" w:cs="IRNazanin"/>
          <w:lang w:bidi="fa-IR"/>
          <w:color w:val="111111"/>
          <w:sz w:val="28"/>
          <w:szCs w:val="28"/>
          <w:rtl/>
        </w:rPr>
        <w:t xml:space="preserve">وقال المحقّق الخراساني في کفایة الأصول، ص86 في إجزاء الإتيان بالمأمور به بالأمر الظاهري و عدمه: «والتحقيق أنّ ما كان منه يجري في تنقيح ما هو موضوع التكليف وتحقيق متعلقه وكان بلسان تحقّق ما هو شرطه أو شطره كقاعدة الطهارة أو الحلية بل واستصحابهما في وجه قوي ونحوها بالنسبة إلى كل ما اشترط بالطهارة أو الحلية يجزي فإنّ دليله يكون حاكماً على دليل الاشتراط ومبيّناً لدائرة الشرط وأنّه أعم من الطهارة الواقعية والظاهرية فانكشاف الخلاف فيه لا يكون موجباً لانكشاف فقدان العمل لشرطه بل بالنسبة إليه يكون من قبيل ارتفاعه من حين ارتفاع الجهل، وهذا بخلاف ما كان منها بلسان أنّه ما هو الشرط واقعاً كما هو لسان الأمارات فلا يجزي».</w:t>
      </w:r>
    </w:p>
    <w:p>
      <w:pPr>
        <w:pStyle w:val="BookText"/>
      </w:pPr>
      <w:r>
        <w:rPr>
          <w:rFonts w:ascii="Amiri" w:hAnsi="Amiri" w:eastAsia="Amiri" w:cs="Amiri"/>
          <w:lang w:bidi="ar-SA"/>
          <w:color w:val="111111"/>
          <w:sz w:val="28"/>
          <w:szCs w:val="28"/>
          <w:rtl/>
        </w:rPr>
        <w:t xml:space="preserve">ودعوى عدم المنافاة</w:t>
      </w:r>
      <w:r>
        <w:rPr>
          <w:rStyle w:val="FootnoteReference"/>
        </w:rPr>
        <w:footnoteReference w:id="1801"/>
      </w:r>
      <w:r>
        <w:rPr>
          <w:rFonts w:ascii="Amiri" w:hAnsi="Amiri" w:eastAsia="Amiri" w:cs="Amiri"/>
          <w:lang w:bidi="ar-SA"/>
          <w:color w:val="111111"/>
          <w:sz w:val="28"/>
          <w:szCs w:val="28"/>
          <w:rtl/>
        </w:rPr>
        <w:t xml:space="preserve">بين الواقعيين كما ترى.</w:t>
      </w:r>
    </w:p>
    <w:p>
      <w:pPr>
        <w:pStyle w:val="BookText"/>
      </w:pPr>
      <w:r>
        <w:rPr>
          <w:rFonts w:ascii="IRNazanin" w:hAnsi="IRNazanin" w:eastAsia="IRNazanin" w:cs="IRNazanin"/>
          <w:lang w:bidi="fa-IR"/>
          <w:color w:val="111111"/>
          <w:sz w:val="28"/>
          <w:szCs w:val="28"/>
          <w:rtl/>
        </w:rPr>
        <w:t xml:space="preserve">فإن قلت: إنّ المانعیّة والمنافاة</w:t>
      </w:r>
      <w:r>
        <w:rPr>
          <w:rStyle w:val="FootnoteReference"/>
        </w:rPr>
        <w:footnoteReference w:id="1802"/>
      </w:r>
      <w:r>
        <w:rPr>
          <w:rFonts w:ascii="Amiri" w:hAnsi="Amiri" w:eastAsia="Amiri" w:cs="Amiri"/>
          <w:lang w:bidi="ar-SA"/>
          <w:color w:val="111111"/>
          <w:sz w:val="28"/>
          <w:szCs w:val="28"/>
          <w:rtl/>
        </w:rPr>
        <w:t xml:space="preserve">إنّما هي بين الطّلبين والنهي الواقعي ليس من مقولة الطلب وكذا أمره.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إن كانا من مقولة المحبوبيّة والمبغوضیّة فهما أیضاً متنافيان بل وكذا لو كانا من مجرّد المصلحة والمفسدة؛ إذ على هذا ليس الحكم عبارة إلّا عن المصلحة الفعليّة بعد الكسر والانكسار لا مجرّد جهة المصلحة.</w:t>
      </w:r>
    </w:p>
    <w:p>
      <w:pPr>
        <w:pStyle w:val="BookText"/>
      </w:pPr>
      <w:r>
        <w:rPr>
          <w:rFonts w:ascii="IRNazanin" w:hAnsi="IRNazanin" w:eastAsia="IRNazanin" w:cs="IRNazanin"/>
          <w:lang w:bidi="fa-IR"/>
          <w:color w:val="111111"/>
          <w:sz w:val="28"/>
          <w:szCs w:val="28"/>
          <w:rtl/>
        </w:rPr>
        <w:t xml:space="preserve">هذا مع أنّ التحقیق أنّ الحكم الواقعي من مقولة الطّلب وأنّه مقتضى أدلّة بطلان التصويب فالمعنى الّذي يُنشؤه</w:t>
      </w:r>
      <w:r>
        <w:rPr>
          <w:rStyle w:val="FootnoteReference"/>
        </w:rPr>
        <w:footnoteReference w:id="1803"/>
      </w:r>
      <w:r>
        <w:rPr>
          <w:rFonts w:ascii="IRNazanin" w:hAnsi="IRNazanin" w:eastAsia="IRNazanin" w:cs="IRNazanin"/>
          <w:lang w:bidi="fa-IR"/>
          <w:color w:val="111111"/>
          <w:sz w:val="28"/>
          <w:szCs w:val="28"/>
          <w:rtl/>
        </w:rPr>
        <w:t xml:space="preserve">الآمر إن وصل إلى المکلّف يسمّى بالحكم المنجّز وإن لم يصل إلیه يسمّى بالحكم الواقعي سواء كان من جهة الجهل أو النسيان فلايتفاوت الحكم في وجوده الواقعي والظاهري.</w:t>
      </w:r>
    </w:p>
    <w:p>
      <w:pPr>
        <w:pStyle w:val="BookText"/>
      </w:pPr>
      <w:r>
        <w:rPr>
          <w:rFonts w:ascii="IRNazanin" w:hAnsi="IRNazanin" w:eastAsia="IRNazanin" w:cs="IRNazanin"/>
          <w:lang w:bidi="fa-IR"/>
          <w:color w:val="111111"/>
          <w:sz w:val="28"/>
          <w:szCs w:val="28"/>
          <w:rtl/>
        </w:rPr>
        <w:t xml:space="preserve">فإن قلت: إذا كان المقام من التزاحم على ما هو المفروض فالأمر الواقعي متعلّق بالفعل كالنهي الواقعي إلّا أنّه لمكان عدم إمکان الخروج عن عهدتهما وأهميّة النهي حكمنا بوجوب العمل على طبق الثاني، فإذا غفل المکلّف عن النهي وأتى بالفعل فقد أتى بالمطلوب الواقعي كما في الواجبين المتزاحمين إذا كان أحدهما أهمّ وغفل المکلّف عنه وأتى بالآخر.</w:t>
      </w:r>
    </w:p>
    <w:p>
      <w:pPr>
        <w:pStyle w:val="BookText"/>
      </w:pPr>
      <w:r>
        <w:rPr>
          <w:rFonts w:ascii="IRNazanin" w:hAnsi="IRNazanin" w:eastAsia="IRNazanin" w:cs="IRNazanin"/>
          <w:lang w:bidi="fa-IR"/>
          <w:color w:val="111111"/>
          <w:sz w:val="28"/>
          <w:szCs w:val="28"/>
          <w:rtl/>
        </w:rPr>
        <w:t xml:space="preserve">قلت: نعم ولكنّ اللازم الحكم بالصحّة حتّى مع العلم أیضاً؛ لأنّه في حدّ نفسه مطلوب باعترافك وهو كافٍ في الصحّة وقصد القربة ممكن أو نفرض الکلام فيما لايحتاج إلیه.</w:t>
      </w:r>
    </w:p>
    <w:p>
      <w:pPr>
        <w:pStyle w:val="BookText"/>
      </w:pPr>
      <w:r>
        <w:rPr>
          <w:rFonts w:ascii="Amiri" w:hAnsi="Amiri" w:eastAsia="Amiri" w:cs="Amiri"/>
          <w:lang w:bidi="ar-SA"/>
          <w:color w:val="111111"/>
          <w:sz w:val="28"/>
          <w:szCs w:val="28"/>
          <w:rtl/>
        </w:rPr>
        <w:t xml:space="preserve">مع أنّ مقتضى مذهب المانعين عدم الأمر رأساً للمنافاة</w:t>
      </w:r>
      <w:r>
        <w:rPr>
          <w:rStyle w:val="FootnoteReference"/>
        </w:rPr>
        <w:footnoteReference w:id="1804"/>
      </w:r>
      <w:r>
        <w:rPr>
          <w:rFonts w:ascii="Amiri" w:hAnsi="Amiri" w:eastAsia="Amiri" w:cs="Amiri"/>
          <w:lang w:bidi="ar-SA"/>
          <w:color w:val="111111"/>
          <w:sz w:val="28"/>
          <w:szCs w:val="28"/>
          <w:rtl/>
        </w:rPr>
        <w:t xml:space="preserve">بين الطلبين فليس إلّا شأنيّة الأمر، وكفايتها ممنوعة.</w:t>
      </w:r>
    </w:p>
    <w:p>
      <w:pPr>
        <w:pStyle w:val="BookText"/>
      </w:pPr>
      <w:r>
        <w:rPr>
          <w:rFonts w:ascii="Amiri" w:hAnsi="Amiri" w:eastAsia="Amiri" w:cs="Amiri"/>
          <w:lang w:bidi="ar-SA"/>
          <w:color w:val="111111"/>
          <w:sz w:val="28"/>
          <w:szCs w:val="28"/>
          <w:rtl/>
        </w:rPr>
        <w:t xml:space="preserve">فتحصّل أنّه لا وجه للفرق بين الجهل والعلم.</w:t>
      </w:r>
    </w:p>
    <w:p>
      <w:pPr>
        <w:pStyle w:val="BookText"/>
      </w:pPr>
      <w:r>
        <w:rPr>
          <w:rFonts w:ascii="Amiri" w:hAnsi="Amiri" w:eastAsia="Amiri" w:cs="Amiri"/>
          <w:lang w:bidi="ar-SA"/>
          <w:color w:val="111111"/>
          <w:sz w:val="28"/>
          <w:szCs w:val="28"/>
          <w:rtl/>
        </w:rPr>
        <w:t xml:space="preserve">ومسألة الوضوء الضرري مع الجهل بكونه ضرريّاً حيث يقال بالصحّة إذا قلنا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ليست من قبيل المقام؛ إذ نقول: إنّ المستفاد من الأدلّة أنّ</w:t>
      </w:r>
      <w:r>
        <w:rPr>
          <w:rStyle w:val="FootnoteReference"/>
        </w:rPr>
        <w:footnoteReference w:id="1805"/>
      </w:r>
      <w:r>
        <w:rPr>
          <w:rFonts w:ascii="IRNazanin" w:hAnsi="IRNazanin" w:eastAsia="IRNazanin" w:cs="IRNazanin"/>
          <w:lang w:bidi="fa-IR"/>
          <w:color w:val="111111"/>
          <w:sz w:val="28"/>
          <w:szCs w:val="28"/>
          <w:rtl/>
        </w:rPr>
        <w:t xml:space="preserve">رفع وجوب الوضوء إذا كان ضررياً إنّما هو من باب الامتنان وهو إنّما يكون إذا كان الوقوع في الضرر من جهة حكم الشارع كما في صورة العلم، وأمّا في صورة الجهل فهو من جهة جهل المکلّف بموضوع الضرر فلا يشمله أدلّة الرفع، بل مقتضى الامتنان الاكتفاء به فليس الوجه كون النهي الواقعي غير موجب للفساد.</w:t>
      </w:r>
    </w:p>
    <w:p>
      <w:pPr>
        <w:pStyle w:val="BookText"/>
      </w:pPr>
      <w:r>
        <w:rPr>
          <w:rFonts w:ascii="IRNazanin" w:hAnsi="IRNazanin" w:eastAsia="IRNazanin" w:cs="IRNazanin"/>
          <w:lang w:bidi="fa-IR"/>
          <w:color w:val="111111"/>
          <w:sz w:val="28"/>
          <w:szCs w:val="28"/>
          <w:rtl/>
        </w:rPr>
        <w:t xml:space="preserve">نعم لو قلنا بكون عدم وجوب الوضوء من جهة حرمة الإضرار بالنفس لا من جهة شمول قوله (صلى‌الله‌علیه‌و‌آله): «لا ضرر ولا ضرار»</w:t>
      </w:r>
      <w:r>
        <w:rPr>
          <w:rStyle w:val="FootnoteReference"/>
        </w:rPr>
        <w:footnoteReference w:id="1806"/>
      </w:r>
      <w:r>
        <w:rPr>
          <w:rFonts w:ascii="IRNazanin" w:hAnsi="IRNazanin" w:eastAsia="IRNazanin" w:cs="IRNazanin"/>
          <w:lang w:bidi="fa-IR"/>
          <w:color w:val="111111"/>
          <w:sz w:val="28"/>
          <w:szCs w:val="28"/>
          <w:rtl/>
        </w:rPr>
        <w:t xml:space="preserve">ولا من الأدلّة الخاصّة كان من قبيل المقام وحینئذٍ نمنع الصحّة.لكن ليس كذلك، ولذا لو توضّأ عالماً بالإضرار لا يقول بالصحّة من يقول</w:t>
      </w:r>
      <w:r>
        <w:rPr>
          <w:rStyle w:val="FootnoteReference"/>
        </w:rPr>
        <w:footnoteReference w:id="1807"/>
      </w:r>
      <w:r>
        <w:rPr>
          <w:rFonts w:ascii="Amiri" w:hAnsi="Amiri" w:eastAsia="Amiri" w:cs="Amiri"/>
          <w:lang w:bidi="ar-SA"/>
          <w:color w:val="111111"/>
          <w:sz w:val="28"/>
          <w:szCs w:val="28"/>
          <w:rtl/>
        </w:rPr>
        <w:t xml:space="preserve">بجواز اجتماع الأمر والنهي.</w:t>
      </w:r>
    </w:p>
    <w:p>
      <w:pPr>
        <w:pStyle w:val="BookText"/>
      </w:pPr>
      <w:r>
        <w:rPr>
          <w:rFonts w:ascii="IRNazanin" w:hAnsi="IRNazanin" w:eastAsia="IRNazanin" w:cs="IRNazanin"/>
          <w:lang w:bidi="fa-IR"/>
          <w:color w:val="111111"/>
          <w:sz w:val="28"/>
          <w:szCs w:val="28"/>
          <w:rtl/>
        </w:rPr>
        <w:t xml:space="preserve">مع أنّه لو كان المستند دليل حرمة الإضرار وكان من قبيل المقام يمكن أن يقال: الظاهر من الدليل كون العلم شرطاً في موضوع الحرمة فمع الجهل لا حرمة واقعاً أیضاً بخلاف المقام فإنّ الحرمة الواقعية معلومة؛ إذ من المعلوم أنّ التصرّف في مال الغير حرام واقعاً كسائر المحرّمات من غير فرق بين حالات المکلّف، غاية الأمر معذوريّته على بعض التقادير.</w:t>
      </w:r>
    </w:p>
    <w:p>
      <w:pPr>
        <w:pStyle w:val="BookText"/>
      </w:pPr>
      <w:r>
        <w:rPr>
          <w:rFonts w:ascii="Amiri" w:hAnsi="Amiri" w:eastAsia="Amiri" w:cs="Amiri"/>
          <w:lang w:bidi="ar-SA"/>
          <w:color w:val="111111"/>
          <w:sz w:val="28"/>
          <w:szCs w:val="28"/>
          <w:rtl/>
        </w:rPr>
        <w:t xml:space="preserve">ثمّ على تقدير عدم كون النهي الواقعي مضرّاً وموجباً للفساد لا فرق بين الجهل بالحكم والموضوع فلا وجه للفرق من هذه الجهة.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ودعوى أنّ مع الجهل بالحكم النّهي فعلي ولذا يحكم بإثمه واستحقاقه العقاب؛</w:t>
      </w:r>
    </w:p>
    <w:p>
      <w:pPr>
        <w:pStyle w:val="BookText"/>
      </w:pPr>
      <w:r>
        <w:rPr>
          <w:rFonts w:ascii="Amiri" w:hAnsi="Amiri" w:eastAsia="Amiri" w:cs="Amiri"/>
          <w:lang w:bidi="ar-SA"/>
          <w:color w:val="111111"/>
          <w:sz w:val="28"/>
          <w:szCs w:val="28"/>
          <w:rtl/>
        </w:rPr>
        <w:t xml:space="preserve">مدفوعة بأنّه أعمّ من المدّعى</w:t>
      </w:r>
      <w:r>
        <w:rPr>
          <w:rStyle w:val="FootnoteReference"/>
        </w:rPr>
        <w:footnoteReference w:id="1808"/>
      </w:r>
      <w:r>
        <w:rPr>
          <w:rFonts w:ascii="IRNazanin" w:hAnsi="IRNazanin" w:eastAsia="IRNazanin" w:cs="IRNazanin"/>
          <w:lang w:bidi="fa-IR"/>
          <w:color w:val="111111"/>
          <w:sz w:val="28"/>
          <w:szCs w:val="28"/>
          <w:rtl/>
        </w:rPr>
        <w:t xml:space="preserve">من وجه؛ إذ قد يكون مع جهل الحكم معذوراً وقد يكون مع جهل الموضوع أیضاً مقصّراً غير معذور.</w:t>
      </w:r>
    </w:p>
    <w:p>
      <w:pPr>
        <w:pStyle w:val="BookText"/>
      </w:pPr>
      <w:r>
        <w:rPr>
          <w:rFonts w:ascii="IRNazanin" w:hAnsi="IRNazanin" w:eastAsia="IRNazanin" w:cs="IRNazanin"/>
          <w:lang w:bidi="fa-IR"/>
          <w:color w:val="111111"/>
          <w:sz w:val="28"/>
          <w:szCs w:val="28"/>
          <w:rtl/>
        </w:rPr>
        <w:t xml:space="preserve">مع أنّ النهي الفعلي بالنّسبة إلى الجاهل الغافل قبيح أو غير معقول؛ لأنّ الفعليّة لا تتصوّر إلّا مع العلم وكونه بمنزلة العامد إنّما هو في الإثم والعقاب والصحّة والفساد إذا كان الجهل رافعاً للتّکلیف لا في تعلّق التکلیف الفعلي وتنجّز الخطاب.</w:t>
      </w:r>
    </w:p>
    <w:p>
      <w:pPr>
        <w:pStyle w:val="BookText"/>
      </w:pPr>
      <w:r>
        <w:rPr>
          <w:rFonts w:ascii="Amiri" w:hAnsi="Amiri" w:eastAsia="Amiri" w:cs="Amiri"/>
          <w:lang w:bidi="ar-SA"/>
          <w:color w:val="111111"/>
          <w:sz w:val="28"/>
          <w:szCs w:val="28"/>
          <w:rtl/>
        </w:rPr>
        <w:t xml:space="preserve">فلو فرض كون المانع من الصحّة النهي الفعلي فلا فرق بينه وبين الجاهل بالموضوع ولا يتفاوت فيه كونه معاقباً أو لا.</w:t>
      </w:r>
    </w:p>
    <w:p>
      <w:pPr>
        <w:pStyle w:val="BookText"/>
      </w:pPr>
      <w:r>
        <w:rPr>
          <w:rFonts w:ascii="Amiri" w:hAnsi="Amiri" w:eastAsia="Amiri" w:cs="Amiri"/>
          <w:lang w:bidi="ar-SA"/>
          <w:color w:val="111111"/>
          <w:sz w:val="28"/>
          <w:szCs w:val="28"/>
          <w:rtl/>
        </w:rPr>
        <w:t xml:space="preserve">وبالجملة الأمر يدور بين أن يكون المانع من الأمر فعلية النهي أو الأعمّ، فعلى الأوّل مطلقاً مفقود وعلى الثاني مطلقاً موجود.</w:t>
      </w:r>
    </w:p>
    <w:p>
      <w:pPr>
        <w:pStyle w:val="BookText"/>
      </w:pPr>
      <w:r>
        <w:rPr>
          <w:rFonts w:ascii="IRNazanin" w:hAnsi="IRNazanin" w:eastAsia="IRNazanin" w:cs="IRNazanin"/>
          <w:lang w:bidi="fa-IR"/>
          <w:color w:val="111111"/>
          <w:sz w:val="28"/>
          <w:szCs w:val="28"/>
          <w:rtl/>
        </w:rPr>
        <w:t xml:space="preserve">وممّا ذكرنا يظهر عدم الوجه لما يظهر من المحقّق الانصاري في أواخر مسألة أصل البراءة من أنّ المدار على النهي الواقعي مع عدم الترخيص الشرعي في الظّاهر كما في الجاهل بالحكم بخلاف الجاهل بالموضوع فإنّه وإن کان منهياً واقعاً إلّا أنّه مرخّص شرعاً في الظاهر.ولذا قال بعد ما فرّق بين الجهل بالحكم والموضوع: «نعم يبقى الإشکال في ناسي الحكم خصوصاً المقصّر وللتأمّل في حكم عبادته مجال، بل تأمّل بعضهم في ناسي الموضوع لعدم الترخيص الشرعي من جهة الغفلة. فافهم».</w:t>
      </w:r>
      <w:r>
        <w:rPr>
          <w:rStyle w:val="FootnoteReference"/>
        </w:rPr>
        <w:footnoteReference w:id="1809"/>
      </w:r>
      <w:r>
        <w:rPr>
          <w:rFonts w:ascii="IRNazanin" w:hAnsi="IRNazanin" w:eastAsia="IRNazanin" w:cs="IRNazanin"/>
          <w:lang w:bidi="fa-IR"/>
          <w:color w:val="111111"/>
          <w:sz w:val="28"/>
          <w:szCs w:val="28"/>
          <w:rtl/>
        </w:rPr>
        <w:t xml:space="preserve">انتهى، حيث استشکل في ناسي الموضوع من جهة وجود النهي الواقعي وعدم الترخيص الظاهري الشرعي وإن کان الترخيص العقلي موجوداً.</w:t>
      </w:r>
    </w:p>
    <w:p>
      <w:pPr>
        <w:pStyle w:val="BookText"/>
      </w:pPr>
      <w:r>
        <w:rPr>
          <w:rFonts w:ascii="Amiri" w:hAnsi="Amiri" w:eastAsia="Amiri" w:cs="Amiri"/>
          <w:lang w:bidi="ar-SA"/>
          <w:color w:val="111111"/>
          <w:sz w:val="28"/>
          <w:szCs w:val="28"/>
          <w:rtl/>
        </w:rPr>
        <w:t xml:space="preserve">وكيف كان فالوجه ما ذكرنا من عدم الفرق.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57" w:name="pg6784_51509"/>
    <w:bookmarkEnd w:id="257"/>
    <w:p>
      <w:pPr>
        <w:pStyle w:val="BookText"/>
      </w:pPr>
      <w:r>
        <w:rPr>
          <w:rFonts w:ascii="Amiri" w:hAnsi="Amiri" w:eastAsia="Amiri" w:cs="Amiri"/>
          <w:lang w:bidi="ar-SA"/>
          <w:color w:val="111111"/>
          <w:sz w:val="28"/>
          <w:szCs w:val="28"/>
          <w:rtl/>
        </w:rPr>
        <w:t xml:space="preserve">ثم التّحقیق صحّة العمل حتّى مع العلم</w:t>
      </w:r>
      <w:r>
        <w:rPr>
          <w:rStyle w:val="FootnoteReference"/>
        </w:rPr>
        <w:footnoteReference w:id="1810"/>
      </w:r>
      <w:r>
        <w:rPr>
          <w:rFonts w:ascii="IRNazanin" w:hAnsi="IRNazanin" w:eastAsia="IRNazanin" w:cs="IRNazanin"/>
          <w:lang w:bidi="fa-IR"/>
          <w:color w:val="111111"/>
          <w:sz w:val="28"/>
          <w:szCs w:val="28"/>
          <w:rtl/>
        </w:rPr>
        <w:t xml:space="preserve">وإن قلنا بعدم جواز اجتماع</w:t>
      </w:r>
      <w:r>
        <w:rPr>
          <w:rStyle w:val="FootnoteReference"/>
        </w:rPr>
        <w:footnoteReference w:id="1811"/>
      </w:r>
      <w:r>
        <w:rPr>
          <w:rFonts w:ascii="Amiri" w:hAnsi="Amiri" w:eastAsia="Amiri" w:cs="Amiri"/>
          <w:lang w:bidi="ar-SA"/>
          <w:color w:val="111111"/>
          <w:sz w:val="28"/>
          <w:szCs w:val="28"/>
          <w:rtl/>
        </w:rPr>
        <w:t xml:space="preserve">الأمر والنهي</w:t>
      </w:r>
      <w:r>
        <w:rPr>
          <w:rStyle w:val="FootnoteReference"/>
        </w:rPr>
        <w:footnoteReference w:id="1812"/>
      </w:r>
      <w:r>
        <w:rPr>
          <w:rFonts w:ascii="IRNazanin" w:hAnsi="IRNazanin" w:eastAsia="IRNazanin" w:cs="IRNazanin"/>
          <w:lang w:bidi="fa-IR"/>
          <w:color w:val="111111"/>
          <w:sz w:val="28"/>
          <w:szCs w:val="28"/>
          <w:rtl/>
        </w:rPr>
        <w:t xml:space="preserve">بناء على كون المقام من التزاحم لما عرفت سابقاً من أنّ الصحّة لا تدور مدار الأمر بل یکفي في الحكم بها كون الشي‌ء مطابقاً للمصلحة الواقعيّة وإن لم يكن أمر بالفعل إذا كان عدم الأمر من جهة عدم إمکان تعلّق الطلب لا لقصور في المطلوب</w:t>
      </w:r>
      <w:r>
        <w:rPr>
          <w:rStyle w:val="FootnoteReference"/>
        </w:rPr>
        <w:footnoteReference w:id="1813"/>
      </w:r>
      <w:r>
        <w:rPr>
          <w:rFonts w:ascii="Amiri" w:hAnsi="Amiri" w:eastAsia="Amiri" w:cs="Amiri"/>
          <w:lang w:bidi="ar-SA"/>
          <w:color w:val="111111"/>
          <w:sz w:val="28"/>
          <w:szCs w:val="28"/>
          <w:rtl/>
        </w:rPr>
        <w:t xml:space="preserve">من غير فرق بين التعبّديات والتوصّليات في ذلك لإمكان قصد القربة من الجهات الأخر غير جهة قصد الامتثال والأمر.</w:t>
      </w:r>
    </w:p>
    <w:p>
      <w:pPr>
        <w:pStyle w:val="Heading5"/>
      </w:pPr>
      <w:bookmarkStart w:id="773" w:name="_Toc454"/>
      <w:r>
        <w:t>[التنبیه الرابع: في عدم الفرق بين التعبّديات والتوصّليات على القول بالامتناع]</w:t>
      </w:r>
      <w:bookmarkEnd w:id="773"/>
    </w:p>
    <w:p>
      <w:pPr>
        <w:pStyle w:val="Heading6"/>
      </w:pPr>
      <w:bookmarkStart w:id="774" w:name="_Toc455"/>
      <w:r>
        <w:t>اشارة</w:t>
      </w:r>
      <w:bookmarkEnd w:id="774"/>
    </w:p>
    <w:p>
      <w:pPr>
        <w:pStyle w:val="BookText"/>
      </w:pPr>
      <w:r>
        <w:rPr>
          <w:rFonts w:ascii="Amiri" w:hAnsi="Amiri" w:eastAsia="Amiri" w:cs="Amiri"/>
          <w:lang w:bidi="ar-SA"/>
          <w:color w:val="111111"/>
          <w:sz w:val="28"/>
          <w:szCs w:val="28"/>
          <w:rtl/>
        </w:rPr>
        <w:t xml:space="preserve">الرّابع: لا فرق في عدم جواز الاجتماع بناء على القول به بين التعبّديات والتوصّليات.</w:t>
      </w:r>
    </w:p>
    <w:p>
      <w:pPr>
        <w:pStyle w:val="Heading6"/>
      </w:pPr>
      <w:bookmarkStart w:id="775" w:name="_Toc456"/>
      <w:r>
        <w:t>[القول بجواز الاجتماع في التوصلیّات]</w:t>
      </w:r>
      <w:bookmarkEnd w:id="775"/>
    </w:p>
    <w:p>
      <w:pPr>
        <w:pStyle w:val="BookText"/>
      </w:pPr>
      <w:r>
        <w:rPr>
          <w:rFonts w:ascii="Amiri" w:hAnsi="Amiri" w:eastAsia="Amiri" w:cs="Amiri"/>
          <w:lang w:bidi="ar-SA"/>
          <w:color w:val="111111"/>
          <w:sz w:val="28"/>
          <w:szCs w:val="28"/>
          <w:rtl/>
        </w:rPr>
        <w:t xml:space="preserve">وربما يحكى عن بعضهم</w:t>
      </w:r>
      <w:r>
        <w:rPr>
          <w:rStyle w:val="FootnoteReference"/>
        </w:rPr>
        <w:footnoteReference w:id="1814"/>
      </w:r>
    </w:p>
    <w:p>
      <w:pPr>
        <w:pStyle w:val="BookText"/>
      </w:pPr>
      <w:r>
        <w:rPr>
          <w:rFonts w:ascii="IRNazanin" w:hAnsi="IRNazanin" w:eastAsia="IRNazanin" w:cs="IRNazanin"/>
          <w:lang w:bidi="fa-IR"/>
          <w:color w:val="111111"/>
          <w:sz w:val="28"/>
          <w:szCs w:val="28"/>
          <w:rtl/>
        </w:rPr>
        <w:t xml:space="preserve">واعترض صاحب الفصول، في الفصول الغرویة وقال: «ما ذکره من أنّ الوجوب التوصّلي یجتمع مع الحرام غیر سدید». وکذا قال الشیخ الأعظم الأنصاري في مطارح الأنظار، ج1، ص688، في اجتماع الواجب التوصّلي مع الحرام: «قد أشبعنا الکلام في فساده».</w:t>
      </w:r>
    </w:p>
    <w:p>
      <w:pPr>
        <w:pStyle w:val="BookText"/>
      </w:pPr>
      <w:r>
        <w:rPr>
          <w:rFonts w:ascii="Amiri" w:hAnsi="Amiri" w:eastAsia="Amiri" w:cs="Amiri"/>
          <w:lang w:bidi="ar-SA"/>
          <w:color w:val="111111"/>
          <w:sz w:val="28"/>
          <w:szCs w:val="28"/>
          <w:rtl/>
        </w:rPr>
        <w:t xml:space="preserve">جواز الاجتماع في التوصّليات بمعنى أنّ الواجبالتوصّلي يجتمع مع الحرام حيث جعل الفرق بين التوصّلي والتعبّدى بأنّ لازم الأوّل</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58" w:name="pg6784_51510"/>
    <w:bookmarkEnd w:id="258"/>
    <w:p>
      <w:pPr>
        <w:pStyle w:val="BookText"/>
      </w:pPr>
      <w:r>
        <w:rPr>
          <w:rFonts w:ascii="Amiri" w:hAnsi="Amiri" w:eastAsia="Amiri" w:cs="Amiri"/>
          <w:lang w:bidi="ar-SA"/>
          <w:color w:val="111111"/>
          <w:sz w:val="28"/>
          <w:szCs w:val="28"/>
          <w:rtl/>
        </w:rPr>
        <w:t xml:space="preserve">جواز اجتماعه مع الحرام دون الثاني،</w:t>
      </w:r>
      <w:r>
        <w:rPr>
          <w:rStyle w:val="FootnoteReference"/>
        </w:rPr>
        <w:footnoteReference w:id="1815"/>
      </w:r>
      <w:r>
        <w:rPr>
          <w:rFonts w:ascii="IRNazanin" w:hAnsi="IRNazanin" w:eastAsia="IRNazanin" w:cs="IRNazanin"/>
          <w:lang w:bidi="fa-IR"/>
          <w:color w:val="111111"/>
          <w:sz w:val="28"/>
          <w:szCs w:val="28"/>
          <w:rtl/>
        </w:rPr>
        <w:t xml:space="preserve">ويظهر من صاحب المعالم أیضاً أنّه</w:t>
      </w:r>
      <w:r>
        <w:rPr>
          <w:rStyle w:val="FootnoteReference"/>
        </w:rPr>
        <w:footnoteReference w:id="1816"/>
      </w:r>
      <w:r>
        <w:rPr>
          <w:rFonts w:ascii="Amiri" w:hAnsi="Amiri" w:eastAsia="Amiri" w:cs="Amiri"/>
          <w:lang w:bidi="ar-SA"/>
          <w:color w:val="111111"/>
          <w:sz w:val="28"/>
          <w:szCs w:val="28"/>
          <w:rtl/>
        </w:rPr>
        <w:t xml:space="preserve">خصّ الجواز بالواجب الغيري التوصّلي.</w:t>
      </w:r>
      <w:r>
        <w:rPr>
          <w:rStyle w:val="FootnoteReference"/>
        </w:rPr>
        <w:footnoteReference w:id="1817"/>
      </w:r>
    </w:p>
    <w:p>
      <w:pPr>
        <w:pStyle w:val="BookText"/>
      </w:pPr>
      <w:r>
        <w:rPr>
          <w:rFonts w:ascii="IRNazanin" w:hAnsi="IRNazanin" w:eastAsia="IRNazanin" w:cs="IRNazanin"/>
          <w:lang w:bidi="fa-IR"/>
          <w:color w:val="111111"/>
          <w:sz w:val="28"/>
          <w:szCs w:val="28"/>
          <w:rtl/>
        </w:rPr>
        <w:t xml:space="preserve">وربما يقال: إنّ ظاهر کلامه جواز الاجتماع حتّى إذا كان الوجوب تعيينياً حيث قال: «إنّه ليس</w:t>
      </w:r>
      <w:r>
        <w:rPr>
          <w:rStyle w:val="FootnoteReference"/>
        </w:rPr>
        <w:footnoteReference w:id="1818"/>
      </w:r>
      <w:r>
        <w:rPr>
          <w:rFonts w:ascii="Amiri" w:hAnsi="Amiri" w:eastAsia="Amiri" w:cs="Amiri"/>
          <w:lang w:bidi="ar-SA"/>
          <w:color w:val="111111"/>
          <w:sz w:val="28"/>
          <w:szCs w:val="28"/>
          <w:rtl/>
        </w:rPr>
        <w:t xml:space="preserve">على حدّ غيره من الواجبات»،</w:t>
      </w:r>
      <w:r>
        <w:rPr>
          <w:rStyle w:val="FootnoteReference"/>
        </w:rPr>
        <w:footnoteReference w:id="1819"/>
      </w:r>
      <w:r>
        <w:rPr>
          <w:rFonts w:ascii="IRNazanin" w:hAnsi="IRNazanin" w:eastAsia="IRNazanin" w:cs="IRNazanin"/>
          <w:lang w:bidi="fa-IR"/>
          <w:color w:val="111111"/>
          <w:sz w:val="28"/>
          <w:szCs w:val="28"/>
          <w:rtl/>
        </w:rPr>
        <w:t xml:space="preserve">فيجوز أن يجتمع مع الحرام، إلّا أنّه غير مراد قطعاً بل المراد فيما إذا كان للمکلّف مندوحة.</w:t>
      </w:r>
    </w:p>
    <w:p>
      <w:pPr>
        <w:pStyle w:val="Heading6"/>
      </w:pPr>
      <w:bookmarkStart w:id="776" w:name="_Toc457"/>
      <w:r>
        <w:t>[ردّ جواز الاجتماع في التوصلیات]</w:t>
      </w:r>
      <w:bookmarkEnd w:id="776"/>
    </w:p>
    <w:p>
      <w:pPr>
        <w:pStyle w:val="BookText"/>
      </w:pPr>
      <w:r>
        <w:rPr>
          <w:rFonts w:ascii="IRNazanin" w:hAnsi="IRNazanin" w:eastAsia="IRNazanin" w:cs="IRNazanin"/>
          <w:lang w:bidi="fa-IR"/>
          <w:color w:val="111111"/>
          <w:sz w:val="28"/>
          <w:szCs w:val="28"/>
          <w:rtl/>
        </w:rPr>
        <w:t xml:space="preserve">وكيف كان فلا وجه للحكم المذكور أصلاً؛ لأنّ الملاك في المنع اجتماع الطلبين وهو موجود في المقام أیضاً والتعبّديّة والتوصّليّة لا دخل لهما في ذلك، كيف</w:t>
      </w:r>
      <w:r>
        <w:rPr>
          <w:rStyle w:val="FootnoteReference"/>
        </w:rPr>
        <w:footnoteReference w:id="1820"/>
      </w:r>
      <w:r>
        <w:rPr>
          <w:rFonts w:ascii="Amiri" w:hAnsi="Amiri" w:eastAsia="Amiri" w:cs="Amiri"/>
          <w:lang w:bidi="ar-SA"/>
          <w:color w:val="111111"/>
          <w:sz w:val="28"/>
          <w:szCs w:val="28"/>
          <w:rtl/>
        </w:rPr>
        <w:t xml:space="preserve">ولا فرق بينهما إلّا في اعتبار قصد القربة وعدمه</w:t>
      </w:r>
      <w:r>
        <w:rPr>
          <w:rStyle w:val="FootnoteReference"/>
        </w:rPr>
        <w:footnoteReference w:id="1821"/>
      </w:r>
      <w:r>
        <w:rPr>
          <w:rFonts w:ascii="IRNazanin" w:hAnsi="IRNazanin" w:eastAsia="IRNazanin" w:cs="IRNazanin"/>
          <w:lang w:bidi="fa-IR"/>
          <w:color w:val="111111"/>
          <w:sz w:val="28"/>
          <w:szCs w:val="28"/>
          <w:rtl/>
        </w:rPr>
        <w:t xml:space="preserve">وإذا جاز الاجتماع فيمكن قصد القربة والامتثال أیضاً.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59" w:name="pg6784_51511"/>
    <w:bookmarkEnd w:id="259"/>
    <w:p>
      <w:pPr>
        <w:pStyle w:val="BookText"/>
      </w:pPr>
      <w:r>
        <w:rPr>
          <w:rFonts w:ascii="IRNazanin" w:hAnsi="IRNazanin" w:eastAsia="IRNazanin" w:cs="IRNazanin"/>
          <w:lang w:bidi="fa-IR"/>
          <w:color w:val="111111"/>
          <w:sz w:val="28"/>
          <w:szCs w:val="28"/>
          <w:rtl/>
        </w:rPr>
        <w:t xml:space="preserve">نعم لو قلنا إنّ اجتماع الطلبين لا مانع منه وإنّما الإشکال في إمکان</w:t>
      </w:r>
      <w:r>
        <w:rPr>
          <w:rStyle w:val="FootnoteReference"/>
        </w:rPr>
        <w:footnoteReference w:id="1822"/>
      </w:r>
      <w:r>
        <w:rPr>
          <w:rFonts w:ascii="IRNazanin" w:hAnsi="IRNazanin" w:eastAsia="IRNazanin" w:cs="IRNazanin"/>
          <w:lang w:bidi="fa-IR"/>
          <w:color w:val="111111"/>
          <w:sz w:val="28"/>
          <w:szCs w:val="28"/>
          <w:rtl/>
        </w:rPr>
        <w:t xml:space="preserve">قصد القربة من حيث إنّه لا يمكن قصد القربة في إتیان ما هو مبغوض المولى تمّ الفرق، لكنّك عرفت آنفاً عدم</w:t>
      </w:r>
      <w:r>
        <w:rPr>
          <w:rStyle w:val="FootnoteReference"/>
        </w:rPr>
        <w:footnoteReference w:id="1823"/>
      </w:r>
      <w:r>
        <w:rPr>
          <w:rFonts w:ascii="IRNazanin" w:hAnsi="IRNazanin" w:eastAsia="IRNazanin" w:cs="IRNazanin"/>
          <w:lang w:bidi="fa-IR"/>
          <w:color w:val="111111"/>
          <w:sz w:val="28"/>
          <w:szCs w:val="28"/>
          <w:rtl/>
        </w:rPr>
        <w:t xml:space="preserve">تماميّة هذا الوجه وأنّه إذا تعلّق الأمر فيمكن قصد القربة أیضاً.</w:t>
      </w:r>
    </w:p>
    <w:p>
      <w:pPr>
        <w:pStyle w:val="Heading6"/>
      </w:pPr>
      <w:bookmarkStart w:id="777" w:name="_Toc458"/>
      <w:r>
        <w:t>[توجیه کلام المجوّز]</w:t>
      </w:r>
      <w:bookmarkEnd w:id="777"/>
    </w:p>
    <w:p>
      <w:pPr>
        <w:pStyle w:val="BookText"/>
      </w:pPr>
      <w:r>
        <w:rPr>
          <w:rFonts w:ascii="IRNazanin" w:hAnsi="IRNazanin" w:eastAsia="IRNazanin" w:cs="IRNazanin"/>
          <w:lang w:bidi="fa-IR"/>
          <w:color w:val="111111"/>
          <w:sz w:val="28"/>
          <w:szCs w:val="28"/>
          <w:rtl/>
        </w:rPr>
        <w:t xml:space="preserve">هذا وربما يوجّه کلام المجوّز بأنّ مراده الإسقاط وأنّ في الواجب التوصّلي لّما كان الغرض حصول الفعل في الخارج بأيّ وجه اتّفق وإن لم يمكن</w:t>
      </w:r>
      <w:r>
        <w:rPr>
          <w:rStyle w:val="FootnoteReference"/>
        </w:rPr>
        <w:footnoteReference w:id="1824"/>
      </w:r>
      <w:r>
        <w:rPr>
          <w:rFonts w:ascii="IRNazanin" w:hAnsi="IRNazanin" w:eastAsia="IRNazanin" w:cs="IRNazanin"/>
          <w:lang w:bidi="fa-IR"/>
          <w:color w:val="111111"/>
          <w:sz w:val="28"/>
          <w:szCs w:val="28"/>
          <w:rtl/>
        </w:rPr>
        <w:t xml:space="preserve">تعلّق الأمر به على هذا الوجه فيكون الإتیان به مسقطاً للواجب بخلاف الواجب</w:t>
      </w:r>
      <w:r>
        <w:rPr>
          <w:rStyle w:val="FootnoteReference"/>
        </w:rPr>
        <w:footnoteReference w:id="1825"/>
      </w:r>
      <w:r>
        <w:rPr>
          <w:rFonts w:ascii="IRNazanin" w:hAnsi="IRNazanin" w:eastAsia="IRNazanin" w:cs="IRNazanin"/>
          <w:lang w:bidi="fa-IR"/>
          <w:color w:val="111111"/>
          <w:sz w:val="28"/>
          <w:szCs w:val="28"/>
          <w:rtl/>
        </w:rPr>
        <w:t xml:space="preserve">التعبّدي فإنّ الغرض منه حصول الإطاعة وهي فرع الأمر فلذا لا يكون الإتیان بالمحرّم مسقطاً ففي التوصّلي يكون دائرة المطلوب وما فيه المصلحة أوسع من دائرة الطلب بخلاف التعبّدي.</w:t>
      </w:r>
    </w:p>
    <w:p>
      <w:pPr>
        <w:pStyle w:val="Heading6"/>
      </w:pPr>
      <w:bookmarkStart w:id="778" w:name="_Toc459"/>
      <w:r>
        <w:t>[نقد التوجیه]</w:t>
      </w:r>
      <w:bookmarkEnd w:id="778"/>
    </w:p>
    <w:p>
      <w:pPr>
        <w:pStyle w:val="BookText"/>
      </w:pPr>
      <w:r>
        <w:rPr>
          <w:rFonts w:ascii="IRNazanin" w:hAnsi="IRNazanin" w:eastAsia="IRNazanin" w:cs="IRNazanin"/>
          <w:lang w:bidi="fa-IR"/>
          <w:color w:val="111111"/>
          <w:sz w:val="28"/>
          <w:szCs w:val="28"/>
          <w:rtl/>
        </w:rPr>
        <w:t xml:space="preserve">وفيه: أنّه إن کان المراد أنّ التوصّلي يمكن أن يكون كذلك فنقول: إنّ في التعبّدي أیضاً يمكن أن تكون</w:t>
      </w:r>
      <w:r>
        <w:rPr>
          <w:rStyle w:val="FootnoteReference"/>
        </w:rPr>
        <w:footnoteReference w:id="1826"/>
      </w:r>
      <w:r>
        <w:rPr>
          <w:rFonts w:ascii="IRNazanin" w:hAnsi="IRNazanin" w:eastAsia="IRNazanin" w:cs="IRNazanin"/>
          <w:lang w:bidi="fa-IR"/>
          <w:color w:val="111111"/>
          <w:sz w:val="28"/>
          <w:szCs w:val="28"/>
          <w:rtl/>
        </w:rPr>
        <w:t xml:space="preserve">المصلحة في الأعمّ ممّا تعلّق به الأمر بأن يكون الفعل تامّ المصلحة من جميع الجهات ويكون النهي مانعاً عن تعلّق الأمر به لمكان المضادّة كما هو كذلك على فرض المزاحمة وحینئذٍ يصحّ العمل ويكون مسقطاً عن الواجب كما عرفت آنفاً.</w:t>
      </w:r>
    </w:p>
    <w:p>
      <w:pPr>
        <w:pStyle w:val="BookText"/>
      </w:pPr>
      <w:r>
        <w:rPr>
          <w:rFonts w:ascii="IRNazanin" w:hAnsi="IRNazanin" w:eastAsia="IRNazanin" w:cs="IRNazanin"/>
          <w:lang w:bidi="fa-IR"/>
          <w:color w:val="111111"/>
          <w:sz w:val="28"/>
          <w:szCs w:val="28"/>
          <w:rtl/>
        </w:rPr>
        <w:t xml:space="preserve">وإن کان المراد أنّ التوصّلي دائماً يكون كذلك فهو ممنوع؛ إذ قد يكون المصلحة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60" w:name="pg6784_51512"/>
    <w:bookmarkEnd w:id="260"/>
    <w:p>
      <w:pPr>
        <w:pStyle w:val="BookText"/>
      </w:pPr>
      <w:r>
        <w:rPr>
          <w:rFonts w:ascii="IRNazanin" w:hAnsi="IRNazanin" w:eastAsia="IRNazanin" w:cs="IRNazanin"/>
          <w:lang w:bidi="fa-IR"/>
          <w:color w:val="111111"/>
          <w:sz w:val="28"/>
          <w:szCs w:val="28"/>
          <w:rtl/>
        </w:rPr>
        <w:t xml:space="preserve">في التوصّلي أیضاً مقصوراً على مقدار ما تعلّق به الأمر.</w:t>
      </w:r>
    </w:p>
    <w:p>
      <w:pPr>
        <w:pStyle w:val="BookText"/>
      </w:pPr>
      <w:r>
        <w:rPr>
          <w:rFonts w:ascii="Amiri" w:hAnsi="Amiri" w:eastAsia="Amiri" w:cs="Amiri"/>
          <w:lang w:bidi="ar-SA"/>
          <w:color w:val="111111"/>
          <w:sz w:val="28"/>
          <w:szCs w:val="28"/>
          <w:rtl/>
        </w:rPr>
        <w:t xml:space="preserve">نعم حال التوصّلي الغيري كذلك</w:t>
      </w:r>
      <w:r>
        <w:rPr>
          <w:rStyle w:val="FootnoteReference"/>
        </w:rPr>
        <w:footnoteReference w:id="1827"/>
      </w:r>
      <w:r>
        <w:rPr>
          <w:rFonts w:ascii="Amiri" w:hAnsi="Amiri" w:eastAsia="Amiri" w:cs="Amiri"/>
          <w:lang w:bidi="ar-SA"/>
          <w:color w:val="111111"/>
          <w:sz w:val="28"/>
          <w:szCs w:val="28"/>
          <w:rtl/>
        </w:rPr>
        <w:t xml:space="preserve">ولعلّه لذا اقتصر في المعالم</w:t>
      </w:r>
      <w:r>
        <w:rPr>
          <w:rStyle w:val="FootnoteReference"/>
        </w:rPr>
        <w:footnoteReference w:id="1828"/>
      </w:r>
      <w:r>
        <w:rPr>
          <w:rFonts w:ascii="IRNazanin" w:hAnsi="IRNazanin" w:eastAsia="IRNazanin" w:cs="IRNazanin"/>
          <w:lang w:bidi="fa-IR"/>
          <w:color w:val="111111"/>
          <w:sz w:val="28"/>
          <w:szCs w:val="28"/>
          <w:rtl/>
        </w:rPr>
        <w:t xml:space="preserve">عليه حيث أراد بيان الکلّية، وفي الواجب الغيري التوصّلي معلوم أنّ المصلحة مجرّد الوجود في الخارج بأيّ وجه كان؛ إذ المقصود منه الوصول إلى الغير، إلّا أن يقال: وإن کان مقتضى القاعدة كما تقول إلّا أنّ الإجماع واقع على أنّ جميع التوصّليات یکفي فيها الوجود في الخارج بأيّ نحو كان ومن أيّ شخص صدر، فيجوز الفرق بإرادة الکلّيّةفي مطلق التوصّلي بعد تحقّق الإجماع المذكور.</w:t>
      </w:r>
    </w:p>
    <w:p>
      <w:pPr>
        <w:pStyle w:val="Heading6"/>
      </w:pPr>
      <w:bookmarkStart w:id="779" w:name="_Toc460"/>
      <w:r>
        <w:t>[القول بأنّ مقتضى القاعدة في التوصلیات جواز الاجتماع لإطلاق مادّة الأمر]</w:t>
      </w:r>
      <w:bookmarkEnd w:id="779"/>
    </w:p>
    <w:p>
      <w:pPr>
        <w:pStyle w:val="BookText"/>
      </w:pPr>
      <w:r>
        <w:rPr>
          <w:rFonts w:ascii="IRNazanin" w:hAnsi="IRNazanin" w:eastAsia="IRNazanin" w:cs="IRNazanin"/>
          <w:lang w:bidi="fa-IR"/>
          <w:color w:val="111111"/>
          <w:sz w:val="28"/>
          <w:szCs w:val="28"/>
          <w:rtl/>
        </w:rPr>
        <w:t xml:space="preserve">هذا وربما يقال: إنّ مقتضى القاعدة مع قطع النظر عن الإجماع أیضاً ذلك في التوصّليات مطلقاً وذلك لإطلاق مادّة الأمر وعدم تقييده بالمباح.</w:t>
      </w:r>
    </w:p>
    <w:p>
      <w:pPr>
        <w:pStyle w:val="BookText"/>
      </w:pPr>
      <w:r>
        <w:rPr>
          <w:rFonts w:ascii="Amiri" w:hAnsi="Amiri" w:eastAsia="Amiri" w:cs="Amiri"/>
          <w:lang w:bidi="ar-SA"/>
          <w:color w:val="111111"/>
          <w:sz w:val="28"/>
          <w:szCs w:val="28"/>
          <w:rtl/>
        </w:rPr>
        <w:t xml:space="preserve">ودعوى أنّ الهيئة إذا كانت مختصّة بغير المحرّم على ما هو المفروض</w:t>
      </w:r>
      <w:r>
        <w:rPr>
          <w:rStyle w:val="FootnoteReference"/>
        </w:rPr>
        <w:footnoteReference w:id="1829"/>
      </w:r>
      <w:r>
        <w:rPr>
          <w:rFonts w:ascii="Amiri" w:hAnsi="Amiri" w:eastAsia="Amiri" w:cs="Amiri"/>
          <w:lang w:bidi="ar-SA"/>
          <w:color w:val="111111"/>
          <w:sz w:val="28"/>
          <w:szCs w:val="28"/>
          <w:rtl/>
        </w:rPr>
        <w:t xml:space="preserve">تكون مقيّدة لذلك الإطلاق؛</w:t>
      </w:r>
    </w:p>
    <w:p>
      <w:pPr>
        <w:pStyle w:val="BookText"/>
      </w:pPr>
      <w:r>
        <w:rPr>
          <w:rFonts w:ascii="IRNazanin" w:hAnsi="IRNazanin" w:eastAsia="IRNazanin" w:cs="IRNazanin"/>
          <w:lang w:bidi="fa-IR"/>
          <w:color w:val="111111"/>
          <w:sz w:val="28"/>
          <w:szCs w:val="28"/>
          <w:rtl/>
        </w:rPr>
        <w:t xml:space="preserve">مدفوعة بأنّها غير صالحة لذلك وذلك لأنّ اختصاصها بالمباح إنّما هو من جهة عدم إمکان تعلّقها بالأعمّ لمكان المضادّة بين الطلبين</w:t>
      </w:r>
      <w:r>
        <w:rPr>
          <w:rStyle w:val="FootnoteReference"/>
        </w:rPr>
        <w:footnoteReference w:id="1830"/>
      </w:r>
      <w:r>
        <w:rPr>
          <w:rFonts w:ascii="Amiri" w:hAnsi="Amiri" w:eastAsia="Amiri" w:cs="Amiri"/>
          <w:lang w:bidi="ar-SA"/>
          <w:color w:val="111111"/>
          <w:sz w:val="28"/>
          <w:szCs w:val="28"/>
          <w:rtl/>
        </w:rPr>
        <w:t xml:space="preserve">فهو يرجع إلى قصور فيها ومثل هذا لا يصلح أن يكون مقيّداً للإطلاق.</w:t>
      </w:r>
    </w:p>
    <w:p>
      <w:pPr>
        <w:pStyle w:val="BookText"/>
      </w:pPr>
      <w:r>
        <w:rPr>
          <w:rFonts w:ascii="Amiri" w:hAnsi="Amiri" w:eastAsia="Amiri" w:cs="Amiri"/>
          <w:lang w:bidi="ar-SA"/>
          <w:color w:val="111111"/>
          <w:sz w:val="28"/>
          <w:szCs w:val="28"/>
          <w:rtl/>
        </w:rPr>
        <w:t xml:space="preserve">بيان ذلك أنّ القيود اللّاحقة للمأمور به على وجوه:</w:t>
      </w:r>
    </w:p>
    <w:p>
      <w:pPr>
        <w:pStyle w:val="BookText"/>
      </w:pPr>
      <w:r>
        <w:rPr>
          <w:rFonts w:ascii="Amiri" w:hAnsi="Amiri" w:eastAsia="Amiri" w:cs="Amiri"/>
          <w:lang w:bidi="ar-SA"/>
          <w:color w:val="111111"/>
          <w:sz w:val="28"/>
          <w:szCs w:val="28"/>
          <w:rtl/>
        </w:rPr>
        <w:t xml:space="preserve">أحدها: ما يؤخذ فيه قبل لحوق الطلب مثل المكان والزمان ونحوهما.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ثانيها</w:t>
      </w:r>
      <w:r>
        <w:rPr>
          <w:rStyle w:val="FootnoteReference"/>
        </w:rPr>
        <w:footnoteReference w:id="1831"/>
      </w:r>
      <w:r>
        <w:rPr>
          <w:rFonts w:ascii="Amiri" w:hAnsi="Amiri" w:eastAsia="Amiri" w:cs="Amiri"/>
          <w:lang w:bidi="ar-SA"/>
          <w:color w:val="111111"/>
          <w:sz w:val="28"/>
          <w:szCs w:val="28"/>
          <w:rtl/>
        </w:rPr>
        <w:t xml:space="preserve">: ما يلحقه بعد ملاحظة لحوق الطلب كالامتثال.</w:t>
      </w:r>
    </w:p>
    <w:p>
      <w:pPr>
        <w:pStyle w:val="BookText"/>
      </w:pPr>
      <w:r>
        <w:rPr>
          <w:rFonts w:ascii="Amiri" w:hAnsi="Amiri" w:eastAsia="Amiri" w:cs="Amiri"/>
          <w:lang w:bidi="ar-SA"/>
          <w:color w:val="111111"/>
          <w:sz w:val="28"/>
          <w:szCs w:val="28"/>
          <w:rtl/>
        </w:rPr>
        <w:t xml:space="preserve">ثالثها: ما يعرض بعروض نفس الطّلب.</w:t>
      </w:r>
    </w:p>
    <w:p>
      <w:pPr>
        <w:pStyle w:val="BookText"/>
      </w:pPr>
      <w:r>
        <w:rPr>
          <w:rFonts w:ascii="IRNazanin" w:hAnsi="IRNazanin" w:eastAsia="IRNazanin" w:cs="IRNazanin"/>
          <w:lang w:bidi="fa-IR"/>
          <w:color w:val="111111"/>
          <w:sz w:val="28"/>
          <w:szCs w:val="28"/>
          <w:rtl/>
        </w:rPr>
        <w:t xml:space="preserve">لا إشکال فيما كان من قبيل الأوّل وأنّه يوجب التقييد.</w:t>
      </w:r>
    </w:p>
    <w:p>
      <w:pPr>
        <w:pStyle w:val="BookText"/>
      </w:pPr>
      <w:r>
        <w:rPr>
          <w:rFonts w:ascii="Amiri" w:hAnsi="Amiri" w:eastAsia="Amiri" w:cs="Amiri"/>
          <w:lang w:bidi="ar-SA"/>
          <w:color w:val="111111"/>
          <w:sz w:val="28"/>
          <w:szCs w:val="28"/>
          <w:rtl/>
        </w:rPr>
        <w:t xml:space="preserve">وأمّا الثاني: فيكون مقيّداً للمطلوب لا لمتعلّق الأمر؛ إذ لا يعقل أن يكون القيد في حيّز الأمر على ما بيّن في محلّه.</w:t>
      </w:r>
    </w:p>
    <w:p>
      <w:pPr>
        <w:pStyle w:val="BookText"/>
      </w:pPr>
      <w:r>
        <w:rPr>
          <w:rFonts w:ascii="IRNazanin" w:hAnsi="IRNazanin" w:eastAsia="IRNazanin" w:cs="IRNazanin"/>
          <w:lang w:bidi="fa-IR"/>
          <w:color w:val="111111"/>
          <w:sz w:val="28"/>
          <w:szCs w:val="28"/>
          <w:rtl/>
        </w:rPr>
        <w:t xml:space="preserve">وأمّا الثّالث: فلا يكون مقيّداً للمطلوب بل يبقى على إطلاقه وإن کان دائرة الطلب والأمر أضيق منه.</w:t>
      </w:r>
      <w:r>
        <w:rPr>
          <w:rStyle w:val="FootnoteReference"/>
        </w:rPr>
        <w:footnoteReference w:id="1832"/>
      </w:r>
    </w:p>
    <w:p>
      <w:pPr>
        <w:pStyle w:val="BookText"/>
      </w:pPr>
      <w:r>
        <w:rPr>
          <w:rFonts w:ascii="Amiri" w:hAnsi="Amiri" w:eastAsia="Amiri" w:cs="Amiri"/>
          <w:lang w:bidi="ar-SA"/>
          <w:color w:val="111111"/>
          <w:sz w:val="28"/>
          <w:szCs w:val="28"/>
          <w:rtl/>
        </w:rPr>
        <w:t xml:space="preserve">والسرّ فيه أنّ المقيّد إنّما يكون مقيّداً إذا أمكن عدم التقييد فيه مثل قيد المؤمنة في الرّقبة وقيد الزّمان والمكان وأمّا إذا لم يمكن إلّا المقيّد فلا يكون مقيّداً وفي المقام لا يمكن أن يشمل الأمر لغير المباح فيكون اختصاصه به من باب ضيق المجال لا منباب إرادة المقيّد من حيث إنّه مقيّد من جهة عدم وجود المصلحة في المطلق، فإطلاق المادّة بعدُ بحاله فيدلّ على أنّ المطلوب مطلق الفعل وإن لم يتعلّق الطلب إلّا بالمباح منه.</w:t>
      </w:r>
    </w:p>
    <w:p>
      <w:pPr>
        <w:pStyle w:val="BookText"/>
      </w:pPr>
      <w:r>
        <w:rPr>
          <w:rFonts w:ascii="Amiri" w:hAnsi="Amiri" w:eastAsia="Amiri" w:cs="Amiri"/>
          <w:lang w:bidi="ar-SA"/>
          <w:color w:val="111111"/>
          <w:sz w:val="28"/>
          <w:szCs w:val="28"/>
          <w:rtl/>
        </w:rPr>
        <w:t xml:space="preserve">وهكذا الحال بالنّسبة إلى فعل الغير فيكون الإسقاط في التوصّلي بمقتضى القاعدة وهذا بخلاف التعبّدي فإنّ المقصود فيه الامتثال ولا يحصل مع عدم الأمر.</w:t>
      </w:r>
    </w:p>
    <w:p>
      <w:pPr>
        <w:pStyle w:val="BookText"/>
      </w:pPr>
      <w:r>
        <w:rPr>
          <w:rFonts w:ascii="IRNazanin" w:hAnsi="IRNazanin" w:eastAsia="IRNazanin" w:cs="IRNazanin"/>
          <w:lang w:bidi="fa-IR"/>
          <w:color w:val="111111"/>
          <w:sz w:val="28"/>
          <w:szCs w:val="28"/>
          <w:rtl/>
        </w:rPr>
        <w:t xml:space="preserve">وإن شئت فقل: إنّ المطلوب فيه الفعل مع القربة فمع عدم الأمر لا يكون المأتيّ به منطبقاً على المطلوب مع قطع النظر عن الطلب أیضاً، والتقريب المذكور لكون الفرد المحرّم مسقطاً للواجب بعينه يجري في الفعل المأتيّ به على وجه الغفلة أو النوم أو نحو</w:t>
      </w:r>
      <w:r>
        <w:rPr>
          <w:rStyle w:val="FootnoteReference"/>
        </w:rPr>
        <w:footnoteReference w:id="1833"/>
      </w:r>
      <w:r>
        <w:rPr>
          <w:rFonts w:ascii="Amiri" w:hAnsi="Amiri" w:eastAsia="Amiri" w:cs="Amiri"/>
          <w:lang w:bidi="ar-SA"/>
          <w:color w:val="111111"/>
          <w:sz w:val="28"/>
          <w:szCs w:val="28"/>
          <w:rtl/>
        </w:rPr>
        <w:t xml:space="preserve">ذلك فإنّه وإن لم يتعلّق به الأمر لقصوره عن شمول الفعل المذكور لعدم كونه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61" w:name="pg6784_51514"/>
    <w:bookmarkEnd w:id="261"/>
    <w:p>
      <w:pPr>
        <w:pStyle w:val="BookText"/>
      </w:pPr>
      <w:r>
        <w:rPr>
          <w:rFonts w:ascii="IRNazanin" w:hAnsi="IRNazanin" w:eastAsia="IRNazanin" w:cs="IRNazanin"/>
          <w:lang w:bidi="fa-IR"/>
          <w:color w:val="111111"/>
          <w:sz w:val="28"/>
          <w:szCs w:val="28"/>
          <w:rtl/>
        </w:rPr>
        <w:t xml:space="preserve">مقدوراً وعدم إمکان تعلّق التکلیف به إلّا أنّ مقتضى إطلاق المادّة كفايته في مقام إسقاط الغرض وإسقاط المأمور به ولا يكون الاختصاص في الطّلب موجباً لتقييده</w:t>
      </w:r>
      <w:r>
        <w:rPr>
          <w:rStyle w:val="FootnoteReference"/>
        </w:rPr>
        <w:footnoteReference w:id="1834"/>
      </w:r>
      <w:r>
        <w:rPr>
          <w:rFonts w:ascii="Amiri" w:hAnsi="Amiri" w:eastAsia="Amiri" w:cs="Amiri"/>
          <w:lang w:bidi="ar-SA"/>
          <w:color w:val="111111"/>
          <w:sz w:val="28"/>
          <w:szCs w:val="28"/>
          <w:rtl/>
        </w:rPr>
        <w:t xml:space="preserve">لأنّه لا يمكن فيه التعميم فلا يكون صالحاً للتقييد.</w:t>
      </w:r>
    </w:p>
    <w:p>
      <w:pPr>
        <w:pStyle w:val="Heading6"/>
      </w:pPr>
      <w:bookmarkStart w:id="780" w:name="_Toc461"/>
      <w:r>
        <w:t>[إیرادات على هذا القول]</w:t>
      </w:r>
      <w:bookmarkEnd w:id="780"/>
    </w:p>
    <w:p>
      <w:pPr>
        <w:pStyle w:val="BookText"/>
      </w:pPr>
      <w:r>
        <w:rPr>
          <w:rFonts w:ascii="Amiri" w:hAnsi="Amiri" w:eastAsia="Amiri" w:cs="Amiri"/>
          <w:lang w:bidi="ar-SA"/>
          <w:color w:val="111111"/>
          <w:sz w:val="28"/>
          <w:szCs w:val="28"/>
          <w:rtl/>
        </w:rPr>
        <w:t xml:space="preserve">قلت: لا يخفى ما فيه أمّا أوّلاً فلأنّه لا إطلاق في المادّة إلّا بقدر مفاد الهيئة؛ إذ لم تذكر إلّا معروضة لها</w:t>
      </w:r>
      <w:r>
        <w:rPr>
          <w:rStyle w:val="FootnoteReference"/>
        </w:rPr>
        <w:footnoteReference w:id="1835"/>
      </w:r>
      <w:r>
        <w:rPr>
          <w:rFonts w:ascii="Amiri" w:hAnsi="Amiri" w:eastAsia="Amiri" w:cs="Amiri"/>
          <w:lang w:bidi="ar-SA"/>
          <w:color w:val="111111"/>
          <w:sz w:val="28"/>
          <w:szCs w:val="28"/>
          <w:rtl/>
        </w:rPr>
        <w:t xml:space="preserve">فلا وجه لدعوى إطلاقها مع كون الهيئة مقيّدة بغير المحرّم أو</w:t>
      </w:r>
      <w:r>
        <w:rPr>
          <w:rStyle w:val="FootnoteReference"/>
        </w:rPr>
        <w:footnoteReference w:id="1836"/>
      </w:r>
      <w:r>
        <w:rPr>
          <w:rFonts w:ascii="Amiri" w:hAnsi="Amiri" w:eastAsia="Amiri" w:cs="Amiri"/>
          <w:lang w:bidi="ar-SA"/>
          <w:color w:val="111111"/>
          <w:sz w:val="28"/>
          <w:szCs w:val="28"/>
          <w:rtl/>
        </w:rPr>
        <w:t xml:space="preserve">بغير</w:t>
      </w:r>
      <w:r>
        <w:rPr>
          <w:rStyle w:val="FootnoteReference"/>
        </w:rPr>
        <w:footnoteReference w:id="1837"/>
      </w:r>
      <w:r>
        <w:rPr>
          <w:rFonts w:ascii="Amiri" w:hAnsi="Amiri" w:eastAsia="Amiri" w:cs="Amiri"/>
          <w:lang w:bidi="ar-SA"/>
          <w:color w:val="111111"/>
          <w:sz w:val="28"/>
          <w:szCs w:val="28"/>
          <w:rtl/>
        </w:rPr>
        <w:t xml:space="preserve">المغفول عنه فعلى فرض تسليم</w:t>
      </w:r>
      <w:r>
        <w:rPr>
          <w:rStyle w:val="FootnoteReference"/>
        </w:rPr>
        <w:footnoteReference w:id="1838"/>
      </w:r>
      <w:r>
        <w:rPr>
          <w:rFonts w:ascii="IRNazanin" w:hAnsi="IRNazanin" w:eastAsia="IRNazanin" w:cs="IRNazanin"/>
          <w:lang w:bidi="fa-IR"/>
          <w:color w:val="111111"/>
          <w:sz w:val="28"/>
          <w:szCs w:val="28"/>
          <w:rtl/>
        </w:rPr>
        <w:t xml:space="preserve">عدم صلاحيّتها للتقييد نقول: إنّه تقيید</w:t>
      </w:r>
      <w:r>
        <w:rPr>
          <w:rStyle w:val="FootnoteReference"/>
        </w:rPr>
        <w:footnoteReference w:id="1839"/>
      </w:r>
      <w:r>
        <w:rPr>
          <w:rFonts w:ascii="Amiri" w:hAnsi="Amiri" w:eastAsia="Amiri" w:cs="Amiri"/>
          <w:lang w:bidi="ar-SA"/>
          <w:color w:val="111111"/>
          <w:sz w:val="28"/>
          <w:szCs w:val="28"/>
          <w:rtl/>
        </w:rPr>
        <w:t xml:space="preserve">قهري.</w:t>
      </w:r>
    </w:p>
    <w:p>
      <w:pPr>
        <w:pStyle w:val="BookText"/>
      </w:pPr>
      <w:r>
        <w:rPr>
          <w:rFonts w:ascii="IRNazanin" w:hAnsi="IRNazanin" w:eastAsia="IRNazanin" w:cs="IRNazanin"/>
          <w:lang w:bidi="fa-IR"/>
          <w:color w:val="111111"/>
          <w:sz w:val="28"/>
          <w:szCs w:val="28"/>
          <w:rtl/>
        </w:rPr>
        <w:t xml:space="preserve">والحاصل: أنّ المادة في حدّ نفسها وإن كانت مطلقة إلّا أنّ المذكور في الکلام ليس إلّا بمقدار قابلية الهيئة فأين الإطلاق حتّى يتمسّك به أو يستكشف منهكون المصلحة في الأعمّ؟</w:t>
      </w:r>
    </w:p>
    <w:p>
      <w:pPr>
        <w:pStyle w:val="BookText"/>
      </w:pPr>
      <w:r>
        <w:rPr>
          <w:rFonts w:ascii="IRNazanin" w:hAnsi="IRNazanin" w:eastAsia="IRNazanin" w:cs="IRNazanin"/>
          <w:lang w:bidi="fa-IR"/>
          <w:color w:val="111111"/>
          <w:sz w:val="28"/>
          <w:szCs w:val="28"/>
          <w:rtl/>
        </w:rPr>
        <w:t xml:space="preserve">وثانياً: نمنع أنّ شرط قابلية المقيّد للتقييد إمکان اعتباره مطلقاً.</w:t>
      </w:r>
    </w:p>
    <w:p>
      <w:pPr>
        <w:pStyle w:val="BookText"/>
      </w:pPr>
      <w:r>
        <w:rPr>
          <w:rFonts w:ascii="Amiri" w:hAnsi="Amiri" w:eastAsia="Amiri" w:cs="Amiri"/>
          <w:lang w:bidi="ar-SA"/>
          <w:color w:val="111111"/>
          <w:sz w:val="28"/>
          <w:szCs w:val="28"/>
          <w:rtl/>
        </w:rPr>
        <w:t xml:space="preserve">ألا ترى أنّ قوله: «أعتق مؤمنة»، بعد قوله: «أعتق رقبة»، مقيّدٌ له قطعاً مع أنّه لايصلح لإرادة الإطلاق منه.</w:t>
      </w:r>
    </w:p>
    <w:p>
      <w:pPr>
        <w:pStyle w:val="BookText"/>
      </w:pPr>
      <w:r>
        <w:rPr>
          <w:rFonts w:ascii="IRNazanin" w:hAnsi="IRNazanin" w:eastAsia="IRNazanin" w:cs="IRNazanin"/>
          <w:lang w:bidi="fa-IR"/>
          <w:color w:val="111111"/>
          <w:sz w:val="28"/>
          <w:szCs w:val="28"/>
          <w:rtl/>
        </w:rPr>
        <w:t xml:space="preserve">غاية ما في الباب أنّه كان يمكن أن يقول مكانه: «أعتق الرقبة أعمّ من المؤمنة وغيرها» أو لا يذكره ويقتصر على قوله: «أعتق رقبة» وفي المقام أیضاً يمكن أن يقول: «إنّى أريد الضرب الصادر منك سواء كان حراماً أو مباحاً أو ملتفتاً إلیه أو مغفولاً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62" w:name="pg6784_51515"/>
    <w:bookmarkEnd w:id="262"/>
    <w:p>
      <w:pPr>
        <w:pStyle w:val="BookText"/>
      </w:pPr>
      <w:r>
        <w:rPr>
          <w:rFonts w:ascii="IRNazanin" w:hAnsi="IRNazanin" w:eastAsia="IRNazanin" w:cs="IRNazanin"/>
          <w:lang w:bidi="fa-IR"/>
          <w:color w:val="111111"/>
          <w:sz w:val="28"/>
          <w:szCs w:val="28"/>
          <w:rtl/>
        </w:rPr>
        <w:t xml:space="preserve">عنه یعني أنّ کلّ ذلك وافٍ لغرضي». فإذا عدل عن ذلك وقال: «اضرب» والمفروض أنّه لا يشمل المحرّم ولا المغفول عنه فلا وجه للتمسّك بإطلاق الضرب بعد ذلك، وهذا واضح غايته.</w:t>
      </w:r>
    </w:p>
    <w:p>
      <w:pPr>
        <w:pStyle w:val="BookText"/>
      </w:pPr>
      <w:r>
        <w:rPr>
          <w:rFonts w:ascii="Amiri" w:hAnsi="Amiri" w:eastAsia="Amiri" w:cs="Amiri"/>
          <w:lang w:bidi="ar-SA"/>
          <w:color w:val="111111"/>
          <w:sz w:val="28"/>
          <w:szCs w:val="28"/>
          <w:rtl/>
        </w:rPr>
        <w:t xml:space="preserve">وبالجملة فالمادّة تابعة للهيئة في الإطلاق والتقييد ولا يعقل التمسّك بإطلاقها مع عدم الإطلاق في الهيئة.</w:t>
      </w:r>
    </w:p>
    <w:p>
      <w:pPr>
        <w:pStyle w:val="BookText"/>
      </w:pPr>
      <w:r>
        <w:rPr>
          <w:rFonts w:ascii="IRNazanin" w:hAnsi="IRNazanin" w:eastAsia="IRNazanin" w:cs="IRNazanin"/>
          <w:lang w:bidi="fa-IR"/>
          <w:color w:val="111111"/>
          <w:sz w:val="28"/>
          <w:szCs w:val="28"/>
          <w:rtl/>
        </w:rPr>
        <w:t xml:space="preserve">وثالثاً: أنّه على فرض تماميّته يجري في التعبّديات أیضاً لما عرفت.</w:t>
      </w:r>
    </w:p>
    <w:p>
      <w:pPr>
        <w:pStyle w:val="BookText"/>
      </w:pPr>
      <w:r>
        <w:rPr>
          <w:rFonts w:ascii="Amiri" w:hAnsi="Amiri" w:eastAsia="Amiri" w:cs="Amiri"/>
          <w:lang w:bidi="ar-SA"/>
          <w:color w:val="111111"/>
          <w:sz w:val="28"/>
          <w:szCs w:val="28"/>
          <w:rtl/>
        </w:rPr>
        <w:t xml:space="preserve">نعم لا يجري بالنّسبة إلى الغفلة والنوم ونحوهما فيها لعدم تحقّق القصد مع الغفلة والمفروض</w:t>
      </w:r>
      <w:r>
        <w:rPr>
          <w:rStyle w:val="FootnoteReference"/>
        </w:rPr>
        <w:footnoteReference w:id="1840"/>
      </w:r>
      <w:r>
        <w:rPr>
          <w:rFonts w:ascii="Amiri" w:hAnsi="Amiri" w:eastAsia="Amiri" w:cs="Amiri"/>
          <w:lang w:bidi="ar-SA"/>
          <w:color w:val="111111"/>
          <w:sz w:val="28"/>
          <w:szCs w:val="28"/>
          <w:rtl/>
        </w:rPr>
        <w:t xml:space="preserve">اعتباره فيها لكن بالنسبة إلى الحرمة لا فرق ويمكن قصد القربة من الوجوه الأخر غير قصد الأمر حسبما عرفت مراراً</w:t>
      </w:r>
      <w:r>
        <w:rPr>
          <w:rStyle w:val="FootnoteReference"/>
        </w:rPr>
        <w:footnoteReference w:id="1841"/>
      </w:r>
      <w:r>
        <w:rPr>
          <w:rFonts w:ascii="IRNazanin" w:hAnsi="IRNazanin" w:eastAsia="IRNazanin" w:cs="IRNazanin"/>
          <w:lang w:bidi="fa-IR"/>
          <w:color w:val="111111"/>
          <w:sz w:val="28"/>
          <w:szCs w:val="28"/>
          <w:rtl/>
        </w:rPr>
        <w:t xml:space="preserve">، بل بالنسبة إلى الغفلة أیضاً يمكن إجراؤه في التعبّديات إذا كان الفعل مقصوداً بعنوانه الأوّلي ومغفولاً عنه بالعنوان الّذي يكون مأموراً به بناء على عدم اعتبار أزيد من قصد القربة والأمر في التعبّديات فيمكن أن يقصد القربة بالحركة الخاصّة إذا علم تعلّق الأمر بها مع الغفلة عن كونها داخلة تحت عنوان السجود مثلاً.</w:t>
      </w:r>
    </w:p>
    <w:p>
      <w:pPr>
        <w:pStyle w:val="Heading6"/>
      </w:pPr>
      <w:bookmarkStart w:id="781" w:name="_Toc462"/>
      <w:r>
        <w:t>[مبنى المحقّق الأنصاري (رحمة الله‌علیه)]</w:t>
      </w:r>
      <w:bookmarkEnd w:id="781"/>
    </w:p>
    <w:p>
      <w:pPr>
        <w:pStyle w:val="BookText"/>
      </w:pPr>
      <w:r>
        <w:rPr>
          <w:rFonts w:ascii="IRNazanin" w:hAnsi="IRNazanin" w:eastAsia="IRNazanin" w:cs="IRNazanin"/>
          <w:lang w:bidi="fa-IR"/>
          <w:color w:val="111111"/>
          <w:sz w:val="28"/>
          <w:szCs w:val="28"/>
          <w:rtl/>
        </w:rPr>
        <w:t xml:space="preserve">هذا وتمسّك المحقّق الأنصاري بإطلاق المادّة بالتقريب المذكور لكون الفعل المغفول عنه واجباً وإتیانه أداء للواجب لا إسقاطاً لكنّه خصّه بالمغفول عنه بالعنوانالّذي هو متعلّق للأمر بعد كونه بعنوانه الأوّلي اختيارياً.</w:t>
      </w:r>
    </w:p>
    <w:p>
      <w:pPr>
        <w:pStyle w:val="BookText"/>
      </w:pPr>
      <w:r>
        <w:rPr>
          <w:rFonts w:ascii="Amiri" w:hAnsi="Amiri" w:eastAsia="Amiri" w:cs="Amiri"/>
          <w:lang w:bidi="ar-SA"/>
          <w:color w:val="111111"/>
          <w:sz w:val="28"/>
          <w:szCs w:val="28"/>
          <w:rtl/>
        </w:rPr>
        <w:t xml:space="preserve">قال على ما في بعض</w:t>
      </w:r>
      <w:r>
        <w:rPr>
          <w:rStyle w:val="FootnoteReference"/>
        </w:rPr>
        <w:footnoteReference w:id="1842"/>
      </w:r>
      <w:r>
        <w:rPr>
          <w:rFonts w:ascii="Amiri" w:hAnsi="Amiri" w:eastAsia="Amiri" w:cs="Amiri"/>
          <w:lang w:bidi="ar-SA"/>
          <w:color w:val="111111"/>
          <w:sz w:val="28"/>
          <w:szCs w:val="28"/>
          <w:rtl/>
        </w:rPr>
        <w:t xml:space="preserve">تقريرات مقدّمة الواجب</w:t>
      </w:r>
      <w:r>
        <w:rPr>
          <w:rStyle w:val="FootnoteReference"/>
        </w:rPr>
        <w:footnoteReference w:id="1843"/>
      </w:r>
      <w:r>
        <w:rPr>
          <w:rFonts w:ascii="Amiri" w:hAnsi="Amiri" w:eastAsia="Amiri" w:cs="Amiri"/>
          <w:lang w:bidi="ar-SA"/>
          <w:color w:val="111111"/>
          <w:sz w:val="28"/>
          <w:szCs w:val="28"/>
          <w:rtl/>
        </w:rPr>
        <w:t xml:space="preserve">ما ملخّصه وحاصله: أنّ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الفعل إذا كان غير مقصود بعنوانه الأوّلي أي بعنوان كونه حركة وسكوناً كالواقع في حال النوم فلا إشکال في عدم تعلّق الوجوب ولا الأمر به، فالإتیان به ليس أداءً وإن کان إسقاطاً وأمّا إذا كان اختيارياً بهذا العنوان ومغفولاً عنه بعنوانه الّذي تعلّق به الأمر فإن کان ممّا يكون القصد محقّقاً له بحيث لا يصدق أصل العنوان إلّا مع القصد كالتعظيم والتأديب فكذلك، وإلّا فإن کان من العبادات فكذلك؛ إذ مع اعتبار قصد القربة لا يمكن الإتیان به إلّا بقصد العنوان؛ إذ المعتبر التقرّب بالعنوان المأمور به وهو موقوف على القصد وإلّا فيكون الإتیان به أداءً للواجب ويتعلّق به الوجوب وإن لم يتعلّق به الأمر؛ وذلك لأنّه لا يعقل تعلّق الأمر والطلب به؛ لأنّه غير اختياري بهذا العنوان، لكن لا مانع من كونه واجباً واقعياً ومتعلّقاً للتکلیف الواقعي؛ إذ لا يشترط فيه العلم.</w:t>
      </w:r>
    </w:p>
    <w:p>
      <w:pPr>
        <w:pStyle w:val="BookText"/>
      </w:pPr>
      <w:r>
        <w:rPr>
          <w:rFonts w:ascii="IRNazanin" w:hAnsi="IRNazanin" w:eastAsia="IRNazanin" w:cs="IRNazanin"/>
          <w:lang w:bidi="fa-IR"/>
          <w:color w:val="111111"/>
          <w:sz w:val="28"/>
          <w:szCs w:val="28"/>
          <w:rtl/>
        </w:rPr>
        <w:t xml:space="preserve">ولذا نقول بتکلیف الجهّال بالأحکام واقعاً وان لم يتنجّز في حقّهم، فالعلم شرط للتنجّز دون أصل الحكم.</w:t>
      </w:r>
    </w:p>
    <w:p>
      <w:pPr>
        <w:pStyle w:val="BookText"/>
      </w:pPr>
      <w:r>
        <w:rPr>
          <w:rFonts w:ascii="IRNazanin" w:hAnsi="IRNazanin" w:eastAsia="IRNazanin" w:cs="IRNazanin"/>
          <w:lang w:bidi="fa-IR"/>
          <w:color w:val="111111"/>
          <w:sz w:val="28"/>
          <w:szCs w:val="28"/>
          <w:rtl/>
        </w:rPr>
        <w:t xml:space="preserve">ودعوى أنّ الجاهل الغافل غير قادر على إتیان المأمور به فكيف يكون مکلّفاً مع أنّ القدرة شرط أصل التکلیف؟!</w:t>
      </w:r>
    </w:p>
    <w:p>
      <w:pPr>
        <w:pStyle w:val="BookText"/>
      </w:pPr>
      <w:r>
        <w:rPr>
          <w:rFonts w:ascii="IRNazanin" w:hAnsi="IRNazanin" w:eastAsia="IRNazanin" w:cs="IRNazanin"/>
          <w:lang w:bidi="fa-IR"/>
          <w:color w:val="111111"/>
          <w:sz w:val="28"/>
          <w:szCs w:val="28"/>
          <w:rtl/>
        </w:rPr>
        <w:t xml:space="preserve">مدفوعة بأنّ العجز المانع من التکلیف العجز عن الفعل من غير جهة الغفلة وأمّا العجز من هذه الجهة فليس بمانع فالمدار في القدرة على القدرة على فرض الالتفات إلى الفعل والأمر وهي حاصلة في المقام فثبت أنّه مکلّف بهذا الفعل في الواقع وهو واجب عليه ولكن ليس بمأمور به وليس متعلّقاً للطلب؛ إذ لا يمكن توجيه الطلب نحو الغافل بالنّسبة إلى الفعل المغفول عنه.</w:t>
      </w:r>
    </w:p>
    <w:p>
      <w:pPr>
        <w:pStyle w:val="BookText"/>
      </w:pPr>
      <w:r>
        <w:rPr>
          <w:rFonts w:ascii="Amiri" w:hAnsi="Amiri" w:eastAsia="Amiri" w:cs="Amiri"/>
          <w:lang w:bidi="ar-SA"/>
          <w:color w:val="111111"/>
          <w:sz w:val="28"/>
          <w:szCs w:val="28"/>
          <w:rtl/>
        </w:rPr>
        <w:t xml:space="preserve">ولا ملازمة بين الوجوب والأمر؛ إذ قد يجتمعان كما في العالم الملتفت</w:t>
      </w:r>
      <w:r>
        <w:rPr>
          <w:rStyle w:val="FootnoteReference"/>
        </w:rPr>
        <w:footnoteReference w:id="1844"/>
      </w:r>
      <w:r>
        <w:rPr>
          <w:rFonts w:ascii="IRNazanin" w:hAnsi="IRNazanin" w:eastAsia="IRNazanin" w:cs="IRNazanin"/>
          <w:lang w:bidi="fa-IR"/>
          <w:color w:val="111111"/>
          <w:sz w:val="28"/>
          <w:szCs w:val="28"/>
          <w:rtl/>
        </w:rPr>
        <w:t xml:space="preserve">، وقد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الفعل مأموراً به ولا يكون</w:t>
      </w:r>
      <w:r>
        <w:rPr>
          <w:rStyle w:val="FootnoteReference"/>
        </w:rPr>
        <w:footnoteReference w:id="1845"/>
      </w:r>
      <w:r>
        <w:rPr>
          <w:rFonts w:ascii="Amiri" w:hAnsi="Amiri" w:eastAsia="Amiri" w:cs="Amiri"/>
          <w:lang w:bidi="ar-SA"/>
          <w:color w:val="111111"/>
          <w:sz w:val="28"/>
          <w:szCs w:val="28"/>
          <w:rtl/>
        </w:rPr>
        <w:t xml:space="preserve">واجباً كما في التعبّديات حيث إنّ متعلّق الأمر ليسإلّا ما عدا القربة؛ إذ لا يمكن أن تقع</w:t>
      </w:r>
      <w:r>
        <w:rPr>
          <w:rStyle w:val="FootnoteReference"/>
        </w:rPr>
        <w:footnoteReference w:id="1846"/>
      </w:r>
      <w:r>
        <w:rPr>
          <w:rFonts w:ascii="Amiri" w:hAnsi="Amiri" w:eastAsia="Amiri" w:cs="Amiri"/>
          <w:lang w:bidi="ar-SA"/>
          <w:color w:val="111111"/>
          <w:sz w:val="28"/>
          <w:szCs w:val="28"/>
          <w:rtl/>
        </w:rPr>
        <w:t xml:space="preserve">القربة في حيّز الأمر مع أنّ الواجب هو الفعل مع</w:t>
      </w:r>
      <w:r>
        <w:rPr>
          <w:rStyle w:val="FootnoteReference"/>
        </w:rPr>
        <w:footnoteReference w:id="1847"/>
      </w:r>
      <w:r>
        <w:rPr>
          <w:rFonts w:ascii="IRNazanin" w:hAnsi="IRNazanin" w:eastAsia="IRNazanin" w:cs="IRNazanin"/>
          <w:lang w:bidi="fa-IR"/>
          <w:color w:val="111111"/>
          <w:sz w:val="28"/>
          <w:szCs w:val="28"/>
          <w:rtl/>
        </w:rPr>
        <w:t xml:space="preserve">قصد</w:t>
      </w:r>
      <w:r>
        <w:rPr>
          <w:rStyle w:val="FootnoteReference"/>
        </w:rPr>
        <w:footnoteReference w:id="1848"/>
      </w:r>
      <w:r>
        <w:rPr>
          <w:rFonts w:ascii="Amiri" w:hAnsi="Amiri" w:eastAsia="Amiri" w:cs="Amiri"/>
          <w:lang w:bidi="ar-SA"/>
          <w:color w:val="111111"/>
          <w:sz w:val="28"/>
          <w:szCs w:val="28"/>
          <w:rtl/>
        </w:rPr>
        <w:t xml:space="preserve">القربة، وقد يكون واجباً ولا يكون مأموراً به كما في التوصّليات بالنسبة إلى الفعل المغفول عنه حيث إنّه واجب واقعي ولا يكون متعلّقاً للأمر.</w:t>
      </w:r>
    </w:p>
    <w:p>
      <w:pPr>
        <w:pStyle w:val="BookText"/>
      </w:pPr>
      <w:r>
        <w:rPr>
          <w:rFonts w:ascii="IRNazanin" w:hAnsi="IRNazanin" w:eastAsia="IRNazanin" w:cs="IRNazanin"/>
          <w:lang w:bidi="fa-IR"/>
          <w:color w:val="111111"/>
          <w:sz w:val="28"/>
          <w:szCs w:val="28"/>
          <w:rtl/>
        </w:rPr>
        <w:t xml:space="preserve">وقد يمثّل لذلك أیضاً بما إذا وقع ولد المولى في البئر مع غفلته فإنّه يجب على العبد إخراجه وإن لم يأمر به المولى لغفلته، وإذا أمكن تعلّق الوجوب الواقعي بالفعل المغفول عنه نقول: إنّ إطلاق المادّة يدلّ عليه ولا يضرّ فيه تقيید</w:t>
      </w:r>
      <w:r>
        <w:rPr>
          <w:rStyle w:val="FootnoteReference"/>
        </w:rPr>
        <w:footnoteReference w:id="1849"/>
      </w:r>
      <w:r>
        <w:rPr>
          <w:rFonts w:ascii="IRNazanin" w:hAnsi="IRNazanin" w:eastAsia="IRNazanin" w:cs="IRNazanin"/>
          <w:lang w:bidi="fa-IR"/>
          <w:color w:val="111111"/>
          <w:sz w:val="28"/>
          <w:szCs w:val="28"/>
          <w:rtl/>
        </w:rPr>
        <w:t xml:space="preserve">الطلب بالمقصود والاختياري؛ لأنّ تقيیده</w:t>
      </w:r>
      <w:r>
        <w:rPr>
          <w:rStyle w:val="FootnoteReference"/>
        </w:rPr>
        <w:footnoteReference w:id="1850"/>
      </w:r>
      <w:r>
        <w:rPr>
          <w:rFonts w:ascii="Amiri" w:hAnsi="Amiri" w:eastAsia="Amiri" w:cs="Amiri"/>
          <w:lang w:bidi="ar-SA"/>
          <w:color w:val="111111"/>
          <w:sz w:val="28"/>
          <w:szCs w:val="28"/>
          <w:rtl/>
        </w:rPr>
        <w:t xml:space="preserve">ليس اختيارياً للآمر إلّا أنّه</w:t>
      </w:r>
      <w:r>
        <w:rPr>
          <w:rStyle w:val="FootnoteReference"/>
        </w:rPr>
        <w:footnoteReference w:id="1851"/>
      </w:r>
      <w:r>
        <w:rPr>
          <w:rFonts w:ascii="Amiri" w:hAnsi="Amiri" w:eastAsia="Amiri" w:cs="Amiri"/>
          <w:lang w:bidi="ar-SA"/>
          <w:color w:val="111111"/>
          <w:sz w:val="28"/>
          <w:szCs w:val="28"/>
          <w:rtl/>
        </w:rPr>
        <w:t xml:space="preserve">لا يمكنه أن يأمر بالأعمّ من الاختياري وغيره؛ إذ لا يعقل تعلّق الطلب بالفعل المغفول عنه والقيد</w:t>
      </w:r>
      <w:r>
        <w:rPr>
          <w:rStyle w:val="FootnoteReference"/>
        </w:rPr>
        <w:footnoteReference w:id="1852"/>
      </w:r>
      <w:r>
        <w:rPr>
          <w:rFonts w:ascii="Amiri" w:hAnsi="Amiri" w:eastAsia="Amiri" w:cs="Amiri"/>
          <w:lang w:bidi="ar-SA"/>
          <w:color w:val="111111"/>
          <w:sz w:val="28"/>
          <w:szCs w:val="28"/>
          <w:rtl/>
        </w:rPr>
        <w:t xml:space="preserve">إنّما يكون مقيّداً إذا أمكن إيراده على الوجهين أي على وجه التقييد وعلى وجه الإطلاق</w:t>
      </w:r>
      <w:r>
        <w:rPr>
          <w:rStyle w:val="FootnoteReference"/>
        </w:rPr>
        <w:footnoteReference w:id="1853"/>
      </w:r>
      <w:r>
        <w:rPr>
          <w:rFonts w:ascii="Amiri" w:hAnsi="Amiri" w:eastAsia="Amiri" w:cs="Amiri"/>
          <w:lang w:bidi="ar-SA"/>
          <w:color w:val="111111"/>
          <w:sz w:val="28"/>
          <w:szCs w:val="28"/>
          <w:rtl/>
        </w:rPr>
        <w:t xml:space="preserve">بأن يكون أمره بيد الآمر.</w:t>
      </w:r>
    </w:p>
    <w:p>
      <w:pPr>
        <w:pStyle w:val="BookText"/>
      </w:pPr>
      <w:r>
        <w:rPr>
          <w:rFonts w:ascii="Amiri" w:hAnsi="Amiri" w:eastAsia="Amiri" w:cs="Amiri"/>
          <w:lang w:bidi="ar-SA"/>
          <w:color w:val="111111"/>
          <w:sz w:val="28"/>
          <w:szCs w:val="28"/>
          <w:rtl/>
        </w:rPr>
        <w:t xml:space="preserve">وأمّا إذا لم يكن كذلك كما في المقام حيث إنّه لا يمكنه أن يعلّق الطلب على خصوص الاختياري بقيد أنّه اختياري ولا على الأعمّ منه بل لا بدّ له من تعليقه على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 الفعل وإن لم يتعلّق هو من جهة قصوره إلّا بالاختياري فلا يصلح للتقييد، فيؤخذ بإطلاق المادّة ويحكم بأنّه مطلوب واقعي وإن لم يكن متعلّقاً للأمر فيكون الإتیان به أداءً للواجب بمقتضى القاعدة لا إسقاطاً.</w:t>
      </w:r>
    </w:p>
    <w:p>
      <w:pPr>
        <w:pStyle w:val="BookText"/>
      </w:pPr>
      <w:r>
        <w:rPr>
          <w:rFonts w:ascii="IRNazanin" w:hAnsi="IRNazanin" w:eastAsia="IRNazanin" w:cs="IRNazanin"/>
          <w:lang w:bidi="fa-IR"/>
          <w:color w:val="111111"/>
          <w:sz w:val="28"/>
          <w:szCs w:val="28"/>
          <w:rtl/>
        </w:rPr>
        <w:t xml:space="preserve">ولا يخفى عليك أنّ لازم هذا البيان القول بأنّ الواجب التوصّلي يجتمع مع الحرام؛ وذلك لأنّ عدم إمکان تعلّق الأمر بالفرد المحرّم أیضاً إنّما هو من جهة قصور الطّلب وإلّا فيمكن أن يكون الفعل مشتملاً على المصلحة الموجبة ويكون واجباً واقعياًويكون إطلاق المادّة دليلاً عليه.</w:t>
      </w:r>
    </w:p>
    <w:p>
      <w:pPr>
        <w:pStyle w:val="BookText"/>
      </w:pPr>
      <w:r>
        <w:rPr>
          <w:rFonts w:ascii="Amiri" w:hAnsi="Amiri" w:eastAsia="Amiri" w:cs="Amiri"/>
          <w:lang w:bidi="ar-SA"/>
          <w:color w:val="111111"/>
          <w:sz w:val="28"/>
          <w:szCs w:val="28"/>
          <w:rtl/>
        </w:rPr>
        <w:t xml:space="preserve">وقد تفطن بذلك وذكر أنّه فرق بين المقامين وهو أنّ المتراءى</w:t>
      </w:r>
      <w:r>
        <w:rPr>
          <w:rStyle w:val="FootnoteReference"/>
        </w:rPr>
        <w:footnoteReference w:id="1854"/>
      </w:r>
      <w:r>
        <w:rPr>
          <w:rFonts w:ascii="Amiri" w:hAnsi="Amiri" w:eastAsia="Amiri" w:cs="Amiri"/>
          <w:lang w:bidi="ar-SA"/>
          <w:color w:val="111111"/>
          <w:sz w:val="28"/>
          <w:szCs w:val="28"/>
          <w:rtl/>
        </w:rPr>
        <w:t xml:space="preserve">من الأوامر هو تقييد العنوان أوّلاً بغير المحرّم ثمّ إيراد الطلب عليه لا أن يكون خروج الفرد المحرّم بواسطة عدم تعلّق عروض الطلب إلّا للمباح.</w:t>
      </w:r>
    </w:p>
    <w:p>
      <w:pPr>
        <w:pStyle w:val="BookText"/>
      </w:pPr>
      <w:r>
        <w:rPr>
          <w:rFonts w:ascii="IRNazanin" w:hAnsi="IRNazanin" w:eastAsia="IRNazanin" w:cs="IRNazanin"/>
          <w:lang w:bidi="fa-IR"/>
          <w:color w:val="111111"/>
          <w:sz w:val="28"/>
          <w:szCs w:val="28"/>
          <w:rtl/>
        </w:rPr>
        <w:t xml:space="preserve">فالظّاهر أنّ الأمور الرّاجعة إلى تصرّف الآمر على وجه لو لم نقل بذلك التصرّف يلزم نسبة القبيح إلیه كإرادة الفرد المحرّم من المأمور به معتبرة فيه مع قطع النظر عن لحوق الأمر لأن لا يلزم</w:t>
      </w:r>
      <w:r>
        <w:rPr>
          <w:rStyle w:val="FootnoteReference"/>
        </w:rPr>
        <w:footnoteReference w:id="1855"/>
      </w:r>
      <w:r>
        <w:rPr>
          <w:rFonts w:ascii="Amiri" w:hAnsi="Amiri" w:eastAsia="Amiri" w:cs="Amiri"/>
          <w:lang w:bidi="ar-SA"/>
          <w:color w:val="111111"/>
          <w:sz w:val="28"/>
          <w:szCs w:val="28"/>
          <w:rtl/>
        </w:rPr>
        <w:t xml:space="preserve">اجتماع الإرادة والكراهة.</w:t>
      </w:r>
    </w:p>
    <w:p>
      <w:pPr>
        <w:pStyle w:val="BookText"/>
      </w:pPr>
      <w:r>
        <w:rPr>
          <w:rFonts w:ascii="Amiri" w:hAnsi="Amiri" w:eastAsia="Amiri" w:cs="Amiri"/>
          <w:lang w:bidi="ar-SA"/>
          <w:color w:val="111111"/>
          <w:sz w:val="28"/>
          <w:szCs w:val="28"/>
          <w:rtl/>
        </w:rPr>
        <w:t xml:space="preserve">وأمّا الأمور الّتي لا مدخل لإرادة الآمر فيها مثل العجز والجهل فالظّاهر أنّ اختصاص المطلوب بغيرها إنّما هو بواسطة امتناع تعلّق الطلب من جهة قصوره، فالقياس فاسد.</w:t>
      </w:r>
    </w:p>
    <w:p>
      <w:pPr>
        <w:pStyle w:val="BookText"/>
      </w:pPr>
      <w:r>
        <w:rPr>
          <w:rFonts w:ascii="Amiri" w:hAnsi="Amiri" w:eastAsia="Amiri" w:cs="Amiri"/>
          <w:lang w:bidi="ar-SA"/>
          <w:color w:val="111111"/>
          <w:sz w:val="28"/>
          <w:szCs w:val="28"/>
          <w:rtl/>
        </w:rPr>
        <w:t xml:space="preserve">ودعوى أنّه يجوز تعلّق الطلب بالقدر المشترك بين المحرّم والمحلّل؛ إذ القبيح إنّما يتأتّى بملاحظة خصوص الفرد المحرّم وبطلان الخاصّ من حيث الخصوصيّة لا يستلزم بطلان العامّ من حيث إنّه عامّ؛</w:t>
      </w:r>
    </w:p>
    <w:p>
      <w:pPr>
        <w:pStyle w:val="BookText"/>
      </w:pPr>
      <w:r>
        <w:rPr>
          <w:rFonts w:ascii="Amiri" w:hAnsi="Amiri" w:eastAsia="Amiri" w:cs="Amiri"/>
          <w:lang w:bidi="ar-SA"/>
          <w:color w:val="111111"/>
          <w:sz w:val="28"/>
          <w:szCs w:val="28"/>
          <w:rtl/>
        </w:rPr>
        <w:t xml:space="preserve">مدفوعة بأنّه إن أريد بذلك التسرية إلى الفرد المحرّم فغير سديد، وإلّا فغير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63" w:name="pg6784_51519"/>
    <w:bookmarkEnd w:id="263"/>
    <w:p>
      <w:pPr>
        <w:pStyle w:val="BookText"/>
      </w:pPr>
      <w:r>
        <w:rPr>
          <w:rFonts w:ascii="Amiri" w:hAnsi="Amiri" w:eastAsia="Amiri" w:cs="Amiri"/>
          <w:lang w:bidi="ar-SA"/>
          <w:color w:val="111111"/>
          <w:sz w:val="28"/>
          <w:szCs w:val="28"/>
          <w:rtl/>
        </w:rPr>
        <w:t xml:space="preserve">مفيد.</w:t>
      </w:r>
      <w:r>
        <w:rPr>
          <w:rStyle w:val="FootnoteReference"/>
        </w:rPr>
        <w:footnoteReference w:id="1856"/>
      </w:r>
    </w:p>
    <w:p>
      <w:pPr>
        <w:pStyle w:val="Heading6"/>
      </w:pPr>
      <w:bookmarkStart w:id="782" w:name="_Toc463"/>
      <w:r>
        <w:t>[نقد مبنى المحقّق الأنصاري (رحمة الله‌علیه)]</w:t>
      </w:r>
      <w:bookmarkEnd w:id="782"/>
    </w:p>
    <w:p>
      <w:pPr>
        <w:pStyle w:val="BookText"/>
      </w:pPr>
      <w:r>
        <w:rPr>
          <w:rFonts w:ascii="Amiri" w:hAnsi="Amiri" w:eastAsia="Amiri" w:cs="Amiri"/>
          <w:lang w:bidi="ar-SA"/>
          <w:color w:val="111111"/>
          <w:sz w:val="28"/>
          <w:szCs w:val="28"/>
          <w:rtl/>
        </w:rPr>
        <w:t xml:space="preserve">أقول: الإنصاف عدم الفرق بين المقامين</w:t>
      </w:r>
      <w:r>
        <w:rPr>
          <w:rStyle w:val="FootnoteReference"/>
        </w:rPr>
        <w:footnoteReference w:id="1857"/>
      </w:r>
      <w:r>
        <w:rPr>
          <w:rFonts w:ascii="Amiri" w:hAnsi="Amiri" w:eastAsia="Amiri" w:cs="Amiri"/>
          <w:lang w:bidi="ar-SA"/>
          <w:color w:val="111111"/>
          <w:sz w:val="28"/>
          <w:szCs w:val="28"/>
          <w:rtl/>
        </w:rPr>
        <w:t xml:space="preserve">إذ اجتماع الإرادة والكراهة مُحال ذاتاً</w:t>
      </w:r>
      <w:r>
        <w:rPr>
          <w:rStyle w:val="FootnoteReference"/>
        </w:rPr>
        <w:footnoteReference w:id="1858"/>
      </w:r>
      <w:r>
        <w:rPr>
          <w:rFonts w:ascii="IRNazanin" w:hAnsi="IRNazanin" w:eastAsia="IRNazanin" w:cs="IRNazanin"/>
          <w:lang w:bidi="fa-IR"/>
          <w:color w:val="111111"/>
          <w:sz w:val="28"/>
          <w:szCs w:val="28"/>
          <w:rtl/>
        </w:rPr>
        <w:t xml:space="preserve">بناءً على مذهب المانعين فلا يجوز تعلّق الأمر بالمحرّم كعدم جواز تعلّقه بغير المقدور بل هو غير مقدور شرعاً مضافاً إلى عدم إمکان مجي‌ء الأمر من حيث هو، فمقتضى ما ذكره من انحصار صلاحيّة التقييد فيما لم يكن من جهة قصور الطلب،</w:t>
      </w:r>
      <w:r>
        <w:rPr>
          <w:rStyle w:val="FootnoteReference"/>
        </w:rPr>
        <w:footnoteReference w:id="1859"/>
      </w:r>
      <w:r>
        <w:rPr>
          <w:rFonts w:ascii="Amiri" w:hAnsi="Amiri" w:eastAsia="Amiri" w:cs="Amiri"/>
          <w:lang w:bidi="ar-SA"/>
          <w:color w:val="111111"/>
          <w:sz w:val="28"/>
          <w:szCs w:val="28"/>
          <w:rtl/>
        </w:rPr>
        <w:t xml:space="preserve">متحقّق في المقام والفرق الّذي ذكره غير فارق؛ إذ يمكن أن يقال بالنسبة إلى الفعل</w:t>
      </w:r>
      <w:r>
        <w:rPr>
          <w:rStyle w:val="FootnoteReference"/>
        </w:rPr>
        <w:footnoteReference w:id="1860"/>
      </w:r>
      <w:r>
        <w:rPr>
          <w:rFonts w:ascii="IRNazanin" w:hAnsi="IRNazanin" w:eastAsia="IRNazanin" w:cs="IRNazanin"/>
          <w:lang w:bidi="fa-IR"/>
          <w:color w:val="111111"/>
          <w:sz w:val="28"/>
          <w:szCs w:val="28"/>
          <w:rtl/>
        </w:rPr>
        <w:t xml:space="preserve">المغفول عنه أیضاً: إنّ الآمر يلاحظ قبل تعلّق الطلب الأفراد المقدورة ويعلّق</w:t>
      </w:r>
      <w:r>
        <w:rPr>
          <w:rStyle w:val="FootnoteReference"/>
        </w:rPr>
        <w:footnoteReference w:id="1861"/>
      </w:r>
      <w:r>
        <w:rPr>
          <w:rFonts w:ascii="Amiri" w:hAnsi="Amiri" w:eastAsia="Amiri" w:cs="Amiri"/>
          <w:lang w:bidi="ar-SA"/>
          <w:color w:val="111111"/>
          <w:sz w:val="28"/>
          <w:szCs w:val="28"/>
          <w:rtl/>
        </w:rPr>
        <w:t xml:space="preserve">الطلب عليها.</w:t>
      </w:r>
    </w:p>
    <w:p>
      <w:pPr>
        <w:pStyle w:val="BookText"/>
      </w:pPr>
      <w:r>
        <w:rPr>
          <w:rFonts w:ascii="IRNazanin" w:hAnsi="IRNazanin" w:eastAsia="IRNazanin" w:cs="IRNazanin"/>
          <w:lang w:bidi="fa-IR"/>
          <w:color w:val="111111"/>
          <w:sz w:val="28"/>
          <w:szCs w:val="28"/>
          <w:rtl/>
        </w:rPr>
        <w:t xml:space="preserve">ودعوى أنّ ما ذكره من الفرق وإن کان غير تامّ إلّا أنّه يمكن الفرق بوجه آخر وهو أنّ الأمر بالمباح بمعنى اختيار الفرد المباح معقول ولكنّ الأمر بالفعل الاختياري غير معقول؛ إذ لا يمكن أن يكون قيد الاختياريّة في حيّز الأمر؛ إذ مع الالتفات لا يمكنه إيجاد الفعل لا عن قصد ومع الغفلة لا يمكنه إيجاد الفعل عن قصد فالفعل المغفول عنه في حدّ نفسه غير مقدور بخلاف الإتیان بالفرد المحرّم فإنّه في حدّ نفسه مقدور، غاية الأمر عدم إمکان تعلّق الأمر به؛</w:t>
      </w:r>
    </w:p>
    <w:p>
      <w:pPr>
        <w:pStyle w:val="BookText"/>
      </w:pPr>
      <w:r>
        <w:rPr>
          <w:rFonts w:ascii="Amiri" w:hAnsi="Amiri" w:eastAsia="Amiri" w:cs="Amiri"/>
          <w:lang w:bidi="ar-SA"/>
          <w:color w:val="111111"/>
          <w:sz w:val="28"/>
          <w:szCs w:val="28"/>
          <w:rtl/>
        </w:rPr>
        <w:t xml:space="preserve">مدفوعة بأنّ مجرّد هذا لا يكون فارقاً؛ لأنّ المراد من التقييد بالاختياري ليس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بحيث يكون قيد الاختيار معروضاً للطلب بأن يجب على المکلّف إيجاده، بل معناه أنّ الفعل الغير الاختياري غير مطلوب وأنّه يجب عليه إيجاد الفعل عن قصد وأن لايكتفي بالفعل الغير الاختياري إذا فرض صدوره منه.</w:t>
      </w:r>
    </w:p>
    <w:p>
      <w:pPr>
        <w:pStyle w:val="BookText"/>
      </w:pPr>
      <w:r>
        <w:rPr>
          <w:rFonts w:ascii="IRNazanin" w:hAnsi="IRNazanin" w:eastAsia="IRNazanin" w:cs="IRNazanin"/>
          <w:lang w:bidi="fa-IR"/>
          <w:color w:val="111111"/>
          <w:sz w:val="28"/>
          <w:szCs w:val="28"/>
          <w:rtl/>
        </w:rPr>
        <w:t xml:space="preserve">وبعبارة أخری: كما يمكن إيجاد الفرد المباح كذا يمكن إيجاد الفعل عن قصد، غاية الأمر أنّه في حال الالتفات لا يمكنه الفعل إلّا معه وهذا لا يوجب أن لا يتعلّق به التکلیف لكفاية المقدوريّة من حيث أصل الإيجاد وعدمه ولا يلزم أن يكون القيد في حدّ نفسه قابلاً للإتیان والترك على فرض الإتیان بالمقيّد فلا يضرّ كونه مضطرّاً إلى القصد إذا أراد الفعل في كون الفعل المقيّد بالاختيار مطلوباً.</w:t>
      </w:r>
    </w:p>
    <w:p>
      <w:pPr>
        <w:pStyle w:val="BookText"/>
      </w:pPr>
      <w:r>
        <w:rPr>
          <w:rFonts w:ascii="IRNazanin" w:hAnsi="IRNazanin" w:eastAsia="IRNazanin" w:cs="IRNazanin"/>
          <w:lang w:bidi="fa-IR"/>
          <w:color w:val="111111"/>
          <w:sz w:val="28"/>
          <w:szCs w:val="28"/>
          <w:rtl/>
        </w:rPr>
        <w:t xml:space="preserve">والحاصل: أنّه یکفي في اختياريّة القصد اختياريّة الفعل المقصود بمعنى أنّه يمكنه أن يفعل عن قصد وأن يترك الفعل، فعلى هذا لا فرق</w:t>
      </w:r>
      <w:r>
        <w:rPr>
          <w:rStyle w:val="FootnoteReference"/>
        </w:rPr>
        <w:footnoteReference w:id="1862"/>
      </w:r>
      <w:r>
        <w:rPr>
          <w:rFonts w:ascii="Amiri" w:hAnsi="Amiri" w:eastAsia="Amiri" w:cs="Amiri"/>
          <w:lang w:bidi="ar-SA"/>
          <w:color w:val="111111"/>
          <w:sz w:val="28"/>
          <w:szCs w:val="28"/>
          <w:rtl/>
        </w:rPr>
        <w:t xml:space="preserve">بين المقامين أصلاً.</w:t>
      </w:r>
    </w:p>
    <w:p>
      <w:pPr>
        <w:pStyle w:val="BookText"/>
      </w:pPr>
      <w:r>
        <w:rPr>
          <w:rFonts w:ascii="IRNazanin" w:hAnsi="IRNazanin" w:eastAsia="IRNazanin" w:cs="IRNazanin"/>
          <w:lang w:bidi="fa-IR"/>
          <w:color w:val="111111"/>
          <w:sz w:val="28"/>
          <w:szCs w:val="28"/>
          <w:rtl/>
        </w:rPr>
        <w:t xml:space="preserve">فإن قلت: هنا فرق آخر وهو أنّ في الغافل يتصوّر التکلیف الواقعي وفي الفرد المحرّم لا يتصوّر ذلك؛ لأنّه إذا وجب واقعاً والمفروض العلم به فيلزم كونه فعلياًومأموراً به؛ لأنّا لا نعني بالمأمور به إلّا ما وجب واقعاً وتعلّق به علم المکلّف.</w:t>
      </w:r>
    </w:p>
    <w:p>
      <w:pPr>
        <w:pStyle w:val="BookText"/>
      </w:pPr>
      <w:r>
        <w:rPr>
          <w:rFonts w:ascii="Amiri" w:hAnsi="Amiri" w:eastAsia="Amiri" w:cs="Amiri"/>
          <w:lang w:bidi="ar-SA"/>
          <w:color w:val="111111"/>
          <w:sz w:val="28"/>
          <w:szCs w:val="28"/>
          <w:rtl/>
        </w:rPr>
        <w:t xml:space="preserve">وهذا بخلاف الغافل فإنّه بغفلته لا يتحقّق في حقّه الأمر والطلب الفعلي فالثّبوت الواقعي في العالم يلازم كونه مأموراً به والمفروض عدم جواز الأمر بالمحرّم وفي الغافل ليس كذلك.</w:t>
      </w:r>
    </w:p>
    <w:p>
      <w:pPr>
        <w:pStyle w:val="BookText"/>
      </w:pPr>
      <w:r>
        <w:rPr>
          <w:rFonts w:ascii="IRNazanin" w:hAnsi="IRNazanin" w:eastAsia="IRNazanin" w:cs="IRNazanin"/>
          <w:lang w:bidi="fa-IR"/>
          <w:color w:val="111111"/>
          <w:sz w:val="28"/>
          <w:szCs w:val="28"/>
          <w:rtl/>
        </w:rPr>
        <w:t xml:space="preserve">قلت: أوّلاً: إنّه يمكن أن يكون في الواقع ذا مصلحة موجبة وإن لم يكن واجباً واقعياً فيلزم أن يكون مسقطاً مع أنّه لا يلتزم بكونه مسقطاً أیضاً بمقتضى الإطلاق بل يخصّ الإسقاط</w:t>
      </w:r>
      <w:r>
        <w:rPr>
          <w:rStyle w:val="FootnoteReference"/>
        </w:rPr>
        <w:footnoteReference w:id="1863"/>
      </w:r>
      <w:r>
        <w:rPr>
          <w:rFonts w:ascii="IRNazanin" w:hAnsi="IRNazanin" w:eastAsia="IRNazanin" w:cs="IRNazanin"/>
          <w:lang w:bidi="fa-IR"/>
          <w:color w:val="111111"/>
          <w:sz w:val="28"/>
          <w:szCs w:val="28"/>
          <w:rtl/>
        </w:rPr>
        <w:t xml:space="preserve">أیضاً بالغافل.</w:t>
      </w:r>
    </w:p>
    <w:p>
      <w:pPr>
        <w:pStyle w:val="BookText"/>
      </w:pPr>
      <w:r>
        <w:rPr>
          <w:rFonts w:ascii="Amiri" w:hAnsi="Amiri" w:eastAsia="Amiri" w:cs="Amiri"/>
          <w:lang w:bidi="ar-SA"/>
          <w:color w:val="111111"/>
          <w:sz w:val="28"/>
          <w:szCs w:val="28"/>
          <w:rtl/>
        </w:rPr>
        <w:t xml:space="preserve">وثانياً: إنّا نقول: إنّ الوجوب الواقعي إذا علم به يلازم كونه مأموراً به إذا لم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64" w:name="pg6784_51521"/>
    <w:bookmarkEnd w:id="264"/>
    <w:p>
      <w:pPr>
        <w:pStyle w:val="BookText"/>
      </w:pPr>
      <w:r>
        <w:rPr>
          <w:rFonts w:ascii="Amiri" w:hAnsi="Amiri" w:eastAsia="Amiri" w:cs="Amiri"/>
          <w:lang w:bidi="ar-SA"/>
          <w:color w:val="111111"/>
          <w:sz w:val="28"/>
          <w:szCs w:val="28"/>
          <w:rtl/>
        </w:rPr>
        <w:t xml:space="preserve">يكن مانع من توجّه الأمر، والنهي الفعلي على ما هو المفروض مانع عنه فيمكن كونه واجباً مع عدم كونه مأموراً به وإن علم بالوجوب بناءً على الفرق بين الوجوب والمأموريّة على ما هو مذهبه.</w:t>
      </w:r>
      <w:r>
        <w:rPr>
          <w:rStyle w:val="FootnoteReference"/>
        </w:rPr>
        <w:footnoteReference w:id="1864"/>
      </w:r>
    </w:p>
    <w:p>
      <w:pPr>
        <w:pStyle w:val="BookText"/>
      </w:pPr>
      <w:r>
        <w:rPr>
          <w:rFonts w:ascii="IRNazanin" w:hAnsi="IRNazanin" w:eastAsia="IRNazanin" w:cs="IRNazanin"/>
          <w:lang w:bidi="fa-IR"/>
          <w:color w:val="111111"/>
          <w:sz w:val="28"/>
          <w:szCs w:val="28"/>
          <w:rtl/>
        </w:rPr>
        <w:t xml:space="preserve">وأمّا الفرق بین الوجوب والمأموریّة على حدّ تعبیر المصنّف (رحمة الله‌علیه) فلم یستفد من کلامه في هذا المقام، إلّا أن نقول: أراد المصنّف من الوجوب المسقطیّة، وهذا أیضاً خلاف الظاهر. والله العالم بحقائق الأمور.</w:t>
      </w:r>
    </w:p>
    <w:p>
      <w:pPr>
        <w:pStyle w:val="Heading6"/>
      </w:pPr>
      <w:bookmarkStart w:id="783" w:name="_Toc464"/>
      <w:r>
        <w:t>[وجوه أخر من الإیراد على کلام المحقّق الأنصاري (رحمة الله‌علیه)]</w:t>
      </w:r>
      <w:bookmarkEnd w:id="783"/>
    </w:p>
    <w:p>
      <w:pPr>
        <w:pStyle w:val="Heading6"/>
      </w:pPr>
      <w:bookmarkStart w:id="784" w:name="_Toc465"/>
      <w:r>
        <w:t>اشارة</w:t>
      </w:r>
      <w:bookmarkEnd w:id="784"/>
    </w:p>
    <w:p>
      <w:pPr>
        <w:pStyle w:val="BookText"/>
      </w:pPr>
      <w:r>
        <w:rPr>
          <w:rFonts w:ascii="IRNazanin" w:hAnsi="IRNazanin" w:eastAsia="IRNazanin" w:cs="IRNazanin"/>
          <w:lang w:bidi="fa-IR"/>
          <w:color w:val="111111"/>
          <w:sz w:val="28"/>
          <w:szCs w:val="28"/>
          <w:rtl/>
        </w:rPr>
        <w:t xml:space="preserve">ثمّ أقول: يرد على ما ذكره - مضافاً إلى النقض المذكور وإلى النقض بإتیانالغير فإنّه يقول: إنّ مقتضى الأوامر وجوب المباشرة مع أنّ لازم ما ذكره كفاية فعل الغير أیضاً لإطلاق المادة، والهيئة غير صالحة للتقييد بعين ما ذكر؛ لأنّه لا يمكن تکلیف الشخص بإيجاد فعل الغير إلّا أن يرجع الأمر إلى تحصيل الفعل في الخارج فالأمر بأصل الفعل كالضّرب والغسل ونحوهما لا يمكن تعميمه إلى فعل الغير بل هو اختصاص قهري كما في قيد الاختياريّة - وجوه من الإيراد: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65" w:name="pg6784_51522"/>
    <w:bookmarkEnd w:id="265"/>
    <w:p>
      <w:pPr>
        <w:pStyle w:val="Heading6"/>
      </w:pPr>
      <w:bookmarkStart w:id="785" w:name="_Toc466"/>
      <w:r>
        <w:t>[الوجه الأوّل من الإیراد]</w:t>
      </w:r>
      <w:bookmarkEnd w:id="785"/>
    </w:p>
    <w:p>
      <w:pPr>
        <w:pStyle w:val="BookText"/>
      </w:pPr>
      <w:r>
        <w:rPr>
          <w:rFonts w:ascii="IRNazanin" w:hAnsi="IRNazanin" w:eastAsia="IRNazanin" w:cs="IRNazanin"/>
          <w:lang w:bidi="fa-IR"/>
          <w:color w:val="111111"/>
          <w:sz w:val="28"/>
          <w:szCs w:val="28"/>
          <w:rtl/>
        </w:rPr>
        <w:t xml:space="preserve">أحدها: أنّه لا معنى للتفكيك بين الوجوب والأمر فإنّ الوجوب الّذي هو عين الإيجاب ولا تغاير بينهما إلّا بالاعتبار لا يمكن أن ينفكّ في الأمر، غاية الأمر أنّه قد يكون واصلاً إلى المکلّف وقد لا يكون وإذا فرض أنّ الوجوب الواقعي يتعلّق بالفعل المغفول عنه فيكون مأموراً به بالأمر الواقعي وظاهر الخطابات ليس إلّا إثبات ذلك الوجوب، فقوله: «اضرب» إظهار لما هو موجود في الواقع في قلب المولى ولا يتفاوت الحال في المعنى المُنْشَأ</w:t>
      </w:r>
      <w:r>
        <w:rPr>
          <w:rStyle w:val="FootnoteReference"/>
        </w:rPr>
        <w:footnoteReference w:id="1865"/>
      </w:r>
      <w:r>
        <w:rPr>
          <w:rFonts w:ascii="IRNazanin" w:hAnsi="IRNazanin" w:eastAsia="IRNazanin" w:cs="IRNazanin"/>
          <w:lang w:bidi="fa-IR"/>
          <w:color w:val="111111"/>
          <w:sz w:val="28"/>
          <w:szCs w:val="28"/>
          <w:rtl/>
        </w:rPr>
        <w:t xml:space="preserve">به أن يصل إلى المکلّف أو</w:t>
      </w:r>
      <w:r>
        <w:rPr>
          <w:rStyle w:val="FootnoteReference"/>
        </w:rPr>
        <w:footnoteReference w:id="1866"/>
      </w:r>
      <w:r>
        <w:rPr>
          <w:rFonts w:ascii="IRNazanin" w:hAnsi="IRNazanin" w:eastAsia="IRNazanin" w:cs="IRNazanin"/>
          <w:lang w:bidi="fa-IR"/>
          <w:color w:val="111111"/>
          <w:sz w:val="28"/>
          <w:szCs w:val="28"/>
          <w:rtl/>
        </w:rPr>
        <w:t xml:space="preserve">لا.</w:t>
      </w:r>
    </w:p>
    <w:p>
      <w:pPr>
        <w:pStyle w:val="BookText"/>
      </w:pPr>
      <w:r>
        <w:rPr>
          <w:rFonts w:ascii="IRNazanin" w:hAnsi="IRNazanin" w:eastAsia="IRNazanin" w:cs="IRNazanin"/>
          <w:lang w:bidi="fa-IR"/>
          <w:color w:val="111111"/>
          <w:sz w:val="28"/>
          <w:szCs w:val="28"/>
          <w:rtl/>
        </w:rPr>
        <w:t xml:space="preserve">فكما يتعلّق الوجوب الواقعي بالفعل المفروض يتعلّق به الطّلب والأمر فيمكن التمسّك بإطلاق الأمر حینئذٍ ولا حاجة إلى دعوى إطلاق المادّة.</w:t>
      </w:r>
    </w:p>
    <w:p>
      <w:pPr>
        <w:pStyle w:val="BookText"/>
      </w:pPr>
      <w:r>
        <w:rPr>
          <w:rFonts w:ascii="IRNazanin" w:hAnsi="IRNazanin" w:eastAsia="IRNazanin" w:cs="IRNazanin"/>
          <w:lang w:bidi="fa-IR"/>
          <w:color w:val="111111"/>
          <w:sz w:val="28"/>
          <w:szCs w:val="28"/>
          <w:rtl/>
        </w:rPr>
        <w:t xml:space="preserve">نعم في الحقيقة التمسّك إنّما هو بإطلاق المادّة لكن بلحاظ تعلّق الأمر بها وإذا فرض عدم إمکان توجيه قوله: «اضرب» إلى الغافل بدعوى أنّ مفاد «اضرب» هو الطّلب الواصل إلى المکلّف فهو مع أنّه في غاية المنع يلزم عدم إمکان كونه مکلّفاً في الواقع أیضاً.</w:t>
      </w:r>
    </w:p>
    <w:p>
      <w:pPr>
        <w:pStyle w:val="BookText"/>
      </w:pPr>
      <w:r>
        <w:rPr>
          <w:rFonts w:ascii="IRNazanin" w:hAnsi="IRNazanin" w:eastAsia="IRNazanin" w:cs="IRNazanin"/>
          <w:lang w:bidi="fa-IR"/>
          <w:color w:val="111111"/>
          <w:sz w:val="28"/>
          <w:szCs w:val="28"/>
          <w:rtl/>
        </w:rPr>
        <w:t xml:space="preserve">إلّا إذا قلنا: إنّ المراد بالوجوب الواقعي هو الاشتمال على المصلحة ومجرّد المحبوبيّة الذاتيّة وليس من مقولة الطّلب والتکلیف وهو باطل بداهة أنّ الفعل الغير المقدور أصلاً أیضاً يمكن أن يكون مشتملاً على المصلحة ولا يقال: إنّه واجب واقعي.</w:t>
      </w:r>
    </w:p>
    <w:p>
      <w:pPr>
        <w:pStyle w:val="BookText"/>
      </w:pPr>
      <w:r>
        <w:rPr>
          <w:rFonts w:ascii="IRNazanin" w:hAnsi="IRNazanin" w:eastAsia="IRNazanin" w:cs="IRNazanin"/>
          <w:lang w:bidi="fa-IR"/>
          <w:color w:val="111111"/>
          <w:sz w:val="28"/>
          <w:szCs w:val="28"/>
          <w:rtl/>
        </w:rPr>
        <w:t xml:space="preserve">وبالجملة التکلیف والطلب ليس إلّا إنشاء إرادة الفعل والترك وهذا المعنى إنوصل إلى المکلّف بأيّ نحو كان من دلالة العقل أو اللّفظ بالجملة الخبريّة أو الإنشائيّة أو الإجماع أو بالكشف النفساني يقال له التکلیف الفعلي المنجّز ويكون في موافقته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ومخالفته الثواب والعقاب وإن لم يصل إلیه يقال له التکلیف الواقعي ولا يتفاوت حاله في الصورتين حتّى يصحّ على</w:t>
      </w:r>
      <w:r>
        <w:rPr>
          <w:rStyle w:val="FootnoteReference"/>
        </w:rPr>
        <w:footnoteReference w:id="1867"/>
      </w:r>
      <w:r>
        <w:rPr>
          <w:rFonts w:ascii="Amiri" w:hAnsi="Amiri" w:eastAsia="Amiri" w:cs="Amiri"/>
          <w:lang w:bidi="ar-SA"/>
          <w:color w:val="111111"/>
          <w:sz w:val="28"/>
          <w:szCs w:val="28"/>
          <w:rtl/>
        </w:rPr>
        <w:t xml:space="preserve">إحداهما تعلّقه بالفعل المغفول عنه ولا يصحّ على الأخرى.</w:t>
      </w:r>
    </w:p>
    <w:p>
      <w:pPr>
        <w:pStyle w:val="BookText"/>
      </w:pPr>
      <w:r>
        <w:rPr>
          <w:rFonts w:ascii="IRNazanin" w:hAnsi="IRNazanin" w:eastAsia="IRNazanin" w:cs="IRNazanin"/>
          <w:lang w:bidi="fa-IR"/>
          <w:color w:val="111111"/>
          <w:sz w:val="28"/>
          <w:szCs w:val="28"/>
          <w:rtl/>
        </w:rPr>
        <w:t xml:space="preserve">ومفاد الأوامر ليس إلّا هذا المعنى ولم يشترط في وضعها الوصول إلى المکلّف حتّى يكون إطلاق قوله «اضرب» لمن لا يسمع مجازاً.</w:t>
      </w:r>
    </w:p>
    <w:p>
      <w:pPr>
        <w:pStyle w:val="BookText"/>
      </w:pPr>
      <w:r>
        <w:rPr>
          <w:rFonts w:ascii="Amiri" w:hAnsi="Amiri" w:eastAsia="Amiri" w:cs="Amiri"/>
          <w:lang w:bidi="ar-SA"/>
          <w:color w:val="111111"/>
          <w:sz w:val="28"/>
          <w:szCs w:val="28"/>
          <w:rtl/>
        </w:rPr>
        <w:t xml:space="preserve">وأمّا ما ذكر من المثال للتفكيك بين الوجوب والأمر؛</w:t>
      </w:r>
    </w:p>
    <w:p>
      <w:pPr>
        <w:pStyle w:val="BookText"/>
      </w:pPr>
      <w:r>
        <w:rPr>
          <w:rFonts w:ascii="IRNazanin" w:hAnsi="IRNazanin" w:eastAsia="IRNazanin" w:cs="IRNazanin"/>
          <w:lang w:bidi="fa-IR"/>
          <w:color w:val="111111"/>
          <w:sz w:val="28"/>
          <w:szCs w:val="28"/>
          <w:rtl/>
        </w:rPr>
        <w:t xml:space="preserve">ففيه: أنّه كما لا أمر للمولى الغافل بالنّسبة إلیه فكذا لا وجوب عليه من قبله فليس وجوب إخراج الولد وجوباً مولوياً حتّى يكون من موارد التفكيك بل الوجوب فيه عقلي والأمر العقلي أیضاً موجود ويصحّ العقاب على مخالفته وإن لم يكن مولوياً، فلم يلزم التفكيك.</w:t>
      </w:r>
    </w:p>
    <w:p>
      <w:pPr>
        <w:pStyle w:val="BookText"/>
      </w:pPr>
      <w:r>
        <w:rPr>
          <w:rFonts w:ascii="IRNazanin" w:hAnsi="IRNazanin" w:eastAsia="IRNazanin" w:cs="IRNazanin"/>
          <w:lang w:bidi="fa-IR"/>
          <w:color w:val="111111"/>
          <w:sz w:val="28"/>
          <w:szCs w:val="28"/>
          <w:rtl/>
        </w:rPr>
        <w:t xml:space="preserve">ودعوى أنّ مقتضى الملازمة كونه مولوياً أیضاً؛</w:t>
      </w:r>
    </w:p>
    <w:p>
      <w:pPr>
        <w:pStyle w:val="BookText"/>
      </w:pPr>
      <w:r>
        <w:rPr>
          <w:rFonts w:ascii="IRNazanin" w:hAnsi="IRNazanin" w:eastAsia="IRNazanin" w:cs="IRNazanin"/>
          <w:lang w:bidi="fa-IR"/>
          <w:color w:val="111111"/>
          <w:sz w:val="28"/>
          <w:szCs w:val="28"/>
          <w:rtl/>
        </w:rPr>
        <w:t xml:space="preserve">مدفوعة بأنّ هذه القاعدة إنّما هي في الأحکام الشرعیّة لا في کلّي أحكام الموالي والعبيد وفي الأحکام الشرعیّة إذا فرض عدم الأمر الشرعي في مثل هذا المورد فبحكم العقل يكون مأموراً به كما أنّه يكون واجباً بحكمه.</w:t>
      </w:r>
    </w:p>
    <w:p>
      <w:pPr>
        <w:pStyle w:val="BookText"/>
      </w:pPr>
      <w:r>
        <w:rPr>
          <w:rFonts w:ascii="IRNazanin" w:hAnsi="IRNazanin" w:eastAsia="IRNazanin" w:cs="IRNazanin"/>
          <w:lang w:bidi="fa-IR"/>
          <w:color w:val="111111"/>
          <w:sz w:val="28"/>
          <w:szCs w:val="28"/>
          <w:rtl/>
        </w:rPr>
        <w:t xml:space="preserve">نعم لو جعل الوجوب عبارة عن مجرّد المحبّة التقديريّة والأمر التقديري الموجود في نفس المولى على فرض الالتفات إلى الولد والبئر والوقوع فيها صحّ أن يقال: إنّ الوجوب موجود، لكن مع ذلك نقول: الأمر أیضاً موجود؛ إذ العقل بعد كشفه عن هذا الوجوب يكون كاشفاً عن الأمر أو محقّقاً له كما في سائر</w:t>
      </w:r>
      <w:r>
        <w:rPr>
          <w:rStyle w:val="FootnoteReference"/>
        </w:rPr>
        <w:footnoteReference w:id="1868"/>
      </w:r>
      <w:r>
        <w:rPr>
          <w:rFonts w:ascii="Amiri" w:hAnsi="Amiri" w:eastAsia="Amiri" w:cs="Amiri"/>
          <w:lang w:bidi="ar-SA"/>
          <w:color w:val="111111"/>
          <w:sz w:val="28"/>
          <w:szCs w:val="28"/>
          <w:rtl/>
        </w:rPr>
        <w:t xml:space="preserve">المستقلّات العقليّة بعد قاعدة الملازمة.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66" w:name="pg6784_51526"/>
    <w:bookmarkEnd w:id="266"/>
    <w:p>
      <w:pPr>
        <w:pStyle w:val="Heading6"/>
      </w:pPr>
      <w:bookmarkStart w:id="786" w:name="_Toc467"/>
      <w:r>
        <w:t>[الوجه الثاني من الإیراد]</w:t>
      </w:r>
      <w:bookmarkEnd w:id="786"/>
    </w:p>
    <w:p>
      <w:pPr>
        <w:pStyle w:val="BookText"/>
      </w:pPr>
      <w:r>
        <w:rPr>
          <w:rFonts w:ascii="IRNazanin" w:hAnsi="IRNazanin" w:eastAsia="IRNazanin" w:cs="IRNazanin"/>
          <w:lang w:bidi="fa-IR"/>
          <w:color w:val="111111"/>
          <w:sz w:val="28"/>
          <w:szCs w:val="28"/>
          <w:rtl/>
        </w:rPr>
        <w:t xml:space="preserve">ثانيها: ما ذكرنا آنفاً من منع الإطلاق على فرض قصور الطّلب؛ إذ المادّةالمعروضة لهذه الهیئة لا إطلاق لها إلّا بمقدارها فهذه الهيئة نظير الصور اللاحقة للهيولى لا يمكن أن تكون مقيّدة مع كونها مطلقة.</w:t>
      </w:r>
    </w:p>
    <w:p>
      <w:pPr>
        <w:pStyle w:val="BookText"/>
      </w:pPr>
      <w:r>
        <w:rPr>
          <w:rFonts w:ascii="IRNazanin" w:hAnsi="IRNazanin" w:eastAsia="IRNazanin" w:cs="IRNazanin"/>
          <w:lang w:bidi="fa-IR"/>
          <w:color w:val="111111"/>
          <w:sz w:val="28"/>
          <w:szCs w:val="28"/>
          <w:rtl/>
        </w:rPr>
        <w:t xml:space="preserve">نعم المعروض</w:t>
      </w:r>
      <w:r>
        <w:rPr>
          <w:rStyle w:val="FootnoteReference"/>
        </w:rPr>
        <w:footnoteReference w:id="1869"/>
      </w:r>
      <w:r>
        <w:rPr>
          <w:rFonts w:ascii="IRNazanin" w:hAnsi="IRNazanin" w:eastAsia="IRNazanin" w:cs="IRNazanin"/>
          <w:lang w:bidi="fa-IR"/>
          <w:color w:val="111111"/>
          <w:sz w:val="28"/>
          <w:szCs w:val="28"/>
          <w:rtl/>
        </w:rPr>
        <w:t xml:space="preserve">مع قطع النظر عن العروض مطلق یعني أنّ الطلب ورد على مطلق الضرب لكنّ الکلام في مقدار ما صار مذكوراً في الکلام وهو ليس إلّا ما يكون مشمولاً لهذه الهيئة بمقتضى مفادها.</w:t>
      </w:r>
    </w:p>
    <w:p>
      <w:pPr>
        <w:pStyle w:val="Heading6"/>
      </w:pPr>
      <w:bookmarkStart w:id="787" w:name="_Toc468"/>
      <w:r>
        <w:t>[الوجه الثالث من الإیراد]</w:t>
      </w:r>
      <w:bookmarkEnd w:id="787"/>
    </w:p>
    <w:p>
      <w:pPr>
        <w:pStyle w:val="BookText"/>
      </w:pPr>
      <w:r>
        <w:rPr>
          <w:rFonts w:ascii="IRNazanin" w:hAnsi="IRNazanin" w:eastAsia="IRNazanin" w:cs="IRNazanin"/>
          <w:lang w:bidi="fa-IR"/>
          <w:color w:val="111111"/>
          <w:sz w:val="28"/>
          <w:szCs w:val="28"/>
          <w:rtl/>
        </w:rPr>
        <w:t xml:space="preserve">ثالثها: ما ذكرنا أیضاً من أنّه على فرض الإطلاق لا</w:t>
      </w:r>
      <w:r>
        <w:rPr>
          <w:rStyle w:val="FootnoteReference"/>
        </w:rPr>
        <w:footnoteReference w:id="1870"/>
      </w:r>
      <w:r>
        <w:rPr>
          <w:rFonts w:ascii="IRNazanin" w:hAnsi="IRNazanin" w:eastAsia="IRNazanin" w:cs="IRNazanin"/>
          <w:lang w:bidi="fa-IR"/>
          <w:color w:val="111111"/>
          <w:sz w:val="28"/>
          <w:szCs w:val="28"/>
          <w:rtl/>
        </w:rPr>
        <w:t xml:space="preserve">مانع من كون تقيید الهيئة تقييداً قهرياً له بل اختيارياً أیضاً حيث إنّه لا يشترط فيه الشرط المذكور.</w:t>
      </w:r>
    </w:p>
    <w:p>
      <w:pPr>
        <w:pStyle w:val="BookText"/>
      </w:pPr>
      <w:r>
        <w:rPr>
          <w:rFonts w:ascii="IRNazanin" w:hAnsi="IRNazanin" w:eastAsia="IRNazanin" w:cs="IRNazanin"/>
          <w:lang w:bidi="fa-IR"/>
          <w:color w:val="111111"/>
          <w:sz w:val="28"/>
          <w:szCs w:val="28"/>
          <w:rtl/>
        </w:rPr>
        <w:t xml:space="preserve">مع أنّ الکلام في التقييد الوضعي من جهة احتمال كون المصلحة خاصّة بالفعل الاختياري وعدم اختصاصها به، ويمكن إطلاق المادّة وتقييدها من هذه الحيثيّة والقيد قابل لکلا الأمرين وإن لم يكونا قابلين للتقييد والإطلاق من حيث التکلیف، فيجوز أن يكون المطلوب الفعل الأعمّ من الاختياري والاضطراري أو خصوص الاختياري لا بأن يعرض الوجوب لهذا المطلق بما هو مطلق أو للمقيّد بما هو مقيّد، بل بأن يكون نظيرعروض الوجوب للصّلاة</w:t>
      </w:r>
      <w:r>
        <w:rPr>
          <w:rStyle w:val="FootnoteReference"/>
        </w:rPr>
        <w:footnoteReference w:id="1871"/>
      </w:r>
      <w:r>
        <w:rPr>
          <w:rFonts w:ascii="IRNazanin" w:hAnsi="IRNazanin" w:eastAsia="IRNazanin" w:cs="IRNazanin"/>
          <w:lang w:bidi="fa-IR"/>
          <w:color w:val="111111"/>
          <w:sz w:val="28"/>
          <w:szCs w:val="28"/>
          <w:rtl/>
        </w:rPr>
        <w:t xml:space="preserve">المقيّدة بعدم الحدث ولو كان قهرياً أو للمطلق أعمّ من المقرون بالحدث القهري وعدمه فإنّ التقييد بعدم الحدث القهري لا يكون من التقييد التکلیفي؛ إذ لا يمكن النهي عن الحدث القهري.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67" w:name="pg6784_51528"/>
    <w:bookmarkEnd w:id="267"/>
    <w:p>
      <w:pPr>
        <w:pStyle w:val="Heading6"/>
      </w:pPr>
      <w:bookmarkStart w:id="788" w:name="_Toc469"/>
      <w:r>
        <w:t>[الوجه الرابع من الإیراد]</w:t>
      </w:r>
      <w:bookmarkEnd w:id="788"/>
    </w:p>
    <w:p>
      <w:pPr>
        <w:pStyle w:val="BookText"/>
      </w:pPr>
      <w:r>
        <w:rPr>
          <w:rFonts w:ascii="Amiri" w:hAnsi="Amiri" w:eastAsia="Amiri" w:cs="Amiri"/>
          <w:lang w:bidi="ar-SA"/>
          <w:color w:val="111111"/>
          <w:sz w:val="28"/>
          <w:szCs w:val="28"/>
          <w:rtl/>
        </w:rPr>
        <w:t xml:space="preserve">رابعها: أنّ من شرط التمسّك بالإطلاق كونه بحيث لو أريد المقيّد ولم يبيّن لزم الإغراء بالجهل ومع ضيق دائرة الطّلب لا يكون كذلك فلا يلزم من عدم ذكر القيد على فرض إرادته إغراء بالجهل فلا يجوز التمسّك بهذا الإطلاق.</w:t>
      </w:r>
    </w:p>
    <w:p>
      <w:pPr>
        <w:pStyle w:val="Heading6"/>
      </w:pPr>
      <w:bookmarkStart w:id="789" w:name="_Toc470"/>
      <w:r>
        <w:t>[الوجه الخامس من الإیراد]</w:t>
      </w:r>
      <w:bookmarkEnd w:id="789"/>
    </w:p>
    <w:p>
      <w:pPr>
        <w:pStyle w:val="BookText"/>
      </w:pPr>
      <w:r>
        <w:rPr>
          <w:rFonts w:ascii="IRNazanin" w:hAnsi="IRNazanin" w:eastAsia="IRNazanin" w:cs="IRNazanin"/>
          <w:lang w:bidi="fa-IR"/>
          <w:color w:val="111111"/>
          <w:sz w:val="28"/>
          <w:szCs w:val="28"/>
          <w:rtl/>
        </w:rPr>
        <w:t xml:space="preserve">خامسها: ما قد يقال من منع كون الفعل الاضطراري واجباً واقعياً؛ لأنّ الأحکام تابعة للحسن والقبح والمتّصف بهما الأفعال الاختيارية فإرادة المطلق من حيث الواقع معلوم العدم.</w:t>
      </w:r>
    </w:p>
    <w:p>
      <w:pPr>
        <w:pStyle w:val="BookText"/>
      </w:pPr>
      <w:r>
        <w:rPr>
          <w:rFonts w:ascii="IRNazanin" w:hAnsi="IRNazanin" w:eastAsia="IRNazanin" w:cs="IRNazanin"/>
          <w:lang w:bidi="fa-IR"/>
          <w:color w:val="111111"/>
          <w:sz w:val="28"/>
          <w:szCs w:val="28"/>
          <w:rtl/>
        </w:rPr>
        <w:t xml:space="preserve">ويمكن أن يجاب عن هذا بأنّ الحسن والقبح الفاعليّين وإن اختصّا بالأفعال الاختياريّة إلّا أنّ الأحکام ليست تابعة لهما بل للحسن والقبح الموجودين في الفعل في حدّ نفسه ولا علم بانتفائهما في الفعل المغفول عنه فيجوز التمسّك بالإطلاق على فرض صحّته من غير هذا الوجه.</w:t>
      </w:r>
    </w:p>
    <w:p>
      <w:pPr>
        <w:pStyle w:val="Heading6"/>
      </w:pPr>
      <w:bookmarkStart w:id="790" w:name="_Toc471"/>
      <w:r>
        <w:t>[الوجه السادس من الإیراد]</w:t>
      </w:r>
      <w:bookmarkEnd w:id="790"/>
    </w:p>
    <w:p>
      <w:pPr>
        <w:pStyle w:val="BookText"/>
      </w:pPr>
      <w:r>
        <w:rPr>
          <w:rFonts w:ascii="IRNazanin" w:hAnsi="IRNazanin" w:eastAsia="IRNazanin" w:cs="IRNazanin"/>
          <w:lang w:bidi="fa-IR"/>
          <w:color w:val="111111"/>
          <w:sz w:val="28"/>
          <w:szCs w:val="28"/>
          <w:rtl/>
        </w:rPr>
        <w:t xml:space="preserve">سادسها: لا اختصاص لما ذكره بالتوصّليّات بل يجرى في التعبّديّات أیضاً؛ إذ يمكن قصد القربة والامتثال مع الغفلة عن عنوان المأمور به حسبما أشرنا إلیه</w:t>
      </w:r>
      <w:r>
        <w:rPr>
          <w:rStyle w:val="FootnoteReference"/>
        </w:rPr>
        <w:footnoteReference w:id="1872"/>
      </w:r>
      <w:r>
        <w:rPr>
          <w:rFonts w:ascii="Amiri" w:hAnsi="Amiri" w:eastAsia="Amiri" w:cs="Amiri"/>
          <w:lang w:bidi="ar-SA"/>
          <w:color w:val="111111"/>
          <w:sz w:val="28"/>
          <w:szCs w:val="28"/>
          <w:rtl/>
        </w:rPr>
        <w:t xml:space="preserve">سابقاً.</w:t>
      </w:r>
    </w:p>
    <w:p>
      <w:pPr>
        <w:pStyle w:val="Heading6"/>
      </w:pPr>
      <w:bookmarkStart w:id="791" w:name="_Toc472"/>
      <w:r>
        <w:t>[الوجه السابع من الإیراد]</w:t>
      </w:r>
      <w:bookmarkEnd w:id="791"/>
    </w:p>
    <w:p>
      <w:pPr>
        <w:pStyle w:val="BookText"/>
      </w:pPr>
      <w:r>
        <w:rPr>
          <w:rFonts w:ascii="Amiri" w:hAnsi="Amiri" w:eastAsia="Amiri" w:cs="Amiri"/>
          <w:lang w:bidi="ar-SA"/>
          <w:color w:val="111111"/>
          <w:sz w:val="28"/>
          <w:szCs w:val="28"/>
          <w:rtl/>
        </w:rPr>
        <w:t xml:space="preserve">سابعها: إذا تمّ ما ذكره فلا اختصاص له بما إذا كان الفعل اختياريّاً بعنوانه الأوّلى بل يجري في المغفول عنه بجميع</w:t>
      </w:r>
      <w:r>
        <w:rPr>
          <w:rStyle w:val="FootnoteReference"/>
        </w:rPr>
        <w:footnoteReference w:id="1873"/>
      </w:r>
      <w:r>
        <w:rPr>
          <w:rFonts w:ascii="IRNazanin" w:hAnsi="IRNazanin" w:eastAsia="IRNazanin" w:cs="IRNazanin"/>
          <w:lang w:bidi="fa-IR"/>
          <w:color w:val="111111"/>
          <w:sz w:val="28"/>
          <w:szCs w:val="28"/>
          <w:rtl/>
        </w:rPr>
        <w:t xml:space="preserve">عناوينه كفعل الغافل المحض والنائم بعد فرض استناده إلى المکلّف كما هو كذلك؛ إذ من المعلوم أنّه يقال للنائم: إنّه ضرب أو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68" w:name="pg6784_51530"/>
    <w:bookmarkEnd w:id="268"/>
    <w:p>
      <w:pPr>
        <w:pStyle w:val="BookText"/>
      </w:pPr>
      <w:r>
        <w:rPr>
          <w:rFonts w:ascii="Amiri" w:hAnsi="Amiri" w:eastAsia="Amiri" w:cs="Amiri"/>
          <w:lang w:bidi="ar-SA"/>
          <w:color w:val="111111"/>
          <w:sz w:val="28"/>
          <w:szCs w:val="28"/>
          <w:rtl/>
        </w:rPr>
        <w:t xml:space="preserve">شرب الماء، وكذا في الغافل.</w:t>
      </w:r>
    </w:p>
    <w:p>
      <w:pPr>
        <w:pStyle w:val="BookText"/>
      </w:pPr>
      <w:r>
        <w:rPr>
          <w:rFonts w:ascii="Amiri" w:hAnsi="Amiri" w:eastAsia="Amiri" w:cs="Amiri"/>
          <w:lang w:bidi="ar-SA"/>
          <w:color w:val="111111"/>
          <w:sz w:val="28"/>
          <w:szCs w:val="28"/>
          <w:rtl/>
        </w:rPr>
        <w:t xml:space="preserve">نعم لو أخذ يده غيره وضرب على شي‌ء لا يقال: إنّه ضرب، وهو خارج عمّا نحن فيه.</w:t>
      </w:r>
    </w:p>
    <w:p>
      <w:pPr>
        <w:pStyle w:val="BookText"/>
      </w:pPr>
      <w:r>
        <w:rPr>
          <w:rFonts w:ascii="Amiri" w:hAnsi="Amiri" w:eastAsia="Amiri" w:cs="Amiri"/>
          <w:lang w:bidi="ar-SA"/>
          <w:color w:val="111111"/>
          <w:sz w:val="28"/>
          <w:szCs w:val="28"/>
          <w:rtl/>
        </w:rPr>
        <w:t xml:space="preserve">وبالجملة بعد فرض إسناد</w:t>
      </w:r>
      <w:r>
        <w:rPr>
          <w:rStyle w:val="FootnoteReference"/>
        </w:rPr>
        <w:footnoteReference w:id="1874"/>
      </w:r>
      <w:r>
        <w:rPr>
          <w:rFonts w:ascii="IRNazanin" w:hAnsi="IRNazanin" w:eastAsia="IRNazanin" w:cs="IRNazanin"/>
          <w:lang w:bidi="fa-IR"/>
          <w:color w:val="111111"/>
          <w:sz w:val="28"/>
          <w:szCs w:val="28"/>
          <w:rtl/>
        </w:rPr>
        <w:t xml:space="preserve">الفعل إلیه لا فرق بين القسمين؛ إذ عدم القدرة من حيث الغفلة وعدم كونه اختياريّاً مشترك الورود، ومجرّد كونه اختياريّاً بعنوان أنّه حركة أو سكون لا يجدي بعد كون المأمور به العنوان الخاصّ المغفول عنه.</w:t>
      </w:r>
    </w:p>
    <w:p>
      <w:pPr>
        <w:pStyle w:val="BookText"/>
      </w:pPr>
      <w:r>
        <w:rPr>
          <w:rFonts w:ascii="Amiri" w:hAnsi="Amiri" w:eastAsia="Amiri" w:cs="Amiri"/>
          <w:lang w:bidi="ar-SA"/>
          <w:color w:val="111111"/>
          <w:sz w:val="28"/>
          <w:szCs w:val="28"/>
          <w:rtl/>
        </w:rPr>
        <w:t xml:space="preserve">فإن قلت: المتبادر من الأوامر الأفعال المقصودة.قلت: هو ممنوع</w:t>
      </w:r>
      <w:r>
        <w:rPr>
          <w:rStyle w:val="FootnoteReference"/>
        </w:rPr>
        <w:footnoteReference w:id="1875"/>
      </w:r>
      <w:r>
        <w:rPr>
          <w:rFonts w:ascii="Amiri" w:hAnsi="Amiri" w:eastAsia="Amiri" w:cs="Amiri"/>
          <w:lang w:bidi="ar-SA"/>
          <w:color w:val="111111"/>
          <w:sz w:val="28"/>
          <w:szCs w:val="28"/>
          <w:rtl/>
        </w:rPr>
        <w:t xml:space="preserve">وعلى فرضه فلا بدّ أن يكون المقصود عنوان المأمور به لا الحركة والسّكون.</w:t>
      </w:r>
    </w:p>
    <w:p>
      <w:pPr>
        <w:pStyle w:val="BookText"/>
      </w:pPr>
      <w:r>
        <w:rPr>
          <w:rFonts w:ascii="Amiri" w:hAnsi="Amiri" w:eastAsia="Amiri" w:cs="Amiri"/>
          <w:lang w:bidi="ar-SA"/>
          <w:color w:val="111111"/>
          <w:sz w:val="28"/>
          <w:szCs w:val="28"/>
          <w:rtl/>
        </w:rPr>
        <w:t xml:space="preserve">فلو قال: «اضرب»، يجب أن يكون المقصود هو</w:t>
      </w:r>
      <w:r>
        <w:rPr>
          <w:rStyle w:val="FootnoteReference"/>
        </w:rPr>
        <w:footnoteReference w:id="1876"/>
      </w:r>
      <w:r>
        <w:rPr>
          <w:rFonts w:ascii="Amiri" w:hAnsi="Amiri" w:eastAsia="Amiri" w:cs="Amiri"/>
          <w:lang w:bidi="ar-SA"/>
          <w:color w:val="111111"/>
          <w:sz w:val="28"/>
          <w:szCs w:val="28"/>
          <w:rtl/>
        </w:rPr>
        <w:t xml:space="preserve">الضّرب بناء على التبادر المذكور فلا يشمل ما إذا حرّك يده اختياراً لا بقصد الضرب فاتّفق أنّه كان في مقابلها شخص وقعت عليه وصار ضرباً. وهذا واضح.</w:t>
      </w:r>
    </w:p>
    <w:p>
      <w:pPr>
        <w:pStyle w:val="Heading6"/>
      </w:pPr>
      <w:bookmarkStart w:id="792" w:name="_Toc473"/>
      <w:r>
        <w:t>[حاصل الکلام: لا فرق على الامتناع بین التعبدیات والتوصلیات]</w:t>
      </w:r>
      <w:bookmarkEnd w:id="792"/>
    </w:p>
    <w:p>
      <w:pPr>
        <w:pStyle w:val="BookText"/>
      </w:pPr>
      <w:r>
        <w:rPr>
          <w:rFonts w:ascii="Amiri" w:hAnsi="Amiri" w:eastAsia="Amiri" w:cs="Amiri"/>
          <w:lang w:bidi="ar-SA"/>
          <w:color w:val="111111"/>
          <w:sz w:val="28"/>
          <w:szCs w:val="28"/>
          <w:rtl/>
        </w:rPr>
        <w:t xml:space="preserve">فتحصّل أنّه لا فرق في عدم جواز الاجتماع بناء على القول به بين التعبّديّات والتوصّليّات وإنّ</w:t>
      </w:r>
      <w:r>
        <w:rPr>
          <w:rStyle w:val="FootnoteReference"/>
        </w:rPr>
        <w:footnoteReference w:id="1877"/>
      </w:r>
      <w:r>
        <w:rPr>
          <w:rFonts w:ascii="IRNazanin" w:hAnsi="IRNazanin" w:eastAsia="IRNazanin" w:cs="IRNazanin"/>
          <w:lang w:bidi="fa-IR"/>
          <w:color w:val="111111"/>
          <w:sz w:val="28"/>
          <w:szCs w:val="28"/>
          <w:rtl/>
        </w:rPr>
        <w:t xml:space="preserve">کلّاً منهما قابل للإسقاط دون الأداء ولا دلالة في الأوامر على الإسقاط في شي‌ء منهما.</w:t>
      </w:r>
    </w:p>
    <w:p>
      <w:pPr>
        <w:pStyle w:val="BookText"/>
      </w:pPr>
      <w:r>
        <w:rPr>
          <w:rFonts w:ascii="IRNazanin" w:hAnsi="IRNazanin" w:eastAsia="IRNazanin" w:cs="IRNazanin"/>
          <w:lang w:bidi="fa-IR"/>
          <w:color w:val="111111"/>
          <w:sz w:val="28"/>
          <w:szCs w:val="28"/>
          <w:rtl/>
        </w:rPr>
        <w:t xml:space="preserve">نعم قد يدّعى الإجماع على أنّ کلّ ما ثبت</w:t>
      </w:r>
      <w:r>
        <w:rPr>
          <w:rStyle w:val="FootnoteReference"/>
        </w:rPr>
        <w:footnoteReference w:id="1878"/>
      </w:r>
      <w:r>
        <w:rPr>
          <w:rFonts w:ascii="Amiri" w:hAnsi="Amiri" w:eastAsia="Amiri" w:cs="Amiri"/>
          <w:lang w:bidi="ar-SA"/>
          <w:color w:val="111111"/>
          <w:sz w:val="28"/>
          <w:szCs w:val="28"/>
          <w:rtl/>
        </w:rPr>
        <w:t xml:space="preserve">كونه توصّليّاً فالمقصود منه مجرّد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69" w:name="pg6784_51532"/>
    <w:bookmarkEnd w:id="269"/>
    <w:p>
      <w:pPr>
        <w:pStyle w:val="BookText"/>
      </w:pPr>
      <w:r>
        <w:rPr>
          <w:rFonts w:ascii="Amiri" w:hAnsi="Amiri" w:eastAsia="Amiri" w:cs="Amiri"/>
          <w:lang w:bidi="ar-SA"/>
          <w:color w:val="111111"/>
          <w:sz w:val="28"/>
          <w:szCs w:val="28"/>
          <w:rtl/>
        </w:rPr>
        <w:t xml:space="preserve">الوجود في الخارج فيسقط بالفرد المحرّم.</w:t>
      </w:r>
    </w:p>
    <w:p>
      <w:pPr>
        <w:pStyle w:val="BookText"/>
      </w:pPr>
      <w:r>
        <w:rPr>
          <w:rFonts w:ascii="IRNazanin" w:hAnsi="IRNazanin" w:eastAsia="IRNazanin" w:cs="IRNazanin"/>
          <w:lang w:bidi="fa-IR"/>
          <w:color w:val="111111"/>
          <w:sz w:val="28"/>
          <w:szCs w:val="28"/>
          <w:rtl/>
        </w:rPr>
        <w:t xml:space="preserve">هذا في مطلق التوصّلي وأمّا خصوص الغيري منه فيمكن دعوى العلم بالإسقاط من غير الإجماع أیضاً؛ لأنّه إذا كان الغرض منه الوصول إلى الغير فمعلوم حصوله بالحرام أیضاً.</w:t>
      </w:r>
    </w:p>
    <w:p>
      <w:pPr>
        <w:pStyle w:val="BookText"/>
      </w:pPr>
      <w:r>
        <w:rPr>
          <w:rFonts w:ascii="IRNazanin" w:hAnsi="IRNazanin" w:eastAsia="IRNazanin" w:cs="IRNazanin"/>
          <w:lang w:bidi="fa-IR"/>
          <w:color w:val="111111"/>
          <w:sz w:val="28"/>
          <w:szCs w:val="28"/>
          <w:rtl/>
        </w:rPr>
        <w:t xml:space="preserve">ولعلّه لذا خصّ صاحب المعالم</w:t>
      </w:r>
      <w:r>
        <w:rPr>
          <w:rStyle w:val="FootnoteReference"/>
        </w:rPr>
        <w:footnoteReference w:id="1879"/>
      </w:r>
      <w:r>
        <w:rPr>
          <w:rFonts w:ascii="Amiri" w:hAnsi="Amiri" w:eastAsia="Amiri" w:cs="Amiri"/>
          <w:lang w:bidi="ar-SA"/>
          <w:color w:val="111111"/>
          <w:sz w:val="28"/>
          <w:szCs w:val="28"/>
          <w:rtl/>
        </w:rPr>
        <w:t xml:space="preserve">القول بالاجتماع به حسبما ذكرنا فيكون مراده من الاجتماع كون المحرّم كافياً ومسقطاً في هذا القسم من التوصّل</w:t>
      </w:r>
      <w:r>
        <w:rPr>
          <w:rStyle w:val="FootnoteReference"/>
        </w:rPr>
        <w:footnoteReference w:id="1880"/>
      </w:r>
      <w:r>
        <w:rPr>
          <w:rFonts w:ascii="Amiri" w:hAnsi="Amiri" w:eastAsia="Amiri" w:cs="Amiri"/>
          <w:lang w:bidi="ar-SA"/>
          <w:color w:val="111111"/>
          <w:sz w:val="28"/>
          <w:szCs w:val="28"/>
          <w:rtl/>
        </w:rPr>
        <w:t xml:space="preserve">بحسب القاعدة دون التعبّدي وسائر التوصّليات النفسيّة فإنّ الإسقاط فيها يحتاج إلى دليل من خارج.</w:t>
      </w:r>
    </w:p>
    <w:p>
      <w:pPr>
        <w:pStyle w:val="Heading5"/>
      </w:pPr>
      <w:bookmarkStart w:id="793" w:name="_Toc474"/>
      <w:r>
        <w:t>[التنبیه الخامس: في عدم الفرق بين النفسيّين والغيريّين والمختلفين]</w:t>
      </w:r>
      <w:bookmarkEnd w:id="793"/>
    </w:p>
    <w:p>
      <w:pPr>
        <w:pStyle w:val="Heading6"/>
      </w:pPr>
      <w:bookmarkStart w:id="794" w:name="_Toc475"/>
      <w:r>
        <w:t>اشارة</w:t>
      </w:r>
      <w:bookmarkEnd w:id="794"/>
    </w:p>
    <w:p>
      <w:pPr>
        <w:pStyle w:val="BookText"/>
      </w:pPr>
      <w:r>
        <w:rPr>
          <w:rFonts w:ascii="Amiri" w:hAnsi="Amiri" w:eastAsia="Amiri" w:cs="Amiri"/>
          <w:lang w:bidi="ar-SA"/>
          <w:color w:val="111111"/>
          <w:sz w:val="28"/>
          <w:szCs w:val="28"/>
          <w:rtl/>
        </w:rPr>
        <w:t xml:space="preserve">الخامس: لا فرق في الجواز وعدمه بين النفسيّين والغيريّين والمختلفين لاتّحاد المناط على القولين.</w:t>
      </w:r>
    </w:p>
    <w:p>
      <w:pPr>
        <w:pStyle w:val="BookText"/>
      </w:pPr>
      <w:r>
        <w:rPr>
          <w:rFonts w:ascii="Amiri" w:hAnsi="Amiri" w:eastAsia="Amiri" w:cs="Amiri"/>
          <w:lang w:bidi="ar-SA"/>
          <w:color w:val="111111"/>
          <w:sz w:val="28"/>
          <w:szCs w:val="28"/>
          <w:rtl/>
        </w:rPr>
        <w:t xml:space="preserve">وخالف في ذلك الشيخ المحقّق في هدايته</w:t>
      </w:r>
      <w:r>
        <w:rPr>
          <w:rStyle w:val="FootnoteReference"/>
        </w:rPr>
        <w:footnoteReference w:id="1881"/>
      </w:r>
      <w:r>
        <w:rPr>
          <w:rFonts w:ascii="Amiri" w:hAnsi="Amiri" w:eastAsia="Amiri" w:cs="Amiri"/>
          <w:lang w:bidi="ar-SA"/>
          <w:color w:val="111111"/>
          <w:sz w:val="28"/>
          <w:szCs w:val="28"/>
          <w:rtl/>
        </w:rPr>
        <w:t xml:space="preserve">وأخوه المدقّق في فصوله</w:t>
      </w:r>
      <w:r>
        <w:rPr>
          <w:rStyle w:val="FootnoteReference"/>
        </w:rPr>
        <w:footnoteReference w:id="1882"/>
      </w:r>
      <w:r>
        <w:rPr>
          <w:rFonts w:ascii="Amiri" w:hAnsi="Amiri" w:eastAsia="Amiri" w:cs="Amiri"/>
          <w:lang w:bidi="ar-SA"/>
          <w:color w:val="111111"/>
          <w:sz w:val="28"/>
          <w:szCs w:val="28"/>
          <w:rtl/>
        </w:rPr>
        <w:t xml:space="preserve">فجوّزا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70" w:name="pg6784_51534"/>
    <w:bookmarkEnd w:id="270"/>
    <w:p>
      <w:pPr>
        <w:pStyle w:val="BookText"/>
      </w:pPr>
      <w:r>
        <w:rPr>
          <w:rFonts w:ascii="Amiri" w:hAnsi="Amiri" w:eastAsia="Amiri" w:cs="Amiri"/>
          <w:lang w:bidi="ar-SA"/>
          <w:color w:val="111111"/>
          <w:sz w:val="28"/>
          <w:szCs w:val="28"/>
          <w:rtl/>
        </w:rPr>
        <w:t xml:space="preserve">اجتماع الأمر النفسي مع النهي الغيري مع أنّهما من المانعين، لكنّ الأوّل بنى ذلك على مسألة الترتّب والثاني على المقدّمة المُوصلة.</w:t>
      </w:r>
    </w:p>
    <w:p>
      <w:pPr>
        <w:pStyle w:val="Heading6"/>
      </w:pPr>
      <w:bookmarkStart w:id="795" w:name="_Toc476"/>
      <w:r>
        <w:t>[في بیان تصحيح صاحب هداية المسترشدين (رحمة الله‌علیه) جواز الاجتماع بالترتّب]</w:t>
      </w:r>
      <w:bookmarkEnd w:id="795"/>
    </w:p>
    <w:p>
      <w:pPr>
        <w:pStyle w:val="BookText"/>
      </w:pPr>
      <w:r>
        <w:rPr>
          <w:rFonts w:ascii="Amiri" w:hAnsi="Amiri" w:eastAsia="Amiri" w:cs="Amiri"/>
          <w:lang w:bidi="ar-SA"/>
          <w:color w:val="111111"/>
          <w:sz w:val="28"/>
          <w:szCs w:val="28"/>
          <w:rtl/>
        </w:rPr>
        <w:t xml:space="preserve">وحاصل ما ذكره الأوّل في بيان مرامه</w:t>
      </w:r>
      <w:r>
        <w:rPr>
          <w:rStyle w:val="FootnoteReference"/>
        </w:rPr>
        <w:footnoteReference w:id="1883"/>
      </w:r>
      <w:r>
        <w:rPr>
          <w:rFonts w:ascii="Amiri" w:hAnsi="Amiri" w:eastAsia="Amiri" w:cs="Amiri"/>
          <w:lang w:bidi="ar-SA"/>
          <w:color w:val="111111"/>
          <w:sz w:val="28"/>
          <w:szCs w:val="28"/>
          <w:rtl/>
        </w:rPr>
        <w:t xml:space="preserve">: أنّه إذا كان هناك</w:t>
      </w:r>
      <w:r>
        <w:rPr>
          <w:rStyle w:val="FootnoteReference"/>
        </w:rPr>
        <w:footnoteReference w:id="1884"/>
      </w:r>
      <w:r>
        <w:rPr>
          <w:rFonts w:ascii="IRNazanin" w:hAnsi="IRNazanin" w:eastAsia="IRNazanin" w:cs="IRNazanin"/>
          <w:lang w:bidi="fa-IR"/>
          <w:color w:val="111111"/>
          <w:sz w:val="28"/>
          <w:szCs w:val="28"/>
          <w:rtl/>
        </w:rPr>
        <w:t xml:space="preserve">واجبان متزاحمان أو مندوبان أو واجب ومندوب كذلك وكان أحد الواجبين أو المندوبين أهمّ من الآخر سواء كان ذلك من جهة ضيقه وسعة الآخر أو من غير هذه الجهة فلا إشکال في أنّه يجب على المکلّف في الرتبة الأولى الإتیان بالأهمّ في المثالين الأوّلين وبالواجب في الثالث؛ لأنّه أهمّ من المندوب، لكن لو عصى وأتى بغير الأهمّ يصحّ عمله ويكون مأموراً به؛ إذ يجوز الأمر به على فرض عصيان أمر الأهمّ؛</w:t>
      </w:r>
    </w:p>
    <w:p>
      <w:pPr>
        <w:pStyle w:val="BookText"/>
      </w:pPr>
      <w:r>
        <w:rPr>
          <w:rFonts w:ascii="IRNazanin" w:hAnsi="IRNazanin" w:eastAsia="IRNazanin" w:cs="IRNazanin"/>
          <w:lang w:bidi="fa-IR"/>
          <w:color w:val="111111"/>
          <w:sz w:val="28"/>
          <w:szCs w:val="28"/>
          <w:rtl/>
        </w:rPr>
        <w:t xml:space="preserve">إذ المانع المتصوّر أحد أمور:</w:t>
      </w:r>
    </w:p>
    <w:p>
      <w:pPr>
        <w:pStyle w:val="BookText"/>
      </w:pPr>
      <w:r>
        <w:rPr>
          <w:rFonts w:ascii="Amiri" w:hAnsi="Amiri" w:eastAsia="Amiri" w:cs="Amiri"/>
          <w:lang w:bidi="ar-SA"/>
          <w:color w:val="111111"/>
          <w:sz w:val="28"/>
          <w:szCs w:val="28"/>
          <w:rtl/>
        </w:rPr>
        <w:t xml:space="preserve">الأوّل</w:t>
      </w:r>
      <w:r>
        <w:rPr>
          <w:rStyle w:val="FootnoteReference"/>
        </w:rPr>
        <w:footnoteReference w:id="1885"/>
      </w:r>
      <w:r>
        <w:rPr>
          <w:rFonts w:ascii="IRNazanin" w:hAnsi="IRNazanin" w:eastAsia="IRNazanin" w:cs="IRNazanin"/>
          <w:lang w:bidi="fa-IR"/>
          <w:color w:val="111111"/>
          <w:sz w:val="28"/>
          <w:szCs w:val="28"/>
          <w:rtl/>
        </w:rPr>
        <w:t xml:space="preserve">: لزوم التکلیف بما لا يطاق والأمر بالضدّين في زمان واحد؛ إذ المفروض أنّه لا يسقط الأمر عن الأهمّ بالبناء على العصيان.</w:t>
      </w:r>
    </w:p>
    <w:p>
      <w:pPr>
        <w:pStyle w:val="BookText"/>
      </w:pPr>
      <w:r>
        <w:rPr>
          <w:rFonts w:ascii="Amiri" w:hAnsi="Amiri" w:eastAsia="Amiri" w:cs="Amiri"/>
          <w:lang w:bidi="ar-SA"/>
          <w:color w:val="111111"/>
          <w:sz w:val="28"/>
          <w:szCs w:val="28"/>
          <w:rtl/>
        </w:rPr>
        <w:t xml:space="preserve">الثّاني: لزوم الأمر بفعل الأهّم والأمر بتركه في زمان واحد.</w:t>
      </w:r>
    </w:p>
    <w:p>
      <w:pPr>
        <w:pStyle w:val="BookText"/>
      </w:pPr>
      <w:r>
        <w:rPr>
          <w:rFonts w:ascii="IRNazanin" w:hAnsi="IRNazanin" w:eastAsia="IRNazanin" w:cs="IRNazanin"/>
          <w:lang w:bidi="fa-IR"/>
          <w:color w:val="111111"/>
          <w:sz w:val="28"/>
          <w:szCs w:val="28"/>
          <w:rtl/>
        </w:rPr>
        <w:t xml:space="preserve">وإن شئت فقل: اجتماع الأمر والنهي فيه؛ إذ المفروض أنّ تركه مقدّمة للإتیان بغير الأهمّ وإذا فرض وجوبه لحصول شرطه وهو البناء على العصيان فيجب ترك ضدّه وهو الأهم، ووجوبه وإن لم يكن في عرض وجوب الأهمّ إلّا أنّ المفروض أنّ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الأهمّ واجب مطلقاً فيلزم فيه ما ذكر؛ إذ هو واجب نفسي وحرام مقدّمي.</w:t>
      </w:r>
    </w:p>
    <w:p>
      <w:pPr>
        <w:pStyle w:val="BookText"/>
      </w:pPr>
      <w:r>
        <w:rPr>
          <w:rFonts w:ascii="IRNazanin" w:hAnsi="IRNazanin" w:eastAsia="IRNazanin" w:cs="IRNazanin"/>
          <w:lang w:bidi="fa-IR"/>
          <w:color w:val="111111"/>
          <w:sz w:val="28"/>
          <w:szCs w:val="28"/>
          <w:rtl/>
        </w:rPr>
        <w:t xml:space="preserve">الثّالث: لزوم ما ذكر في غير الأهمّ فيجب فعله على فرض العصيان وتركه؛ لأنّه مقدّمة لفعل الأهمّ الواجب في هذا الحال أیضاً.</w:t>
      </w:r>
    </w:p>
    <w:p>
      <w:pPr>
        <w:pStyle w:val="BookText"/>
      </w:pPr>
      <w:r>
        <w:rPr>
          <w:rFonts w:ascii="Amiri" w:hAnsi="Amiri" w:eastAsia="Amiri" w:cs="Amiri"/>
          <w:lang w:bidi="ar-SA"/>
          <w:color w:val="111111"/>
          <w:sz w:val="28"/>
          <w:szCs w:val="28"/>
          <w:rtl/>
        </w:rPr>
        <w:t xml:space="preserve">وجميع هذا الأمور مدفوعة:</w:t>
      </w:r>
    </w:p>
    <w:p>
      <w:pPr>
        <w:pStyle w:val="BookText"/>
      </w:pPr>
      <w:r>
        <w:rPr>
          <w:rFonts w:ascii="IRNazanin" w:hAnsi="IRNazanin" w:eastAsia="IRNazanin" w:cs="IRNazanin"/>
          <w:lang w:bidi="fa-IR"/>
          <w:color w:val="111111"/>
          <w:sz w:val="28"/>
          <w:szCs w:val="28"/>
          <w:rtl/>
        </w:rPr>
        <w:t xml:space="preserve">أمّا الأوّل: فلأنّه إنّما يلزم إذا كان التکلیفان في مرتبة واحدة، أمّا لو كانا مترتّبين فلا مانع منه؛ إذ مطلوب الآمر أوّلاً هو الإتیان بالأهمّ وإذا أتى به المکلّف فقدبرء من</w:t>
      </w:r>
      <w:r>
        <w:rPr>
          <w:rStyle w:val="FootnoteReference"/>
        </w:rPr>
        <w:footnoteReference w:id="1886"/>
      </w:r>
      <w:r>
        <w:rPr>
          <w:rFonts w:ascii="IRNazanin" w:hAnsi="IRNazanin" w:eastAsia="IRNazanin" w:cs="IRNazanin"/>
          <w:lang w:bidi="fa-IR"/>
          <w:color w:val="111111"/>
          <w:sz w:val="28"/>
          <w:szCs w:val="28"/>
          <w:rtl/>
        </w:rPr>
        <w:t xml:space="preserve">التکلیف والعقاب وعلى فرض عصيانه يجي‌ء التکلیف الآخر فلم يؤمر في زمان واحد بالجمع بين الضدّين.</w:t>
      </w:r>
    </w:p>
    <w:p>
      <w:pPr>
        <w:pStyle w:val="BookText"/>
      </w:pPr>
      <w:r>
        <w:rPr>
          <w:rFonts w:ascii="IRNazanin" w:hAnsi="IRNazanin" w:eastAsia="IRNazanin" w:cs="IRNazanin"/>
          <w:lang w:bidi="fa-IR"/>
          <w:color w:val="111111"/>
          <w:sz w:val="28"/>
          <w:szCs w:val="28"/>
          <w:rtl/>
        </w:rPr>
        <w:t xml:space="preserve">والحاصل: أنّه لا مانع من التکلیفين المذكورين من حيث الإلزام من قبل الشارع؛ لأنّهما مترتّبان، ولا من حيث ملاحظة حال المکلّف؛ إذ هو في سعة منهما لإمکان رفع الشغل عن نفسه بالإتیان بالأهمّ، ولا من حيث اجتماع</w:t>
      </w:r>
      <w:r>
        <w:rPr>
          <w:rStyle w:val="FootnoteReference"/>
        </w:rPr>
        <w:footnoteReference w:id="1887"/>
      </w:r>
      <w:r>
        <w:rPr>
          <w:rFonts w:ascii="Amiri" w:hAnsi="Amiri" w:eastAsia="Amiri" w:cs="Amiri"/>
          <w:lang w:bidi="ar-SA"/>
          <w:color w:val="111111"/>
          <w:sz w:val="28"/>
          <w:szCs w:val="28"/>
          <w:rtl/>
        </w:rPr>
        <w:t xml:space="preserve">الحسن والقبح لجواز اجتماع الحسن الذاتي والقبح الغيري وبالإضافة إلى الغير</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r>
        <w:rPr>
          <w:rStyle w:val="FootnoteReference"/>
        </w:rPr>
        <w:footnoteReference w:id="1889"/>
      </w:r>
    </w:p>
    <w:p>
      <w:pPr>
        <w:pStyle w:val="BookText"/>
      </w:pPr>
      <w:r>
        <w:rPr>
          <w:rFonts w:ascii="IRNazanin" w:hAnsi="IRNazanin" w:eastAsia="IRNazanin" w:cs="IRNazanin"/>
          <w:lang w:bidi="fa-IR"/>
          <w:color w:val="111111"/>
          <w:sz w:val="28"/>
          <w:szCs w:val="28"/>
          <w:rtl/>
        </w:rPr>
        <w:t xml:space="preserve">وأمّا الثاني: فلأنّ فعل الأهمّ وإن کان واجباً في جميع المراتب إلّا أنّ تركه لا يجب وإن کان مقدّمة للإتیان بغير الأهمّ؛ إذ هو</w:t>
      </w:r>
      <w:r>
        <w:rPr>
          <w:rStyle w:val="FootnoteReference"/>
        </w:rPr>
        <w:footnoteReference w:id="1890"/>
      </w:r>
      <w:r>
        <w:rPr>
          <w:rFonts w:ascii="IRNazanin" w:hAnsi="IRNazanin" w:eastAsia="IRNazanin" w:cs="IRNazanin"/>
          <w:lang w:bidi="fa-IR"/>
          <w:color w:val="111111"/>
          <w:sz w:val="28"/>
          <w:szCs w:val="28"/>
          <w:rtl/>
        </w:rPr>
        <w:t xml:space="preserve">شرط لوجوبه</w:t>
      </w:r>
      <w:r>
        <w:rPr>
          <w:rStyle w:val="FootnoteReference"/>
        </w:rPr>
        <w:footnoteReference w:id="1891"/>
      </w:r>
      <w:r>
        <w:rPr>
          <w:rFonts w:ascii="Amiri" w:hAnsi="Amiri" w:eastAsia="Amiri" w:cs="Amiri"/>
          <w:lang w:bidi="ar-SA"/>
          <w:color w:val="111111"/>
          <w:sz w:val="28"/>
          <w:szCs w:val="28"/>
          <w:rtl/>
        </w:rPr>
        <w:t xml:space="preserve">ووجوبه إنّما يثبت على تقديره، وقد تقرّر في محلّه عدم وجوب المقدّمات الوجوبيّة وإن كانت وجوديّة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أیضاً.</w:t>
      </w:r>
      <w:r>
        <w:rPr>
          <w:rStyle w:val="FootnoteReference"/>
        </w:rPr>
        <w:footnoteReference w:id="1892"/>
      </w:r>
    </w:p>
    <w:p>
      <w:pPr>
        <w:pStyle w:val="BookText"/>
      </w:pPr>
      <w:r>
        <w:rPr>
          <w:rFonts w:ascii="Amiri" w:hAnsi="Amiri" w:eastAsia="Amiri" w:cs="Amiri"/>
          <w:lang w:bidi="ar-SA"/>
          <w:color w:val="111111"/>
          <w:sz w:val="28"/>
          <w:szCs w:val="28"/>
          <w:rtl/>
        </w:rPr>
        <w:t xml:space="preserve">ودعوى أنّ الشرط وهو العصيان إنّما يحصل بعد مضيّ الوقت فكيف يكون غير الأهّم واجباً ولم يحصل شرطه؟!</w:t>
      </w:r>
    </w:p>
    <w:p>
      <w:pPr>
        <w:pStyle w:val="BookText"/>
      </w:pPr>
      <w:r>
        <w:rPr>
          <w:rFonts w:ascii="IRNazanin" w:hAnsi="IRNazanin" w:eastAsia="IRNazanin" w:cs="IRNazanin"/>
          <w:lang w:bidi="fa-IR"/>
          <w:color w:val="111111"/>
          <w:sz w:val="28"/>
          <w:szCs w:val="28"/>
          <w:rtl/>
        </w:rPr>
        <w:t xml:space="preserve">مدفوعة بأنّ ذلك من الشرط المتأخّر نظير إجازة الفضولي فإذا علم من الأوّل أنّه يحصل العصيان بعد ذلك يجب عليه الإتیان بغير الأهمّ ولا يجب هذا الترك وهذا العصيان فلا يلزم اجتماع الأمر والنهي في الأهمّ.</w:t>
      </w:r>
      <w:r>
        <w:rPr>
          <w:rStyle w:val="FootnoteReference"/>
        </w:rPr>
        <w:footnoteReference w:id="1893"/>
      </w:r>
    </w:p>
    <w:p>
      <w:pPr>
        <w:pStyle w:val="BookText"/>
      </w:pPr>
      <w:r>
        <w:rPr>
          <w:rFonts w:ascii="Amiri" w:hAnsi="Amiri" w:eastAsia="Amiri" w:cs="Amiri"/>
          <w:lang w:bidi="ar-SA"/>
          <w:color w:val="111111"/>
          <w:sz w:val="28"/>
          <w:szCs w:val="28"/>
          <w:rtl/>
        </w:rPr>
        <w:t xml:space="preserve">وأمّا الثّالث: فلأنّ الممنوع</w:t>
      </w:r>
      <w:r>
        <w:rPr>
          <w:rStyle w:val="FootnoteReference"/>
        </w:rPr>
        <w:footnoteReference w:id="1894"/>
      </w:r>
      <w:r>
        <w:rPr>
          <w:rFonts w:ascii="IRNazanin" w:hAnsi="IRNazanin" w:eastAsia="IRNazanin" w:cs="IRNazanin"/>
          <w:lang w:bidi="fa-IR"/>
          <w:color w:val="111111"/>
          <w:sz w:val="28"/>
          <w:szCs w:val="28"/>
          <w:rtl/>
        </w:rPr>
        <w:t xml:space="preserve">من اجتماع الأمر والنهي والأمر بالفعل والترك إنّما هو إذا كانا في مرتبة واحدة، وأمّا إذا كان أحدهما مترتّباً على الآخر فلا مانع منه.وفي المقام الأمر مترتّب على النهي؛ لأنّه مترتّب على عصيان الأهمّ بترك مقدّمته وهي ترك الضدّ الّذي هو غير الأهمّ فالأمر بغير الأهمّ لمّا كان مترتّباً على ترك الأهمّ فيكون مترتّباً على ترك مقدّمته أیضاً فيكون الأمر به متأخّراً عن النهي عنه من حيث تأخّره عن الأمر بالأهمّ الّذي هو في معنى تأخّره عن الأمر بترك ضدّه الّذي في معنى النهي عن فعل ذلك الضدّ وهو غير الأهمّ.</w:t>
      </w:r>
    </w:p>
    <w:p>
      <w:pPr>
        <w:pStyle w:val="BookText"/>
      </w:pPr>
      <w:r>
        <w:rPr>
          <w:rFonts w:ascii="IRNazanin" w:hAnsi="IRNazanin" w:eastAsia="IRNazanin" w:cs="IRNazanin"/>
          <w:lang w:bidi="fa-IR"/>
          <w:color w:val="111111"/>
          <w:sz w:val="28"/>
          <w:szCs w:val="28"/>
          <w:rtl/>
        </w:rPr>
        <w:t xml:space="preserve">ودعوى أنّ حاصل ذلك أنّه مأمور بغير الأهمّ على فرض الإتیان به؛ لأنّ الأمر به إذا كان مترتّباً على مخالفة نهيه فهو راجع إلى ذلك؛</w:t>
      </w:r>
    </w:p>
    <w:p>
      <w:pPr>
        <w:pStyle w:val="BookText"/>
      </w:pPr>
      <w:r>
        <w:rPr>
          <w:rFonts w:ascii="Amiri" w:hAnsi="Amiri" w:eastAsia="Amiri" w:cs="Amiri"/>
          <w:lang w:bidi="ar-SA"/>
          <w:color w:val="111111"/>
          <w:sz w:val="28"/>
          <w:szCs w:val="28"/>
          <w:rtl/>
        </w:rPr>
        <w:t xml:space="preserve">مدفوعة بأنّه مترتّب على الأعمّ من ذلك؛ لأنّه مأمور به بشرط عدم تركه الموصل إلى الأهمّ وهذا يتصوّر على وجهين:</w:t>
      </w:r>
    </w:p>
    <w:p>
      <w:pPr>
        <w:pStyle w:val="BookText"/>
      </w:pPr>
      <w:r>
        <w:rPr>
          <w:rFonts w:ascii="Amiri" w:hAnsi="Amiri" w:eastAsia="Amiri" w:cs="Amiri"/>
          <w:lang w:bidi="ar-SA"/>
          <w:color w:val="111111"/>
          <w:sz w:val="28"/>
          <w:szCs w:val="28"/>
          <w:rtl/>
        </w:rPr>
        <w:t xml:space="preserve">أحدهما: أن لا يتركه أصلاً؛</w:t>
      </w:r>
    </w:p>
    <w:p>
      <w:pPr>
        <w:pStyle w:val="BookText"/>
      </w:pPr>
      <w:r>
        <w:rPr>
          <w:rFonts w:ascii="IRNazanin" w:hAnsi="IRNazanin" w:eastAsia="IRNazanin" w:cs="IRNazanin"/>
          <w:lang w:bidi="fa-IR"/>
          <w:color w:val="111111"/>
          <w:sz w:val="28"/>
          <w:szCs w:val="28"/>
          <w:rtl/>
        </w:rPr>
        <w:t xml:space="preserve">الثاني: أن يتركه ولا يأتي بالأهمّ أیضاً ولا مانع من ترتّب وجوب الأخصّ على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71" w:name="pg6784_51541"/>
    <w:bookmarkEnd w:id="271"/>
    <w:p>
      <w:pPr>
        <w:pStyle w:val="BookText"/>
      </w:pPr>
      <w:r>
        <w:rPr>
          <w:rFonts w:ascii="Amiri" w:hAnsi="Amiri" w:eastAsia="Amiri" w:cs="Amiri"/>
          <w:lang w:bidi="ar-SA"/>
          <w:color w:val="111111"/>
          <w:sz w:val="28"/>
          <w:szCs w:val="28"/>
          <w:rtl/>
        </w:rPr>
        <w:t xml:space="preserve">البناء على إيجاد الأعمّ.</w:t>
      </w:r>
    </w:p>
    <w:p>
      <w:pPr>
        <w:pStyle w:val="BookText"/>
      </w:pPr>
      <w:r>
        <w:rPr>
          <w:rFonts w:ascii="IRNazanin" w:hAnsi="IRNazanin" w:eastAsia="IRNazanin" w:cs="IRNazanin"/>
          <w:lang w:bidi="fa-IR"/>
          <w:color w:val="111111"/>
          <w:sz w:val="28"/>
          <w:szCs w:val="28"/>
          <w:rtl/>
        </w:rPr>
        <w:t xml:space="preserve">فإن قلت: غاية ما ذكرت جواز مثل هذا التکلیف لكن يحتاج إلى دليل من خارج فلا يترتّب عليه ثمرة؛ إذ المقصود منه تصحيح العمل وبمجرّد ذلك لا يصحّ؛ إذ المفروض عدم الدليل على هذا التکلیف وهذا الترتيب.</w:t>
      </w:r>
    </w:p>
    <w:p>
      <w:pPr>
        <w:pStyle w:val="BookText"/>
      </w:pPr>
      <w:r>
        <w:rPr>
          <w:rFonts w:ascii="IRNazanin" w:hAnsi="IRNazanin" w:eastAsia="IRNazanin" w:cs="IRNazanin"/>
          <w:lang w:bidi="fa-IR"/>
          <w:color w:val="111111"/>
          <w:sz w:val="28"/>
          <w:szCs w:val="28"/>
          <w:rtl/>
        </w:rPr>
        <w:t xml:space="preserve">قلت: يكفيه الإطلاقات فإنّها وإن قيّدت بحكم العقل في الرّتبة الأولى لكن لمّا كان المانع من العمل بها لزوم التکلیف بالمحال أو اجتماع الأمر والنهي والمفروض عدم مانعيّتهما على الوجه المذكور فيؤخذ بها.</w:t>
      </w:r>
    </w:p>
    <w:p>
      <w:pPr>
        <w:pStyle w:val="BookText"/>
      </w:pPr>
      <w:r>
        <w:rPr>
          <w:rFonts w:ascii="IRNazanin" w:hAnsi="IRNazanin" w:eastAsia="IRNazanin" w:cs="IRNazanin"/>
          <w:lang w:bidi="fa-IR"/>
          <w:color w:val="111111"/>
          <w:sz w:val="28"/>
          <w:szCs w:val="28"/>
          <w:rtl/>
        </w:rPr>
        <w:t xml:space="preserve">وبعبارة أخری: المقتضي لکلّ من التکلیفين موجود والمانع عقلي يقتصر فيه على القدر المتيقّن، ولمّا كان الوجه في رفع اليد عن ذلك المقتضي مشغوليّة الزمان بالضدّ وعدم خلوّه للضدّ الآخر فلو فرض خلوّ الزمان فلا وجه لرفع اليد عنه.</w:t>
      </w:r>
      <w:r>
        <w:rPr>
          <w:rStyle w:val="FootnoteReference"/>
        </w:rPr>
        <w:footnoteReference w:id="1895"/>
      </w:r>
    </w:p>
    <w:p>
      <w:pPr>
        <w:pStyle w:val="Heading6"/>
      </w:pPr>
      <w:bookmarkStart w:id="796" w:name="_Toc477"/>
      <w:r>
        <w:t>[نقد کلام صاحب هدایة المسترشدین (رحمة الله‌علیه)]</w:t>
      </w:r>
      <w:bookmarkEnd w:id="796"/>
    </w:p>
    <w:p>
      <w:pPr>
        <w:pStyle w:val="BookText"/>
      </w:pPr>
      <w:r>
        <w:rPr>
          <w:rFonts w:ascii="IRNazanin" w:hAnsi="IRNazanin" w:eastAsia="IRNazanin" w:cs="IRNazanin"/>
          <w:lang w:bidi="fa-IR"/>
          <w:color w:val="111111"/>
          <w:sz w:val="28"/>
          <w:szCs w:val="28"/>
          <w:rtl/>
        </w:rPr>
        <w:t xml:space="preserve">أقول: أمّا ما ذكره في دفع الإشکال الأوّل</w:t>
      </w:r>
      <w:r>
        <w:rPr>
          <w:rStyle w:val="FootnoteReference"/>
        </w:rPr>
        <w:footnoteReference w:id="1896"/>
      </w:r>
      <w:r>
        <w:rPr>
          <w:rFonts w:ascii="IRNazanin" w:hAnsi="IRNazanin" w:eastAsia="IRNazanin" w:cs="IRNazanin"/>
          <w:lang w:bidi="fa-IR"/>
          <w:color w:val="111111"/>
          <w:sz w:val="28"/>
          <w:szCs w:val="28"/>
          <w:rtl/>
        </w:rPr>
        <w:t xml:space="preserve">فلا وجه له؛ إذ لا</w:t>
      </w:r>
      <w:r>
        <w:rPr>
          <w:rStyle w:val="FootnoteReference"/>
        </w:rPr>
        <w:footnoteReference w:id="1897"/>
      </w:r>
      <w:r>
        <w:rPr>
          <w:rFonts w:ascii="IRNazanin" w:hAnsi="IRNazanin" w:eastAsia="IRNazanin" w:cs="IRNazanin"/>
          <w:lang w:bidi="fa-IR"/>
          <w:color w:val="111111"/>
          <w:sz w:val="28"/>
          <w:szCs w:val="28"/>
          <w:rtl/>
        </w:rPr>
        <w:t xml:space="preserve">فرق في قبحالتکلیف بما لا يطاق بين أن يكون التکلیفان</w:t>
      </w:r>
      <w:r>
        <w:rPr>
          <w:rStyle w:val="FootnoteReference"/>
        </w:rPr>
        <w:footnoteReference w:id="1898"/>
      </w:r>
      <w:r>
        <w:rPr>
          <w:rFonts w:ascii="Amiri" w:hAnsi="Amiri" w:eastAsia="Amiri" w:cs="Amiri"/>
          <w:lang w:bidi="ar-SA"/>
          <w:color w:val="111111"/>
          <w:sz w:val="28"/>
          <w:szCs w:val="28"/>
          <w:rtl/>
        </w:rPr>
        <w:t xml:space="preserve">مطلقين أو أحدهما مطلقاً والآخر مشروطاً بشرط حاصل؛ إذ بعد حصوله يلزم الأمر بالضدّين في زمان واحد.</w:t>
      </w:r>
    </w:p>
    <w:p>
      <w:pPr>
        <w:pStyle w:val="BookText"/>
      </w:pPr>
      <w:r>
        <w:rPr>
          <w:rFonts w:ascii="IRNazanin" w:hAnsi="IRNazanin" w:eastAsia="IRNazanin" w:cs="IRNazanin"/>
          <w:lang w:bidi="fa-IR"/>
          <w:color w:val="111111"/>
          <w:sz w:val="28"/>
          <w:szCs w:val="28"/>
          <w:rtl/>
        </w:rPr>
        <w:t xml:space="preserve">ولا ينوط استحالته بأن يكون المأمور به عنوان الجمع بينهما حتّى يقال: لم يأمر بذلك بل الأمر بکلّ منهما كافٍ في ذلك كما هو المفروض، فما لم يسقط التکلیف الأوّل لا يصحّ الأمر بالثّاني، ومجرّد كون المکلّف في سعة لا يصحّح التکلیف على الوجه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 وإلّا فيلزم جواز الأمر بالضدّين على وجه الندب فيهما أو</w:t>
      </w:r>
      <w:r>
        <w:rPr>
          <w:rStyle w:val="FootnoteReference"/>
        </w:rPr>
        <w:footnoteReference w:id="1899"/>
      </w:r>
      <w:r>
        <w:rPr>
          <w:rFonts w:ascii="Amiri" w:hAnsi="Amiri" w:eastAsia="Amiri" w:cs="Amiri"/>
          <w:lang w:bidi="ar-SA"/>
          <w:color w:val="111111"/>
          <w:sz w:val="28"/>
          <w:szCs w:val="28"/>
          <w:rtl/>
        </w:rPr>
        <w:t xml:space="preserve">في أحدهما.</w:t>
      </w:r>
    </w:p>
    <w:p>
      <w:pPr>
        <w:pStyle w:val="BookText"/>
      </w:pPr>
      <w:r>
        <w:rPr>
          <w:rFonts w:ascii="IRNazanin" w:hAnsi="IRNazanin" w:eastAsia="IRNazanin" w:cs="IRNazanin"/>
          <w:lang w:bidi="fa-IR"/>
          <w:color w:val="111111"/>
          <w:sz w:val="28"/>
          <w:szCs w:val="28"/>
          <w:rtl/>
        </w:rPr>
        <w:t xml:space="preserve">والحاصل: أنّ التکلیف الثاني وإن لم يكن في مرتبة الأوّل إلّا أنّ</w:t>
      </w:r>
      <w:r>
        <w:rPr>
          <w:rStyle w:val="FootnoteReference"/>
        </w:rPr>
        <w:footnoteReference w:id="1900"/>
      </w:r>
      <w:r>
        <w:rPr>
          <w:rFonts w:ascii="Amiri" w:hAnsi="Amiri" w:eastAsia="Amiri" w:cs="Amiri"/>
          <w:lang w:bidi="ar-SA"/>
          <w:color w:val="111111"/>
          <w:sz w:val="28"/>
          <w:szCs w:val="28"/>
          <w:rtl/>
        </w:rPr>
        <w:t xml:space="preserve">كون الأوّل في جميع المراتب يوجب عود المحذور.</w:t>
      </w:r>
    </w:p>
    <w:p>
      <w:pPr>
        <w:pStyle w:val="BookText"/>
      </w:pPr>
      <w:r>
        <w:rPr>
          <w:rFonts w:ascii="IRNazanin" w:hAnsi="IRNazanin" w:eastAsia="IRNazanin" w:cs="IRNazanin"/>
          <w:lang w:bidi="fa-IR"/>
          <w:color w:val="111111"/>
          <w:sz w:val="28"/>
          <w:szCs w:val="28"/>
          <w:rtl/>
        </w:rPr>
        <w:t xml:space="preserve">وأمّا ما ذكره في دفع الإشکال الثاني فهو صحيح لكن قد يورد عليه أیضاً بأنّه مبنيّ على الشرط المتأخّر وهو باطل.</w:t>
      </w:r>
    </w:p>
    <w:p>
      <w:pPr>
        <w:pStyle w:val="BookText"/>
      </w:pPr>
      <w:r>
        <w:rPr>
          <w:rFonts w:ascii="IRNazanin" w:hAnsi="IRNazanin" w:eastAsia="IRNazanin" w:cs="IRNazanin"/>
          <w:lang w:bidi="fa-IR"/>
          <w:color w:val="111111"/>
          <w:sz w:val="28"/>
          <w:szCs w:val="28"/>
          <w:rtl/>
        </w:rPr>
        <w:t xml:space="preserve">وأیضاً لا معنى لكون شي‌ء واحد مقدّمة للوجود والوجوب معاً، وعلى فرض جوازه فيلزم كونه واجباً بوجوب ذي المقدّمة وما لا يكون واجباً من مقدّمات الوجوب هو ما يكون من الشّرائط المتقدّمة كطيّ المسافة بالنّسبة إلى الحجّ فإذا فرض وجوب الحجّ على فرض طيّ المسافة فلا يكون واجباً؛ لأنّه بعد إتیانه يجب الحجّ ولا يعقل الأمر به بعد ذلك.</w:t>
      </w:r>
    </w:p>
    <w:p>
      <w:pPr>
        <w:pStyle w:val="BookText"/>
      </w:pPr>
      <w:r>
        <w:rPr>
          <w:rFonts w:ascii="IRNazanin" w:hAnsi="IRNazanin" w:eastAsia="IRNazanin" w:cs="IRNazanin"/>
          <w:lang w:bidi="fa-IR"/>
          <w:color w:val="111111"/>
          <w:sz w:val="28"/>
          <w:szCs w:val="28"/>
          <w:rtl/>
        </w:rPr>
        <w:t xml:space="preserve">وأمّا الشّرط المتأخّر فيمكن إيجابه بعد وجوب المشروط كما هو المفروض فيلزم الاجتماع بين الأمر والنّهي بالنّسبة إلى الأهمّ أیضاً.</w:t>
      </w:r>
    </w:p>
    <w:p>
      <w:pPr>
        <w:pStyle w:val="BookText"/>
      </w:pPr>
      <w:r>
        <w:rPr>
          <w:rFonts w:ascii="Amiri" w:hAnsi="Amiri" w:eastAsia="Amiri" w:cs="Amiri"/>
          <w:lang w:bidi="ar-SA"/>
          <w:color w:val="111111"/>
          <w:sz w:val="28"/>
          <w:szCs w:val="28"/>
          <w:rtl/>
        </w:rPr>
        <w:t xml:space="preserve">قلت: لا وجه لشي‌ء من الإيرادين.</w:t>
      </w:r>
    </w:p>
    <w:p>
      <w:pPr>
        <w:pStyle w:val="BookText"/>
      </w:pPr>
      <w:r>
        <w:rPr>
          <w:rFonts w:ascii="IRNazanin" w:hAnsi="IRNazanin" w:eastAsia="IRNazanin" w:cs="IRNazanin"/>
          <w:lang w:bidi="fa-IR"/>
          <w:color w:val="111111"/>
          <w:sz w:val="28"/>
          <w:szCs w:val="28"/>
          <w:rtl/>
        </w:rPr>
        <w:t xml:space="preserve">أمّا الأوّل: فلما بيّن في محلّه من تعقّل ذلك ويكفيك في ذلك أنّه لولاه لم يعقل التکلیف بالواجبات المتدرّجة طول الزمان المحدود مثل الصّوم والصّلاةونحوهما فإنّه في أوّل الفجر لم يوجد شرط التکلیف وهو الحياة</w:t>
      </w:r>
      <w:r>
        <w:rPr>
          <w:rStyle w:val="FootnoteReference"/>
        </w:rPr>
        <w:footnoteReference w:id="1901"/>
      </w:r>
      <w:r>
        <w:rPr>
          <w:rFonts w:ascii="IRNazanin" w:hAnsi="IRNazanin" w:eastAsia="IRNazanin" w:cs="IRNazanin"/>
          <w:lang w:bidi="fa-IR"/>
          <w:color w:val="111111"/>
          <w:sz w:val="28"/>
          <w:szCs w:val="28"/>
          <w:rtl/>
        </w:rPr>
        <w:t xml:space="preserve">إلى آخر اليوم وليس له القدرة على إتیان الصّوم فعلاً والإمساك في الآن الأوّل ليس صوماً قطعاً فلا يعقل التکلیف بالصّوم إلّاعلى تصوير الشّرط المتأخّر بأن يقال: يجب عليه الصوم من أوّل الفجر إذا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واجداً للشّرط وهو القدرة والحياة</w:t>
      </w:r>
      <w:r>
        <w:rPr>
          <w:rStyle w:val="FootnoteReference"/>
        </w:rPr>
        <w:footnoteReference w:id="1902"/>
      </w:r>
      <w:r>
        <w:rPr>
          <w:rFonts w:ascii="Amiri" w:hAnsi="Amiri" w:eastAsia="Amiri" w:cs="Amiri"/>
          <w:lang w:bidi="ar-SA"/>
          <w:color w:val="111111"/>
          <w:sz w:val="28"/>
          <w:szCs w:val="28"/>
          <w:rtl/>
        </w:rPr>
        <w:t xml:space="preserve">إلى آخر اليوم فلو بقي على ذلك كشف عن وجوبه ولو مات أو عجز كشف عن عدم الوجوب.</w:t>
      </w:r>
    </w:p>
    <w:p>
      <w:pPr>
        <w:pStyle w:val="BookText"/>
      </w:pPr>
      <w:r>
        <w:rPr>
          <w:rFonts w:ascii="Amiri" w:hAnsi="Amiri" w:eastAsia="Amiri" w:cs="Amiri"/>
          <w:lang w:bidi="ar-SA"/>
          <w:color w:val="111111"/>
          <w:sz w:val="28"/>
          <w:szCs w:val="28"/>
          <w:rtl/>
        </w:rPr>
        <w:t xml:space="preserve">ودعوى أنّ الشرط هو وجود الحياة</w:t>
      </w:r>
      <w:r>
        <w:rPr>
          <w:rStyle w:val="FootnoteReference"/>
        </w:rPr>
        <w:footnoteReference w:id="1903"/>
      </w:r>
      <w:r>
        <w:rPr>
          <w:rFonts w:ascii="Amiri" w:hAnsi="Amiri" w:eastAsia="Amiri" w:cs="Amiri"/>
          <w:lang w:bidi="ar-SA"/>
          <w:color w:val="111111"/>
          <w:sz w:val="28"/>
          <w:szCs w:val="28"/>
          <w:rtl/>
        </w:rPr>
        <w:t xml:space="preserve">والقدرة في أوّل الوقت وإذا عجز أو مات يسقط عنه</w:t>
      </w:r>
      <w:r>
        <w:rPr>
          <w:rStyle w:val="FootnoteReference"/>
        </w:rPr>
        <w:footnoteReference w:id="1904"/>
      </w:r>
      <w:r>
        <w:rPr>
          <w:rFonts w:ascii="IRNazanin" w:hAnsi="IRNazanin" w:eastAsia="IRNazanin" w:cs="IRNazanin"/>
          <w:lang w:bidi="fa-IR"/>
          <w:color w:val="111111"/>
          <w:sz w:val="28"/>
          <w:szCs w:val="28"/>
          <w:rtl/>
        </w:rPr>
        <w:t xml:space="preserve">التکلیف، كما ترى؛ إذ لا معنى بالأمر بالصّوم الّذي هو الإمساك طول النهار مع أنّه يموت في الأثناء.</w:t>
      </w:r>
    </w:p>
    <w:p>
      <w:pPr>
        <w:pStyle w:val="BookText"/>
      </w:pPr>
      <w:r>
        <w:rPr>
          <w:rFonts w:ascii="Amiri" w:hAnsi="Amiri" w:eastAsia="Amiri" w:cs="Amiri"/>
          <w:lang w:bidi="ar-SA"/>
          <w:color w:val="111111"/>
          <w:sz w:val="28"/>
          <w:szCs w:val="28"/>
          <w:rtl/>
        </w:rPr>
        <w:t xml:space="preserve">وأمّا الثاني: فلأنّه لا يعقل أن يجب المقدّمة الوجوبيّة وإن كانت متأخّرة؛ لأنّه إذا قال: «إن كنت تاركاً للإزالة من الآن إلى ساعة فصلّ»، لا يعقل أن يقول: «اترك الإزالة»؛ إذ يرجع حاصله إلى قوله: «اترك الإزالة على فرض تركه»، ولا معنى له.</w:t>
      </w:r>
    </w:p>
    <w:p>
      <w:pPr>
        <w:pStyle w:val="BookText"/>
      </w:pPr>
      <w:r>
        <w:rPr>
          <w:rFonts w:ascii="IRNazanin" w:hAnsi="IRNazanin" w:eastAsia="IRNazanin" w:cs="IRNazanin"/>
          <w:lang w:bidi="fa-IR"/>
          <w:color w:val="111111"/>
          <w:sz w:val="28"/>
          <w:szCs w:val="28"/>
          <w:rtl/>
        </w:rPr>
        <w:t xml:space="preserve">نعم لو قلنا: إنّ الشرط في الحقيقة هو البناء على الترك أو كونه بحيث يترك، كان الأمر كما ذكر لكنّه على هذا الفرض يخرج عن الشرط المتأخّر وعن فرض کلام المحقّق المذكور؛ لأنّه صرّح بأنّ الشرط هو نفس الترك وإخلاء الزّمان في الواقع وأنّه يجب عليه إذا علم من نفسه ذلك أن ياتي بالضدّ الآخر.</w:t>
      </w:r>
    </w:p>
    <w:p>
      <w:pPr>
        <w:pStyle w:val="BookText"/>
      </w:pPr>
      <w:r>
        <w:rPr>
          <w:rFonts w:ascii="Amiri" w:hAnsi="Amiri" w:eastAsia="Amiri" w:cs="Amiri"/>
          <w:lang w:bidi="ar-SA"/>
          <w:color w:val="111111"/>
          <w:sz w:val="28"/>
          <w:szCs w:val="28"/>
          <w:rtl/>
        </w:rPr>
        <w:t xml:space="preserve">وأمّا ادّعاء عدم جواز كون شي‌ء واحد مقدّمة للوجوب والوجود فممّا لا محصّل له كما لا يخفى.</w:t>
      </w:r>
    </w:p>
    <w:p>
      <w:pPr>
        <w:pStyle w:val="BookText"/>
      </w:pPr>
      <w:r>
        <w:rPr>
          <w:rFonts w:ascii="IRNazanin" w:hAnsi="IRNazanin" w:eastAsia="IRNazanin" w:cs="IRNazanin"/>
          <w:lang w:bidi="fa-IR"/>
          <w:color w:val="111111"/>
          <w:sz w:val="28"/>
          <w:szCs w:val="28"/>
          <w:rtl/>
        </w:rPr>
        <w:t xml:space="preserve">وأمّا ما ذكره في دفع الإشکال الثالث فلا وجه له أیضاً؛ إذ الترتّب المذكور لايصحّح اجتماع المتضادّين وإن أغمضنا عن استحالة طلب الضدّين؛ إذ اجتماع الإرادة والكراهة لا يجوز بناء على مذهب المانعين.</w:t>
      </w:r>
    </w:p>
    <w:p>
      <w:pPr>
        <w:pStyle w:val="BookText"/>
      </w:pPr>
      <w:r>
        <w:rPr>
          <w:rFonts w:ascii="Amiri" w:hAnsi="Amiri" w:eastAsia="Amiri" w:cs="Amiri"/>
          <w:lang w:bidi="ar-SA"/>
          <w:color w:val="111111"/>
          <w:sz w:val="28"/>
          <w:szCs w:val="28"/>
          <w:rtl/>
        </w:rPr>
        <w:t xml:space="preserve">مع أنّ الترتّب بين الأمر والنهي ممنوع؛ إذ غاية الأمر الترتّب بين الأمر بغير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72" w:name="pg6784_51547"/>
    <w:bookmarkEnd w:id="272"/>
    <w:p>
      <w:pPr>
        <w:pStyle w:val="BookText"/>
      </w:pPr>
      <w:r>
        <w:rPr>
          <w:rFonts w:ascii="Amiri" w:hAnsi="Amiri" w:eastAsia="Amiri" w:cs="Amiri"/>
          <w:lang w:bidi="ar-SA"/>
          <w:color w:val="111111"/>
          <w:sz w:val="28"/>
          <w:szCs w:val="28"/>
          <w:rtl/>
        </w:rPr>
        <w:t xml:space="preserve">الأهمّ والأمر بالأهمّ وبين الأوّل والأمر</w:t>
      </w:r>
      <w:r>
        <w:rPr>
          <w:rStyle w:val="FootnoteReference"/>
        </w:rPr>
        <w:footnoteReference w:id="1905"/>
      </w:r>
      <w:r>
        <w:rPr>
          <w:rFonts w:ascii="IRNazanin" w:hAnsi="IRNazanin" w:eastAsia="IRNazanin" w:cs="IRNazanin"/>
          <w:lang w:bidi="fa-IR"/>
          <w:color w:val="111111"/>
          <w:sz w:val="28"/>
          <w:szCs w:val="28"/>
          <w:rtl/>
        </w:rPr>
        <w:t xml:space="preserve">بترك ضدّ الأهّم من حيث الإيصال إلیه.</w:t>
      </w:r>
    </w:p>
    <w:p>
      <w:pPr>
        <w:pStyle w:val="BookText"/>
      </w:pPr>
      <w:r>
        <w:rPr>
          <w:rFonts w:ascii="IRNazanin" w:hAnsi="IRNazanin" w:eastAsia="IRNazanin" w:cs="IRNazanin"/>
          <w:lang w:bidi="fa-IR"/>
          <w:color w:val="111111"/>
          <w:sz w:val="28"/>
          <w:szCs w:val="28"/>
          <w:rtl/>
        </w:rPr>
        <w:t xml:space="preserve">لكن هذا ليس ترتّباً بين الأمر بغير الأهمّ والنهي عنه وإلّا لزم ما ذكر من كون الأمر به على فرض مخالفة نهيه بإتیانه.</w:t>
      </w:r>
    </w:p>
    <w:p>
      <w:pPr>
        <w:pStyle w:val="BookText"/>
      </w:pPr>
      <w:r>
        <w:rPr>
          <w:rFonts w:ascii="Amiri" w:hAnsi="Amiri" w:eastAsia="Amiri" w:cs="Amiri"/>
          <w:lang w:bidi="ar-SA"/>
          <w:color w:val="111111"/>
          <w:sz w:val="28"/>
          <w:szCs w:val="28"/>
          <w:rtl/>
        </w:rPr>
        <w:t xml:space="preserve">فالترتّب إنّما ينفع على فرض تسليم نفعه إذا كان بين الأمر والنهي لا إذا كان بين الأمر والأمر بالضدّ الآخر أو الأمر بالأعمّ من ذلك النهي حسبما أجاب عن الإيراد. فتدبّر.</w:t>
      </w:r>
    </w:p>
    <w:p>
      <w:pPr>
        <w:pStyle w:val="Heading6"/>
      </w:pPr>
      <w:bookmarkStart w:id="797" w:name="_Toc478"/>
      <w:r>
        <w:t>[بیان المحقق الأنصاري (رحمة الله‌علیه) في دفع الإشکال الثاني]</w:t>
      </w:r>
      <w:bookmarkEnd w:id="797"/>
    </w:p>
    <w:p>
      <w:pPr>
        <w:pStyle w:val="BookText"/>
      </w:pPr>
      <w:r>
        <w:rPr>
          <w:rFonts w:ascii="IRNazanin" w:hAnsi="IRNazanin" w:eastAsia="IRNazanin" w:cs="IRNazanin"/>
          <w:lang w:bidi="fa-IR"/>
          <w:color w:val="111111"/>
          <w:sz w:val="28"/>
          <w:szCs w:val="28"/>
          <w:rtl/>
        </w:rPr>
        <w:t xml:space="preserve">هذا وحكي عن المحقّق الأنصاري (قدس‌سره) دفع الإشکال الثاني بوجه آخر - بعد الإيراد على الدفع بالوجه المذكور بما ذكر من عدم معقوليّة الشّرط المتأخّر ومن أنّه لا ينفع كونه مقدّمة للوجوب في عدم وجوبه بعد كونه مقدّمة للوجود أیضاً -:</w:t>
      </w:r>
    </w:p>
    <w:p>
      <w:pPr>
        <w:pStyle w:val="BookText"/>
      </w:pPr>
      <w:r>
        <w:rPr>
          <w:rFonts w:ascii="IRNazanin" w:hAnsi="IRNazanin" w:eastAsia="IRNazanin" w:cs="IRNazanin"/>
          <w:lang w:bidi="fa-IR"/>
          <w:color w:val="111111"/>
          <w:sz w:val="28"/>
          <w:szCs w:val="28"/>
          <w:rtl/>
        </w:rPr>
        <w:t xml:space="preserve">وهو أنّ تعلّق الطّلب بشي‌ء إنّما يكون بواسطة حثّ المطلوب منه على ذلك الشي‌ء وعلى تقدير علم الطالب بأنّه لا مَحالة يأتي بذلك الشي‌ء فلا وجه لطلبه لكونه لغواً إلّا إذا كان المقصود من الأمر التعبّد كما في العبادات ففي غيرها لا يعقل الطلب إلّا مع عدم عزم المکلّف وبنائه على الإتیان بذلك المطلوب؛ لأنّ المفروض أنّ المقصود مجرّد وجوده في الخارج وهو حاصل مع البناء المذكور وإن لم يأمر به.</w:t>
      </w:r>
    </w:p>
    <w:p>
      <w:pPr>
        <w:pStyle w:val="BookText"/>
      </w:pPr>
      <w:r>
        <w:rPr>
          <w:rFonts w:ascii="IRNazanin" w:hAnsi="IRNazanin" w:eastAsia="IRNazanin" w:cs="IRNazanin"/>
          <w:lang w:bidi="fa-IR"/>
          <w:color w:val="111111"/>
          <w:sz w:val="28"/>
          <w:szCs w:val="28"/>
          <w:rtl/>
        </w:rPr>
        <w:t xml:space="preserve">مع أنّه من طلب الحاصل وهو مُحال.</w:t>
      </w:r>
    </w:p>
    <w:p>
      <w:pPr>
        <w:pStyle w:val="BookText"/>
      </w:pPr>
      <w:r>
        <w:rPr>
          <w:rFonts w:ascii="IRNazanin" w:hAnsi="IRNazanin" w:eastAsia="IRNazanin" w:cs="IRNazanin"/>
          <w:lang w:bidi="fa-IR"/>
          <w:color w:val="111111"/>
          <w:sz w:val="28"/>
          <w:szCs w:val="28"/>
          <w:rtl/>
        </w:rPr>
        <w:t xml:space="preserve">وإذا كان الأمر كذلك فنقول: إنّ المکلّف إذا كان بانياً على ترك الأهمّ فلا يکلّفه الشارع بهذا الترك وإن کان مقدّمة للإتیان بغير الأهمّ فلا يلزم في الأهمّ اجتماع الأمر والنهي.</w:t>
      </w:r>
      <w:r>
        <w:rPr>
          <w:rStyle w:val="FootnoteReference"/>
        </w:rPr>
        <w:footnoteReference w:id="1906"/>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73" w:name="pg6784_51549"/>
    <w:bookmarkEnd w:id="273"/>
    <w:p>
      <w:pPr>
        <w:pStyle w:val="Heading6"/>
      </w:pPr>
      <w:bookmarkStart w:id="798" w:name="_Toc479"/>
      <w:r>
        <w:t>[نقد بیان المحقّق الأنصاري (رحمة الله‌علیه)]</w:t>
      </w:r>
      <w:bookmarkEnd w:id="798"/>
    </w:p>
    <w:p>
      <w:pPr>
        <w:pStyle w:val="BookText"/>
      </w:pPr>
      <w:r>
        <w:rPr>
          <w:rFonts w:ascii="IRNazanin" w:hAnsi="IRNazanin" w:eastAsia="IRNazanin" w:cs="IRNazanin"/>
          <w:lang w:bidi="fa-IR"/>
          <w:color w:val="111111"/>
          <w:sz w:val="28"/>
          <w:szCs w:val="28"/>
          <w:rtl/>
        </w:rPr>
        <w:t xml:space="preserve">قلت: لا يخفى ما في هذا الوجه؛ إذ بمجرّد إتیان المکلّف بالمطلوب لا يلزم رفع اليد عن الطلب خصوصاً في المقدّمات حيث إنّ الأمر بها لا يحتاج إلى إنشاءمستقلّ في خصوص المقدّمات</w:t>
      </w:r>
      <w:r>
        <w:rPr>
          <w:rStyle w:val="FootnoteReference"/>
        </w:rPr>
        <w:footnoteReference w:id="1907"/>
      </w:r>
      <w:r>
        <w:rPr>
          <w:rFonts w:ascii="Amiri" w:hAnsi="Amiri" w:eastAsia="Amiri" w:cs="Amiri"/>
          <w:lang w:bidi="ar-SA"/>
          <w:color w:val="111111"/>
          <w:sz w:val="28"/>
          <w:szCs w:val="28"/>
          <w:rtl/>
        </w:rPr>
        <w:t xml:space="preserve">حتّى يلزم اللّغويّة.</w:t>
      </w:r>
    </w:p>
    <w:p>
      <w:pPr>
        <w:pStyle w:val="BookText"/>
      </w:pPr>
      <w:r>
        <w:rPr>
          <w:rFonts w:ascii="IRNazanin" w:hAnsi="IRNazanin" w:eastAsia="IRNazanin" w:cs="IRNazanin"/>
          <w:lang w:bidi="fa-IR"/>
          <w:color w:val="111111"/>
          <w:sz w:val="28"/>
          <w:szCs w:val="28"/>
          <w:rtl/>
        </w:rPr>
        <w:t xml:space="preserve">مع أنّه لا معنى للطلب إلّا إرادة الآمر لذلك الشي‌ء من المکلّف، فمع العلم بأنّه</w:t>
      </w:r>
      <w:r>
        <w:rPr>
          <w:rStyle w:val="FootnoteReference"/>
        </w:rPr>
        <w:footnoteReference w:id="1908"/>
      </w:r>
      <w:r>
        <w:rPr>
          <w:rFonts w:ascii="IRNazanin" w:hAnsi="IRNazanin" w:eastAsia="IRNazanin" w:cs="IRNazanin"/>
          <w:lang w:bidi="fa-IR"/>
          <w:color w:val="111111"/>
          <w:sz w:val="28"/>
          <w:szCs w:val="28"/>
          <w:rtl/>
        </w:rPr>
        <w:t xml:space="preserve">مراده ومحبوبه لا يمكن نفي المطلوبیّة عنه.</w:t>
      </w:r>
    </w:p>
    <w:p>
      <w:pPr>
        <w:pStyle w:val="BookText"/>
      </w:pPr>
      <w:r>
        <w:rPr>
          <w:rFonts w:ascii="IRNazanin" w:hAnsi="IRNazanin" w:eastAsia="IRNazanin" w:cs="IRNazanin"/>
          <w:lang w:bidi="fa-IR"/>
          <w:color w:val="111111"/>
          <w:sz w:val="28"/>
          <w:szCs w:val="28"/>
          <w:rtl/>
        </w:rPr>
        <w:t xml:space="preserve">مضافاً إلى أنّ الفائدة في الطلب إمکان قصد الامتثال والتقرّب نظير التعبّديّات، غاية الأمر أنّها لا تصحّ إلّا مع القصد المذكور بخلاف التوصّليّات فإمکان التعبّد والتقرّب یکفي في الخروج عن اللّغويّة.</w:t>
      </w:r>
    </w:p>
    <w:p>
      <w:pPr>
        <w:pStyle w:val="BookText"/>
      </w:pPr>
      <w:r>
        <w:rPr>
          <w:rFonts w:ascii="IRNazanin" w:hAnsi="IRNazanin" w:eastAsia="IRNazanin" w:cs="IRNazanin"/>
          <w:lang w:bidi="fa-IR"/>
          <w:color w:val="111111"/>
          <w:sz w:val="28"/>
          <w:szCs w:val="28"/>
          <w:rtl/>
        </w:rPr>
        <w:t xml:space="preserve">هذا مع أنّه على ما ذكره يمكن نفي الحاجة إلى الطلب في التعبّديّات أیضاً إذا كان المکلّف بانياً على الإتیان؛ إذ يمكن إرشاده إلى أنّه لا يصحّ العمل إلّا مع قصد التقرّب وهو غير موقوف على قصد الأمر بل یکفي فيه قصد موافقته</w:t>
      </w:r>
      <w:r>
        <w:rPr>
          <w:rStyle w:val="FootnoteReference"/>
        </w:rPr>
        <w:footnoteReference w:id="1909"/>
      </w:r>
      <w:r>
        <w:rPr>
          <w:rFonts w:ascii="IRNazanin" w:hAnsi="IRNazanin" w:eastAsia="IRNazanin" w:cs="IRNazanin"/>
          <w:lang w:bidi="fa-IR"/>
          <w:color w:val="111111"/>
          <w:sz w:val="28"/>
          <w:szCs w:val="28"/>
          <w:rtl/>
        </w:rPr>
        <w:t xml:space="preserve">غرض المولى حسبما عرفت مراراً.</w:t>
      </w:r>
    </w:p>
    <w:p>
      <w:pPr>
        <w:pStyle w:val="BookText"/>
      </w:pPr>
      <w:r>
        <w:rPr>
          <w:rFonts w:ascii="Amiri" w:hAnsi="Amiri" w:eastAsia="Amiri" w:cs="Amiri"/>
          <w:lang w:bidi="ar-SA"/>
          <w:color w:val="111111"/>
          <w:sz w:val="28"/>
          <w:szCs w:val="28"/>
          <w:rtl/>
        </w:rPr>
        <w:t xml:space="preserve">وأمّا دعوى أنّ الطلب مع البناء المذكور من طلب الحاصل المُحال؛</w:t>
      </w:r>
    </w:p>
    <w:p>
      <w:pPr>
        <w:pStyle w:val="BookText"/>
      </w:pPr>
      <w:r>
        <w:rPr>
          <w:rFonts w:ascii="IRNazanin" w:hAnsi="IRNazanin" w:eastAsia="IRNazanin" w:cs="IRNazanin"/>
          <w:lang w:bidi="fa-IR"/>
          <w:color w:val="111111"/>
          <w:sz w:val="28"/>
          <w:szCs w:val="28"/>
          <w:rtl/>
        </w:rPr>
        <w:t xml:space="preserve">فمدفوعة بأنّ المفروض أنّ المطلوب لم يحصل بعدُ ومجرّد بناء المکلّف على إتیانه لا يوجب كون الأمر به من تحصيل الحاصل.</w:t>
      </w:r>
    </w:p>
    <w:p>
      <w:pPr>
        <w:pStyle w:val="BookText"/>
      </w:pPr>
      <w:r>
        <w:rPr>
          <w:rFonts w:ascii="Amiri" w:hAnsi="Amiri" w:eastAsia="Amiri" w:cs="Amiri"/>
          <w:lang w:bidi="ar-SA"/>
          <w:color w:val="111111"/>
          <w:sz w:val="28"/>
          <w:szCs w:val="28"/>
          <w:rtl/>
        </w:rPr>
        <w:t xml:space="preserve">فتحصيل الحاصل المحال هو ما إذا وجد في الخارج وأمّا إذا لم يوجد فلا.</w:t>
      </w:r>
    </w:p>
    <w:p>
      <w:pPr>
        <w:pStyle w:val="BookText"/>
      </w:pPr>
      <w:r>
        <w:rPr>
          <w:rFonts w:ascii="IRNazanin" w:hAnsi="IRNazanin" w:eastAsia="IRNazanin" w:cs="IRNazanin"/>
          <w:lang w:bidi="fa-IR"/>
          <w:color w:val="111111"/>
          <w:sz w:val="28"/>
          <w:szCs w:val="28"/>
          <w:rtl/>
        </w:rPr>
        <w:t xml:space="preserve">هذا کلّه مضافاً إلى أنّ لازم ما ذكره عدم تعلّق الطلب بالتوصّليات أصلاً؛ إذ مع البناء على العدم والعصيان أیضاً يكون الطلب لغواً أو محالاً؛ لأنّه من تحصيل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74" w:name="pg6784_51551"/>
    <w:bookmarkEnd w:id="274"/>
    <w:p>
      <w:pPr>
        <w:pStyle w:val="BookText"/>
      </w:pPr>
      <w:r>
        <w:rPr>
          <w:rFonts w:ascii="IRNazanin" w:hAnsi="IRNazanin" w:eastAsia="IRNazanin" w:cs="IRNazanin"/>
          <w:lang w:bidi="fa-IR"/>
          <w:color w:val="111111"/>
          <w:sz w:val="28"/>
          <w:szCs w:val="28"/>
          <w:rtl/>
        </w:rPr>
        <w:t xml:space="preserve">الممتنع فيلزم عدم كون العُصاة مکلّفين أصلاً، بل في التعبّديّات أیضاً مع فرض العصيان يلزم ما ذكر.</w:t>
      </w:r>
    </w:p>
    <w:p>
      <w:pPr>
        <w:pStyle w:val="BookText"/>
      </w:pPr>
      <w:r>
        <w:rPr>
          <w:rFonts w:ascii="IRNazanin" w:hAnsi="IRNazanin" w:eastAsia="IRNazanin" w:cs="IRNazanin"/>
          <w:lang w:bidi="fa-IR"/>
          <w:color w:val="111111"/>
          <w:sz w:val="28"/>
          <w:szCs w:val="28"/>
          <w:rtl/>
        </w:rPr>
        <w:t xml:space="preserve">ودعوى أنّ ثمرة التکلیف بالنسبة إلى العُصاة العقاب؛</w:t>
      </w:r>
    </w:p>
    <w:p>
      <w:pPr>
        <w:pStyle w:val="BookText"/>
      </w:pPr>
      <w:r>
        <w:rPr>
          <w:rFonts w:ascii="IRNazanin" w:hAnsi="IRNazanin" w:eastAsia="IRNazanin" w:cs="IRNazanin"/>
          <w:lang w:bidi="fa-IR"/>
          <w:color w:val="111111"/>
          <w:sz w:val="28"/>
          <w:szCs w:val="28"/>
          <w:rtl/>
        </w:rPr>
        <w:t xml:space="preserve">مدفوعة بأنّه يمكن أن يقال: الثمرة مع البناء على الإتیان أیضاً الثواب إذا قصد الأمر.</w:t>
      </w:r>
    </w:p>
    <w:p>
      <w:pPr>
        <w:pStyle w:val="Heading6"/>
      </w:pPr>
      <w:bookmarkStart w:id="799" w:name="_Toc480"/>
      <w:r>
        <w:t>[رأي السیّد المحقّق الأستاد ونقده]</w:t>
      </w:r>
      <w:bookmarkEnd w:id="799"/>
    </w:p>
    <w:p>
      <w:pPr>
        <w:pStyle w:val="BookText"/>
      </w:pPr>
      <w:r>
        <w:rPr>
          <w:rFonts w:ascii="IRNazanin" w:hAnsi="IRNazanin" w:eastAsia="IRNazanin" w:cs="IRNazanin"/>
          <w:lang w:bidi="fa-IR"/>
          <w:color w:val="111111"/>
          <w:sz w:val="28"/>
          <w:szCs w:val="28"/>
          <w:rtl/>
        </w:rPr>
        <w:t xml:space="preserve">ولما ذكرنا من كون اللازم عدم تکلیف العُصاة التزم به سيّد تلامذته السيد المحقّق الأستاد</w:t>
      </w:r>
      <w:r>
        <w:rPr>
          <w:rStyle w:val="FootnoteReference"/>
        </w:rPr>
        <w:footnoteReference w:id="1910"/>
      </w:r>
      <w:r>
        <w:rPr>
          <w:rFonts w:ascii="IRNazanin" w:hAnsi="IRNazanin" w:eastAsia="IRNazanin" w:cs="IRNazanin"/>
          <w:lang w:bidi="fa-IR"/>
          <w:color w:val="111111"/>
          <w:sz w:val="28"/>
          <w:szCs w:val="28"/>
          <w:rtl/>
        </w:rPr>
        <w:t xml:space="preserve">دام ظلّه العالي وأجاب به عن الإشکال الأوّل أیضاً وهو لزوم الأمر بالضدّين فقال: إذا كان المکلّف بانياً على عصيان الأهمّ فلا يكون مکلّفاً بالإتیان به إلّا صورة وإلّا ففي الحقيقة لا يعقل البعث فلا يلزم تعلّق الطلبين الحقيقيين بالمکلّف.</w:t>
      </w:r>
    </w:p>
    <w:p>
      <w:pPr>
        <w:pStyle w:val="BookText"/>
      </w:pPr>
      <w:r>
        <w:rPr>
          <w:rFonts w:ascii="IRNazanin" w:hAnsi="IRNazanin" w:eastAsia="IRNazanin" w:cs="IRNazanin"/>
          <w:lang w:bidi="fa-IR"/>
          <w:color w:val="111111"/>
          <w:sz w:val="28"/>
          <w:szCs w:val="28"/>
          <w:rtl/>
        </w:rPr>
        <w:t xml:space="preserve">قلت: ومنه يمكن دفع الإشکال الثالث أیضاً؛ إذ مع البناء على عصيان الأهمّ لايؤمر بترك غير الأهمّ من باب المقدّمة فلا يلزم اجتماع الأمر والنهي في غير الأهمّ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75" w:name="pg6784_51553"/>
    <w:bookmarkEnd w:id="275"/>
    <w:p>
      <w:pPr>
        <w:pStyle w:val="BookText"/>
      </w:pPr>
      <w:r>
        <w:rPr>
          <w:rFonts w:ascii="Amiri" w:hAnsi="Amiri" w:eastAsia="Amiri" w:cs="Amiri"/>
          <w:lang w:bidi="ar-SA"/>
          <w:color w:val="111111"/>
          <w:sz w:val="28"/>
          <w:szCs w:val="28"/>
          <w:rtl/>
        </w:rPr>
        <w:t xml:space="preserve">أیضاً.</w:t>
      </w:r>
    </w:p>
    <w:p>
      <w:pPr>
        <w:pStyle w:val="BookText"/>
      </w:pPr>
      <w:r>
        <w:rPr>
          <w:rFonts w:ascii="IRNazanin" w:hAnsi="IRNazanin" w:eastAsia="IRNazanin" w:cs="IRNazanin"/>
          <w:lang w:bidi="fa-IR"/>
          <w:color w:val="111111"/>
          <w:sz w:val="28"/>
          <w:szCs w:val="28"/>
          <w:rtl/>
        </w:rPr>
        <w:t xml:space="preserve">وأنت خبير بما في هذه الکلمات.</w:t>
      </w:r>
    </w:p>
    <w:p>
      <w:pPr>
        <w:pStyle w:val="Heading6"/>
      </w:pPr>
      <w:bookmarkStart w:id="800" w:name="_Toc481"/>
      <w:r>
        <w:t>[الرأي المختار]</w:t>
      </w:r>
      <w:bookmarkEnd w:id="800"/>
    </w:p>
    <w:p>
      <w:pPr>
        <w:pStyle w:val="BookText"/>
      </w:pPr>
      <w:r>
        <w:rPr>
          <w:rFonts w:ascii="Amiri" w:hAnsi="Amiri" w:eastAsia="Amiri" w:cs="Amiri"/>
          <w:lang w:bidi="ar-SA"/>
          <w:color w:val="111111"/>
          <w:sz w:val="28"/>
          <w:szCs w:val="28"/>
          <w:rtl/>
        </w:rPr>
        <w:t xml:space="preserve">والتّحقیق أنّ التکلیف یتعلّق</w:t>
      </w:r>
      <w:r>
        <w:rPr>
          <w:rStyle w:val="FootnoteReference"/>
        </w:rPr>
        <w:footnoteReference w:id="1911"/>
      </w:r>
      <w:r>
        <w:rPr>
          <w:rFonts w:ascii="IRNazanin" w:hAnsi="IRNazanin" w:eastAsia="IRNazanin" w:cs="IRNazanin"/>
          <w:lang w:bidi="fa-IR"/>
          <w:color w:val="111111"/>
          <w:sz w:val="28"/>
          <w:szCs w:val="28"/>
          <w:rtl/>
        </w:rPr>
        <w:t xml:space="preserve">بالبانين على الإتیان والبانين على العصيان ولا مانع منه من اللّغويّة والمُحاليّة وإلّا لزم جواز</w:t>
      </w:r>
      <w:r>
        <w:rPr>
          <w:rStyle w:val="FootnoteReference"/>
        </w:rPr>
        <w:footnoteReference w:id="1912"/>
      </w:r>
      <w:r>
        <w:rPr>
          <w:rFonts w:ascii="IRNazanin" w:hAnsi="IRNazanin" w:eastAsia="IRNazanin" w:cs="IRNazanin"/>
          <w:lang w:bidi="fa-IR"/>
          <w:color w:val="111111"/>
          <w:sz w:val="28"/>
          <w:szCs w:val="28"/>
          <w:rtl/>
        </w:rPr>
        <w:t xml:space="preserve">اجتماع</w:t>
      </w:r>
      <w:r>
        <w:rPr>
          <w:rStyle w:val="FootnoteReference"/>
        </w:rPr>
        <w:footnoteReference w:id="1913"/>
      </w:r>
      <w:r>
        <w:rPr>
          <w:rFonts w:ascii="Amiri" w:hAnsi="Amiri" w:eastAsia="Amiri" w:cs="Amiri"/>
          <w:lang w:bidi="ar-SA"/>
          <w:color w:val="111111"/>
          <w:sz w:val="28"/>
          <w:szCs w:val="28"/>
          <w:rtl/>
        </w:rPr>
        <w:t xml:space="preserve">الأمر والنهي</w:t>
      </w:r>
      <w:r>
        <w:rPr>
          <w:rStyle w:val="FootnoteReference"/>
        </w:rPr>
        <w:footnoteReference w:id="1914"/>
      </w:r>
      <w:r>
        <w:rPr>
          <w:rFonts w:ascii="IRNazanin" w:hAnsi="IRNazanin" w:eastAsia="IRNazanin" w:cs="IRNazanin"/>
          <w:lang w:bidi="fa-IR"/>
          <w:color w:val="111111"/>
          <w:sz w:val="28"/>
          <w:szCs w:val="28"/>
          <w:rtl/>
        </w:rPr>
        <w:t xml:space="preserve">في جميع المقامات؛ إذ مع البناء على الإتیان بالفرد المجمع لا يكون مکلّفاً بالترك حتّى يلزم اجتماع</w:t>
      </w:r>
      <w:r>
        <w:rPr>
          <w:rStyle w:val="FootnoteReference"/>
        </w:rPr>
        <w:footnoteReference w:id="1915"/>
      </w:r>
      <w:r>
        <w:rPr>
          <w:rFonts w:ascii="Amiri" w:hAnsi="Amiri" w:eastAsia="Amiri" w:cs="Amiri"/>
          <w:lang w:bidi="ar-SA"/>
          <w:color w:val="111111"/>
          <w:sz w:val="28"/>
          <w:szCs w:val="28"/>
          <w:rtl/>
        </w:rPr>
        <w:t xml:space="preserve">الأمروالنهي</w:t>
      </w:r>
      <w:r>
        <w:rPr>
          <w:rStyle w:val="FootnoteReference"/>
        </w:rPr>
        <w:footnoteReference w:id="1916"/>
      </w:r>
      <w:r>
        <w:rPr>
          <w:rFonts w:ascii="Amiri" w:hAnsi="Amiri" w:eastAsia="Amiri" w:cs="Amiri"/>
          <w:lang w:bidi="ar-SA"/>
          <w:color w:val="111111"/>
          <w:sz w:val="28"/>
          <w:szCs w:val="28"/>
          <w:rtl/>
        </w:rPr>
        <w:t xml:space="preserve">مع أنّهم لا يلتزمون بذلك.</w:t>
      </w:r>
    </w:p>
    <w:p>
      <w:pPr>
        <w:pStyle w:val="BookText"/>
      </w:pPr>
      <w:r>
        <w:rPr>
          <w:rFonts w:ascii="IRNazanin" w:hAnsi="IRNazanin" w:eastAsia="IRNazanin" w:cs="IRNazanin"/>
          <w:lang w:bidi="fa-IR"/>
          <w:color w:val="111111"/>
          <w:sz w:val="28"/>
          <w:szCs w:val="28"/>
          <w:rtl/>
        </w:rPr>
        <w:t xml:space="preserve">وممّا ذكرنا ظهر ما في کلام بعض الأفاضل</w:t>
      </w:r>
      <w:r>
        <w:rPr>
          <w:rStyle w:val="FootnoteReference"/>
        </w:rPr>
        <w:footnoteReference w:id="1917"/>
      </w:r>
    </w:p>
    <w:p>
      <w:pPr>
        <w:pStyle w:val="BookText"/>
      </w:pPr>
      <w:r>
        <w:rPr>
          <w:rFonts w:ascii="Amiri" w:hAnsi="Amiri" w:eastAsia="Amiri" w:cs="Amiri"/>
          <w:lang w:bidi="ar-SA"/>
          <w:color w:val="111111"/>
          <w:sz w:val="28"/>
          <w:szCs w:val="28"/>
          <w:rtl/>
        </w:rPr>
        <w:t xml:space="preserve">وقد يتفصّى عن ذلك بأنّ المكلّف لمّا كان موجداً للاغتراف من عنده مع نهي المولى لم يتعلّق به الأمر المقدمي؛ لأنّ من شرط الأمر بشي‌ء أن لا يكون المأمور موجداً له بداعٍ نفساني وإلاّ لزم تحصيل الحاصل؛ إذ الغرض من الأمر بعث المأمور على إيجاد المأمور به فإذا كان منبعثاً من قبل نفسه لم يتحقق من الأمر به البعث على إيجاده بل يكون من باب التأكيد الخارج عن الأمر الحقيقي.</w:t>
      </w:r>
    </w:p>
    <w:p>
      <w:pPr>
        <w:pStyle w:val="BookText"/>
      </w:pPr>
      <w:r>
        <w:rPr>
          <w:rFonts w:ascii="IRNazanin" w:hAnsi="IRNazanin" w:eastAsia="IRNazanin" w:cs="IRNazanin"/>
          <w:lang w:bidi="fa-IR"/>
          <w:color w:val="111111"/>
          <w:sz w:val="28"/>
          <w:szCs w:val="28"/>
          <w:rtl/>
        </w:rPr>
        <w:t xml:space="preserve">وفيه: أنّ وجوب المقدّمة لا يحتاج إلى داعي آخر غير داعي الأمر بذيها؛ لأنّه من لوازم وجوب ذيها ومن رشحات الوجوب يحدث بحدوث الأمر المتعلّق بذيها حتّى لو أراد الآمر أن لا يأمر بالمقدّمة لم يستطع حسبما ستعرف في محلّه إن شاء الله تعالى. وكيف كان فتوهّم صحّة الوضوء مع الاغتراف بالآنية المغصوبة المنحصرة واضح الفساد لا یحوم حوله عالم».</w:t>
      </w:r>
    </w:p>
    <w:p>
      <w:pPr>
        <w:pStyle w:val="BookText"/>
      </w:pPr>
      <w:r>
        <w:rPr>
          <w:rFonts w:ascii="Amiri" w:hAnsi="Amiri" w:eastAsia="Amiri" w:cs="Amiri"/>
          <w:lang w:bidi="ar-SA"/>
          <w:color w:val="111111"/>
          <w:sz w:val="28"/>
          <w:szCs w:val="28"/>
          <w:rtl/>
        </w:rPr>
        <w:t xml:space="preserve">من تلامذة المحقّق المذكور من</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76" w:name="pg6784_51555"/>
    <w:bookmarkEnd w:id="276"/>
    <w:p>
      <w:pPr>
        <w:pStyle w:val="BookText"/>
      </w:pPr>
      <w:r>
        <w:rPr>
          <w:rFonts w:ascii="IRNazanin" w:hAnsi="IRNazanin" w:eastAsia="IRNazanin" w:cs="IRNazanin"/>
          <w:lang w:bidi="fa-IR"/>
          <w:color w:val="111111"/>
          <w:sz w:val="28"/>
          <w:szCs w:val="28"/>
          <w:rtl/>
        </w:rPr>
        <w:t xml:space="preserve">الفرق بين الواجبات التوصّليّة النفسيّة والغيريّة المقدّميّة وأنّ الأولى لا يتعلّق بها الطلب مع البناء على الإتیان لمكان اللّغويّة دون الثانيّة لعدم الحاجة إلى إنشاء مستقلّ فيها وإنّما وجوبها يكون تابعاً لوجوب ذيها فلا يلزم اللّغويّة فيها.</w:t>
      </w:r>
    </w:p>
    <w:p>
      <w:pPr>
        <w:pStyle w:val="BookText"/>
      </w:pPr>
      <w:r>
        <w:rPr>
          <w:rFonts w:ascii="Amiri" w:hAnsi="Amiri" w:eastAsia="Amiri" w:cs="Amiri"/>
          <w:lang w:bidi="ar-SA"/>
          <w:color w:val="111111"/>
          <w:sz w:val="28"/>
          <w:szCs w:val="28"/>
          <w:rtl/>
        </w:rPr>
        <w:t xml:space="preserve">وذلك لما عرفت من أنّ المانع ليس منحصراً في اللّغويّة بل هي مع كون الطلب من تحصيل الحاصل المُحال ولا فرق فيه بين النفسيّات والغيريّات.</w:t>
      </w:r>
    </w:p>
    <w:p>
      <w:pPr>
        <w:pStyle w:val="BookText"/>
      </w:pPr>
      <w:r>
        <w:rPr>
          <w:rFonts w:ascii="IRNazanin" w:hAnsi="IRNazanin" w:eastAsia="IRNazanin" w:cs="IRNazanin"/>
          <w:lang w:bidi="fa-IR"/>
          <w:color w:val="111111"/>
          <w:sz w:val="28"/>
          <w:szCs w:val="28"/>
          <w:rtl/>
        </w:rPr>
        <w:t xml:space="preserve">مع أنّ الأمر في النفسيّات أیضاً قد يكون في ضمن عموم يشمل هذا الشخص وغيره فإدخاله في العموم لا يحتاج إلى مؤونة</w:t>
      </w:r>
      <w:r>
        <w:rPr>
          <w:rStyle w:val="FootnoteReference"/>
        </w:rPr>
        <w:footnoteReference w:id="1918"/>
      </w:r>
      <w:r>
        <w:rPr>
          <w:rFonts w:ascii="IRNazanin" w:hAnsi="IRNazanin" w:eastAsia="IRNazanin" w:cs="IRNazanin"/>
          <w:lang w:bidi="fa-IR"/>
          <w:color w:val="111111"/>
          <w:sz w:val="28"/>
          <w:szCs w:val="28"/>
          <w:rtl/>
        </w:rPr>
        <w:t xml:space="preserve">إنشاء مستقلّ فلا فرق.</w:t>
      </w:r>
    </w:p>
    <w:p>
      <w:pPr>
        <w:pStyle w:val="BookText"/>
      </w:pPr>
      <w:r>
        <w:rPr>
          <w:rFonts w:ascii="Amiri" w:hAnsi="Amiri" w:eastAsia="Amiri" w:cs="Amiri"/>
          <w:lang w:bidi="ar-SA"/>
          <w:color w:val="111111"/>
          <w:sz w:val="28"/>
          <w:szCs w:val="28"/>
          <w:rtl/>
        </w:rPr>
        <w:t xml:space="preserve">هذا مضافاً إلى ما عرفت من عدم تماميّة أصل المطلب.</w:t>
      </w:r>
    </w:p>
    <w:p>
      <w:pPr>
        <w:pStyle w:val="Heading6"/>
      </w:pPr>
      <w:bookmarkStart w:id="801" w:name="_Toc482"/>
      <w:r>
        <w:t>[الإیراد على القول بالترتّب لو تمّ]</w:t>
      </w:r>
      <w:bookmarkEnd w:id="801"/>
    </w:p>
    <w:p>
      <w:pPr>
        <w:pStyle w:val="BookText"/>
      </w:pPr>
      <w:r>
        <w:rPr>
          <w:rFonts w:ascii="IRNazanin" w:hAnsi="IRNazanin" w:eastAsia="IRNazanin" w:cs="IRNazanin"/>
          <w:lang w:bidi="fa-IR"/>
          <w:color w:val="111111"/>
          <w:sz w:val="28"/>
          <w:szCs w:val="28"/>
          <w:rtl/>
        </w:rPr>
        <w:t xml:space="preserve">ثمّ إنّه يرد على القول بالترتّب أنّه لو تمّ فيجري في الحرام النفسي أیضاً؛ إذ يجوز على هذا أن يقول: «لا تكن في الدّار المغصوبة ولو كنت وعصيت نهيي فصلّ»، فيلزم اجتماع</w:t>
      </w:r>
      <w:r>
        <w:rPr>
          <w:rStyle w:val="FootnoteReference"/>
        </w:rPr>
        <w:footnoteReference w:id="1919"/>
      </w:r>
      <w:r>
        <w:rPr>
          <w:rFonts w:ascii="IRNazanin" w:hAnsi="IRNazanin" w:eastAsia="IRNazanin" w:cs="IRNazanin"/>
          <w:lang w:bidi="fa-IR"/>
          <w:color w:val="111111"/>
          <w:sz w:val="28"/>
          <w:szCs w:val="28"/>
          <w:rtl/>
        </w:rPr>
        <w:t xml:space="preserve">الأمر والنهي النفسيين أیضاً على سبيل الترتّب ولو كان متعلّق الأمرمنحصراً في الفرد المحرّم بأن لا يكون له مكان مباح.</w:t>
      </w:r>
    </w:p>
    <w:p>
      <w:pPr>
        <w:pStyle w:val="BookText"/>
      </w:pPr>
      <w:r>
        <w:rPr>
          <w:rFonts w:ascii="IRNazanin" w:hAnsi="IRNazanin" w:eastAsia="IRNazanin" w:cs="IRNazanin"/>
          <w:lang w:bidi="fa-IR"/>
          <w:color w:val="111111"/>
          <w:sz w:val="28"/>
          <w:szCs w:val="28"/>
          <w:rtl/>
        </w:rPr>
        <w:t xml:space="preserve">مع أنّ القائل بجواز الاجتماع لا يقول به في المقام حيث إنّه يخصّه بما إذا كان للمکلّف مندوحة.</w:t>
      </w:r>
    </w:p>
    <w:p>
      <w:pPr>
        <w:pStyle w:val="BookText"/>
      </w:pPr>
      <w:r>
        <w:rPr>
          <w:rFonts w:ascii="Amiri" w:hAnsi="Amiri" w:eastAsia="Amiri" w:cs="Amiri"/>
          <w:lang w:bidi="ar-SA"/>
          <w:color w:val="111111"/>
          <w:sz w:val="28"/>
          <w:szCs w:val="28"/>
          <w:rtl/>
        </w:rPr>
        <w:t xml:space="preserve">ومن العجب أنّ القائل بالترتّب لا يقول بجواز الاجتماع مع المندوحة وقد عرفت أنّ لازمه</w:t>
      </w:r>
      <w:r>
        <w:rPr>
          <w:rStyle w:val="FootnoteReference"/>
        </w:rPr>
        <w:footnoteReference w:id="1920"/>
      </w:r>
      <w:r>
        <w:rPr>
          <w:rFonts w:ascii="IRNazanin" w:hAnsi="IRNazanin" w:eastAsia="IRNazanin" w:cs="IRNazanin"/>
          <w:lang w:bidi="fa-IR"/>
          <w:color w:val="111111"/>
          <w:sz w:val="28"/>
          <w:szCs w:val="28"/>
          <w:rtl/>
        </w:rPr>
        <w:t xml:space="preserve">جوازه مع عدمها.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قلت: إنّ الوجه في تخصيصه بالحرام الغيري أنّه لا يعقل اجتماع المفسدة النفسيّة والمصلحة كذلك في شي‌ء واحد وفي الحرام الغيري لا يكون مفسدة وإنّما نهي عنه توصّلاً إلى واجب آخر وإلّا فهو تامّ المصلحة بالفرض.</w:t>
      </w:r>
    </w:p>
    <w:p>
      <w:pPr>
        <w:pStyle w:val="BookText"/>
      </w:pPr>
      <w:r>
        <w:rPr>
          <w:rFonts w:ascii="IRNazanin" w:hAnsi="IRNazanin" w:eastAsia="IRNazanin" w:cs="IRNazanin"/>
          <w:lang w:bidi="fa-IR"/>
          <w:color w:val="111111"/>
          <w:sz w:val="28"/>
          <w:szCs w:val="28"/>
          <w:rtl/>
        </w:rPr>
        <w:t xml:space="preserve">قلت: إنّ المانع من جواز الاجتماع هو عدم إمکان اجتماع الطّلبين وإذا أمكن ذلك من جهة الترتّب واندفع الممانعة بذلك فلا فرق؛ إذ يمكن أن يكون في فعل الصّلاة</w:t>
      </w:r>
      <w:r>
        <w:rPr>
          <w:rStyle w:val="FootnoteReference"/>
        </w:rPr>
        <w:footnoteReference w:id="1921"/>
      </w:r>
      <w:r>
        <w:rPr>
          <w:rFonts w:ascii="IRNazanin" w:hAnsi="IRNazanin" w:eastAsia="IRNazanin" w:cs="IRNazanin"/>
          <w:lang w:bidi="fa-IR"/>
          <w:color w:val="111111"/>
          <w:sz w:val="28"/>
          <w:szCs w:val="28"/>
          <w:rtl/>
        </w:rPr>
        <w:t xml:space="preserve">مصلحة تامّة عامّة وإنّما منع عن الأمر بها تعلّق غرض الآمر بترك الغصب فإذا فرض أنّ المکلّف يرتكبه</w:t>
      </w:r>
      <w:r>
        <w:rPr>
          <w:rStyle w:val="FootnoteReference"/>
        </w:rPr>
        <w:footnoteReference w:id="1922"/>
      </w:r>
      <w:r>
        <w:rPr>
          <w:rFonts w:ascii="Amiri" w:hAnsi="Amiri" w:eastAsia="Amiri" w:cs="Amiri"/>
          <w:lang w:bidi="ar-SA"/>
          <w:color w:val="111111"/>
          <w:sz w:val="28"/>
          <w:szCs w:val="28"/>
          <w:rtl/>
        </w:rPr>
        <w:t xml:space="preserve">بالعصيان فيمكن أن يؤمر بها على هذا الفرض ويشملها الإطلاقات بعين ما ذكر في الغيري.</w:t>
      </w:r>
    </w:p>
    <w:p>
      <w:pPr>
        <w:pStyle w:val="BookText"/>
      </w:pPr>
      <w:r>
        <w:rPr>
          <w:rFonts w:ascii="Amiri" w:hAnsi="Amiri" w:eastAsia="Amiri" w:cs="Amiri"/>
          <w:lang w:bidi="ar-SA"/>
          <w:color w:val="111111"/>
          <w:sz w:val="28"/>
          <w:szCs w:val="28"/>
          <w:rtl/>
        </w:rPr>
        <w:t xml:space="preserve">وأمّا ما ذكر من عدم اجتماع المصلحة والمفسدة؛</w:t>
      </w:r>
    </w:p>
    <w:p>
      <w:pPr>
        <w:pStyle w:val="BookText"/>
      </w:pPr>
      <w:r>
        <w:rPr>
          <w:rFonts w:ascii="Amiri" w:hAnsi="Amiri" w:eastAsia="Amiri" w:cs="Amiri"/>
          <w:lang w:bidi="ar-SA"/>
          <w:color w:val="111111"/>
          <w:sz w:val="28"/>
          <w:szCs w:val="28"/>
          <w:rtl/>
        </w:rPr>
        <w:t xml:space="preserve">ففيه ما عرفت سابقاً من أنّه لا مانع منه إذا كان من الجهتين.</w:t>
      </w:r>
    </w:p>
    <w:p>
      <w:pPr>
        <w:pStyle w:val="BookText"/>
      </w:pPr>
      <w:r>
        <w:rPr>
          <w:rFonts w:ascii="IRNazanin" w:hAnsi="IRNazanin" w:eastAsia="IRNazanin" w:cs="IRNazanin"/>
          <w:lang w:bidi="fa-IR"/>
          <w:color w:val="111111"/>
          <w:sz w:val="28"/>
          <w:szCs w:val="28"/>
          <w:rtl/>
        </w:rPr>
        <w:t xml:space="preserve">ويرد على القول المذكور أیضاً أنّ التمسّك بالإطلاقات لتصحيح العمل بعد فرض جواز التکلیف المذكور ممّا لا وجه له؛ إذ المفروض أنّها قد قيّدت بحكم العقل في الرّتبة الأولى فلا وجه للعمل بها بعد ذلك.</w:t>
      </w:r>
    </w:p>
    <w:p>
      <w:pPr>
        <w:pStyle w:val="BookText"/>
      </w:pPr>
      <w:r>
        <w:rPr>
          <w:rFonts w:ascii="Amiri" w:hAnsi="Amiri" w:eastAsia="Amiri" w:cs="Amiri"/>
          <w:lang w:bidi="ar-SA"/>
          <w:color w:val="111111"/>
          <w:sz w:val="28"/>
          <w:szCs w:val="28"/>
          <w:rtl/>
        </w:rPr>
        <w:t xml:space="preserve">فلو كان قوله: «صلّ» مقيّداً بقوله: «أزل النّجاسة» بحكم العقل وصار محصله أنّه يجب الصّلاة</w:t>
      </w:r>
      <w:r>
        <w:rPr>
          <w:rStyle w:val="FootnoteReference"/>
        </w:rPr>
        <w:footnoteReference w:id="1923"/>
      </w:r>
      <w:r>
        <w:rPr>
          <w:rFonts w:ascii="IRNazanin" w:hAnsi="IRNazanin" w:eastAsia="IRNazanin" w:cs="IRNazanin"/>
          <w:lang w:bidi="fa-IR"/>
          <w:color w:val="111111"/>
          <w:sz w:val="28"/>
          <w:szCs w:val="28"/>
          <w:rtl/>
        </w:rPr>
        <w:t xml:space="preserve">إلّا إذا كان هناك تکلیف بإزالة النجاسة فلا يمكن أن يتمسّك به ثانياً ويقال: «وإن لم تزل النجاسة فصلّ»؛ إذ لم يذكر إلّا مرّة واحدة وقد قيّد بالقيد المذكور.وبالجملة الإطلاق غير وافٍ بالمراتب الطوليّة.</w:t>
      </w:r>
    </w:p>
    <w:p>
      <w:pPr>
        <w:pStyle w:val="BookText"/>
      </w:pPr>
      <w:r>
        <w:rPr>
          <w:rFonts w:ascii="IRNazanin" w:hAnsi="IRNazanin" w:eastAsia="IRNazanin" w:cs="IRNazanin"/>
          <w:lang w:bidi="fa-IR"/>
          <w:color w:val="111111"/>
          <w:sz w:val="28"/>
          <w:szCs w:val="28"/>
          <w:rtl/>
        </w:rPr>
        <w:t xml:space="preserve">هذا إذا أخذنا بظاهر کلامه من أنّ الأمر بغير الأهمّ مشروط بالعصيان وإلّا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فيمكن أن يقرّر المطلب بوجه لا يرد عليه هذا الإيراد وهو أن يقال: إنّ إطلاق قوله: «أقيموا الصّلاة» يقتضي وجوبها في جميع الأحوال وبعد حكم الشارع بوجوب الإزالة قيّد الأمر المذكور بحكم العقل بقدر المانع وهو شغل الوقت بفعل الأهمّ، فمجرّد الأمر بالأهمّ لا يقيّد الإطلاق لعدم المزاحمة بالفرض بل ما لم يوجد المانع يجب العمل بالإطلاق المذكور.</w:t>
      </w:r>
    </w:p>
    <w:p>
      <w:pPr>
        <w:pStyle w:val="BookText"/>
      </w:pPr>
      <w:r>
        <w:rPr>
          <w:rFonts w:ascii="IRNazanin" w:hAnsi="IRNazanin" w:eastAsia="IRNazanin" w:cs="IRNazanin"/>
          <w:lang w:bidi="fa-IR"/>
          <w:color w:val="111111"/>
          <w:sz w:val="28"/>
          <w:szCs w:val="28"/>
          <w:rtl/>
        </w:rPr>
        <w:t xml:space="preserve">ومن ذلك يظهر أنّ شغل الزمان مانع لا أنّ العصيان وخلوّ الزمان شرط، فليس من قبيل الشرط المتأخّر حتّى يرد عليه الإشکال السّابق؛ إذ ليس المتأخّر مؤثراً في المتقدّم بل الأثر إنّما هو للمقتضي، والمانع على فرض وجوده يؤثّر في المنع ومع</w:t>
      </w:r>
      <w:r>
        <w:rPr>
          <w:rStyle w:val="FootnoteReference"/>
        </w:rPr>
        <w:footnoteReference w:id="1924"/>
      </w:r>
      <w:r>
        <w:rPr>
          <w:rFonts w:ascii="Amiri" w:hAnsi="Amiri" w:eastAsia="Amiri" w:cs="Amiri"/>
          <w:lang w:bidi="ar-SA"/>
          <w:color w:val="111111"/>
          <w:sz w:val="28"/>
          <w:szCs w:val="28"/>
          <w:rtl/>
        </w:rPr>
        <w:t xml:space="preserve">عدمه على ما هو المفروض فيعمل المقتضي عمله.</w:t>
      </w:r>
    </w:p>
    <w:p>
      <w:pPr>
        <w:pStyle w:val="BookText"/>
      </w:pPr>
      <w:r>
        <w:rPr>
          <w:rFonts w:ascii="IRNazanin" w:hAnsi="IRNazanin" w:eastAsia="IRNazanin" w:cs="IRNazanin"/>
          <w:lang w:bidi="fa-IR"/>
          <w:color w:val="111111"/>
          <w:sz w:val="28"/>
          <w:szCs w:val="28"/>
          <w:rtl/>
        </w:rPr>
        <w:t xml:space="preserve">وكيف كان فعلى هذا التقرير يمكن التمسّك بالإطلاق إلّا أنّه لا يكون من قبيل تعدّد المرتبة؛ إذ الأمران حینئذٍ في عرض واحد، غاية الأمر أنّ أحدهما مطلق والآخر قد قيّد بسبب خروج بعض الحالات وهو حالة مشغوليّة الزمان بالأوّل بما عدا تلك الحالة، فكأنّه قال: «أزل النجاسة وصلّ إلّا إذا كنت مشتغلاً بالإزالة» ومن المعلوم أنّهما حینئذٍ في مرتبة واحدة فلا يتمّ ما ذكره من الترتّب.</w:t>
      </w:r>
    </w:p>
    <w:p>
      <w:pPr>
        <w:pStyle w:val="BookText"/>
      </w:pPr>
      <w:r>
        <w:rPr>
          <w:rFonts w:ascii="Amiri" w:hAnsi="Amiri" w:eastAsia="Amiri" w:cs="Amiri"/>
          <w:lang w:bidi="ar-SA"/>
          <w:color w:val="111111"/>
          <w:sz w:val="28"/>
          <w:szCs w:val="28"/>
          <w:rtl/>
        </w:rPr>
        <w:t xml:space="preserve">فتحصّل أنّه لو قرّر المطلب على وجه يكون من الترتّب لا يمكن التمسّك بالإطلاق؛ إذ هو لا يعود بعد زواله بالمزاحمة وإن قرّر على وجه يمكن التمسّك به لايكون هناك ترتّب. فتدبّر.</w:t>
      </w:r>
    </w:p>
    <w:p>
      <w:pPr>
        <w:pStyle w:val="BookText"/>
      </w:pPr>
      <w:r>
        <w:rPr>
          <w:rFonts w:ascii="IRNazanin" w:hAnsi="IRNazanin" w:eastAsia="IRNazanin" w:cs="IRNazanin"/>
          <w:lang w:bidi="fa-IR"/>
          <w:color w:val="111111"/>
          <w:sz w:val="28"/>
          <w:szCs w:val="28"/>
          <w:rtl/>
        </w:rPr>
        <w:t xml:space="preserve">هذا وقد يورد على القول المذكور بأنّ لازمه تعدّد عقاب المکلّف على فرض عصيان الأمر الثاني أیضاً وهو ممّا لا يمكن الالتزام به.</w:t>
      </w:r>
    </w:p>
    <w:p>
      <w:pPr>
        <w:pStyle w:val="BookText"/>
      </w:pPr>
      <w:r>
        <w:rPr>
          <w:rFonts w:ascii="Amiri" w:hAnsi="Amiri" w:eastAsia="Amiri" w:cs="Amiri"/>
          <w:lang w:bidi="ar-SA"/>
          <w:color w:val="111111"/>
          <w:sz w:val="28"/>
          <w:szCs w:val="28"/>
          <w:rtl/>
        </w:rPr>
        <w:t xml:space="preserve">وأنت خبير بأنّه لا مانع منه بعد وجود الأمرين كما في صورة عدم المزاحمة.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77" w:name="pg6784_51561"/>
    <w:bookmarkEnd w:id="277"/>
    <w:p>
      <w:pPr>
        <w:pStyle w:val="BookText"/>
      </w:pPr>
      <w:r>
        <w:rPr>
          <w:rFonts w:ascii="IRNazanin" w:hAnsi="IRNazanin" w:eastAsia="IRNazanin" w:cs="IRNazanin"/>
          <w:lang w:bidi="fa-IR"/>
          <w:color w:val="111111"/>
          <w:sz w:val="28"/>
          <w:szCs w:val="28"/>
          <w:rtl/>
        </w:rPr>
        <w:t xml:space="preserve">بقي شي‌ء وهو أنّه لو تمّ القول بالترتّب فلا یختصّ بما إذا كان أحد الواجبين أهمّ من الآخر بل يجري في المتساویين من المتزاحمين أیضاً.</w:t>
      </w:r>
    </w:p>
    <w:p>
      <w:pPr>
        <w:pStyle w:val="Heading6"/>
      </w:pPr>
      <w:bookmarkStart w:id="802" w:name="_Toc483"/>
      <w:r>
        <w:t>[تصحيح صاحب الفصول (رحمة الله‌علیه) لجواز الاجتماع بالمقدّمة الموصلة]</w:t>
      </w:r>
      <w:bookmarkEnd w:id="802"/>
    </w:p>
    <w:p>
      <w:pPr>
        <w:pStyle w:val="BookText"/>
      </w:pPr>
      <w:r>
        <w:rPr>
          <w:rFonts w:ascii="Amiri" w:hAnsi="Amiri" w:eastAsia="Amiri" w:cs="Amiri"/>
          <w:lang w:bidi="ar-SA"/>
          <w:color w:val="111111"/>
          <w:sz w:val="28"/>
          <w:szCs w:val="28"/>
          <w:rtl/>
        </w:rPr>
        <w:t xml:space="preserve">وحاصل ما ذكره الثاني</w:t>
      </w:r>
      <w:r>
        <w:rPr>
          <w:rStyle w:val="FootnoteReference"/>
        </w:rPr>
        <w:footnoteReference w:id="1925"/>
      </w:r>
      <w:r>
        <w:rPr>
          <w:rFonts w:ascii="Amiri" w:hAnsi="Amiri" w:eastAsia="Amiri" w:cs="Amiri"/>
          <w:lang w:bidi="ar-SA"/>
          <w:color w:val="111111"/>
          <w:sz w:val="28"/>
          <w:szCs w:val="28"/>
          <w:rtl/>
        </w:rPr>
        <w:t xml:space="preserve">أنّ الممتنع اجتماع النهي بمعنى طلب الترك المطلق مع الأمر وأمّا النهي بمعنى طلب ترك خاصّ فلا مانع من اجتماعه مع الأمر سواء كان مع</w:t>
      </w:r>
      <w:r>
        <w:rPr>
          <w:rStyle w:val="FootnoteReference"/>
        </w:rPr>
        <w:footnoteReference w:id="1926"/>
      </w:r>
      <w:r>
        <w:rPr>
          <w:rFonts w:ascii="Amiri" w:hAnsi="Amiri" w:eastAsia="Amiri" w:cs="Amiri"/>
          <w:lang w:bidi="ar-SA"/>
          <w:color w:val="111111"/>
          <w:sz w:val="28"/>
          <w:szCs w:val="28"/>
          <w:rtl/>
        </w:rPr>
        <w:t xml:space="preserve">تغاير الجهتين أو بدونه ولكن مع كونه على وجه التخيير أو الترتيب بأن يكون تعلّق الأمر مبنيّاً على تقدير المخالفة في النهي كما في فعل الضدّ للواجب مثل الصّلاة بالنّسبة إلى الإزالة</w:t>
      </w:r>
      <w:r>
        <w:rPr>
          <w:rStyle w:val="FootnoteReference"/>
        </w:rPr>
        <w:footnoteReference w:id="1927"/>
      </w:r>
      <w:r>
        <w:rPr>
          <w:rFonts w:ascii="IRNazanin" w:hAnsi="IRNazanin" w:eastAsia="IRNazanin" w:cs="IRNazanin"/>
          <w:lang w:bidi="fa-IR"/>
          <w:color w:val="111111"/>
          <w:sz w:val="28"/>
          <w:szCs w:val="28"/>
          <w:rtl/>
        </w:rPr>
        <w:t xml:space="preserve">فإنّه يجوز أن یتّصف بالوجوب على تقدير عصيان ذلك الواجب مع كون تركه مقدّمة له ولا يضرّ اجتماع الأمر والنهي فيه.</w:t>
      </w:r>
    </w:p>
    <w:p>
      <w:pPr>
        <w:pStyle w:val="BookText"/>
      </w:pPr>
      <w:r>
        <w:rPr>
          <w:rFonts w:ascii="IRNazanin" w:hAnsi="IRNazanin" w:eastAsia="IRNazanin" w:cs="IRNazanin"/>
          <w:lang w:bidi="fa-IR"/>
          <w:color w:val="111111"/>
          <w:sz w:val="28"/>
          <w:szCs w:val="28"/>
          <w:rtl/>
        </w:rPr>
        <w:t xml:space="preserve">وذلك لأنّ ذلك النهي الغيري إنّما يجي‌ء من قبل مقدّمية ترك الضدّ لفعل الضدّ الآخر والواجب من المقدّمة هي الموصلة فالمطلوب إنّما هو ترك خاصّ وهو الترك الموصل دون مطلقه ومطلوبیّته إنّما يقتضي مبغوضیّة ترك الترك لا الفعل فلا يلزم من وجوب ذلك الفعل اجتماع الأمر والنهي في مورد واحد.</w:t>
      </w:r>
    </w:p>
    <w:p>
      <w:pPr>
        <w:pStyle w:val="BookText"/>
      </w:pPr>
      <w:r>
        <w:rPr>
          <w:rFonts w:ascii="IRNazanin" w:hAnsi="IRNazanin" w:eastAsia="IRNazanin" w:cs="IRNazanin"/>
          <w:lang w:bidi="fa-IR"/>
          <w:color w:val="111111"/>
          <w:sz w:val="28"/>
          <w:szCs w:val="28"/>
          <w:rtl/>
        </w:rPr>
        <w:t xml:space="preserve">وتوضيح ذلك أنّ المطلوبیّة والمبغوضیّة كالرّجحان والمرجوحيّة من الصّفات المتضادّة المتقابلة ومتى اتّصف فعل أو ترك بإحداهما اتّصف مقابله بمقابلها، لكن مقابل الفعل المطلق الترك، ومقابل الفعل المقيّد تركه، ومقابل الترك المطلق الفعل، وأمّا مقابل الترك المقيّد ترك الترك لا الفعل؛ لأنّه ليس نقيضاً له لارتفاعهما في الترك المجرّد عن القيد، وحینئذٍ فيجوز أن یتّصف الفعل بالوجوب على تقدير ترك التوصّل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بتركه إلى فعل الواجب والترك على تقدير التوصّل، فيختلف مورداهما ومورد الأمر والنهي الناشي من الأمر المقدّمي، حيث إنّ مورد الأوّل الفعل ومورد الثاني ترك الترك.</w:t>
      </w:r>
    </w:p>
    <w:p>
      <w:pPr>
        <w:pStyle w:val="BookText"/>
      </w:pPr>
      <w:r>
        <w:rPr>
          <w:rFonts w:ascii="Amiri" w:hAnsi="Amiri" w:eastAsia="Amiri" w:cs="Amiri"/>
          <w:lang w:bidi="ar-SA"/>
          <w:color w:val="111111"/>
          <w:sz w:val="28"/>
          <w:szCs w:val="28"/>
          <w:rtl/>
        </w:rPr>
        <w:t xml:space="preserve">نعم لو كان المطلوب المقدّمي مطلق الترك أو كان الفعل مطلوباً مطلقاً أو على تقدير التوصّل لزم اجتماعهما في مورد واحد وليس كذلك فملاك المطلب أمران: تقييد الترك في النهي بالموصل وتقييد الأمر بتقدير عدمه.</w:t>
      </w:r>
    </w:p>
    <w:p>
      <w:pPr>
        <w:pStyle w:val="BookText"/>
      </w:pPr>
      <w:r>
        <w:rPr>
          <w:rFonts w:ascii="IRNazanin" w:hAnsi="IRNazanin" w:eastAsia="IRNazanin" w:cs="IRNazanin"/>
          <w:lang w:bidi="fa-IR"/>
          <w:color w:val="111111"/>
          <w:sz w:val="28"/>
          <w:szCs w:val="28"/>
          <w:rtl/>
        </w:rPr>
        <w:t xml:space="preserve">ومن ذلك يظهر أنّه لا مدخل للنفسيّة والغيريّة في ذلك فيجوز في النفسيّينوالغيريّين أیضاً مع تحقّق الأمرين المذكورين وأنّه لا يرجع ما ذكرنا إلى ما ذكره بعضهم من أنّ الأمر النفسي يجتمع مع النهي الغيرى؛ إذ هو إنّما يقول به من جهة كونه غيريّاً ونحن نقول به من جهة اختلاف المورد بعد التقييدين المذكورين.</w:t>
      </w:r>
    </w:p>
    <w:p>
      <w:pPr>
        <w:pStyle w:val="BookText"/>
      </w:pPr>
      <w:r>
        <w:rPr>
          <w:rFonts w:ascii="Amiri" w:hAnsi="Amiri" w:eastAsia="Amiri" w:cs="Amiri"/>
          <w:lang w:bidi="ar-SA"/>
          <w:color w:val="111111"/>
          <w:sz w:val="28"/>
          <w:szCs w:val="28"/>
          <w:rtl/>
        </w:rPr>
        <w:t xml:space="preserve">لا يقال: ترك الترك المقيّد أعمّ من الفعل والترك المجرّد وحرمة العامّ يستلزم حرمة الخاصّ.</w:t>
      </w:r>
    </w:p>
    <w:p>
      <w:pPr>
        <w:pStyle w:val="BookText"/>
      </w:pPr>
      <w:r>
        <w:rPr>
          <w:rFonts w:ascii="Amiri" w:hAnsi="Amiri" w:eastAsia="Amiri" w:cs="Amiri"/>
          <w:lang w:bidi="ar-SA"/>
          <w:color w:val="111111"/>
          <w:sz w:val="28"/>
          <w:szCs w:val="28"/>
          <w:rtl/>
        </w:rPr>
        <w:t xml:space="preserve">لأنّا نقول: العموم بحسب الوجود لا يفيد وبحسب الصّدق ممنوع.</w:t>
      </w:r>
    </w:p>
    <w:p>
      <w:pPr>
        <w:pStyle w:val="BookText"/>
      </w:pPr>
      <w:r>
        <w:rPr>
          <w:rFonts w:ascii="Amiri" w:hAnsi="Amiri" w:eastAsia="Amiri" w:cs="Amiri"/>
          <w:lang w:bidi="ar-SA"/>
          <w:color w:val="111111"/>
          <w:sz w:val="28"/>
          <w:szCs w:val="28"/>
          <w:rtl/>
        </w:rPr>
        <w:t xml:space="preserve">وقد مرّ بيانه في ردّ شبهة الكعبي،</w:t>
      </w:r>
      <w:r>
        <w:rPr>
          <w:rStyle w:val="FootnoteReference"/>
        </w:rPr>
        <w:footnoteReference w:id="1928"/>
      </w:r>
      <w:r>
        <w:rPr>
          <w:rFonts w:ascii="IRNazanin" w:hAnsi="IRNazanin" w:eastAsia="IRNazanin" w:cs="IRNazanin"/>
          <w:lang w:bidi="fa-IR"/>
          <w:color w:val="111111"/>
          <w:sz w:val="28"/>
          <w:szCs w:val="28"/>
          <w:rtl/>
        </w:rPr>
        <w:t xml:space="preserve">وتظهر الثمرة فيما لو نذر التعبّد بترك مرجوح كالسّفر منفرداً فإنّه يجب عليه تركه متقرّباً فلو عصى وسافر كان سفره مباحاً وأمّا تحريم فعل الإفطار في شهر رمضان مع أنّ المطلوب تركه المقيّد بالنيّة فليس من جهة وجوب تركه المقيّد بل لوجوب تركه المطلق أیضاً؛ ولهذا يحرم عليه وإن ترك النيّة ابتداءً أو أفطر وربما يحرم من حيث تسبيبه لترك الواجب أیضاً كما لو شرع في الصّوم ثم بدا</w:t>
      </w:r>
      <w:r>
        <w:rPr>
          <w:rStyle w:val="FootnoteReference"/>
        </w:rPr>
        <w:footnoteReference w:id="1929"/>
      </w:r>
      <w:r>
        <w:rPr>
          <w:rFonts w:ascii="Amiri" w:hAnsi="Amiri" w:eastAsia="Amiri" w:cs="Amiri"/>
          <w:lang w:bidi="ar-SA"/>
          <w:color w:val="111111"/>
          <w:sz w:val="28"/>
          <w:szCs w:val="28"/>
          <w:rtl/>
        </w:rPr>
        <w:t xml:space="preserve">له الإفطار بناءً على عدم العبرة بالاستدامة الحكميّة في نيّته وعلى تقدير اعتباره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يعصي بنقض النيّة لاستناد الإبطال إلیه.</w:t>
      </w:r>
    </w:p>
    <w:p>
      <w:pPr>
        <w:pStyle w:val="BookText"/>
      </w:pPr>
      <w:r>
        <w:rPr>
          <w:rFonts w:ascii="IRNazanin" w:hAnsi="IRNazanin" w:eastAsia="IRNazanin" w:cs="IRNazanin"/>
          <w:lang w:bidi="fa-IR"/>
          <w:color w:val="111111"/>
          <w:sz w:val="28"/>
          <w:szCs w:val="28"/>
          <w:rtl/>
        </w:rPr>
        <w:t xml:space="preserve">فإن قلت: غاية ما ذكرت عدم ورود الإشکال بالنّسبة إلى الاجتماع في فعل الضدّ لكنّه يرد بالنّسبة إلى الترك المتوصّل به حيث إنّه مطلوب على کلّ تقدير من جهة المقدّميّة مع أنّه مبغوض أیضاً من جهة أنّ فعل الضدّ واجب فيكون تركه مبغوضاً؛ وذلك لأنّ فعل الضدّ مطلوب وإن کان مطلوبیّته مقيّدة بصورة عدم التوصّل فيكون مقابله وهو الترك المطلق مبغوضاً بفرديه من الترك المتوصّل به وغيره، فعلى تقدير عدم التوصّل يكون الترك المتوصّل به أیضاً مبغوضاً؛ لأنّه مقتضى مطلوبیّة المطلق</w:t>
      </w:r>
      <w:r>
        <w:rPr>
          <w:rStyle w:val="FootnoteReference"/>
        </w:rPr>
        <w:footnoteReference w:id="1930"/>
      </w:r>
      <w:r>
        <w:rPr>
          <w:rFonts w:ascii="Amiri" w:hAnsi="Amiri" w:eastAsia="Amiri" w:cs="Amiri"/>
          <w:lang w:bidi="ar-SA"/>
          <w:color w:val="111111"/>
          <w:sz w:val="28"/>
          <w:szCs w:val="28"/>
          <w:rtl/>
        </w:rPr>
        <w:t xml:space="preserve">فيلزم الاجتماع في الترك المتوصّل به.</w:t>
      </w:r>
    </w:p>
    <w:p>
      <w:pPr>
        <w:pStyle w:val="BookText"/>
      </w:pPr>
      <w:r>
        <w:rPr>
          <w:rFonts w:ascii="IRNazanin" w:hAnsi="IRNazanin" w:eastAsia="IRNazanin" w:cs="IRNazanin"/>
          <w:lang w:bidi="fa-IR"/>
          <w:color w:val="111111"/>
          <w:sz w:val="28"/>
          <w:szCs w:val="28"/>
          <w:rtl/>
        </w:rPr>
        <w:t xml:space="preserve">قلت: إذا كان مطلوبیّة الفعل مقيّدة بصورة عدم التوصّل فيكون مبغوضیّةتركه</w:t>
      </w:r>
      <w:r>
        <w:rPr>
          <w:rStyle w:val="FootnoteReference"/>
        </w:rPr>
        <w:footnoteReference w:id="1931"/>
      </w:r>
      <w:r>
        <w:rPr>
          <w:rFonts w:ascii="IRNazanin" w:hAnsi="IRNazanin" w:eastAsia="IRNazanin" w:cs="IRNazanin"/>
          <w:lang w:bidi="fa-IR"/>
          <w:color w:val="111111"/>
          <w:sz w:val="28"/>
          <w:szCs w:val="28"/>
          <w:rtl/>
        </w:rPr>
        <w:t xml:space="preserve">أیضاً كذلك والفعل والترك وإن كانا مطلقين لكن يصيران مقيّدين بواسطة تقييد المطلوبیّة والمبغوضیّة فلا يكون المبغوض إلّا الترك الغير المتوصّل به.</w:t>
      </w:r>
    </w:p>
    <w:p>
      <w:pPr>
        <w:pStyle w:val="BookText"/>
      </w:pPr>
      <w:r>
        <w:rPr>
          <w:rFonts w:ascii="IRNazanin" w:hAnsi="IRNazanin" w:eastAsia="IRNazanin" w:cs="IRNazanin"/>
          <w:lang w:bidi="fa-IR"/>
          <w:color w:val="111111"/>
          <w:sz w:val="28"/>
          <w:szCs w:val="28"/>
          <w:rtl/>
        </w:rPr>
        <w:t xml:space="preserve">والسرّ فيه أنّ الطلب إذا كان بشرط عدم التوصّل فلا يعقل أن يكون الترك المتوصّل به مبغوضاً من جهته؛ إذ لا معنى لأن يقال: على فرض عدم التوصّل بالترك لايجوز الترك ولو متوصّلاً به، فالترك المبغوض وإن کان مطلقاً لإطلاق الفعل إلّا أنّه يتقيّد قهراً بأحد الفردين من جهة تقيّد الطلب.</w:t>
      </w:r>
    </w:p>
    <w:p>
      <w:pPr>
        <w:pStyle w:val="BookText"/>
      </w:pPr>
      <w:r>
        <w:rPr>
          <w:rFonts w:ascii="IRNazanin" w:hAnsi="IRNazanin" w:eastAsia="IRNazanin" w:cs="IRNazanin"/>
          <w:lang w:bidi="fa-IR"/>
          <w:color w:val="111111"/>
          <w:sz w:val="28"/>
          <w:szCs w:val="28"/>
          <w:rtl/>
        </w:rPr>
        <w:t xml:space="preserve">فإن قلت: لازم ما ذكرت كون کلّ من فعل الضدّ وتركه مطلوباً، أمّا فعله فلحصول شرطه وهو عدم التوصّل بتركه إلى الواجب وأمّا تركه فلأنّه مقدّمة لذلك الواجب وهذا</w:t>
      </w:r>
      <w:r>
        <w:rPr>
          <w:rStyle w:val="FootnoteReference"/>
        </w:rPr>
        <w:footnoteReference w:id="1932"/>
      </w:r>
      <w:r>
        <w:rPr>
          <w:rFonts w:ascii="IRNazanin" w:hAnsi="IRNazanin" w:eastAsia="IRNazanin" w:cs="IRNazanin"/>
          <w:lang w:bidi="fa-IR"/>
          <w:color w:val="111111"/>
          <w:sz w:val="28"/>
          <w:szCs w:val="28"/>
          <w:rtl/>
        </w:rPr>
        <w:t xml:space="preserve">محال لاستحالة التکلیف الفعلي بالفعل والترك معاً.</w:t>
      </w:r>
    </w:p>
    <w:p>
      <w:pPr>
        <w:pStyle w:val="BookText"/>
      </w:pPr>
      <w:r>
        <w:rPr>
          <w:rFonts w:ascii="Amiri" w:hAnsi="Amiri" w:eastAsia="Amiri" w:cs="Amiri"/>
          <w:lang w:bidi="ar-SA"/>
          <w:color w:val="111111"/>
          <w:sz w:val="28"/>
          <w:szCs w:val="28"/>
          <w:rtl/>
        </w:rPr>
        <w:t xml:space="preserve">قلت: إن كانت الاستحالة من جهة استلزامه لاجتماع وصفين متنافيين في شي‌ء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78" w:name="pg6784_51567"/>
    <w:bookmarkEnd w:id="278"/>
    <w:p>
      <w:pPr>
        <w:pStyle w:val="BookText"/>
      </w:pPr>
      <w:r>
        <w:rPr>
          <w:rFonts w:ascii="Amiri" w:hAnsi="Amiri" w:eastAsia="Amiri" w:cs="Amiri"/>
          <w:lang w:bidi="ar-SA"/>
          <w:color w:val="111111"/>
          <w:sz w:val="28"/>
          <w:szCs w:val="28"/>
          <w:rtl/>
        </w:rPr>
        <w:t xml:space="preserve">واحد، فقد عرفت عدمه من جهة اختلاف المورد.</w:t>
      </w:r>
    </w:p>
    <w:p>
      <w:pPr>
        <w:pStyle w:val="BookText"/>
      </w:pPr>
      <w:r>
        <w:rPr>
          <w:rFonts w:ascii="IRNazanin" w:hAnsi="IRNazanin" w:eastAsia="IRNazanin" w:cs="IRNazanin"/>
          <w:lang w:bidi="fa-IR"/>
          <w:color w:val="111111"/>
          <w:sz w:val="28"/>
          <w:szCs w:val="28"/>
          <w:rtl/>
        </w:rPr>
        <w:t xml:space="preserve">وإن كانت من حيث استلزامه التکلیف بالمحال من جهة طلب الضدّين من الفعل والترك؛</w:t>
      </w:r>
    </w:p>
    <w:p>
      <w:pPr>
        <w:pStyle w:val="BookText"/>
      </w:pPr>
      <w:r>
        <w:rPr>
          <w:rFonts w:ascii="IRNazanin" w:hAnsi="IRNazanin" w:eastAsia="IRNazanin" w:cs="IRNazanin"/>
          <w:lang w:bidi="fa-IR"/>
          <w:color w:val="111111"/>
          <w:sz w:val="28"/>
          <w:szCs w:val="28"/>
          <w:rtl/>
        </w:rPr>
        <w:t xml:space="preserve">ففيه: أنّ التکلیفين وإن كانا فعليين لكن ليس مقتضاهما الجمع بين الفعل والترك، كيف وانتفاء أحدهما معتبر في مطلوبیّة الآخر وإنّما يمتنع ذلك إذا آلَ إلى طلب الجمع بينهما.</w:t>
      </w:r>
    </w:p>
    <w:p>
      <w:pPr>
        <w:pStyle w:val="BookText"/>
      </w:pPr>
      <w:r>
        <w:rPr>
          <w:rFonts w:ascii="IRNazanin" w:hAnsi="IRNazanin" w:eastAsia="IRNazanin" w:cs="IRNazanin"/>
          <w:lang w:bidi="fa-IR"/>
          <w:color w:val="111111"/>
          <w:sz w:val="28"/>
          <w:szCs w:val="28"/>
          <w:rtl/>
        </w:rPr>
        <w:t xml:space="preserve">وبالجملة العقل لا يستحيل التکلیف بالضدّين إذا كان التکلیف بأحدهما مبنياً على تقدير الخلوّ من الآخر لا لجواز التکلیف بالمحال إذا استند إلى المکلّف، بل لأنّه ليس تکلیفاً بالمحال حيث إنّ ثبوت أحدهما منوط بعدم وقوع الآخر فكما يصحّ رجحان أحد الضدّين مطلقاً والآخر على تقدير عدم التشاغل به ولا يلزم منه رجحان الممتنع أعني الجمع بين الضدّين فكذلك الحال بالقياس إلى التکلیف والطلب.</w:t>
      </w:r>
      <w:r>
        <w:rPr>
          <w:rStyle w:val="FootnoteReference"/>
        </w:rPr>
        <w:footnoteReference w:id="1933"/>
      </w:r>
    </w:p>
    <w:p>
      <w:pPr>
        <w:pStyle w:val="Heading6"/>
      </w:pPr>
      <w:bookmarkStart w:id="803" w:name="_Toc484"/>
      <w:r>
        <w:t>[نقد کلام صاحب الفصول (رحمة الله‌علیه)]</w:t>
      </w:r>
      <w:bookmarkEnd w:id="803"/>
    </w:p>
    <w:p>
      <w:pPr>
        <w:pStyle w:val="BookText"/>
      </w:pPr>
      <w:r>
        <w:rPr>
          <w:rFonts w:ascii="Amiri" w:hAnsi="Amiri" w:eastAsia="Amiri" w:cs="Amiri"/>
          <w:lang w:bidi="ar-SA"/>
          <w:color w:val="111111"/>
          <w:sz w:val="28"/>
          <w:szCs w:val="28"/>
          <w:rtl/>
        </w:rPr>
        <w:t xml:space="preserve">أقول: يرد عليه أوّلاً: أنّه على هذا البيان ليس المقام من باب اجتماع</w:t>
      </w:r>
      <w:r>
        <w:rPr>
          <w:rStyle w:val="FootnoteReference"/>
        </w:rPr>
        <w:footnoteReference w:id="1934"/>
      </w:r>
      <w:r>
        <w:rPr>
          <w:rFonts w:ascii="Amiri" w:hAnsi="Amiri" w:eastAsia="Amiri" w:cs="Amiri"/>
          <w:lang w:bidi="ar-SA"/>
          <w:color w:val="111111"/>
          <w:sz w:val="28"/>
          <w:szCs w:val="28"/>
          <w:rtl/>
        </w:rPr>
        <w:t xml:space="preserve">الأمر والنهي</w:t>
      </w:r>
      <w:r>
        <w:rPr>
          <w:rStyle w:val="FootnoteReference"/>
        </w:rPr>
        <w:footnoteReference w:id="1935"/>
      </w:r>
      <w:r>
        <w:rPr>
          <w:rFonts w:ascii="Amiri" w:hAnsi="Amiri" w:eastAsia="Amiri" w:cs="Amiri"/>
          <w:lang w:bidi="ar-SA"/>
          <w:color w:val="111111"/>
          <w:sz w:val="28"/>
          <w:szCs w:val="28"/>
          <w:rtl/>
        </w:rPr>
        <w:t xml:space="preserve">في شي‌ء واحد على ما اعترف به، بل قال في أوّل مسألة الاجتماع: إنّ عدّه من باب الأمر بالمتنافيين أقرب من عدّه من باب اجتماع الأمر والنهي.</w:t>
      </w:r>
      <w:r>
        <w:rPr>
          <w:rStyle w:val="FootnoteReference"/>
        </w:rPr>
        <w:footnoteReference w:id="1936"/>
      </w:r>
    </w:p>
    <w:p>
      <w:pPr>
        <w:pStyle w:val="BookText"/>
      </w:pPr>
      <w:r>
        <w:rPr>
          <w:rFonts w:ascii="IRNazanin" w:hAnsi="IRNazanin" w:eastAsia="IRNazanin" w:cs="IRNazanin"/>
          <w:lang w:bidi="fa-IR"/>
          <w:color w:val="111111"/>
          <w:sz w:val="28"/>
          <w:szCs w:val="28"/>
          <w:rtl/>
        </w:rPr>
        <w:t xml:space="preserve">وحینئذٍ فلا وجه لما اختاره في مسألة الضدّ من أنّ الأمر بالشي‌ء يقتضي النهي عن ضدّه الخاصّ</w:t>
      </w:r>
      <w:r>
        <w:rPr>
          <w:rStyle w:val="FootnoteReference"/>
        </w:rPr>
        <w:footnoteReference w:id="1937"/>
      </w:r>
      <w:r>
        <w:rPr>
          <w:rFonts w:ascii="Amiri" w:hAnsi="Amiri" w:eastAsia="Amiri" w:cs="Amiri"/>
          <w:lang w:bidi="ar-SA"/>
          <w:color w:val="111111"/>
          <w:sz w:val="28"/>
          <w:szCs w:val="28"/>
          <w:rtl/>
        </w:rPr>
        <w:t xml:space="preserve">إلّا أنّه لا يقتضي الفساد لاختلاف المورد</w:t>
      </w:r>
      <w:r>
        <w:rPr>
          <w:rStyle w:val="FootnoteReference"/>
        </w:rPr>
        <w:footnoteReference w:id="1938"/>
      </w:r>
      <w:r>
        <w:rPr>
          <w:rFonts w:ascii="Amiri" w:hAnsi="Amiri" w:eastAsia="Amiri" w:cs="Amiri"/>
          <w:lang w:bidi="ar-SA"/>
          <w:color w:val="111111"/>
          <w:sz w:val="28"/>
          <w:szCs w:val="28"/>
          <w:rtl/>
        </w:rPr>
        <w:t xml:space="preserve">إذ في الحقيقة الأمر لا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يقتضي النهي عن ضدّه الخاصّ على هذا البيان فينبغي أن يعدّ نفسه من النافين للاقتضاء.</w:t>
      </w:r>
    </w:p>
    <w:p>
      <w:pPr>
        <w:pStyle w:val="BookText"/>
      </w:pPr>
      <w:r>
        <w:rPr>
          <w:rFonts w:ascii="IRNazanin" w:hAnsi="IRNazanin" w:eastAsia="IRNazanin" w:cs="IRNazanin"/>
          <w:lang w:bidi="fa-IR"/>
          <w:color w:val="111111"/>
          <w:sz w:val="28"/>
          <w:szCs w:val="28"/>
          <w:rtl/>
        </w:rPr>
        <w:t xml:space="preserve">وثانياً: إنّ المقدّمة الموصلة وإن كانت حقّاً إلّا أنّه لا يتفرّع عليها ما ذكره في المقام وذلك لأنّ معنى تخصيص الوجوب بالموصلة أنّ غيرها لا یتّصف بالوجوب في مقام الامتثال وإلّا ففي مقام الطّلب والتّکلیف لا ينفكّ الوجوب عن ذات المقدّمة، فعلى کلّ حال يجب عليه الترك الموصل فكأنّه في التحليل يجب عليه الترك والإيصال لكن بشرط المعيّة كما في کلّ مقيّد وقيد، بل في کلّ جزء من أجزاء الواجب، فإنّ المقيّد لا ينفكّ عن الوجوب لكن لا يحصل الامتثال إلّا بإتیان القيد وكذا في الأجزاء، وحینئذٍ فلا يمكن اتّصاف الفعل بالوجوب؛ لأنّ تركه المطلق مطلوب في ضمن الترك</w:t>
      </w:r>
      <w:r>
        <w:rPr>
          <w:rStyle w:val="FootnoteReference"/>
        </w:rPr>
        <w:footnoteReference w:id="1939"/>
      </w:r>
      <w:r>
        <w:rPr>
          <w:rFonts w:ascii="IRNazanin" w:hAnsi="IRNazanin" w:eastAsia="IRNazanin" w:cs="IRNazanin"/>
          <w:lang w:bidi="fa-IR"/>
          <w:color w:val="111111"/>
          <w:sz w:val="28"/>
          <w:szCs w:val="28"/>
          <w:rtl/>
        </w:rPr>
        <w:t xml:space="preserve">الموصل كما في کلّ مقيّد وقيد.نعم لو كان الوجوب وارداً على خصوص القيد دون المقيّد بأن يكون الواجب على فرض الترك، الترك الموصل بمعنى وجوب التوصّل دون ذات المقدّمة كان كما ذكره؛ إذ حینئذٍ يمكن أن يكون الفعل مطلوباً على تقدير ترك الترك الموصل لكن ليس الأمر كذلك قطعاً وهو معترف بأنّ نفس المقدّمة واجبة.</w:t>
      </w:r>
    </w:p>
    <w:p>
      <w:pPr>
        <w:pStyle w:val="BookText"/>
      </w:pPr>
      <w:r>
        <w:rPr>
          <w:rFonts w:ascii="Amiri" w:hAnsi="Amiri" w:eastAsia="Amiri" w:cs="Amiri"/>
          <w:lang w:bidi="ar-SA"/>
          <w:color w:val="111111"/>
          <w:sz w:val="28"/>
          <w:szCs w:val="28"/>
          <w:rtl/>
        </w:rPr>
        <w:t xml:space="preserve">وأمّا ما ذكره من أنّ مقابل الترك الخاصّ ترك الترك لا الفعل؛ ففيه: أنّه وإن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كذلك إلّا أنّ أعمّيته من الترك المجرّد ومن</w:t>
      </w:r>
      <w:r>
        <w:rPr>
          <w:rStyle w:val="FootnoteReference"/>
        </w:rPr>
        <w:footnoteReference w:id="1940"/>
      </w:r>
      <w:r>
        <w:rPr>
          <w:rFonts w:ascii="IRNazanin" w:hAnsi="IRNazanin" w:eastAsia="IRNazanin" w:cs="IRNazanin"/>
          <w:lang w:bidi="fa-IR"/>
          <w:color w:val="111111"/>
          <w:sz w:val="28"/>
          <w:szCs w:val="28"/>
          <w:rtl/>
        </w:rPr>
        <w:t xml:space="preserve">الفعل یکفي في المقابلة، فکلّ من فرديه مقابل لذلك الترك، بل كون الفعل مقابلاً للترك الخاصّ أولى من الترك المجرّد.</w:t>
      </w:r>
    </w:p>
    <w:p>
      <w:pPr>
        <w:pStyle w:val="BookText"/>
      </w:pPr>
      <w:r>
        <w:rPr>
          <w:rFonts w:ascii="Amiri" w:hAnsi="Amiri" w:eastAsia="Amiri" w:cs="Amiri"/>
          <w:lang w:bidi="ar-SA"/>
          <w:color w:val="111111"/>
          <w:sz w:val="28"/>
          <w:szCs w:val="28"/>
          <w:rtl/>
        </w:rPr>
        <w:t xml:space="preserve">ومن ذلك ظهر</w:t>
      </w:r>
      <w:r>
        <w:rPr>
          <w:rStyle w:val="FootnoteReference"/>
        </w:rPr>
        <w:footnoteReference w:id="1941"/>
      </w:r>
      <w:r>
        <w:rPr>
          <w:rFonts w:ascii="IRNazanin" w:hAnsi="IRNazanin" w:eastAsia="IRNazanin" w:cs="IRNazanin"/>
          <w:lang w:bidi="fa-IR"/>
          <w:color w:val="111111"/>
          <w:sz w:val="28"/>
          <w:szCs w:val="28"/>
          <w:rtl/>
        </w:rPr>
        <w:t xml:space="preserve">أنّ ارتفاعهما أي الفعل والترك الخاصّ كما في الترك المجرّد عن الخصوصيّة لا يقتضي عدم المقابلة وإلّا فالترك المجرّد أیضاً كذلك؛ إذ هو والترك الخاصّ يرتفعان بالفعل، ولا يلزم في المقابلة كون الفعل مصداقاً لترك الترك حتّى يقال: إنّه وجودي وترك الترك عدمي، كيف وإلّا فيمكن أن يقال: إنّ مقابل الترك المطلق أیضاً ليس هو الفعل بل ترك الترك، غاية الأمر أنّ ترك الترك ه-ٰهنا لا يتحقّق إلّا بالفعل ومجرّد هذا لا يقتضي كونه مصداقاً له حقیقة.</w:t>
      </w:r>
    </w:p>
    <w:p>
      <w:pPr>
        <w:pStyle w:val="BookText"/>
      </w:pPr>
      <w:r>
        <w:rPr>
          <w:rFonts w:ascii="IRNazanin" w:hAnsi="IRNazanin" w:eastAsia="IRNazanin" w:cs="IRNazanin"/>
          <w:lang w:bidi="fa-IR"/>
          <w:color w:val="111111"/>
          <w:sz w:val="28"/>
          <w:szCs w:val="28"/>
          <w:rtl/>
        </w:rPr>
        <w:t xml:space="preserve">وبالجملة فكما أنّ مقابل الترك المطلق حقیقة هو ترك الترك ومع ذلك يعدّ الفعل مقابلاً له فكذا بالنّسبة إلى الترك الخاصّ، والانحصار وعدمه لا مدخل لهما في المصداقيّة وعدمها.</w:t>
      </w:r>
    </w:p>
    <w:p>
      <w:pPr>
        <w:pStyle w:val="BookText"/>
      </w:pPr>
      <w:r>
        <w:rPr>
          <w:rFonts w:ascii="IRNazanin" w:hAnsi="IRNazanin" w:eastAsia="IRNazanin" w:cs="IRNazanin"/>
          <w:lang w:bidi="fa-IR"/>
          <w:color w:val="111111"/>
          <w:sz w:val="28"/>
          <w:szCs w:val="28"/>
          <w:rtl/>
        </w:rPr>
        <w:t xml:space="preserve">هذا مع أنّه يمكن أن يقال: إنّ الفعل مصداق حقیقي لترك الترك سواء كان الترك مطلقاً أو خاصّاً، ففعل الصّلاة عين ترك تركه المطلق وعين تركه الموصل.</w:t>
      </w:r>
    </w:p>
    <w:p>
      <w:pPr>
        <w:pStyle w:val="BookText"/>
      </w:pPr>
      <w:r>
        <w:rPr>
          <w:rFonts w:ascii="Amiri" w:hAnsi="Amiri" w:eastAsia="Amiri" w:cs="Amiri"/>
          <w:lang w:bidi="ar-SA"/>
          <w:color w:val="111111"/>
          <w:sz w:val="28"/>
          <w:szCs w:val="28"/>
          <w:rtl/>
        </w:rPr>
        <w:t xml:space="preserve">نعم فعل أحد الضدّين ليس عين ترك الضدّ الآخر.</w:t>
      </w:r>
    </w:p>
    <w:p>
      <w:pPr>
        <w:pStyle w:val="BookText"/>
      </w:pPr>
      <w:r>
        <w:rPr>
          <w:rFonts w:ascii="Amiri" w:hAnsi="Amiri" w:eastAsia="Amiri" w:cs="Amiri"/>
          <w:lang w:bidi="ar-SA"/>
          <w:color w:val="111111"/>
          <w:sz w:val="28"/>
          <w:szCs w:val="28"/>
          <w:rtl/>
        </w:rPr>
        <w:t xml:space="preserve">ومن ذلك ظهر الفرق بين المقام وما ذكره في دفع شبهة الكعبي من منع مصداقيّة الفعل للترك؛</w:t>
      </w:r>
      <w:r>
        <w:rPr>
          <w:rStyle w:val="FootnoteReference"/>
        </w:rPr>
        <w:footnoteReference w:id="1942"/>
      </w:r>
      <w:r>
        <w:rPr>
          <w:rFonts w:ascii="IRNazanin" w:hAnsi="IRNazanin" w:eastAsia="IRNazanin" w:cs="IRNazanin"/>
          <w:lang w:bidi="fa-IR"/>
          <w:color w:val="111111"/>
          <w:sz w:val="28"/>
          <w:szCs w:val="28"/>
          <w:rtl/>
        </w:rPr>
        <w:t xml:space="preserve">إذ الکلام هناك في مصداقيّة فعل أحد الضدّين لترك الآخرلا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مصداقيّته لترك ترك نفسه كما في المقام. فلا تغفل.</w:t>
      </w:r>
    </w:p>
    <w:p>
      <w:pPr>
        <w:pStyle w:val="BookText"/>
      </w:pPr>
      <w:r>
        <w:rPr>
          <w:rFonts w:ascii="Amiri" w:hAnsi="Amiri" w:eastAsia="Amiri" w:cs="Amiri"/>
          <w:lang w:bidi="ar-SA"/>
          <w:color w:val="111111"/>
          <w:sz w:val="28"/>
          <w:szCs w:val="28"/>
          <w:rtl/>
        </w:rPr>
        <w:t xml:space="preserve">وإن شئت الحقّ فأقول من رأس: إنّ مقابل الفعل المطلق الترك المطلق</w:t>
      </w:r>
      <w:r>
        <w:rPr>
          <w:rStyle w:val="FootnoteReference"/>
        </w:rPr>
        <w:footnoteReference w:id="1943"/>
      </w:r>
      <w:r>
        <w:rPr>
          <w:rFonts w:ascii="IRNazanin" w:hAnsi="IRNazanin" w:eastAsia="IRNazanin" w:cs="IRNazanin"/>
          <w:lang w:bidi="fa-IR"/>
          <w:color w:val="111111"/>
          <w:sz w:val="28"/>
          <w:szCs w:val="28"/>
          <w:rtl/>
        </w:rPr>
        <w:t xml:space="preserve">فمطلوبیّة الأوّل يستلزم مبغوضیّة الثاني وبالعكس، ومقابل الترك المطلق حقیقة هو ترك الترك، لكنّه يصدق على الفعل المطلق فمطلوبیّته يستلزم مبغوضيّته وبالعكس، ومقابل الفعل الخاصّ تركه المتحقّق تارة بترك المقيّد وتارة</w:t>
      </w:r>
      <w:r>
        <w:rPr>
          <w:rStyle w:val="FootnoteReference"/>
        </w:rPr>
        <w:footnoteReference w:id="1944"/>
      </w:r>
      <w:r>
        <w:rPr>
          <w:rFonts w:ascii="Amiri" w:hAnsi="Amiri" w:eastAsia="Amiri" w:cs="Amiri"/>
          <w:lang w:bidi="ar-SA"/>
          <w:color w:val="111111"/>
          <w:sz w:val="28"/>
          <w:szCs w:val="28"/>
          <w:rtl/>
        </w:rPr>
        <w:t xml:space="preserve">بترك القيد</w:t>
      </w:r>
      <w:r>
        <w:rPr>
          <w:rStyle w:val="FootnoteReference"/>
        </w:rPr>
        <w:footnoteReference w:id="1945"/>
      </w:r>
      <w:r>
        <w:rPr>
          <w:rFonts w:ascii="Amiri" w:hAnsi="Amiri" w:eastAsia="Amiri" w:cs="Amiri"/>
          <w:lang w:bidi="ar-SA"/>
          <w:color w:val="111111"/>
          <w:sz w:val="28"/>
          <w:szCs w:val="28"/>
          <w:rtl/>
        </w:rPr>
        <w:t xml:space="preserve">وتارة</w:t>
      </w:r>
      <w:r>
        <w:rPr>
          <w:rStyle w:val="FootnoteReference"/>
        </w:rPr>
        <w:footnoteReference w:id="1946"/>
      </w:r>
      <w:r>
        <w:rPr>
          <w:rFonts w:ascii="Amiri" w:hAnsi="Amiri" w:eastAsia="Amiri" w:cs="Amiri"/>
          <w:lang w:bidi="ar-SA"/>
          <w:color w:val="111111"/>
          <w:sz w:val="28"/>
          <w:szCs w:val="28"/>
          <w:rtl/>
        </w:rPr>
        <w:t xml:space="preserve">بتركهما معاً وعلى التقادير فمصداقه إنّما هو الترك، وأمّا الفعل المجرّد فليس مصداقاً له بل مقارن للمصداق ولذا يمكن كونه مطلوباً ويمكن كونه مبغوضاً مع كون الفعل الخاصّ مطلوباً.</w:t>
      </w:r>
    </w:p>
    <w:p>
      <w:pPr>
        <w:pStyle w:val="BookText"/>
      </w:pPr>
      <w:r>
        <w:rPr>
          <w:rFonts w:ascii="IRNazanin" w:hAnsi="IRNazanin" w:eastAsia="IRNazanin" w:cs="IRNazanin"/>
          <w:lang w:bidi="fa-IR"/>
          <w:color w:val="111111"/>
          <w:sz w:val="28"/>
          <w:szCs w:val="28"/>
          <w:rtl/>
        </w:rPr>
        <w:t xml:space="preserve">مثلاً إذا وجب</w:t>
      </w:r>
      <w:r>
        <w:rPr>
          <w:rStyle w:val="FootnoteReference"/>
        </w:rPr>
        <w:footnoteReference w:id="1947"/>
      </w:r>
      <w:r>
        <w:rPr>
          <w:rFonts w:ascii="IRNazanin" w:hAnsi="IRNazanin" w:eastAsia="IRNazanin" w:cs="IRNazanin"/>
          <w:lang w:bidi="fa-IR"/>
          <w:color w:val="111111"/>
          <w:sz w:val="28"/>
          <w:szCs w:val="28"/>
          <w:rtl/>
        </w:rPr>
        <w:t xml:space="preserve">الصّلاة مع القربة فيمكن كون الصّلاة المجرّدة عنها أیضاً مطلوبة ويمكن كونها مبغوضة.</w:t>
      </w:r>
    </w:p>
    <w:p>
      <w:pPr>
        <w:pStyle w:val="BookText"/>
      </w:pPr>
      <w:r>
        <w:rPr>
          <w:rFonts w:ascii="IRNazanin" w:hAnsi="IRNazanin" w:eastAsia="IRNazanin" w:cs="IRNazanin"/>
          <w:lang w:bidi="fa-IR"/>
          <w:color w:val="111111"/>
          <w:sz w:val="28"/>
          <w:szCs w:val="28"/>
          <w:rtl/>
        </w:rPr>
        <w:t xml:space="preserve">وأمّا الترك فلا يمكن كونه مطلوباً مع مطلوبیّة الفعل الخاصّ بل مطلوبیّته يستلزم مبغوضيّته إلّا إذا كان الطلب وارداً على خصوص القيد بأن يكون على فرض إيجاد الفعل إيجاد الخصوصيّة واجباً فحینئذٍ يمكن كون الترك أیضاً مطلوباً، ومقابل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الترك الخاصّ ترك ذلك الترك وهو أیضاً يتحقّق تارة بالفعل وتارة</w:t>
      </w:r>
      <w:r>
        <w:rPr>
          <w:rStyle w:val="FootnoteReference"/>
        </w:rPr>
        <w:footnoteReference w:id="1948"/>
      </w:r>
      <w:r>
        <w:rPr>
          <w:rFonts w:ascii="IRNazanin" w:hAnsi="IRNazanin" w:eastAsia="IRNazanin" w:cs="IRNazanin"/>
          <w:lang w:bidi="fa-IR"/>
          <w:color w:val="111111"/>
          <w:sz w:val="28"/>
          <w:szCs w:val="28"/>
          <w:rtl/>
        </w:rPr>
        <w:t xml:space="preserve">بالترك المجرّد عن الخصوصيّة لكنّ الفعل مصداق له وأمّا الترك المجرّد فليس مصداقاً وإنّماالمصداق له حینئذٍ ترك الخصوصيّة المقارنة للترك المجرّد.</w:t>
      </w:r>
    </w:p>
    <w:p>
      <w:pPr>
        <w:pStyle w:val="BookText"/>
      </w:pPr>
      <w:r>
        <w:rPr>
          <w:rFonts w:ascii="IRNazanin" w:hAnsi="IRNazanin" w:eastAsia="IRNazanin" w:cs="IRNazanin"/>
          <w:lang w:bidi="fa-IR"/>
          <w:color w:val="111111"/>
          <w:sz w:val="28"/>
          <w:szCs w:val="28"/>
          <w:rtl/>
        </w:rPr>
        <w:t xml:space="preserve">ولذا لا يعقل كون الفعل مطلوباً مع مطلوبیّة الترك الخاصّ ولكن يعقل كون الترك المجرّد مطلوباً ويمكن كونه مبغوضاً.</w:t>
      </w:r>
    </w:p>
    <w:p>
      <w:pPr>
        <w:pStyle w:val="BookText"/>
      </w:pPr>
      <w:r>
        <w:rPr>
          <w:rFonts w:ascii="Amiri" w:hAnsi="Amiri" w:eastAsia="Amiri" w:cs="Amiri"/>
          <w:lang w:bidi="ar-SA"/>
          <w:color w:val="111111"/>
          <w:sz w:val="28"/>
          <w:szCs w:val="28"/>
          <w:rtl/>
        </w:rPr>
        <w:t xml:space="preserve">فظهر من ذلك أنّ مقابل الفعل أبداً الترك ومقابل الترك أبداً الفعل، لكن مع الانحصار إذا كانا مطلقين ولا معه إذا كانا مقيّدين.</w:t>
      </w:r>
    </w:p>
    <w:p>
      <w:pPr>
        <w:pStyle w:val="BookText"/>
      </w:pPr>
      <w:r>
        <w:rPr>
          <w:rFonts w:ascii="IRNazanin" w:hAnsi="IRNazanin" w:eastAsia="IRNazanin" w:cs="IRNazanin"/>
          <w:lang w:bidi="fa-IR"/>
          <w:color w:val="111111"/>
          <w:sz w:val="28"/>
          <w:szCs w:val="28"/>
          <w:rtl/>
        </w:rPr>
        <w:t xml:space="preserve">فمع كون المطلوب في المقام هو الترك الموصِل يكون الفعل مبغوضاً؛ لأنّه مقابله فلا يمكن كونه مطلوباً أیضاً. فافهم واغتنم واستقم.</w:t>
      </w:r>
    </w:p>
    <w:p>
      <w:pPr>
        <w:pStyle w:val="BookText"/>
      </w:pPr>
      <w:r>
        <w:rPr>
          <w:rFonts w:ascii="IRNazanin" w:hAnsi="IRNazanin" w:eastAsia="IRNazanin" w:cs="IRNazanin"/>
          <w:lang w:bidi="fa-IR"/>
          <w:color w:val="111111"/>
          <w:sz w:val="28"/>
          <w:szCs w:val="28"/>
          <w:rtl/>
        </w:rPr>
        <w:t xml:space="preserve">وثالثاً: سلّمنا أنّ مطلوبیّة الترك الخاصّ لا يقتضي مبغوضیّة الفعل إلّا أنّه يمكن أن يقال بحرمته من جهة كونه سبباً لترك الترك المبغوض بناء على أنّ سبب الحرام حرام كما اعترف</w:t>
      </w:r>
      <w:r>
        <w:rPr>
          <w:rStyle w:val="FootnoteReference"/>
        </w:rPr>
        <w:footnoteReference w:id="1949"/>
      </w:r>
      <w:r>
        <w:rPr>
          <w:rFonts w:ascii="IRNazanin" w:hAnsi="IRNazanin" w:eastAsia="IRNazanin" w:cs="IRNazanin"/>
          <w:lang w:bidi="fa-IR"/>
          <w:color w:val="111111"/>
          <w:sz w:val="28"/>
          <w:szCs w:val="28"/>
          <w:rtl/>
        </w:rPr>
        <w:t xml:space="preserve">به بالنّسبة إلى فعل الإفطار الموجب لترك الصوم المحرّم فلا يمكن مع هذا كونه مطلوباً أیضاً.</w:t>
      </w:r>
    </w:p>
    <w:p>
      <w:pPr>
        <w:pStyle w:val="BookText"/>
      </w:pPr>
      <w:r>
        <w:rPr>
          <w:rFonts w:ascii="IRNazanin" w:hAnsi="IRNazanin" w:eastAsia="IRNazanin" w:cs="IRNazanin"/>
          <w:lang w:bidi="fa-IR"/>
          <w:color w:val="111111"/>
          <w:sz w:val="28"/>
          <w:szCs w:val="28"/>
          <w:rtl/>
        </w:rPr>
        <w:t xml:space="preserve">فإن قلت</w:t>
      </w:r>
      <w:r>
        <w:rPr>
          <w:rStyle w:val="FootnoteReference"/>
        </w:rPr>
        <w:footnoteReference w:id="1950"/>
      </w:r>
      <w:r>
        <w:rPr>
          <w:rFonts w:ascii="Amiri" w:hAnsi="Amiri" w:eastAsia="Amiri" w:cs="Amiri"/>
          <w:lang w:bidi="ar-SA"/>
          <w:color w:val="111111"/>
          <w:sz w:val="28"/>
          <w:szCs w:val="28"/>
          <w:rtl/>
        </w:rPr>
        <w:t xml:space="preserve">: إنّ فعل الصّلاة مثلاً ليس علّة لترك الترك الموصل بل هما معلولا الإرادة.</w:t>
      </w:r>
    </w:p>
    <w:p>
      <w:pPr>
        <w:pStyle w:val="BookText"/>
      </w:pPr>
      <w:r>
        <w:rPr>
          <w:rFonts w:ascii="IRNazanin" w:hAnsi="IRNazanin" w:eastAsia="IRNazanin" w:cs="IRNazanin"/>
          <w:lang w:bidi="fa-IR"/>
          <w:color w:val="111111"/>
          <w:sz w:val="28"/>
          <w:szCs w:val="28"/>
          <w:rtl/>
        </w:rPr>
        <w:t xml:space="preserve">قلت: على فرض التسليم يجري مثله في فعل الإفطار أیضاً فلا وجه لتسليم العلّيّة هناك دون ما نحن فيه.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ورابعاً: أنّ ما ذكره أخيراً في دفع كون ما ذكره من قبيل التکلیف بالضدّين من أنّه ليس مکلّفاً بالجمع بل أحد التکلیفين منوط بعدم التشاغل بالفعل الآخر يرجع</w:t>
      </w:r>
      <w:r>
        <w:rPr>
          <w:rStyle w:val="FootnoteReference"/>
        </w:rPr>
        <w:footnoteReference w:id="1951"/>
      </w:r>
      <w:r>
        <w:rPr>
          <w:rFonts w:ascii="Amiri" w:hAnsi="Amiri" w:eastAsia="Amiri" w:cs="Amiri"/>
          <w:lang w:bidi="ar-SA"/>
          <w:color w:val="111111"/>
          <w:sz w:val="28"/>
          <w:szCs w:val="28"/>
          <w:rtl/>
        </w:rPr>
        <w:t xml:space="preserve">إلى ما ذكره أخوه المحقّق في مسألة الترتّب،</w:t>
      </w:r>
      <w:r>
        <w:rPr>
          <w:rStyle w:val="FootnoteReference"/>
        </w:rPr>
        <w:footnoteReference w:id="1952"/>
      </w:r>
    </w:p>
    <w:p>
      <w:pPr>
        <w:pStyle w:val="BookText"/>
      </w:pPr>
      <w:r>
        <w:rPr>
          <w:rFonts w:ascii="IRNazanin" w:hAnsi="IRNazanin" w:eastAsia="IRNazanin" w:cs="IRNazanin"/>
          <w:lang w:bidi="fa-IR"/>
          <w:color w:val="111111"/>
          <w:sz w:val="28"/>
          <w:szCs w:val="28"/>
          <w:rtl/>
        </w:rPr>
        <w:t xml:space="preserve">وقال أخوه صاحب الفصول في الفصول الغرویّة، ص124: «فاجتماع النهي بمعنى طلب ترك خاص مع الأمر سواء كان مع تغاير الجهتين كما في محل البحث أو بدونه مع كونه على وجه التخيير أو الترتيب بأن يكون تعلق الأمر مبنياً على تقدير المخالفة في النهي لجائز خارج عن محل البحث».</w:t>
      </w:r>
    </w:p>
    <w:p>
      <w:pPr>
        <w:pStyle w:val="BookText"/>
      </w:pPr>
      <w:r>
        <w:rPr>
          <w:rFonts w:ascii="IRNazanin" w:hAnsi="IRNazanin" w:eastAsia="IRNazanin" w:cs="IRNazanin"/>
          <w:lang w:bidi="fa-IR"/>
          <w:color w:val="111111"/>
          <w:sz w:val="28"/>
          <w:szCs w:val="28"/>
          <w:rtl/>
        </w:rPr>
        <w:t xml:space="preserve">ويرد عليه ما ورد عليه.والعجب أنّه قد اعترف هناك بأنّ الترتّب غير صحيح لاستلزامه التکلیف بالمحال بعد حصول شرط التکلیف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الثاني،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أقول: قضية ما ذكر توجه الأمر المطلق عند وجود شرطه وضرورة العقل قاضية بامتناع توجه الأمر والنهي إلى الشي‌ء الواحد بالشخص والجهة مطلقاً».</w:t>
      </w:r>
    </w:p>
    <w:p>
      <w:pPr>
        <w:pStyle w:val="BookText"/>
      </w:pPr>
      <w:r>
        <w:rPr>
          <w:rFonts w:ascii="Amiri" w:hAnsi="Amiri" w:eastAsia="Amiri" w:cs="Amiri"/>
          <w:lang w:bidi="ar-SA"/>
          <w:color w:val="111111"/>
          <w:sz w:val="28"/>
          <w:szCs w:val="28"/>
          <w:rtl/>
        </w:rPr>
        <w:t xml:space="preserve">وقد اختاره في</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المقام.</w:t>
      </w:r>
      <w:r>
        <w:rPr>
          <w:rStyle w:val="FootnoteReference"/>
        </w:rPr>
        <w:footnoteReference w:id="1953"/>
      </w:r>
    </w:p>
    <w:p>
      <w:pPr>
        <w:pStyle w:val="BookText"/>
      </w:pPr>
      <w:r>
        <w:rPr>
          <w:rFonts w:ascii="Amiri" w:hAnsi="Amiri" w:eastAsia="Amiri" w:cs="Amiri"/>
          <w:lang w:bidi="ar-SA"/>
          <w:color w:val="111111"/>
          <w:sz w:val="28"/>
          <w:szCs w:val="28"/>
          <w:rtl/>
        </w:rPr>
        <w:t xml:space="preserve">فإن قلت: الفرق أنّ في المقام لا يلزم اجتماع الأمر والنهي وهناك كان يلزم.</w:t>
      </w:r>
    </w:p>
    <w:p>
      <w:pPr>
        <w:pStyle w:val="BookText"/>
      </w:pPr>
      <w:r>
        <w:rPr>
          <w:rFonts w:ascii="IRNazanin" w:hAnsi="IRNazanin" w:eastAsia="IRNazanin" w:cs="IRNazanin"/>
          <w:lang w:bidi="fa-IR"/>
          <w:color w:val="111111"/>
          <w:sz w:val="28"/>
          <w:szCs w:val="28"/>
          <w:rtl/>
        </w:rPr>
        <w:t xml:space="preserve">قلت: نعم لكنّه أورد عليه هناك بكونه تکلیفاً بالمحال وهو جارٍ في المقام أیضاً.</w:t>
      </w:r>
    </w:p>
    <w:p>
      <w:pPr>
        <w:pStyle w:val="BookText"/>
      </w:pPr>
      <w:r>
        <w:rPr>
          <w:rFonts w:ascii="IRNazanin" w:hAnsi="IRNazanin" w:eastAsia="IRNazanin" w:cs="IRNazanin"/>
          <w:lang w:bidi="fa-IR"/>
          <w:color w:val="111111"/>
          <w:sz w:val="28"/>
          <w:szCs w:val="28"/>
          <w:rtl/>
        </w:rPr>
        <w:t xml:space="preserve">نعم لو كان تشبّثه هناك بكونه تکلیفاً محالاً أمكن أن يختار في المقام الجواز؛ لأنّه ليس تکلیفاً محالاً.</w:t>
      </w:r>
    </w:p>
    <w:p>
      <w:pPr>
        <w:pStyle w:val="BookText"/>
      </w:pPr>
      <w:r>
        <w:rPr>
          <w:rFonts w:ascii="IRNazanin" w:hAnsi="IRNazanin" w:eastAsia="IRNazanin" w:cs="IRNazanin"/>
          <w:lang w:bidi="fa-IR"/>
          <w:color w:val="111111"/>
          <w:sz w:val="28"/>
          <w:szCs w:val="28"/>
          <w:rtl/>
        </w:rPr>
        <w:t xml:space="preserve">والحاصل: أنّه لا وجه للإيراد على الوجه السّابق بكونه تکلیفاً بالمحال وأنّ الترتّب لا ينفع في دفعه مع اختياره في المقام الجواز بالنّسبة إلى الفعل والتّرك. فتدبّر.</w:t>
      </w:r>
    </w:p>
    <w:p>
      <w:pPr>
        <w:pStyle w:val="BookText"/>
      </w:pPr>
      <w:r>
        <w:rPr>
          <w:rFonts w:ascii="Amiri" w:hAnsi="Amiri" w:eastAsia="Amiri" w:cs="Amiri"/>
          <w:lang w:bidi="ar-SA"/>
          <w:color w:val="111111"/>
          <w:sz w:val="28"/>
          <w:szCs w:val="28"/>
          <w:rtl/>
        </w:rPr>
        <w:t xml:space="preserve">ثمّ إنّه لا وجه لما أورده على الوجه السّابق من أنّه لا دليل على كون وجوب الضدّ مشروطاً بالعصيان مع استناده في المقام في إثبات ذلك إلى الإطلاقات فإنّهامشتركة بين الوجهين فلو تمّت دليلاً على المقام فكذا في الوجه السابق.</w:t>
      </w:r>
    </w:p>
    <w:p>
      <w:pPr>
        <w:pStyle w:val="BookText"/>
      </w:pPr>
      <w:r>
        <w:rPr>
          <w:rFonts w:ascii="IRNazanin" w:hAnsi="IRNazanin" w:eastAsia="IRNazanin" w:cs="IRNazanin"/>
          <w:lang w:bidi="fa-IR"/>
          <w:color w:val="111111"/>
          <w:sz w:val="28"/>
          <w:szCs w:val="28"/>
          <w:rtl/>
        </w:rPr>
        <w:t xml:space="preserve">وكيف كان فقد تحصّل أنّ إشکال الاجتماع لا يندفع بالترتّب وأنّه لا ينفع في دفع أصل الاجتماع حسبما رامه صاحب الفصول</w:t>
      </w:r>
      <w:r>
        <w:rPr>
          <w:rStyle w:val="FootnoteReference"/>
        </w:rPr>
        <w:footnoteReference w:id="1954"/>
      </w:r>
      <w:r>
        <w:rPr>
          <w:rFonts w:ascii="Amiri" w:hAnsi="Amiri" w:eastAsia="Amiri" w:cs="Amiri"/>
          <w:lang w:bidi="ar-SA"/>
          <w:color w:val="111111"/>
          <w:sz w:val="28"/>
          <w:szCs w:val="28"/>
          <w:rtl/>
        </w:rPr>
        <w:t xml:space="preserve">ولا في دفع استحالته حسبما تخيّله أخوه المحقّق.</w:t>
      </w:r>
      <w:r>
        <w:rPr>
          <w:rStyle w:val="FootnoteReference"/>
        </w:rPr>
        <w:footnoteReference w:id="1955"/>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79" w:name="pg6784_51580"/>
    <w:bookmarkEnd w:id="279"/>
    <w:p>
      <w:pPr>
        <w:pStyle w:val="Heading6"/>
      </w:pPr>
      <w:bookmarkStart w:id="804" w:name="_Toc485"/>
      <w:r>
        <w:t>[بیان آخر لدفع لزوم الاجتماع]</w:t>
      </w:r>
      <w:bookmarkEnd w:id="804"/>
    </w:p>
    <w:p>
      <w:pPr>
        <w:pStyle w:val="BookText"/>
      </w:pPr>
      <w:r>
        <w:rPr>
          <w:rFonts w:ascii="IRNazanin" w:hAnsi="IRNazanin" w:eastAsia="IRNazanin" w:cs="IRNazanin"/>
          <w:lang w:bidi="fa-IR"/>
          <w:color w:val="111111"/>
          <w:sz w:val="28"/>
          <w:szCs w:val="28"/>
          <w:rtl/>
        </w:rPr>
        <w:t xml:space="preserve">هذا ويمكن أن يدفع أصل لزوم الاجتماع بوجه آخر من غير ابتناء على المقدّمة الموصلة لكن مع البناء على الإغماض عن كون التکلیف بالضدّين من الصّلاة والإزالة تکلیفاً بما لا يطاق وعلى القول بأنّ الترتّب ينفع</w:t>
      </w:r>
      <w:r>
        <w:rPr>
          <w:rStyle w:val="FootnoteReference"/>
        </w:rPr>
        <w:footnoteReference w:id="1956"/>
      </w:r>
      <w:r>
        <w:rPr>
          <w:rFonts w:ascii="IRNazanin" w:hAnsi="IRNazanin" w:eastAsia="IRNazanin" w:cs="IRNazanin"/>
          <w:lang w:bidi="fa-IR"/>
          <w:color w:val="111111"/>
          <w:sz w:val="28"/>
          <w:szCs w:val="28"/>
          <w:rtl/>
        </w:rPr>
        <w:t xml:space="preserve">في رفع استحالة مثل هذا التکلیف وهو أنّ من المعلوم أنّ المتّصف بالوجوب من المقدّمات إنّما هي الأفراد المباحة دون المحرّمة ومن المعلوم أیضاً أنّه يمكن أن يكون بعض أفراد المقدّمة محرّماً بعنوان آخر.</w:t>
      </w:r>
    </w:p>
    <w:p>
      <w:pPr>
        <w:pStyle w:val="BookText"/>
      </w:pPr>
      <w:r>
        <w:rPr>
          <w:rFonts w:ascii="Amiri" w:hAnsi="Amiri" w:eastAsia="Amiri" w:cs="Amiri"/>
          <w:lang w:bidi="ar-SA"/>
          <w:color w:val="111111"/>
          <w:sz w:val="28"/>
          <w:szCs w:val="28"/>
          <w:rtl/>
        </w:rPr>
        <w:t xml:space="preserve">مثلاً إذا كان قولنا: «لا إله إلّا الله» واجباً فقولنا: لا إله، واجب من حيث إنّه جزء من هذا المجموع لكن يمكن أن يكون بعنوان الوحدة حراماً ولا محذور فيه أصلاً، فيجب عليه قوله: لا إله، ويحرم عليه الاقتصار عليه بحيث لو اقتصر عليه يكون آتياً بالحرام النفسي مضافاً إلى تركه للواجب الّذي هو المجموع.</w:t>
      </w:r>
    </w:p>
    <w:p>
      <w:pPr>
        <w:pStyle w:val="BookText"/>
      </w:pPr>
      <w:r>
        <w:rPr>
          <w:rFonts w:ascii="IRNazanin" w:hAnsi="IRNazanin" w:eastAsia="IRNazanin" w:cs="IRNazanin"/>
          <w:lang w:bidi="fa-IR"/>
          <w:color w:val="111111"/>
          <w:sz w:val="28"/>
          <w:szCs w:val="28"/>
          <w:rtl/>
        </w:rPr>
        <w:t xml:space="preserve">وإذا كان الأمر كذلك فنقول: إذا كانت الإزالة واجبة فترك الصّلاة مقدّمة لها وواجب بوجوبها إلّا أنّه إذا فرضنا أنّ الصّلاة أیضاً واجبة مع فرض إخلاء الزّمان عن التّشاغل بالإزالة فيكون تركها الغير الموصل إلى الإزالة حراماً من حيث إنّه ترك للواجب فیختصّ الوجوب المقدّمي بالترك الموصل لا لاختصاص الوجوببالموصلة من المقدّمات بل لما عرفت من أنّ الترك الغير الموصل ترك للواجب وهو حرام وإذا لم یتّصف الترك الغير الموصل بالوجوب فلا يلزم اجتماع الوجوب والحرمة في الصّلاة.</w:t>
      </w:r>
    </w:p>
    <w:p>
      <w:pPr>
        <w:pStyle w:val="BookText"/>
      </w:pPr>
      <w:r>
        <w:rPr>
          <w:rFonts w:ascii="IRNazanin" w:hAnsi="IRNazanin" w:eastAsia="IRNazanin" w:cs="IRNazanin"/>
          <w:lang w:bidi="fa-IR"/>
          <w:color w:val="111111"/>
          <w:sz w:val="28"/>
          <w:szCs w:val="28"/>
          <w:rtl/>
        </w:rPr>
        <w:t xml:space="preserve">فإن قلت: إنّ هذا إنّما يتمّ إذا كانت الصّلاة واجبة من الأوّل حتّى يكون تركها حراماً قبل أن یتّصف بالوجوب المقدّمي وأمّا إذا كان</w:t>
      </w:r>
      <w:r>
        <w:rPr>
          <w:rStyle w:val="FootnoteReference"/>
        </w:rPr>
        <w:footnoteReference w:id="1957"/>
      </w:r>
      <w:r>
        <w:rPr>
          <w:rFonts w:ascii="Amiri" w:hAnsi="Amiri" w:eastAsia="Amiri" w:cs="Amiri"/>
          <w:lang w:bidi="ar-SA"/>
          <w:color w:val="111111"/>
          <w:sz w:val="28"/>
          <w:szCs w:val="28"/>
          <w:rtl/>
        </w:rPr>
        <w:t xml:space="preserve">الواجب في الرّتبة الأولى الإزالة وبوجوبها يجب مقدّمتها فيجب ترك الصّلاة قبل أن تتّصف</w:t>
      </w:r>
      <w:r>
        <w:rPr>
          <w:rStyle w:val="FootnoteReference"/>
        </w:rPr>
        <w:footnoteReference w:id="1958"/>
      </w:r>
      <w:r>
        <w:rPr>
          <w:rFonts w:ascii="Amiri" w:hAnsi="Amiri" w:eastAsia="Amiri" w:cs="Amiri"/>
          <w:lang w:bidi="ar-SA"/>
          <w:color w:val="111111"/>
          <w:sz w:val="28"/>
          <w:szCs w:val="28"/>
          <w:rtl/>
        </w:rPr>
        <w:t xml:space="preserve">الصّلاة بالوجوب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فلايمكن كونها واجبة ليحرم تركها.</w:t>
      </w:r>
    </w:p>
    <w:p>
      <w:pPr>
        <w:pStyle w:val="BookText"/>
      </w:pPr>
      <w:r>
        <w:rPr>
          <w:rFonts w:ascii="IRNazanin" w:hAnsi="IRNazanin" w:eastAsia="IRNazanin" w:cs="IRNazanin"/>
          <w:lang w:bidi="fa-IR"/>
          <w:color w:val="111111"/>
          <w:sz w:val="28"/>
          <w:szCs w:val="28"/>
          <w:rtl/>
        </w:rPr>
        <w:t xml:space="preserve">قلت: على فرض خلوّ الزّمان عن الإزالة يكون وجوب الصّلاة من الأوّل في عرض وجوب الازالة؛ إذ قد عرفت سابقاً أنّ التشاغل من قبيل المانع لا أنّ الخلوّ شرط، فنقول: مقتضى الإطلاقات وجوب کلّ من الضدّين فإذا لم يكن أحدهما أهمّ من الآخر فلازم المزاحمة سقوط وجوب کلّ منهما مع فرض التشاغل بالآخر؛ لأنّه مانع عنه والعقل يحكم بعدم الوجوب عند</w:t>
      </w:r>
      <w:r>
        <w:rPr>
          <w:rStyle w:val="FootnoteReference"/>
        </w:rPr>
        <w:footnoteReference w:id="1959"/>
      </w:r>
      <w:r>
        <w:rPr>
          <w:rFonts w:ascii="Amiri" w:hAnsi="Amiri" w:eastAsia="Amiri" w:cs="Amiri"/>
          <w:lang w:bidi="ar-SA"/>
          <w:color w:val="111111"/>
          <w:sz w:val="28"/>
          <w:szCs w:val="28"/>
          <w:rtl/>
        </w:rPr>
        <w:t xml:space="preserve">وجود المانع وأمّا مع عدم التشاغل فيكون المانع مرتفعاً فيبقى الوجوب الثابت بالإطلاقات بلا مانع.</w:t>
      </w:r>
    </w:p>
    <w:p>
      <w:pPr>
        <w:pStyle w:val="BookText"/>
      </w:pPr>
      <w:r>
        <w:rPr>
          <w:rFonts w:ascii="IRNazanin" w:hAnsi="IRNazanin" w:eastAsia="IRNazanin" w:cs="IRNazanin"/>
          <w:lang w:bidi="fa-IR"/>
          <w:color w:val="111111"/>
          <w:sz w:val="28"/>
          <w:szCs w:val="28"/>
          <w:rtl/>
        </w:rPr>
        <w:t xml:space="preserve">ولازم وجوب کلّ منهما مع عدم فرض</w:t>
      </w:r>
      <w:r>
        <w:rPr>
          <w:rStyle w:val="FootnoteReference"/>
        </w:rPr>
        <w:footnoteReference w:id="1960"/>
      </w:r>
      <w:r>
        <w:rPr>
          <w:rFonts w:ascii="IRNazanin" w:hAnsi="IRNazanin" w:eastAsia="IRNazanin" w:cs="IRNazanin"/>
          <w:lang w:bidi="fa-IR"/>
          <w:color w:val="111111"/>
          <w:sz w:val="28"/>
          <w:szCs w:val="28"/>
          <w:rtl/>
        </w:rPr>
        <w:t xml:space="preserve">المانع وجوب ترك الآخر إذا كان موصلاً دون الترك الغير الموصل؛ لأنّه ترك للواجب وهو حرام وإذا كان أحدهما أهمّ فيكون الواجب عليه هو الإتیان به والاقتصار عليه لكن مع فرض إخلاء الزمان يكون الآخر أیضاً بلا مانع من الأوّل فيكون واجباً أیضاً ولازمه حرمة تركه فیختصّ وجوب تركه بالموصل وأمّا غير الموصل فحرام لا یتّصف بالوجوب.</w:t>
      </w:r>
    </w:p>
    <w:p>
      <w:pPr>
        <w:pStyle w:val="BookText"/>
      </w:pPr>
      <w:r>
        <w:rPr>
          <w:rFonts w:ascii="IRNazanin" w:hAnsi="IRNazanin" w:eastAsia="IRNazanin" w:cs="IRNazanin"/>
          <w:lang w:bidi="fa-IR"/>
          <w:color w:val="111111"/>
          <w:sz w:val="28"/>
          <w:szCs w:val="28"/>
          <w:rtl/>
        </w:rPr>
        <w:t xml:space="preserve">والحاصل: أنّه بناءً على صحّة الترتّب وعدم استحالة التکلیف بالضدّين على الوجه المذكور</w:t>
      </w:r>
      <w:r>
        <w:rPr>
          <w:rStyle w:val="FootnoteReference"/>
        </w:rPr>
        <w:footnoteReference w:id="1961"/>
      </w:r>
      <w:r>
        <w:rPr>
          <w:rFonts w:ascii="Amiri" w:hAnsi="Amiri" w:eastAsia="Amiri" w:cs="Amiri"/>
          <w:lang w:bidi="ar-SA"/>
          <w:color w:val="111111"/>
          <w:sz w:val="28"/>
          <w:szCs w:val="28"/>
          <w:rtl/>
        </w:rPr>
        <w:t xml:space="preserve">لا يكون وجوب أحد الضدّين مانعاً عن وجوب الآخر بل المانع عنه شغل الزمان بالآخر ومع فرض عدمه يكون الوجوب ثابتاً من الأوّل فيكون تركهحراماً.</w:t>
      </w:r>
    </w:p>
    <w:p>
      <w:pPr>
        <w:pStyle w:val="BookText"/>
      </w:pPr>
      <w:r>
        <w:rPr>
          <w:rFonts w:ascii="Amiri" w:hAnsi="Amiri" w:eastAsia="Amiri" w:cs="Amiri"/>
          <w:lang w:bidi="ar-SA"/>
          <w:color w:val="111111"/>
          <w:sz w:val="28"/>
          <w:szCs w:val="28"/>
          <w:rtl/>
        </w:rPr>
        <w:t xml:space="preserve">نعم تركه الموصل إلى الآخر واجب لعدم المانع عن وجوبه لعدم حرمته.</w:t>
      </w:r>
    </w:p>
    <w:p>
      <w:pPr>
        <w:pStyle w:val="BookText"/>
      </w:pPr>
      <w:r>
        <w:rPr>
          <w:rFonts w:ascii="Amiri" w:hAnsi="Amiri" w:eastAsia="Amiri" w:cs="Amiri"/>
          <w:lang w:bidi="ar-SA"/>
          <w:color w:val="111111"/>
          <w:sz w:val="28"/>
          <w:szCs w:val="28"/>
          <w:rtl/>
        </w:rPr>
        <w:t xml:space="preserve">وهذا الوجه في الثمرة راجع إلى ما ذكره صاحب الفصول</w:t>
      </w:r>
      <w:r>
        <w:rPr>
          <w:rStyle w:val="FootnoteReference"/>
        </w:rPr>
        <w:footnoteReference w:id="1962"/>
      </w:r>
      <w:r>
        <w:rPr>
          <w:rFonts w:ascii="Amiri" w:hAnsi="Amiri" w:eastAsia="Amiri" w:cs="Amiri"/>
          <w:lang w:bidi="ar-SA"/>
          <w:color w:val="111111"/>
          <w:sz w:val="28"/>
          <w:szCs w:val="28"/>
          <w:rtl/>
        </w:rPr>
        <w:t xml:space="preserve">لكن لا يرد عليه ما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80" w:name="pg6784_51584"/>
    <w:bookmarkEnd w:id="280"/>
    <w:p>
      <w:pPr>
        <w:pStyle w:val="BookText"/>
      </w:pPr>
      <w:r>
        <w:rPr>
          <w:rFonts w:ascii="Amiri" w:hAnsi="Amiri" w:eastAsia="Amiri" w:cs="Amiri"/>
          <w:lang w:bidi="ar-SA"/>
          <w:color w:val="111111"/>
          <w:sz w:val="28"/>
          <w:szCs w:val="28"/>
          <w:rtl/>
        </w:rPr>
        <w:t xml:space="preserve">أوردنا عليه من جهة أنّه</w:t>
      </w:r>
      <w:r>
        <w:rPr>
          <w:rStyle w:val="FootnoteReference"/>
        </w:rPr>
        <w:footnoteReference w:id="1963"/>
      </w:r>
      <w:r>
        <w:rPr>
          <w:rFonts w:ascii="Amiri" w:hAnsi="Amiri" w:eastAsia="Amiri" w:cs="Amiri"/>
          <w:lang w:bidi="ar-SA"/>
          <w:color w:val="111111"/>
          <w:sz w:val="28"/>
          <w:szCs w:val="28"/>
          <w:rtl/>
        </w:rPr>
        <w:t xml:space="preserve">كان يريد إثبات وجوب الصلاة مثلاً من جهة اختصاص الوجوب المقدّمي بالمقدّمة الموصلة فقلنا: إنّه لا ينفع ونحن لا نريد إثبات وجوب الصلاة بذلك بل نثبته بالإطلاقات مع الإغماض عن المقدّمة الموصلة وغيرها ونثبت عدم وجوب غير الموصلة بإثبات وجوب الصّلاة</w:t>
      </w:r>
      <w:r>
        <w:rPr>
          <w:rStyle w:val="FootnoteReference"/>
        </w:rPr>
        <w:footnoteReference w:id="1964"/>
      </w:r>
      <w:r>
        <w:rPr>
          <w:rFonts w:ascii="Amiri" w:hAnsi="Amiri" w:eastAsia="Amiri" w:cs="Amiri"/>
          <w:lang w:bidi="ar-SA"/>
          <w:color w:val="111111"/>
          <w:sz w:val="28"/>
          <w:szCs w:val="28"/>
          <w:rtl/>
        </w:rPr>
        <w:t xml:space="preserve">حيث إنّ لازمه حرمة تركها المنافي لوجوبه المقتضي لتخصيص الوجوب المقدّمى بالموصلة. فافهم واغتنم.</w:t>
      </w:r>
    </w:p>
    <w:p>
      <w:pPr>
        <w:pStyle w:val="Heading6"/>
      </w:pPr>
      <w:bookmarkStart w:id="805" w:name="_Toc486"/>
      <w:r>
        <w:t>[نقد البیان المذکور]</w:t>
      </w:r>
      <w:bookmarkEnd w:id="805"/>
    </w:p>
    <w:p>
      <w:pPr>
        <w:pStyle w:val="BookText"/>
      </w:pPr>
      <w:r>
        <w:rPr>
          <w:rFonts w:ascii="IRNazanin" w:hAnsi="IRNazanin" w:eastAsia="IRNazanin" w:cs="IRNazanin"/>
          <w:lang w:bidi="fa-IR"/>
          <w:color w:val="111111"/>
          <w:sz w:val="28"/>
          <w:szCs w:val="28"/>
          <w:rtl/>
        </w:rPr>
        <w:t xml:space="preserve">لكن هذا الوجه بعد غير صحيح لما عرفت من الإشکال في صحّة التکلیف بالضدّين على الوجه المذكور.</w:t>
      </w:r>
      <w:r>
        <w:rPr>
          <w:rStyle w:val="FootnoteReference"/>
        </w:rPr>
        <w:footnoteReference w:id="1965"/>
      </w:r>
    </w:p>
    <w:p>
      <w:pPr>
        <w:pStyle w:val="BookText"/>
      </w:pPr>
      <w:r>
        <w:rPr>
          <w:rFonts w:ascii="IRNazanin" w:hAnsi="IRNazanin" w:eastAsia="IRNazanin" w:cs="IRNazanin"/>
          <w:lang w:bidi="fa-IR"/>
          <w:color w:val="111111"/>
          <w:sz w:val="28"/>
          <w:szCs w:val="28"/>
          <w:rtl/>
        </w:rPr>
        <w:t xml:space="preserve">نعم لو قلنا بصحّته فإشکال الاجتماع يندفع بهذا البيان.</w:t>
      </w:r>
    </w:p>
    <w:p>
      <w:pPr>
        <w:pStyle w:val="Heading5"/>
      </w:pPr>
      <w:bookmarkStart w:id="806" w:name="_Toc487"/>
      <w:r>
        <w:t>[التنبیه السادس: في عدم جواز اجتماع الحکمین مطلقاً على القول بالمنع]</w:t>
      </w:r>
      <w:bookmarkEnd w:id="806"/>
    </w:p>
    <w:p>
      <w:pPr>
        <w:pStyle w:val="Heading6"/>
      </w:pPr>
      <w:bookmarkStart w:id="807" w:name="_Toc488"/>
      <w:r>
        <w:t>اشارة</w:t>
      </w:r>
      <w:bookmarkEnd w:id="807"/>
    </w:p>
    <w:p>
      <w:pPr>
        <w:pStyle w:val="BookText"/>
      </w:pPr>
      <w:r>
        <w:rPr>
          <w:rFonts w:ascii="Amiri" w:hAnsi="Amiri" w:eastAsia="Amiri" w:cs="Amiri"/>
          <w:lang w:bidi="ar-SA"/>
          <w:color w:val="111111"/>
          <w:sz w:val="28"/>
          <w:szCs w:val="28"/>
          <w:rtl/>
        </w:rPr>
        <w:t xml:space="preserve">السّادس: مقتضى أدلّة المانعين كما عرفت عدم الفرق في عدم الجواز بين الإلزاميّين وغيرهما والمختلفين لاتّحاد المناط، لكن عرفت منّا سابقاً احتمال</w:t>
      </w:r>
      <w:r>
        <w:rPr>
          <w:rStyle w:val="FootnoteReference"/>
        </w:rPr>
        <w:footnoteReference w:id="1966"/>
      </w:r>
      <w:r>
        <w:rPr>
          <w:rFonts w:ascii="Amiri" w:hAnsi="Amiri" w:eastAsia="Amiri" w:cs="Amiri"/>
          <w:lang w:bidi="ar-SA"/>
          <w:color w:val="111111"/>
          <w:sz w:val="28"/>
          <w:szCs w:val="28"/>
          <w:rtl/>
        </w:rPr>
        <w:t xml:space="preserve">جواز اجتماع الوجوب والاستحباب والحرمة والكراهة</w:t>
      </w:r>
      <w:r>
        <w:rPr>
          <w:rStyle w:val="FootnoteReference"/>
        </w:rPr>
        <w:footnoteReference w:id="1967"/>
      </w:r>
      <w:r>
        <w:rPr>
          <w:rFonts w:ascii="Amiri" w:hAnsi="Amiri" w:eastAsia="Amiri" w:cs="Amiri"/>
          <w:lang w:bidi="ar-SA"/>
          <w:color w:val="111111"/>
          <w:sz w:val="28"/>
          <w:szCs w:val="28"/>
          <w:rtl/>
        </w:rPr>
        <w:t xml:space="preserve">بدعوى أنّ ملاك التضادّ ومناطه هو الاختلاف في الجنس الغير المتحقّق في الصورتين.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81" w:name="pg6784_51586"/>
    <w:bookmarkEnd w:id="281"/>
    <w:p>
      <w:pPr>
        <w:pStyle w:val="Heading6"/>
      </w:pPr>
      <w:bookmarkStart w:id="808" w:name="_Toc489"/>
      <w:r>
        <w:t>[احتمال صاحب الهدایة (رحمة الله‌علیه) لجواز اجتماع الاستحباب والكراهة]</w:t>
      </w:r>
      <w:bookmarkEnd w:id="808"/>
    </w:p>
    <w:p>
      <w:pPr>
        <w:pStyle w:val="BookText"/>
      </w:pPr>
      <w:r>
        <w:rPr>
          <w:rFonts w:ascii="Amiri" w:hAnsi="Amiri" w:eastAsia="Amiri" w:cs="Amiri"/>
          <w:lang w:bidi="ar-SA"/>
          <w:color w:val="111111"/>
          <w:sz w:val="28"/>
          <w:szCs w:val="28"/>
          <w:rtl/>
        </w:rPr>
        <w:t xml:space="preserve">واحتمل شيخ المحقّقين في هداية المسترشدين جواز اجتماع</w:t>
      </w:r>
      <w:r>
        <w:rPr>
          <w:rStyle w:val="FootnoteReference"/>
        </w:rPr>
        <w:footnoteReference w:id="1968"/>
      </w:r>
      <w:r>
        <w:rPr>
          <w:rFonts w:ascii="Amiri" w:hAnsi="Amiri" w:eastAsia="Amiri" w:cs="Amiri"/>
          <w:lang w:bidi="ar-SA"/>
          <w:color w:val="111111"/>
          <w:sz w:val="28"/>
          <w:szCs w:val="28"/>
          <w:rtl/>
        </w:rPr>
        <w:t xml:space="preserve">الاستحباب والكراهة - بعد ما صرّح بعدم جواز اجتماع الوجوب حتّى</w:t>
      </w:r>
      <w:r>
        <w:rPr>
          <w:rStyle w:val="FootnoteReference"/>
        </w:rPr>
        <w:footnoteReference w:id="1969"/>
      </w:r>
      <w:r>
        <w:rPr>
          <w:rFonts w:ascii="Amiri" w:hAnsi="Amiri" w:eastAsia="Amiri" w:cs="Amiri"/>
          <w:lang w:bidi="ar-SA"/>
          <w:color w:val="111111"/>
          <w:sz w:val="28"/>
          <w:szCs w:val="28"/>
          <w:rtl/>
        </w:rPr>
        <w:t xml:space="preserve">مع الاستحباب واجتماعالحرمة حتّى مع الكراهة، بل يظهر منه اختياره.</w:t>
      </w:r>
    </w:p>
    <w:p>
      <w:pPr>
        <w:pStyle w:val="BookText"/>
      </w:pPr>
      <w:r>
        <w:rPr>
          <w:rFonts w:ascii="Amiri" w:hAnsi="Amiri" w:eastAsia="Amiri" w:cs="Amiri"/>
          <w:lang w:bidi="ar-SA"/>
          <w:color w:val="111111"/>
          <w:sz w:val="28"/>
          <w:szCs w:val="28"/>
          <w:rtl/>
        </w:rPr>
        <w:t xml:space="preserve">قال: وقد يقال</w:t>
      </w:r>
      <w:r>
        <w:rPr>
          <w:rStyle w:val="FootnoteReference"/>
        </w:rPr>
        <w:footnoteReference w:id="1970"/>
      </w:r>
      <w:r>
        <w:rPr>
          <w:rFonts w:ascii="Amiri" w:hAnsi="Amiri" w:eastAsia="Amiri" w:cs="Amiri"/>
          <w:lang w:bidi="ar-SA"/>
          <w:color w:val="111111"/>
          <w:sz w:val="28"/>
          <w:szCs w:val="28"/>
          <w:rtl/>
        </w:rPr>
        <w:t xml:space="preserve">: إنّ رجحان الفعل من جهة لا ينافي رجحان الترك من جهة أخرى. نعم الممتنع حصولهما من جهة واحدة.</w:t>
      </w:r>
    </w:p>
    <w:p>
      <w:pPr>
        <w:pStyle w:val="BookText"/>
      </w:pPr>
      <w:r>
        <w:rPr>
          <w:rFonts w:ascii="IRNazanin" w:hAnsi="IRNazanin" w:eastAsia="IRNazanin" w:cs="IRNazanin"/>
          <w:lang w:bidi="fa-IR"/>
          <w:color w:val="111111"/>
          <w:sz w:val="28"/>
          <w:szCs w:val="28"/>
          <w:rtl/>
        </w:rPr>
        <w:t xml:space="preserve">ثمّ فرّق بين هذه الصّورة وبقية الصّور من الإلزاميّين والمختلفين بأنّ في الإلزاميّين لمّا كان الرجحان مع المنع من النقيض يكون المنع من الترك والمنع من الفعل متضادّين لا يمكن اجتماعهما في فعل واحد وإن کان من جهتين إلّا على طريق الشأنيّة بمعنى اجتماع جهتي الحكمين دون الحكم الفعلي؛ إذ هو تابع لترجيح إحدى الجهتين على الأخرى أو التخيير بينهما وكذا الحال في صورة بلوغ الرّجحان في أحد الطّرفين إلى حدّ المنع من النقيض؛ إذ لا يجامع المنع من الفعل أو الترك بحسب الواقع عدم حصوله للزوم الجمع بين النقيضين.</w:t>
      </w:r>
    </w:p>
    <w:p>
      <w:pPr>
        <w:pStyle w:val="BookText"/>
      </w:pPr>
      <w:r>
        <w:rPr>
          <w:rFonts w:ascii="Amiri" w:hAnsi="Amiri" w:eastAsia="Amiri" w:cs="Amiri"/>
          <w:lang w:bidi="ar-SA"/>
          <w:color w:val="111111"/>
          <w:sz w:val="28"/>
          <w:szCs w:val="28"/>
          <w:rtl/>
        </w:rPr>
        <w:t xml:space="preserve">وأمّا إذا لم يبلغ في شي‌ء منهما إلى حدّ المنع من النقيض فلا مانع منه؛ إذ لا مانع من رجحان الفعل على الترك من دون حصول المنع من الترك ورجحان الترك على الفعل كذلك بحسب الواقع من جهتين.</w:t>
      </w:r>
      <w:r>
        <w:rPr>
          <w:rStyle w:val="FootnoteReference"/>
        </w:rPr>
        <w:footnoteReference w:id="1971"/>
      </w:r>
    </w:p>
    <w:p>
      <w:pPr>
        <w:pStyle w:val="BookText"/>
      </w:pPr>
      <w:r>
        <w:rPr>
          <w:rFonts w:ascii="IRNazanin" w:hAnsi="IRNazanin" w:eastAsia="IRNazanin" w:cs="IRNazanin"/>
          <w:lang w:bidi="fa-IR"/>
          <w:color w:val="111111"/>
          <w:sz w:val="28"/>
          <w:szCs w:val="28"/>
          <w:rtl/>
        </w:rPr>
        <w:t xml:space="preserve">ثمّ أورد الإشکال بأنّه إن لوحظ ثبوت الحكمين على نحو القضية الطبيعيّة من دون ثبوتهما للفرد بحسب الواقع فلا مانع منه في شي‌ء من الصّور، وإن لوحظ على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القضية المحصورة فمن الظّاهر</w:t>
      </w:r>
      <w:r>
        <w:rPr>
          <w:rStyle w:val="FootnoteReference"/>
        </w:rPr>
        <w:footnoteReference w:id="1972"/>
      </w:r>
      <w:r>
        <w:rPr>
          <w:rFonts w:ascii="IRNazanin" w:hAnsi="IRNazanin" w:eastAsia="IRNazanin" w:cs="IRNazanin"/>
          <w:lang w:bidi="fa-IR"/>
          <w:color w:val="111111"/>
          <w:sz w:val="28"/>
          <w:szCs w:val="28"/>
          <w:rtl/>
        </w:rPr>
        <w:t xml:space="preserve">امتناعه في النّدب والكراهة أیضاً؛ إذ كما يثبت التضادّ بين المنع من الفعل والمنع من الترك فكذا بين رجحان الفعل ورجحان الترك.</w:t>
      </w:r>
    </w:p>
    <w:p>
      <w:pPr>
        <w:pStyle w:val="BookText"/>
      </w:pPr>
      <w:r>
        <w:rPr>
          <w:rFonts w:ascii="Amiri" w:hAnsi="Amiri" w:eastAsia="Amiri" w:cs="Amiri"/>
          <w:lang w:bidi="ar-SA"/>
          <w:color w:val="111111"/>
          <w:sz w:val="28"/>
          <w:szCs w:val="28"/>
          <w:rtl/>
        </w:rPr>
        <w:t xml:space="preserve">غاية الأمر أنّ المضادّة في الواجب والحرام من جهتين من جهة الجنس ومن جهة الفصل وفي النّدب والكراهة من الجهة الأولى خاصّة.</w:t>
      </w:r>
    </w:p>
    <w:p>
      <w:pPr>
        <w:pStyle w:val="BookText"/>
      </w:pPr>
      <w:r>
        <w:rPr>
          <w:rFonts w:ascii="Amiri" w:hAnsi="Amiri" w:eastAsia="Amiri" w:cs="Amiri"/>
          <w:lang w:bidi="ar-SA"/>
          <w:color w:val="111111"/>
          <w:sz w:val="28"/>
          <w:szCs w:val="28"/>
          <w:rtl/>
        </w:rPr>
        <w:t xml:space="preserve">وأجاب بما حاصله: أنّ المنع من الترك والإذن فيه فضلاً عن كونه مع الرّجحان متضادّان لا يمكن ثبوتهما بحسب الواقع ولو من جهتين إلّا أن تكونا مميّزتينلأحدهما</w:t>
      </w:r>
      <w:r>
        <w:rPr>
          <w:rStyle w:val="FootnoteReference"/>
        </w:rPr>
        <w:footnoteReference w:id="1973"/>
      </w:r>
      <w:r>
        <w:rPr>
          <w:rFonts w:ascii="IRNazanin" w:hAnsi="IRNazanin" w:eastAsia="IRNazanin" w:cs="IRNazanin"/>
          <w:lang w:bidi="fa-IR"/>
          <w:color w:val="111111"/>
          <w:sz w:val="28"/>
          <w:szCs w:val="28"/>
          <w:rtl/>
        </w:rPr>
        <w:t xml:space="preserve">عن</w:t>
      </w:r>
      <w:r>
        <w:rPr>
          <w:rStyle w:val="FootnoteReference"/>
        </w:rPr>
        <w:footnoteReference w:id="1974"/>
      </w:r>
      <w:r>
        <w:rPr>
          <w:rFonts w:ascii="Amiri" w:hAnsi="Amiri" w:eastAsia="Amiri" w:cs="Amiri"/>
          <w:lang w:bidi="ar-SA"/>
          <w:color w:val="111111"/>
          <w:sz w:val="28"/>
          <w:szCs w:val="28"/>
          <w:rtl/>
        </w:rPr>
        <w:t xml:space="preserve">الآخر في الخارج كضرب اليتيم ظلماً وتأديباً، فلا بدّ من ملاحظة جميع الجهات ثمّ الحكم على مقتضاه، وأمّا مع عدم المنع من النقيض فيمكن رجحان الفعل والترك من جهتين ولا يلزم ملاحظة جميع الجهات ويمكن اتّصاف المصداق الواحد بالرجحانين معاً بحسب الواقع بملاحظة انطباقه على الجهتين، غاية الأمر أنّه</w:t>
      </w:r>
      <w:r>
        <w:rPr>
          <w:rStyle w:val="FootnoteReference"/>
        </w:rPr>
        <w:footnoteReference w:id="1975"/>
      </w:r>
      <w:r>
        <w:rPr>
          <w:rFonts w:ascii="Amiri" w:hAnsi="Amiri" w:eastAsia="Amiri" w:cs="Amiri"/>
          <w:lang w:bidi="ar-SA"/>
          <w:color w:val="111111"/>
          <w:sz w:val="28"/>
          <w:szCs w:val="28"/>
          <w:rtl/>
        </w:rPr>
        <w:t xml:space="preserve">نظير الفعلين المتلازمين إذا كان أحدهما مندوباً والآخر مكروهاً فإنّه إن أتى بالمندوب فقد أتى بالمكروه وإن ترك المندوب فقد ترك المكروه</w:t>
      </w:r>
      <w:r>
        <w:rPr>
          <w:rStyle w:val="FootnoteReference"/>
        </w:rPr>
        <w:footnoteReference w:id="1976"/>
      </w:r>
      <w:r>
        <w:rPr>
          <w:rFonts w:ascii="IRNazanin" w:hAnsi="IRNazanin" w:eastAsia="IRNazanin" w:cs="IRNazanin"/>
          <w:lang w:bidi="fa-IR"/>
          <w:color w:val="111111"/>
          <w:sz w:val="28"/>
          <w:szCs w:val="28"/>
          <w:rtl/>
        </w:rPr>
        <w:t xml:space="preserve">أیضاً وحینئذٍ إن تعادلا تخيّر المکلّف بين الأخذ بالتکلیفين وإلّا كان الأولى ترجيح الأرجح منهما.</w:t>
      </w:r>
    </w:p>
    <w:p>
      <w:pPr>
        <w:pStyle w:val="BookText"/>
      </w:pPr>
      <w:r>
        <w:rPr>
          <w:rFonts w:ascii="Amiri" w:hAnsi="Amiri" w:eastAsia="Amiri" w:cs="Amiri"/>
          <w:lang w:bidi="ar-SA"/>
          <w:color w:val="111111"/>
          <w:sz w:val="28"/>
          <w:szCs w:val="28"/>
          <w:rtl/>
        </w:rPr>
        <w:t xml:space="preserve">ودعوى أنّه مع التساوي يكون مباحاً؛</w:t>
      </w:r>
    </w:p>
    <w:p>
      <w:pPr>
        <w:pStyle w:val="BookText"/>
      </w:pPr>
      <w:r>
        <w:rPr>
          <w:rFonts w:ascii="IRNazanin" w:hAnsi="IRNazanin" w:eastAsia="IRNazanin" w:cs="IRNazanin"/>
          <w:lang w:bidi="fa-IR"/>
          <w:color w:val="111111"/>
          <w:sz w:val="28"/>
          <w:szCs w:val="28"/>
          <w:rtl/>
        </w:rPr>
        <w:t xml:space="preserve">مدفوعة بأنّ المباح ما لا مصلحة في فعله وتركه أو لم يكن فيه تعدّد العنوان لا مثل المقام ممّا في فعله مصلحة من جهة انطباقه على عنوان وفي تركه مصلحة من جهة انطباقه على عنوان آخر فهو لا يلحق بالمباح، غاية الأمر تخيير المکلّف بين الأخذ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82" w:name="pg6784_51590"/>
    <w:bookmarkEnd w:id="282"/>
    <w:p>
      <w:pPr>
        <w:pStyle w:val="BookText"/>
      </w:pPr>
      <w:r>
        <w:rPr>
          <w:rFonts w:ascii="Amiri" w:hAnsi="Amiri" w:eastAsia="Amiri" w:cs="Amiri"/>
          <w:lang w:bidi="ar-SA"/>
          <w:color w:val="111111"/>
          <w:sz w:val="28"/>
          <w:szCs w:val="28"/>
          <w:rtl/>
        </w:rPr>
        <w:t xml:space="preserve">بالحكمين والعمل على طبق أحدهما.</w:t>
      </w:r>
      <w:r>
        <w:rPr>
          <w:rStyle w:val="FootnoteReference"/>
        </w:rPr>
        <w:footnoteReference w:id="1977"/>
      </w:r>
    </w:p>
    <w:p>
      <w:pPr>
        <w:pStyle w:val="Heading6"/>
      </w:pPr>
      <w:bookmarkStart w:id="809" w:name="_Toc490"/>
      <w:r>
        <w:t>[نقد کلام صاحب الهدایة (رحمة الله‌علیه)]</w:t>
      </w:r>
      <w:bookmarkEnd w:id="809"/>
    </w:p>
    <w:p>
      <w:pPr>
        <w:pStyle w:val="BookText"/>
      </w:pPr>
      <w:r>
        <w:rPr>
          <w:rFonts w:ascii="Amiri" w:hAnsi="Amiri" w:eastAsia="Amiri" w:cs="Amiri"/>
          <w:lang w:bidi="ar-SA"/>
          <w:color w:val="111111"/>
          <w:sz w:val="28"/>
          <w:szCs w:val="28"/>
          <w:rtl/>
        </w:rPr>
        <w:t xml:space="preserve">قلت: الإنصاف أنّ ما ذكره ممّا يؤيّد جواز اجتماع الطلبين مطلقاً؛ إذ البيان المذكور جارٍ في جميع الصّور وهو (قدس‌سره) لم يزد</w:t>
      </w:r>
      <w:r>
        <w:rPr>
          <w:rStyle w:val="FootnoteReference"/>
        </w:rPr>
        <w:footnoteReference w:id="1978"/>
      </w:r>
      <w:r>
        <w:rPr>
          <w:rFonts w:ascii="IRNazanin" w:hAnsi="IRNazanin" w:eastAsia="IRNazanin" w:cs="IRNazanin"/>
          <w:lang w:bidi="fa-IR"/>
          <w:color w:val="111111"/>
          <w:sz w:val="28"/>
          <w:szCs w:val="28"/>
          <w:rtl/>
        </w:rPr>
        <w:t xml:space="preserve">في الفرق على مجرّد دعوى وجوب ملاحظة جميع الجهات في الإلزاميّين والمختلفين وعدم وجوبه في الندب والكراهة، ومن المعلوم أنّه يمكن في الإلزاميّين أیضاً فضلاً عن المختلفين أن يقال: لا يجب ملاحظة جميع الجهات إذا كانت داخلة تحت عنوانين أو عناوين متعدّدة حسبما ذكرنا سابقاً.</w:t>
      </w:r>
    </w:p>
    <w:p>
      <w:pPr>
        <w:pStyle w:val="BookText"/>
      </w:pPr>
      <w:r>
        <w:rPr>
          <w:rFonts w:ascii="IRNazanin" w:hAnsi="IRNazanin" w:eastAsia="IRNazanin" w:cs="IRNazanin"/>
          <w:lang w:bidi="fa-IR"/>
          <w:color w:val="111111"/>
          <w:sz w:val="28"/>
          <w:szCs w:val="28"/>
          <w:rtl/>
        </w:rPr>
        <w:t xml:space="preserve">ومن العجب تجويزه الاجتماع في الصورة المذكورة مع اختلاف الجنس فيها ومنعه في الوجوب والاستحباب والحرمة والكراهة مع اتّحادهما في الجنس وقد عرفت سابقاً احتمال الجواز فيهما على مذهب المانعين أیضاً. فتدبّر.</w:t>
      </w:r>
    </w:p>
    <w:p>
      <w:pPr>
        <w:pStyle w:val="BookText"/>
      </w:pPr>
      <w:r>
        <w:rPr>
          <w:rFonts w:ascii="IRNazanin" w:hAnsi="IRNazanin" w:eastAsia="IRNazanin" w:cs="IRNazanin"/>
          <w:lang w:bidi="fa-IR"/>
          <w:color w:val="111111"/>
          <w:sz w:val="28"/>
          <w:szCs w:val="28"/>
          <w:rtl/>
        </w:rPr>
        <w:t xml:space="preserve">ثمّ أقول: السرّ في صدور مثل هذه الکلمات من مثل المحقّق المذكور أنّ جواز الاجتماع ممّا هو مركوز الأذهان</w:t>
      </w:r>
      <w:r>
        <w:rPr>
          <w:rStyle w:val="FootnoteReference"/>
        </w:rPr>
        <w:footnoteReference w:id="1979"/>
      </w:r>
      <w:r>
        <w:rPr>
          <w:rFonts w:ascii="IRNazanin" w:hAnsi="IRNazanin" w:eastAsia="IRNazanin" w:cs="IRNazanin"/>
          <w:lang w:bidi="fa-IR"/>
          <w:color w:val="111111"/>
          <w:sz w:val="28"/>
          <w:szCs w:val="28"/>
          <w:rtl/>
        </w:rPr>
        <w:t xml:space="preserve">المستقيمة فإذا سبقت إليها شبهة وحكمت بخلاف المركوز في بعض الصّور تكون باقية على مقتضاها في البقيّة؛ إذ القسر لا تدوم ولا تعمّ، ولذا تراهم يحكمون بالجواز فيما إذا كان المکلّف جاهلاً بالنهي أو نحو ذلك من الصّور مع عدم الفرق بحسب الأدلّة ومناط الحكم.</w:t>
      </w:r>
    </w:p>
    <w:p>
      <w:pPr>
        <w:pStyle w:val="Heading5"/>
      </w:pPr>
      <w:bookmarkStart w:id="810" w:name="_Toc491"/>
      <w:r>
        <w:t>[التنبیه السابع: في بیان جواز اجتماع الأمر الصّوري مع النهي الواقعي وبالعكس]</w:t>
      </w:r>
      <w:bookmarkEnd w:id="810"/>
    </w:p>
    <w:p>
      <w:pPr>
        <w:pStyle w:val="BookText"/>
      </w:pPr>
      <w:r>
        <w:rPr>
          <w:rFonts w:ascii="Amiri" w:hAnsi="Amiri" w:eastAsia="Amiri" w:cs="Amiri"/>
          <w:lang w:bidi="ar-SA"/>
          <w:color w:val="111111"/>
          <w:sz w:val="28"/>
          <w:szCs w:val="28"/>
          <w:rtl/>
        </w:rPr>
        <w:t xml:space="preserve">السّابع: قد أشرنا سابقاً إلى جواز اجتماع الحكمين ولو على مذهب المانعين إذا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أحدهما صورياً والآخر حقیقياً كالأمر الإرشادي مع النهي النفسي وبالعكس وكالأمر الامتحاني مع النهي الحقيقي الواقعي وبالعكس وكالأمر التسجيلي</w:t>
      </w:r>
      <w:r>
        <w:rPr>
          <w:rStyle w:val="FootnoteReference"/>
        </w:rPr>
        <w:footnoteReference w:id="1980"/>
      </w:r>
      <w:r>
        <w:rPr>
          <w:rFonts w:ascii="Amiri" w:hAnsi="Amiri" w:eastAsia="Amiri" w:cs="Amiri"/>
          <w:lang w:bidi="ar-SA"/>
          <w:color w:val="111111"/>
          <w:sz w:val="28"/>
          <w:szCs w:val="28"/>
          <w:rtl/>
        </w:rPr>
        <w:t xml:space="preserve">والتعجيزي</w:t>
      </w:r>
      <w:r>
        <w:rPr>
          <w:rStyle w:val="FootnoteReference"/>
        </w:rPr>
        <w:footnoteReference w:id="1981"/>
      </w:r>
      <w:r>
        <w:rPr>
          <w:rFonts w:ascii="IRNazanin" w:hAnsi="IRNazanin" w:eastAsia="IRNazanin" w:cs="IRNazanin"/>
          <w:lang w:bidi="fa-IR"/>
          <w:color w:val="111111"/>
          <w:sz w:val="28"/>
          <w:szCs w:val="28"/>
          <w:rtl/>
        </w:rPr>
        <w:t xml:space="preserve">مع النهي الحقيقي وبالعكس، وكذا يجوز الاجتماع إذا كان أحدهما شرعياً والآخر عقلياً غير كاشف عن الشرع كما في الدوران بين المحرّمين إذا كان بسوء اختيار المکلّف وكان أحدهما أشدّ من الآخر فإنّه يمكن أن يقال: إنّ الأخفّ باقٍ على حرمته ومع ذلك يجب عليه اختياره بحكم العقل من باب ارتكاب أقلّ القبيحين على بعض الوجوه الّتي ستأتي</w:t>
      </w:r>
      <w:r>
        <w:rPr>
          <w:rStyle w:val="FootnoteReference"/>
        </w:rPr>
        <w:footnoteReference w:id="1982"/>
      </w:r>
    </w:p>
    <w:p>
      <w:pPr>
        <w:pStyle w:val="BookText"/>
      </w:pPr>
      <w:r>
        <w:rPr>
          <w:rFonts w:ascii="Amiri" w:hAnsi="Amiri" w:eastAsia="Amiri" w:cs="Amiri"/>
          <w:lang w:bidi="ar-SA"/>
          <w:color w:val="111111"/>
          <w:sz w:val="28"/>
          <w:szCs w:val="28"/>
          <w:rtl/>
        </w:rPr>
        <w:t xml:space="preserve">وكذا يمكن القول بالجواز إذا كان الآمر والنّاهي متعدّداً كأمر الوالد ونهي الوالدة وبالعكس.</w:t>
      </w:r>
    </w:p>
    <w:p>
      <w:pPr>
        <w:pStyle w:val="BookText"/>
      </w:pPr>
      <w:r>
        <w:rPr>
          <w:rFonts w:ascii="IRNazanin" w:hAnsi="IRNazanin" w:eastAsia="IRNazanin" w:cs="IRNazanin"/>
          <w:lang w:bidi="fa-IR"/>
          <w:color w:val="111111"/>
          <w:sz w:val="28"/>
          <w:szCs w:val="28"/>
          <w:rtl/>
        </w:rPr>
        <w:t xml:space="preserve">وقد يقال بجواز الاجتماع إذا كان أحدهما ظاهرياً والآخر واقعياً لعدم المضادّة بين الحكمين حینئذٍ، وبذلك يجاب عن إشکال التناقض الوارد في ثبوت الحكم الواقعي حتّى حال الجهل بناءً على مذهب المخطّئة مع حكم الشارع بالرجوع إلى الأصول العمليّة وهي قد تكون مخالفة للواقع، وكذا بالنسبة إلى مؤدّيات الطرق مع مخالفتها للواقع، فإنّ صلاة الجمعة إذا كانت محرّمة في الواقع وأدّت الأمارة أو الأصل العملي</w:t>
      </w:r>
      <w:r>
        <w:rPr>
          <w:rStyle w:val="FootnoteReference"/>
        </w:rPr>
        <w:footnoteReference w:id="1983"/>
      </w:r>
      <w:r>
        <w:rPr>
          <w:rFonts w:ascii="Amiri" w:hAnsi="Amiri" w:eastAsia="Amiri" w:cs="Amiri"/>
          <w:lang w:bidi="ar-SA"/>
          <w:color w:val="111111"/>
          <w:sz w:val="28"/>
          <w:szCs w:val="28"/>
          <w:rtl/>
        </w:rPr>
        <w:t xml:space="preserve">إلى وجوبها يلزم التناقض واجتماع الأمر والنهي وهكذا في سائر المقامات.</w:t>
      </w:r>
    </w:p>
    <w:p>
      <w:pPr>
        <w:pStyle w:val="BookText"/>
      </w:pPr>
      <w:r>
        <w:rPr>
          <w:rFonts w:ascii="Amiri" w:hAnsi="Amiri" w:eastAsia="Amiri" w:cs="Amiri"/>
          <w:lang w:bidi="ar-SA"/>
          <w:color w:val="111111"/>
          <w:sz w:val="28"/>
          <w:szCs w:val="28"/>
          <w:rtl/>
        </w:rPr>
        <w:t xml:space="preserve">وحاصل الجواب أنّ التناقض إنّما يكون إذا كانا</w:t>
      </w:r>
      <w:r>
        <w:rPr>
          <w:rStyle w:val="FootnoteReference"/>
        </w:rPr>
        <w:footnoteReference w:id="1984"/>
      </w:r>
      <w:r>
        <w:rPr>
          <w:rFonts w:ascii="Amiri" w:hAnsi="Amiri" w:eastAsia="Amiri" w:cs="Amiri"/>
          <w:lang w:bidi="ar-SA"/>
          <w:color w:val="111111"/>
          <w:sz w:val="28"/>
          <w:szCs w:val="28"/>
          <w:rtl/>
        </w:rPr>
        <w:t xml:space="preserve">في رتبة</w:t>
      </w:r>
      <w:r>
        <w:rPr>
          <w:rStyle w:val="FootnoteReference"/>
        </w:rPr>
        <w:footnoteReference w:id="1985"/>
      </w:r>
      <w:r>
        <w:rPr>
          <w:rFonts w:ascii="Amiri" w:hAnsi="Amiri" w:eastAsia="Amiri" w:cs="Amiri"/>
          <w:lang w:bidi="ar-SA"/>
          <w:color w:val="111111"/>
          <w:sz w:val="28"/>
          <w:szCs w:val="28"/>
          <w:rtl/>
        </w:rPr>
        <w:t xml:space="preserve">واحدة بأن يكونا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واقعيين أو ظاهريين وأمّا إذا كان أحدهما واقعياً فقط والآخر ظاهرياً فقط فلا مضادّة بينهما.</w:t>
      </w:r>
    </w:p>
    <w:p>
      <w:pPr>
        <w:pStyle w:val="BookText"/>
      </w:pPr>
      <w:r>
        <w:rPr>
          <w:rFonts w:ascii="IRNazanin" w:hAnsi="IRNazanin" w:eastAsia="IRNazanin" w:cs="IRNazanin"/>
          <w:lang w:bidi="fa-IR"/>
          <w:color w:val="111111"/>
          <w:sz w:val="28"/>
          <w:szCs w:val="28"/>
          <w:rtl/>
        </w:rPr>
        <w:t xml:space="preserve">والإنصاف أنّ الإشکال لا يندفع بمجرّد ذلك بناءً على كون مؤدّيات الطرق والأصول على فرض مخالفتها للواقع أحكاماً شرعیّة وينحصر دفعه بالتزام كونها أحكاماً عذريّة كسائر الأعذار العقليّة فيكون من باب اجتماع الأمر الخيالي والنهي الواقعي أو العكس</w:t>
      </w:r>
      <w:r>
        <w:rPr>
          <w:rStyle w:val="FootnoteReference"/>
        </w:rPr>
        <w:footnoteReference w:id="1986"/>
      </w:r>
      <w:r>
        <w:rPr>
          <w:rFonts w:ascii="IRNazanin" w:hAnsi="IRNazanin" w:eastAsia="IRNazanin" w:cs="IRNazanin"/>
          <w:lang w:bidi="fa-IR"/>
          <w:color w:val="111111"/>
          <w:sz w:val="28"/>
          <w:szCs w:val="28"/>
          <w:rtl/>
        </w:rPr>
        <w:t xml:space="preserve">إذ حینئذٍ معنى وجوب العمل بالطرق أو الأصول وجوب الإتیانبمؤدّياتها على فرض المطابقة للواقع ويكون الأمر بالعمل بمجرّد احتمال إدراك الواقع نظير الاحتياط فكأنّ الشارع قال: «اعمل بالخبر لعلّك تدرك الواقع وإن لم تدركه</w:t>
      </w:r>
      <w:r>
        <w:rPr>
          <w:rStyle w:val="FootnoteReference"/>
        </w:rPr>
        <w:footnoteReference w:id="1987"/>
      </w:r>
      <w:r>
        <w:rPr>
          <w:rFonts w:ascii="IRNazanin" w:hAnsi="IRNazanin" w:eastAsia="IRNazanin" w:cs="IRNazanin"/>
          <w:lang w:bidi="fa-IR"/>
          <w:color w:val="111111"/>
          <w:sz w:val="28"/>
          <w:szCs w:val="28"/>
          <w:rtl/>
        </w:rPr>
        <w:t xml:space="preserve">فأنت معذور».</w:t>
      </w:r>
    </w:p>
    <w:p>
      <w:pPr>
        <w:pStyle w:val="BookText"/>
      </w:pPr>
      <w:r>
        <w:rPr>
          <w:rFonts w:ascii="IRNazanin" w:hAnsi="IRNazanin" w:eastAsia="IRNazanin" w:cs="IRNazanin"/>
          <w:lang w:bidi="fa-IR"/>
          <w:color w:val="111111"/>
          <w:sz w:val="28"/>
          <w:szCs w:val="28"/>
          <w:rtl/>
        </w:rPr>
        <w:t xml:space="preserve">وأمّا بناءً على كونها أحكاماً شرعیّة فلا يجوز الاجتماع حتّى بناء على مذهب المجوّزين لعدم تعدّد الجهة ولزوم اتّصاف الفعل الواحد بالحكمين من غير تعدّد الجهة، وإشکال التناقض باقٍ أیضاً؛ إذ لم ينخرم شي‌ء من الوحدات الثمانية ولا وجه لما يقال: إنّه من باب تعدّد المحمول؛ إذ الوجوب الغير الواصل غير الوجوب الواصل وهكذا؛ وذلك لأنّ نحو الحكمين واحد والوصول وعدمه لا مدخل لهما في ذلك ولا يمكن إرادة الفعل والترك معاً وإن لم يصل أحدهما</w:t>
      </w:r>
      <w:r>
        <w:rPr>
          <w:rStyle w:val="FootnoteReference"/>
        </w:rPr>
        <w:footnoteReference w:id="1988"/>
      </w:r>
      <w:r>
        <w:rPr>
          <w:rFonts w:ascii="Amiri" w:hAnsi="Amiri" w:eastAsia="Amiri" w:cs="Amiri"/>
          <w:lang w:bidi="ar-SA"/>
          <w:color w:val="111111"/>
          <w:sz w:val="28"/>
          <w:szCs w:val="28"/>
          <w:rtl/>
        </w:rPr>
        <w:t xml:space="preserve">إلى المکلّف.</w:t>
      </w:r>
    </w:p>
    <w:p>
      <w:pPr>
        <w:pStyle w:val="BookText"/>
      </w:pPr>
      <w:r>
        <w:rPr>
          <w:rFonts w:ascii="Amiri" w:hAnsi="Amiri" w:eastAsia="Amiri" w:cs="Amiri"/>
          <w:lang w:bidi="ar-SA"/>
          <w:color w:val="111111"/>
          <w:sz w:val="28"/>
          <w:szCs w:val="28"/>
          <w:rtl/>
        </w:rPr>
        <w:t xml:space="preserve">وكذا لا وجه لما قد يقال من أنّه من باب اختلاف القوّة والفعل؛ إذ الحكم الشأني غير شأنيّة الحكم.</w:t>
      </w:r>
      <w:r>
        <w:rPr>
          <w:rStyle w:val="FootnoteReference"/>
        </w:rPr>
        <w:footnoteReference w:id="1989"/>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83" w:name="pg6784_51596"/>
    <w:bookmarkEnd w:id="283"/>
    <w:p>
      <w:pPr>
        <w:pStyle w:val="BookText"/>
      </w:pPr>
      <w:r>
        <w:rPr>
          <w:rFonts w:ascii="IRNazanin" w:hAnsi="IRNazanin" w:eastAsia="IRNazanin" w:cs="IRNazanin"/>
          <w:lang w:bidi="fa-IR"/>
          <w:color w:val="111111"/>
          <w:sz w:val="28"/>
          <w:szCs w:val="28"/>
          <w:rtl/>
        </w:rPr>
        <w:t xml:space="preserve">وكذا لا وجه لجعله من باب تعدّد الموضوع فإنّ الحكم الواقعي ثابت لنفس الفعل والظاهري ثابت للفعل المجهول الحكم؛ إذ الجهل مناط ورود الحكم الظاهري على الفعل وإلّا فمحلّ الحكم الظاهري أیضاً نفس الفعل.</w:t>
      </w:r>
    </w:p>
    <w:p>
      <w:pPr>
        <w:pStyle w:val="BookText"/>
      </w:pPr>
      <w:r>
        <w:rPr>
          <w:rFonts w:ascii="IRNazanin" w:hAnsi="IRNazanin" w:eastAsia="IRNazanin" w:cs="IRNazanin"/>
          <w:lang w:bidi="fa-IR"/>
          <w:color w:val="111111"/>
          <w:sz w:val="28"/>
          <w:szCs w:val="28"/>
          <w:rtl/>
        </w:rPr>
        <w:t xml:space="preserve">وقد يدفع الإشکال بأنّه</w:t>
      </w:r>
      <w:r>
        <w:rPr>
          <w:rStyle w:val="FootnoteReference"/>
        </w:rPr>
        <w:footnoteReference w:id="1990"/>
      </w:r>
      <w:r>
        <w:rPr>
          <w:rFonts w:ascii="Amiri" w:hAnsi="Amiri" w:eastAsia="Amiri" w:cs="Amiri"/>
          <w:lang w:bidi="ar-SA"/>
          <w:color w:val="111111"/>
          <w:sz w:val="28"/>
          <w:szCs w:val="28"/>
          <w:rtl/>
        </w:rPr>
        <w:t xml:space="preserve">من باب الترتّب؛ إذ الحكم الظاهري ترتّب</w:t>
      </w:r>
      <w:r>
        <w:rPr>
          <w:rStyle w:val="FootnoteReference"/>
        </w:rPr>
        <w:footnoteReference w:id="1991"/>
      </w:r>
      <w:r>
        <w:rPr>
          <w:rFonts w:ascii="Amiri" w:hAnsi="Amiri" w:eastAsia="Amiri" w:cs="Amiri"/>
          <w:lang w:bidi="ar-SA"/>
          <w:color w:val="111111"/>
          <w:sz w:val="28"/>
          <w:szCs w:val="28"/>
          <w:rtl/>
        </w:rPr>
        <w:t xml:space="preserve">على الواقعي، وفيه ما لا يخفى.</w:t>
      </w:r>
    </w:p>
    <w:p>
      <w:pPr>
        <w:pStyle w:val="BookText"/>
      </w:pPr>
      <w:r>
        <w:rPr>
          <w:rFonts w:ascii="IRNazanin" w:hAnsi="IRNazanin" w:eastAsia="IRNazanin" w:cs="IRNazanin"/>
          <w:lang w:bidi="fa-IR"/>
          <w:color w:val="111111"/>
          <w:sz w:val="28"/>
          <w:szCs w:val="28"/>
          <w:rtl/>
        </w:rPr>
        <w:t xml:space="preserve">فتبيّن أنّ المناص لیس إلّا الالتزام بعذريّة الأحکام الظاهريّة حتّى يكون في صورة المخالفة للواقع من قبيل الطلب الصّوري.</w:t>
      </w:r>
    </w:p>
    <w:p>
      <w:pPr>
        <w:pStyle w:val="BookText"/>
      </w:pPr>
      <w:r>
        <w:rPr>
          <w:rFonts w:ascii="Amiri" w:hAnsi="Amiri" w:eastAsia="Amiri" w:cs="Amiri"/>
          <w:lang w:bidi="ar-SA"/>
          <w:color w:val="111111"/>
          <w:sz w:val="28"/>
          <w:szCs w:val="28"/>
          <w:rtl/>
        </w:rPr>
        <w:t xml:space="preserve">نعم يمكن أن يقال: إنّ الحكم الظاهري من قبيل البدل عن الواقع ولو كان بدلاً ظاهرياً فلا منافاة</w:t>
      </w:r>
      <w:r>
        <w:rPr>
          <w:rStyle w:val="FootnoteReference"/>
        </w:rPr>
        <w:footnoteReference w:id="1992"/>
      </w:r>
      <w:r>
        <w:rPr>
          <w:rFonts w:ascii="IRNazanin" w:hAnsi="IRNazanin" w:eastAsia="IRNazanin" w:cs="IRNazanin"/>
          <w:lang w:bidi="fa-IR"/>
          <w:color w:val="111111"/>
          <w:sz w:val="28"/>
          <w:szCs w:val="28"/>
          <w:rtl/>
        </w:rPr>
        <w:t xml:space="preserve">بينهما فالطّهارة الاستصحابيّة بدل عن الطّهارة الواقعيّة وكذا سائر المقامات وفي مثل شرب التتن إذا كان حراماً في الواقع يكون إباحته من باب الإغماض عن النهي الواقعي لا بمعنى عدم ثبوته حقیقة حتّى يكون تصويباً بل بمعنى أنّه كأنّه مرتفع والاجتماع على هذا الوجه لا بأس به فيمكن جعلها من باب الأحکام الشرعیّة ورفع المنافاة على الوجه الّذي ذكرنا، وحاصله الالتزام بالبدليّة والتنزيل في بعض المقامات والبناء على الإغماض عن الواقع في بعضها الآخر. فتدبّر.</w:t>
      </w:r>
    </w:p>
    <w:p>
      <w:pPr>
        <w:pStyle w:val="Heading5"/>
      </w:pPr>
      <w:bookmarkStart w:id="811" w:name="_Toc492"/>
      <w:r>
        <w:t>[التنبیه الثامن: في حكم الاجتماع مع عدم المندوحة ومن توسّط أرضاً مغصوبة]</w:t>
      </w:r>
      <w:bookmarkEnd w:id="811"/>
    </w:p>
    <w:p>
      <w:pPr>
        <w:pStyle w:val="Heading6"/>
      </w:pPr>
      <w:bookmarkStart w:id="812" w:name="_Toc493"/>
      <w:r>
        <w:t>اشارة</w:t>
      </w:r>
      <w:bookmarkEnd w:id="812"/>
    </w:p>
    <w:p>
      <w:pPr>
        <w:pStyle w:val="BookText"/>
      </w:pPr>
      <w:r>
        <w:rPr>
          <w:rFonts w:ascii="IRNazanin" w:hAnsi="IRNazanin" w:eastAsia="IRNazanin" w:cs="IRNazanin"/>
          <w:lang w:bidi="fa-IR"/>
          <w:color w:val="111111"/>
          <w:sz w:val="28"/>
          <w:szCs w:val="28"/>
          <w:rtl/>
        </w:rPr>
        <w:t xml:space="preserve">الثّامن: قد عرفت سابقاً أنّ محلّ النزاع في المسألة فيما كان للمکلّف مندوحة فنقول: إذا لم يكن مندوحة بأن انحصر المأمور به في المنهي عنه، فتارة يكون الانحصار من الأوّل وحینئذٍ فلا يجوز الاجتماع بالإجماع</w:t>
      </w:r>
      <w:r>
        <w:rPr>
          <w:rStyle w:val="FootnoteReference"/>
        </w:rPr>
        <w:footnoteReference w:id="1993"/>
      </w:r>
      <w:r>
        <w:rPr>
          <w:rFonts w:ascii="Amiri" w:hAnsi="Amiri" w:eastAsia="Amiri" w:cs="Amiri"/>
          <w:lang w:bidi="ar-SA"/>
          <w:color w:val="111111"/>
          <w:sz w:val="28"/>
          <w:szCs w:val="28"/>
          <w:rtl/>
        </w:rPr>
        <w:t xml:space="preserve">، وتارة يكون عرضياً وهو قد يكون لا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84" w:name="pg6784_51598"/>
    <w:bookmarkEnd w:id="284"/>
    <w:p>
      <w:pPr>
        <w:pStyle w:val="BookText"/>
      </w:pPr>
      <w:r>
        <w:rPr>
          <w:rFonts w:ascii="IRNazanin" w:hAnsi="IRNazanin" w:eastAsia="IRNazanin" w:cs="IRNazanin"/>
          <w:lang w:bidi="fa-IR"/>
          <w:color w:val="111111"/>
          <w:sz w:val="28"/>
          <w:szCs w:val="28"/>
          <w:rtl/>
        </w:rPr>
        <w:t xml:space="preserve">بسوء اختيار المکلّف وقد يكون بسوء اختياره.</w:t>
      </w:r>
    </w:p>
    <w:p>
      <w:pPr>
        <w:pStyle w:val="Heading6"/>
      </w:pPr>
      <w:bookmarkStart w:id="813" w:name="_Toc494"/>
      <w:r>
        <w:t>[الانحصار البدوي]</w:t>
      </w:r>
      <w:bookmarkEnd w:id="813"/>
    </w:p>
    <w:p>
      <w:pPr>
        <w:pStyle w:val="BookText"/>
      </w:pPr>
      <w:r>
        <w:rPr>
          <w:rFonts w:ascii="Amiri" w:hAnsi="Amiri" w:eastAsia="Amiri" w:cs="Amiri"/>
          <w:lang w:bidi="ar-SA"/>
          <w:color w:val="111111"/>
          <w:sz w:val="28"/>
          <w:szCs w:val="28"/>
          <w:rtl/>
        </w:rPr>
        <w:t xml:space="preserve">فعلى الأوّل كما لو انحصر ماؤه</w:t>
      </w:r>
      <w:r>
        <w:rPr>
          <w:rStyle w:val="FootnoteReference"/>
        </w:rPr>
        <w:footnoteReference w:id="1994"/>
      </w:r>
      <w:r>
        <w:rPr>
          <w:rFonts w:ascii="Amiri" w:hAnsi="Amiri" w:eastAsia="Amiri" w:cs="Amiri"/>
          <w:lang w:bidi="ar-SA"/>
          <w:color w:val="111111"/>
          <w:sz w:val="28"/>
          <w:szCs w:val="28"/>
          <w:rtl/>
        </w:rPr>
        <w:t xml:space="preserve">للوضوء أو الغسل في الغصبي أو مكانه للصّلاة في الغصبي بأن صار محبوساً في دار الغير أو كان في مكان</w:t>
      </w:r>
      <w:r>
        <w:rPr>
          <w:rStyle w:val="FootnoteReference"/>
        </w:rPr>
        <w:footnoteReference w:id="1995"/>
      </w:r>
      <w:r>
        <w:rPr>
          <w:rFonts w:ascii="IRNazanin" w:hAnsi="IRNazanin" w:eastAsia="IRNazanin" w:cs="IRNazanin"/>
          <w:lang w:bidi="fa-IR"/>
          <w:color w:val="111111"/>
          <w:sz w:val="28"/>
          <w:szCs w:val="28"/>
          <w:rtl/>
        </w:rPr>
        <w:t xml:space="preserve">مباح</w:t>
      </w:r>
      <w:r>
        <w:rPr>
          <w:rStyle w:val="FootnoteReference"/>
        </w:rPr>
        <w:footnoteReference w:id="1996"/>
      </w:r>
      <w:r>
        <w:rPr>
          <w:rFonts w:ascii="Amiri" w:hAnsi="Amiri" w:eastAsia="Amiri" w:cs="Amiri"/>
          <w:lang w:bidi="ar-SA"/>
          <w:color w:val="111111"/>
          <w:sz w:val="28"/>
          <w:szCs w:val="28"/>
          <w:rtl/>
        </w:rPr>
        <w:t xml:space="preserve">لا يقدر على الصلاة إلّا بالتصرّف في ملك الغير حال الصّلاة أو توسّط أرضاً مغصوبة لا عن</w:t>
      </w:r>
      <w:r>
        <w:rPr>
          <w:rStyle w:val="FootnoteReference"/>
        </w:rPr>
        <w:footnoteReference w:id="1997"/>
      </w:r>
      <w:r>
        <w:rPr>
          <w:rFonts w:ascii="IRNazanin" w:hAnsi="IRNazanin" w:eastAsia="IRNazanin" w:cs="IRNazanin"/>
          <w:lang w:bidi="fa-IR"/>
          <w:color w:val="111111"/>
          <w:sz w:val="28"/>
          <w:szCs w:val="28"/>
          <w:rtl/>
        </w:rPr>
        <w:t xml:space="preserve">عمد، لا إشکال أیضاً في عدم الجواز وأنّه لا بدّ من رفع اليد عن أحد الطلبين ولو على مذهب المجوّزين؛ إذ تجويزهم ذلك إنّما كان مع المندوحة، وتعدّد المتعلّق لا ينفع في المقام لمكان الانحصار في الحرام لا لأنّ الأمر حینئذٍ يتعلّق بذلك الفرد لعدم إمکان غيره، بل لأنّ تعليق الأمر على الطبيعة إنّما يصحّ مع وجود الفرد المباح وهو مصحّح لذلك فمع عدمه لا يجوز الأمر بها أیضاً، فلا يتوهّم أنّه إذا كان المتعلّق هو الطّبيعة من غير نظر إلى الأفراد فلا فرق بين الانحصار وعدمه.</w:t>
      </w:r>
    </w:p>
    <w:p>
      <w:pPr>
        <w:pStyle w:val="BookText"/>
      </w:pPr>
      <w:r>
        <w:rPr>
          <w:rFonts w:ascii="IRNazanin" w:hAnsi="IRNazanin" w:eastAsia="IRNazanin" w:cs="IRNazanin"/>
          <w:lang w:bidi="fa-IR"/>
          <w:color w:val="111111"/>
          <w:sz w:val="28"/>
          <w:szCs w:val="28"/>
          <w:rtl/>
        </w:rPr>
        <w:t xml:space="preserve">ثمّ نقول: أمّا في مثال من توسّط فلا إشکال في أنّه مأمور بالخروج وليس منهياً عنه، وأمّا في سائر الأمثلة فلا بدّ من رفع اليد عن أحد التکلیفين ولا بدّ من الرجوع إلى المرجّحات في مزاحمة الواجب للحرام، فقد يرجّح الأمر وقد يرجّح النهي.</w:t>
      </w:r>
    </w:p>
    <w:p>
      <w:pPr>
        <w:pStyle w:val="BookText"/>
      </w:pPr>
      <w:r>
        <w:rPr>
          <w:rFonts w:ascii="IRNazanin" w:hAnsi="IRNazanin" w:eastAsia="IRNazanin" w:cs="IRNazanin"/>
          <w:lang w:bidi="fa-IR"/>
          <w:color w:val="111111"/>
          <w:sz w:val="28"/>
          <w:szCs w:val="28"/>
          <w:rtl/>
        </w:rPr>
        <w:t xml:space="preserve">ولا يجري في المقام ما ذكرنا سابقاً من تغليب جانب النهي کلّية بناء على عدم الجواز؛ إذ هو إنّما كان من جهة كون النهي تعيينياً والأمر تخييرياً،</w:t>
      </w:r>
      <w:r>
        <w:rPr>
          <w:rStyle w:val="FootnoteReference"/>
        </w:rPr>
        <w:footnoteReference w:id="1998"/>
      </w:r>
      <w:r>
        <w:rPr>
          <w:rFonts w:ascii="Amiri" w:hAnsi="Amiri" w:eastAsia="Amiri" w:cs="Amiri"/>
          <w:lang w:bidi="ar-SA"/>
          <w:color w:val="111111"/>
          <w:sz w:val="28"/>
          <w:szCs w:val="28"/>
          <w:rtl/>
        </w:rPr>
        <w:t xml:space="preserve">وليس كذلك في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المقام؛ إذ الأمر أیضاً تعييني لفرض الانحصار.</w:t>
      </w:r>
    </w:p>
    <w:p>
      <w:pPr>
        <w:pStyle w:val="BookText"/>
      </w:pPr>
      <w:r>
        <w:rPr>
          <w:rFonts w:ascii="IRNazanin" w:hAnsi="IRNazanin" w:eastAsia="IRNazanin" w:cs="IRNazanin"/>
          <w:lang w:bidi="fa-IR"/>
          <w:color w:val="111111"/>
          <w:sz w:val="28"/>
          <w:szCs w:val="28"/>
          <w:rtl/>
        </w:rPr>
        <w:t xml:space="preserve">نعم لو استندنا في تغليب النهي إلى الوجوه الأخر الّتي ذكرها الأصوليون فهي جارية في المقام أیضاً، لكن قد عرفت عدم تماميّتها.</w:t>
      </w:r>
      <w:r>
        <w:rPr>
          <w:rStyle w:val="FootnoteReference"/>
        </w:rPr>
        <w:footnoteReference w:id="1999"/>
      </w:r>
    </w:p>
    <w:p>
      <w:pPr>
        <w:pStyle w:val="BookText"/>
      </w:pPr>
      <w:r>
        <w:rPr>
          <w:rFonts w:ascii="IRNazanin" w:hAnsi="IRNazanin" w:eastAsia="IRNazanin" w:cs="IRNazanin"/>
          <w:lang w:bidi="fa-IR"/>
          <w:color w:val="111111"/>
          <w:sz w:val="28"/>
          <w:szCs w:val="28"/>
          <w:rtl/>
        </w:rPr>
        <w:t xml:space="preserve">ثمّ مع فرض تغليب النهي لو أتى بالواجب مع عدم الأمر هل يحكم بصحّته بناءعلى ما ذكرنا سابقاً من أنّه على مذهب المانعين أیضاً يمكن تصحيح العمل ولو كان عبادياً؛ لأنّ الکلام إذا كان في المزاحمة فيكون الفرد المحرّم مشتملاً على المصلحة الداعية إلى الأمر ووافياً بغرض الآمر فيمكن قصد القربة بتحصيل الغرض أم لا؟ للفرق بين المقامين حيث إنّ الأمر كان موجوداً في المقام السابق بالنّسبة إلى الطبيعة، غاية الأمر عدم سرايته إلى الفرد المحرّم بخلاف المقام فإنّ الأمر ليس متوجّهاً إلى المکلّف أصلاً؟</w:t>
      </w:r>
    </w:p>
    <w:p>
      <w:pPr>
        <w:pStyle w:val="BookText"/>
      </w:pPr>
      <w:r>
        <w:rPr>
          <w:rFonts w:ascii="Amiri" w:hAnsi="Amiri" w:eastAsia="Amiri" w:cs="Amiri"/>
          <w:lang w:bidi="ar-SA"/>
          <w:color w:val="111111"/>
          <w:sz w:val="28"/>
          <w:szCs w:val="28"/>
          <w:rtl/>
        </w:rPr>
        <w:t xml:space="preserve">الحقّ عدم الفرق وما ذكر لا يكون فارقاً، فلو صلّى في المكان المغصوب مع عدم</w:t>
      </w:r>
      <w:r>
        <w:rPr>
          <w:rStyle w:val="FootnoteReference"/>
        </w:rPr>
        <w:footnoteReference w:id="2000"/>
      </w:r>
      <w:r>
        <w:rPr>
          <w:rFonts w:ascii="Amiri" w:hAnsi="Amiri" w:eastAsia="Amiri" w:cs="Amiri"/>
          <w:lang w:bidi="ar-SA"/>
          <w:color w:val="111111"/>
          <w:sz w:val="28"/>
          <w:szCs w:val="28"/>
          <w:rtl/>
        </w:rPr>
        <w:t xml:space="preserve">الأمر صحّت صلاته وأسقطت القضاء والإعادة ولو توضّأ بالماء المغصوب صحّ وضوؤه</w:t>
      </w:r>
      <w:r>
        <w:rPr>
          <w:rStyle w:val="FootnoteReference"/>
        </w:rPr>
        <w:footnoteReference w:id="2001"/>
      </w:r>
      <w:r>
        <w:rPr>
          <w:rFonts w:ascii="IRNazanin" w:hAnsi="IRNazanin" w:eastAsia="IRNazanin" w:cs="IRNazanin"/>
          <w:lang w:bidi="fa-IR"/>
          <w:color w:val="111111"/>
          <w:sz w:val="28"/>
          <w:szCs w:val="28"/>
          <w:rtl/>
        </w:rPr>
        <w:t xml:space="preserve">ولا يجب عليه بعد ذلك التيمّم وإن کان من الأوّل مأموراً به دون الوضوء؛ لأنّ المفروض أنّ الصّلاة والوضوء مشتملان على المصلحة والآمر لا يقدر على الأمر بهما، فإذا أتى بهما المکلّف فقد أتى بما هو محبوب المولى من حيث هو.</w:t>
      </w:r>
    </w:p>
    <w:p>
      <w:pPr>
        <w:pStyle w:val="BookText"/>
      </w:pPr>
      <w:r>
        <w:rPr>
          <w:rFonts w:ascii="IRNazanin" w:hAnsi="IRNazanin" w:eastAsia="IRNazanin" w:cs="IRNazanin"/>
          <w:lang w:bidi="fa-IR"/>
          <w:color w:val="111111"/>
          <w:sz w:val="28"/>
          <w:szCs w:val="28"/>
          <w:rtl/>
        </w:rPr>
        <w:t xml:space="preserve">ويمكن أن يقال بالفرق بين الصّلاة والوضوء فالأوّل صحيح دون الثاني؛ لأنّ التکلیف انتقل إلى البدل الّذي هو التيمّم فصار الشّرط هو دون الوضوء فلا يصحّ وضوؤه.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 التحقیق عدم الفرق؛ لأنّ الانتقال إلى البدل ليس من جهة عدم اشتمال المبدل منه على المصلحة حتّى تكون</w:t>
      </w:r>
      <w:r>
        <w:rPr>
          <w:rStyle w:val="FootnoteReference"/>
        </w:rPr>
        <w:footnoteReference w:id="2002"/>
      </w:r>
      <w:r>
        <w:rPr>
          <w:rFonts w:ascii="IRNazanin" w:hAnsi="IRNazanin" w:eastAsia="IRNazanin" w:cs="IRNazanin"/>
          <w:lang w:bidi="fa-IR"/>
          <w:color w:val="111111"/>
          <w:sz w:val="28"/>
          <w:szCs w:val="28"/>
          <w:rtl/>
        </w:rPr>
        <w:t xml:space="preserve">الصلاة مثلاً مقيّدة بالبدل، بل من باب عدم إمکان الأمر به، فإذا أتى به فتحصل</w:t>
      </w:r>
      <w:r>
        <w:rPr>
          <w:rStyle w:val="FootnoteReference"/>
        </w:rPr>
        <w:footnoteReference w:id="2003"/>
      </w:r>
      <w:r>
        <w:rPr>
          <w:rFonts w:ascii="Amiri" w:hAnsi="Amiri" w:eastAsia="Amiri" w:cs="Amiri"/>
          <w:lang w:bidi="ar-SA"/>
          <w:color w:val="111111"/>
          <w:sz w:val="28"/>
          <w:szCs w:val="28"/>
          <w:rtl/>
        </w:rPr>
        <w:t xml:space="preserve">الطّهارة ولا يبقى محلّ للتيمّم، والصّلاة مقيّدة بالتيمّم إذا لم يكن المکلّف متطهّراً ومع فرض الطّهارة لا يبقى التقيید.</w:t>
      </w:r>
    </w:p>
    <w:p>
      <w:pPr>
        <w:pStyle w:val="BookText"/>
      </w:pPr>
      <w:r>
        <w:rPr>
          <w:rFonts w:ascii="Amiri" w:hAnsi="Amiri" w:eastAsia="Amiri" w:cs="Amiri"/>
          <w:lang w:bidi="ar-SA"/>
          <w:color w:val="111111"/>
          <w:sz w:val="28"/>
          <w:szCs w:val="28"/>
          <w:rtl/>
        </w:rPr>
        <w:t xml:space="preserve">فتحصّل أنّه يمكن تصحيح العمل بما ذكرنا مع عدم الأمر أصلاً.</w:t>
      </w:r>
    </w:p>
    <w:p>
      <w:pPr>
        <w:pStyle w:val="BookText"/>
      </w:pPr>
      <w:r>
        <w:rPr>
          <w:rFonts w:ascii="IRNazanin" w:hAnsi="IRNazanin" w:eastAsia="IRNazanin" w:cs="IRNazanin"/>
          <w:lang w:bidi="fa-IR"/>
          <w:color w:val="111111"/>
          <w:sz w:val="28"/>
          <w:szCs w:val="28"/>
          <w:rtl/>
        </w:rPr>
        <w:t xml:space="preserve">هذا ولكن ربما يمكن أن يقال بوجود الأمر أیضاً على فرض عصيان النهي وقد ذكرنا سابقاً أنّ لازم</w:t>
      </w:r>
      <w:r>
        <w:rPr>
          <w:rStyle w:val="FootnoteReference"/>
        </w:rPr>
        <w:footnoteReference w:id="2004"/>
      </w:r>
      <w:r>
        <w:rPr>
          <w:rFonts w:ascii="IRNazanin" w:hAnsi="IRNazanin" w:eastAsia="IRNazanin" w:cs="IRNazanin"/>
          <w:lang w:bidi="fa-IR"/>
          <w:color w:val="111111"/>
          <w:sz w:val="28"/>
          <w:szCs w:val="28"/>
          <w:rtl/>
        </w:rPr>
        <w:t xml:space="preserve">من جوز</w:t>
      </w:r>
      <w:r>
        <w:rPr>
          <w:rStyle w:val="FootnoteReference"/>
        </w:rPr>
        <w:footnoteReference w:id="2005"/>
      </w:r>
      <w:r>
        <w:rPr>
          <w:rFonts w:ascii="IRNazanin" w:hAnsi="IRNazanin" w:eastAsia="IRNazanin" w:cs="IRNazanin"/>
          <w:lang w:bidi="fa-IR"/>
          <w:color w:val="111111"/>
          <w:sz w:val="28"/>
          <w:szCs w:val="28"/>
          <w:rtl/>
        </w:rPr>
        <w:t xml:space="preserve">اجتماع الأمر النفسي والنهي الغيري بالترتّب القول بهفي مثل المقام أیضاً فيكون من الأوّل منهياً عن الغصب غير مأمور بالصّلاة، لكنّه على فرض عصيان النهي يكون مأموراً بالصلاة، بمعنى أنّه إذا علم من نفسه أنّه يبقى في المكان المغصوب مقدار الصّلاة تجب عليه ويدلّ عليه الإطلاقات بالتقريب المتقدّم.</w:t>
      </w:r>
    </w:p>
    <w:p>
      <w:pPr>
        <w:pStyle w:val="BookText"/>
      </w:pPr>
      <w:r>
        <w:rPr>
          <w:rFonts w:ascii="IRNazanin" w:hAnsi="IRNazanin" w:eastAsia="IRNazanin" w:cs="IRNazanin"/>
          <w:lang w:bidi="fa-IR"/>
          <w:color w:val="111111"/>
          <w:sz w:val="28"/>
          <w:szCs w:val="28"/>
          <w:rtl/>
        </w:rPr>
        <w:t xml:space="preserve">ويرد عليه ما ذكرنا هناك من لزوم اجتماع الأمر والنهي؛ إذ الكون الّذي هو جزء الصّلاة مأمور به ومنهي عنه ضرورة أنّه لا ينقطع النهي بالبناء على العصيان، والترتّب لا ينفع في رفع الإشکال حسبما عرفت مفصّلاً.</w:t>
      </w:r>
    </w:p>
    <w:p>
      <w:pPr>
        <w:pStyle w:val="BookText"/>
      </w:pPr>
      <w:r>
        <w:rPr>
          <w:rFonts w:ascii="IRNazanin" w:hAnsi="IRNazanin" w:eastAsia="IRNazanin" w:cs="IRNazanin"/>
          <w:lang w:bidi="fa-IR"/>
          <w:color w:val="111111"/>
          <w:sz w:val="28"/>
          <w:szCs w:val="28"/>
          <w:rtl/>
        </w:rPr>
        <w:t xml:space="preserve">نعم لو كان المنحصر في الحرام مقدّمة الواجب لا نفسه كما لو انحصر الإناء الّذي يتوضّأ منه في المغصوب أو الذهب وكان الماء مباحاً يمكن القول بوجود الأمر على فرض العصيان في المقدّمة كما هو كذلك بالنسبة إلى المقدّمة المتقدّمة كالركوب على الدابة الغصبيّة للحجّ، ففي المقارنة أیضاً كالمثال نقول: إنّه مأمور بذي المقدّمة على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العصيان ويكون من قبيل الشرط المتأخّر، والدليل عليه إطلاقات الأمر بالوضوء فإنّ المانع منها إنّما هو عدم تمکّن المکلّف من جهة النهي الشّرعي وإذا فرض مخالفته للنهي فهو مع هذا الوصف متمکّن.</w:t>
      </w:r>
    </w:p>
    <w:p>
      <w:pPr>
        <w:pStyle w:val="BookText"/>
      </w:pPr>
      <w:r>
        <w:rPr>
          <w:rFonts w:ascii="IRNazanin" w:hAnsi="IRNazanin" w:eastAsia="IRNazanin" w:cs="IRNazanin"/>
          <w:lang w:bidi="fa-IR"/>
          <w:color w:val="111111"/>
          <w:sz w:val="28"/>
          <w:szCs w:val="28"/>
          <w:rtl/>
        </w:rPr>
        <w:t xml:space="preserve">والفرق بين هذه الصّورة وما هو محلّ کلامنا في المقام أنّ في هذه الصّورة لا يلزم اجتماع الأمر والنهي لا في المقدّمة ولا في ذيها، أمّا في ذيها فواضح؛ إذ النهي عن استعمال آنية الذهب أو عن التصرّف في آنية الغير لا يسري إلى الوضوء كما هو واضح، وأمّا في المقدّمة فلأنّها</w:t>
      </w:r>
      <w:r>
        <w:rPr>
          <w:rStyle w:val="FootnoteReference"/>
        </w:rPr>
        <w:footnoteReference w:id="2006"/>
      </w:r>
      <w:r>
        <w:rPr>
          <w:rFonts w:ascii="IRNazanin" w:hAnsi="IRNazanin" w:eastAsia="IRNazanin" w:cs="IRNazanin"/>
          <w:lang w:bidi="fa-IR"/>
          <w:color w:val="111111"/>
          <w:sz w:val="28"/>
          <w:szCs w:val="28"/>
          <w:rtl/>
        </w:rPr>
        <w:t xml:space="preserve">محرّمة صرفة ولا يسري الوجوب من ذي المقدّمة إلیها؛ إذ هي شرط الوجوب وقد عرفت أنّ مقدّمة الوجوب وإن كانت مقدّمة الوجود أیضاً لا تتّصف</w:t>
      </w:r>
      <w:r>
        <w:rPr>
          <w:rStyle w:val="FootnoteReference"/>
        </w:rPr>
        <w:footnoteReference w:id="2007"/>
      </w:r>
      <w:r>
        <w:rPr>
          <w:rFonts w:ascii="IRNazanin" w:hAnsi="IRNazanin" w:eastAsia="IRNazanin" w:cs="IRNazanin"/>
          <w:lang w:bidi="fa-IR"/>
          <w:color w:val="111111"/>
          <w:sz w:val="28"/>
          <w:szCs w:val="28"/>
          <w:rtl/>
        </w:rPr>
        <w:t xml:space="preserve">بالوجوب المقدّمي، وهذا بخلاف ما كان محلّاً للکلام في المقام فإنّ الأمر بالصّلاة على فرض الغصب أمر بجميع أجزائها ومنها الكون الغصبي فيلزم الاجتماع فيه.</w:t>
      </w:r>
    </w:p>
    <w:p>
      <w:pPr>
        <w:pStyle w:val="BookText"/>
      </w:pPr>
      <w:r>
        <w:rPr>
          <w:rFonts w:ascii="Amiri" w:hAnsi="Amiri" w:eastAsia="Amiri" w:cs="Amiri"/>
          <w:lang w:bidi="ar-SA"/>
          <w:color w:val="111111"/>
          <w:sz w:val="28"/>
          <w:szCs w:val="28"/>
          <w:rtl/>
        </w:rPr>
        <w:t xml:space="preserve">ومن العجب أنّ بعض الأفاضل ذكر في مسألة</w:t>
      </w:r>
      <w:r>
        <w:rPr>
          <w:rStyle w:val="FootnoteReference"/>
        </w:rPr>
        <w:footnoteReference w:id="2008"/>
      </w:r>
      <w:r>
        <w:rPr>
          <w:rFonts w:ascii="Amiri" w:hAnsi="Amiri" w:eastAsia="Amiri" w:cs="Amiri"/>
          <w:lang w:bidi="ar-SA"/>
          <w:color w:val="111111"/>
          <w:sz w:val="28"/>
          <w:szCs w:val="28"/>
          <w:rtl/>
        </w:rPr>
        <w:t xml:space="preserve">الوضوء بالآنية المغصوبة لزومالاجتماع في المقدّمة وذيها.</w:t>
      </w:r>
    </w:p>
    <w:p>
      <w:pPr>
        <w:pStyle w:val="BookText"/>
      </w:pPr>
      <w:r>
        <w:rPr>
          <w:rFonts w:ascii="IRNazanin" w:hAnsi="IRNazanin" w:eastAsia="IRNazanin" w:cs="IRNazanin"/>
          <w:lang w:bidi="fa-IR"/>
          <w:color w:val="111111"/>
          <w:sz w:val="28"/>
          <w:szCs w:val="28"/>
          <w:rtl/>
        </w:rPr>
        <w:t xml:space="preserve">قال: لأنّ النهي عن الغصب يوجب النهي عن الوضوء لفرض الانحصار فإذا كان مأموراً به يلزم الاجتماع فيه وبوجوبه يسري الوجوب إلى الاغتراف من باب المقدّمة فيلزم الاجتماع فيه أیضاً.</w:t>
      </w:r>
      <w:r>
        <w:rPr>
          <w:rStyle w:val="FootnoteReference"/>
        </w:rPr>
        <w:footnoteReference w:id="2009"/>
      </w:r>
    </w:p>
    <w:p>
      <w:pPr>
        <w:pStyle w:val="BookText"/>
      </w:pPr>
      <w:r>
        <w:rPr>
          <w:rFonts w:ascii="IRNazanin" w:hAnsi="IRNazanin" w:eastAsia="IRNazanin" w:cs="IRNazanin"/>
          <w:lang w:bidi="fa-IR"/>
          <w:color w:val="111111"/>
          <w:sz w:val="28"/>
          <w:szCs w:val="28"/>
          <w:rtl/>
        </w:rPr>
        <w:t xml:space="preserve">وقال (رحمة الله‌علیه) في ص391: «قال بعض الأفاضل من المؤمنين بهذا الأصل أي الوجوب المشروط بالمعصية بصحّة الوضوء مع انحصار الآنية في المغصوبة أو الذّهب والفضة في قبال كلّ العلماء حيث يقولون بالفساد وهو منظر وجيه لا يوجد فيه قبح لو لا الإشكال الّذي قلنا: إنّه غير مندفع».</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 بذلك على صاحب الفصول</w:t>
      </w:r>
      <w:r>
        <w:rPr>
          <w:rStyle w:val="FootnoteReference"/>
        </w:rPr>
        <w:footnoteReference w:id="2010"/>
      </w:r>
      <w:r>
        <w:rPr>
          <w:rFonts w:ascii="Amiri" w:hAnsi="Amiri" w:eastAsia="Amiri" w:cs="Amiri"/>
          <w:lang w:bidi="ar-SA"/>
          <w:color w:val="111111"/>
          <w:sz w:val="28"/>
          <w:szCs w:val="28"/>
          <w:rtl/>
        </w:rPr>
        <w:t xml:space="preserve">حيث حكم بصحّة الوضوء بالوجه الّذي ذكرنا ولا بأس؛ إذ هو ملتزم بالإيراد على صاحب الفصول بأيّ وجه كان.</w:t>
      </w:r>
    </w:p>
    <w:p>
      <w:pPr>
        <w:pStyle w:val="BookText"/>
      </w:pPr>
      <w:r>
        <w:rPr>
          <w:rFonts w:ascii="Amiri" w:hAnsi="Amiri" w:eastAsia="Amiri" w:cs="Amiri"/>
          <w:lang w:bidi="ar-SA"/>
          <w:color w:val="111111"/>
          <w:sz w:val="28"/>
          <w:szCs w:val="28"/>
          <w:rtl/>
        </w:rPr>
        <w:t xml:space="preserve">وكيف كان فيمكن القول بوجود الأمر على وجه الترتّب في مثل هذه الصورة، بل هو كذلك لكفاية الإطلاقات بالبيان الّذي ذكرناه</w:t>
      </w:r>
      <w:r>
        <w:rPr>
          <w:rStyle w:val="FootnoteReference"/>
        </w:rPr>
        <w:footnoteReference w:id="2011"/>
      </w:r>
      <w:r>
        <w:rPr>
          <w:rFonts w:ascii="Amiri" w:hAnsi="Amiri" w:eastAsia="Amiri" w:cs="Amiri"/>
          <w:lang w:bidi="ar-SA"/>
          <w:color w:val="111111"/>
          <w:sz w:val="28"/>
          <w:szCs w:val="28"/>
          <w:rtl/>
        </w:rPr>
        <w:t xml:space="preserve">سابقاً.</w:t>
      </w:r>
    </w:p>
    <w:p>
      <w:pPr>
        <w:pStyle w:val="BookText"/>
      </w:pPr>
      <w:r>
        <w:rPr>
          <w:rFonts w:ascii="IRNazanin" w:hAnsi="IRNazanin" w:eastAsia="IRNazanin" w:cs="IRNazanin"/>
          <w:lang w:bidi="fa-IR"/>
          <w:color w:val="111111"/>
          <w:sz w:val="28"/>
          <w:szCs w:val="28"/>
          <w:rtl/>
        </w:rPr>
        <w:t xml:space="preserve">وحاصله أنّ المانع من توجّه الأمر إلى الوضوء بعد اشتماله على المصلحة ليس إلّا عدم القدرة وعلى فرض مخالفة النهي يكون قادراً، ولا يجري ه-ٰهنا إشکال الأمر بالضدّين وطلب المحال.</w:t>
      </w:r>
    </w:p>
    <w:p>
      <w:pPr>
        <w:pStyle w:val="BookText"/>
      </w:pPr>
      <w:r>
        <w:rPr>
          <w:rFonts w:ascii="IRNazanin" w:hAnsi="IRNazanin" w:eastAsia="IRNazanin" w:cs="IRNazanin"/>
          <w:lang w:bidi="fa-IR"/>
          <w:color w:val="111111"/>
          <w:sz w:val="28"/>
          <w:szCs w:val="28"/>
          <w:rtl/>
        </w:rPr>
        <w:t xml:space="preserve">وأمّا في مقامنا ممّا كان نفس المأمور به منحصراً في الحرام وفي المسألة السابقة أعني مسألة الأمر بالضدّين فلا ينفع الترتّب لوجود المحذور من اجتماع الأمر والنهي في کلتا المسألتين والتکلیف بما لا يطاق في خصوص تلك المسألة؛ إذ في مقامنا لايلزم إلّا الاجتماع كما هو واضح.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ولعلّه لما ذكرنا</w:t>
      </w:r>
      <w:r>
        <w:rPr>
          <w:rStyle w:val="FootnoteReference"/>
        </w:rPr>
        <w:footnoteReference w:id="2012"/>
      </w:r>
      <w:r>
        <w:rPr>
          <w:rFonts w:ascii="IRNazanin" w:hAnsi="IRNazanin" w:eastAsia="IRNazanin" w:cs="IRNazanin"/>
          <w:lang w:bidi="fa-IR"/>
          <w:color w:val="111111"/>
          <w:sz w:val="28"/>
          <w:szCs w:val="28"/>
          <w:rtl/>
        </w:rPr>
        <w:t xml:space="preserve">من الفرق بين صورة انحصار نفس الواجب في الحرام وصورة انحصار مقدّمته فيه نظر صاحب الفصول حيث خصّ الحكم بالصحّة بالصورة الثانية دون الأولی</w:t>
      </w:r>
      <w:r>
        <w:rPr>
          <w:rStyle w:val="FootnoteReference"/>
        </w:rPr>
        <w:footnoteReference w:id="2013"/>
      </w:r>
      <w:r>
        <w:rPr>
          <w:rFonts w:ascii="Amiri" w:hAnsi="Amiri" w:eastAsia="Amiri" w:cs="Amiri"/>
          <w:lang w:bidi="ar-SA"/>
          <w:color w:val="111111"/>
          <w:sz w:val="28"/>
          <w:szCs w:val="28"/>
          <w:rtl/>
        </w:rPr>
        <w:t xml:space="preserve">فلم يحكم فيها بالصحّة إذا كان مثل المقام، وصحّح بالمقدّمة الموصلة إذا كان من باب الأمر بالضدّين</w:t>
      </w:r>
      <w:r>
        <w:rPr>
          <w:rStyle w:val="FootnoteReference"/>
        </w:rPr>
        <w:footnoteReference w:id="2014"/>
      </w:r>
      <w:r>
        <w:rPr>
          <w:rFonts w:ascii="Amiri" w:hAnsi="Amiri" w:eastAsia="Amiri" w:cs="Amiri"/>
          <w:lang w:bidi="ar-SA"/>
          <w:color w:val="111111"/>
          <w:sz w:val="28"/>
          <w:szCs w:val="28"/>
          <w:rtl/>
        </w:rPr>
        <w:t xml:space="preserve">فلا يرد عليه في حكمه بالصحّة في الصّورة المذكورة شي‌ء.</w:t>
      </w:r>
    </w:p>
    <w:p>
      <w:pPr>
        <w:pStyle w:val="BookText"/>
      </w:pPr>
      <w:r>
        <w:rPr>
          <w:rFonts w:ascii="IRNazanin" w:hAnsi="IRNazanin" w:eastAsia="IRNazanin" w:cs="IRNazanin"/>
          <w:lang w:bidi="fa-IR"/>
          <w:color w:val="111111"/>
          <w:sz w:val="28"/>
          <w:szCs w:val="28"/>
          <w:rtl/>
        </w:rPr>
        <w:t xml:space="preserve">نعم إنّما يتمّ الحكم بالصحّة إذا جعلنا العصيان من باب الشرط المتأخّر أو قلنا: إنّ ترك الاغتراف من قبيل المانع لتوجّه الأمر، وأمّا لو قلنا: إنّ الشرط كونه ممّن يعصي فلا يتمّ الحكم بالصحّة لما عرفت سابقاً من أنّ المقدّمة حینئذٍ تتّصف بالوجوب؛ لأنّ الشرط للوجوب على هذا غير نفس الاغتراف فلا مانع من وجوبه إذا وجب الوضوء وإنّما</w:t>
      </w:r>
      <w:r>
        <w:rPr>
          <w:rStyle w:val="FootnoteReference"/>
        </w:rPr>
        <w:footnoteReference w:id="2015"/>
      </w:r>
      <w:r>
        <w:rPr>
          <w:rFonts w:ascii="Amiri" w:hAnsi="Amiri" w:eastAsia="Amiri" w:cs="Amiri"/>
          <w:lang w:bidi="ar-SA"/>
          <w:color w:val="111111"/>
          <w:sz w:val="28"/>
          <w:szCs w:val="28"/>
          <w:rtl/>
        </w:rPr>
        <w:t xml:space="preserve">لا يسري الوجوب إلى المقدّمة الّتي هي</w:t>
      </w:r>
      <w:r>
        <w:rPr>
          <w:rStyle w:val="FootnoteReference"/>
        </w:rPr>
        <w:footnoteReference w:id="2016"/>
      </w:r>
      <w:r>
        <w:rPr>
          <w:rFonts w:ascii="Amiri" w:hAnsi="Amiri" w:eastAsia="Amiri" w:cs="Amiri"/>
          <w:lang w:bidi="ar-SA"/>
          <w:color w:val="111111"/>
          <w:sz w:val="28"/>
          <w:szCs w:val="28"/>
          <w:rtl/>
        </w:rPr>
        <w:t xml:space="preserve">شرط للوجوب دون غيره فإذا جعلنا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85" w:name="pg6784_51611"/>
    <w:bookmarkEnd w:id="285"/>
    <w:p>
      <w:pPr>
        <w:pStyle w:val="BookText"/>
      </w:pPr>
      <w:r>
        <w:rPr>
          <w:rFonts w:ascii="IRNazanin" w:hAnsi="IRNazanin" w:eastAsia="IRNazanin" w:cs="IRNazanin"/>
          <w:lang w:bidi="fa-IR"/>
          <w:color w:val="111111"/>
          <w:sz w:val="28"/>
          <w:szCs w:val="28"/>
          <w:rtl/>
        </w:rPr>
        <w:t xml:space="preserve">الشرط نفس الاغتراف تمّ الحكم بعدم وجوبه، وأمّا إذا جعلناه كونه ممّن يغترف فإذا كان الشرط حاصلاً فيجب الوضوء ويجب الاغتراف أیضاً فيلزم الاجتماع فيه.</w:t>
      </w:r>
    </w:p>
    <w:p>
      <w:pPr>
        <w:pStyle w:val="BookText"/>
      </w:pPr>
      <w:r>
        <w:rPr>
          <w:rFonts w:ascii="IRNazanin" w:hAnsi="IRNazanin" w:eastAsia="IRNazanin" w:cs="IRNazanin"/>
          <w:lang w:bidi="fa-IR"/>
          <w:color w:val="111111"/>
          <w:sz w:val="28"/>
          <w:szCs w:val="28"/>
          <w:rtl/>
        </w:rPr>
        <w:t xml:space="preserve">والتّحقیق ما عرفت سابقاً من أنّ العصيان من باب رفع المانع فلا إشکال، ولكنّظاهر صاحب الفصول أنّه يجعل كونه ممّن يغترف شرطاً</w:t>
      </w:r>
      <w:r>
        <w:rPr>
          <w:rStyle w:val="FootnoteReference"/>
        </w:rPr>
        <w:footnoteReference w:id="2017"/>
      </w:r>
      <w:r>
        <w:rPr>
          <w:rFonts w:ascii="IRNazanin" w:hAnsi="IRNazanin" w:eastAsia="IRNazanin" w:cs="IRNazanin"/>
          <w:lang w:bidi="fa-IR"/>
          <w:color w:val="111111"/>
          <w:sz w:val="28"/>
          <w:szCs w:val="28"/>
          <w:rtl/>
        </w:rPr>
        <w:t xml:space="preserve">فيشکل ما ذكره من هذا الوجه.</w:t>
      </w:r>
    </w:p>
    <w:p>
      <w:pPr>
        <w:pStyle w:val="Heading6"/>
      </w:pPr>
      <w:bookmarkStart w:id="814" w:name="_Toc495"/>
      <w:r>
        <w:t>[الانحصار العرضي]</w:t>
      </w:r>
      <w:bookmarkEnd w:id="814"/>
    </w:p>
    <w:p>
      <w:pPr>
        <w:pStyle w:val="BookText"/>
      </w:pPr>
      <w:r>
        <w:rPr>
          <w:rFonts w:ascii="Amiri" w:hAnsi="Amiri" w:eastAsia="Amiri" w:cs="Amiri"/>
          <w:lang w:bidi="ar-SA"/>
          <w:color w:val="111111"/>
          <w:sz w:val="28"/>
          <w:szCs w:val="28"/>
          <w:rtl/>
        </w:rPr>
        <w:t xml:space="preserve">وعلى الثاني</w:t>
      </w:r>
      <w:r>
        <w:rPr>
          <w:rStyle w:val="FootnoteReference"/>
        </w:rPr>
        <w:footnoteReference w:id="2018"/>
      </w:r>
      <w:r>
        <w:rPr>
          <w:rFonts w:ascii="Amiri" w:hAnsi="Amiri" w:eastAsia="Amiri" w:cs="Amiri"/>
          <w:lang w:bidi="ar-SA"/>
          <w:color w:val="111111"/>
          <w:sz w:val="28"/>
          <w:szCs w:val="28"/>
          <w:rtl/>
        </w:rPr>
        <w:t xml:space="preserve">فإمّا أن لا يكون</w:t>
      </w:r>
      <w:r>
        <w:rPr>
          <w:rStyle w:val="FootnoteReference"/>
        </w:rPr>
        <w:footnoteReference w:id="2019"/>
      </w:r>
      <w:r>
        <w:rPr>
          <w:rFonts w:ascii="Amiri" w:hAnsi="Amiri" w:eastAsia="Amiri" w:cs="Amiri"/>
          <w:lang w:bidi="ar-SA"/>
          <w:color w:val="111111"/>
          <w:sz w:val="28"/>
          <w:szCs w:val="28"/>
          <w:rtl/>
        </w:rPr>
        <w:t xml:space="preserve">مضطرّاً إلى ارتكاب الحرام من حيث هو كما لو أهرق ماءه</w:t>
      </w:r>
      <w:r>
        <w:rPr>
          <w:rStyle w:val="FootnoteReference"/>
        </w:rPr>
        <w:footnoteReference w:id="2020"/>
      </w:r>
      <w:r>
        <w:rPr>
          <w:rFonts w:ascii="IRNazanin" w:hAnsi="IRNazanin" w:eastAsia="IRNazanin" w:cs="IRNazanin"/>
          <w:lang w:bidi="fa-IR"/>
          <w:color w:val="111111"/>
          <w:sz w:val="28"/>
          <w:szCs w:val="28"/>
          <w:rtl/>
        </w:rPr>
        <w:t xml:space="preserve">المباح وانحصر أمره بالوضوء بالماء المغصوب وكما لو ذهب عمداً إلى مكان مباح لا يقدر على الصّلاة إلّا في دار الغير والظاهر أنّ حكمه حكم الصورة السّابقة وأنّه لا بدّ من رفع اليد عن أحد التکلیفين ولكنّه عاصٍ بالنسبة إلى التکلیف الّذي خالفه قطعاً فإذا قلنا بسقوط الوضوء أو الصلاة يعاقب على تركهما؛ لأنّه بمجرّد إهراق الماء تحقّق مخالفة الأمر وعصيانه إذا كان الوقت داخلاً وكذا بالنسبة إلى الصلاة.</w:t>
      </w:r>
    </w:p>
    <w:p>
      <w:pPr>
        <w:pStyle w:val="BookText"/>
      </w:pPr>
      <w:r>
        <w:rPr>
          <w:rFonts w:ascii="IRNazanin" w:hAnsi="IRNazanin" w:eastAsia="IRNazanin" w:cs="IRNazanin"/>
          <w:lang w:bidi="fa-IR"/>
          <w:color w:val="111111"/>
          <w:sz w:val="28"/>
          <w:szCs w:val="28"/>
          <w:rtl/>
        </w:rPr>
        <w:t xml:space="preserve">وإمّا أن يكون مضطرّاً إلى ارتكاب الحرام كمن توسّط أرض الغير عمداً فإنّه مضطرّ إلى ارتكاب أحد المحرّمين من البقاء أو الخروج، فحینئذٍ هل هو مکلّف بالخروج ومع ذلك منهي عنه؟</w:t>
      </w:r>
    </w:p>
    <w:p>
      <w:pPr>
        <w:pStyle w:val="BookText"/>
      </w:pPr>
      <w:r>
        <w:rPr>
          <w:rFonts w:ascii="IRNazanin" w:hAnsi="IRNazanin" w:eastAsia="IRNazanin" w:cs="IRNazanin"/>
          <w:lang w:bidi="fa-IR"/>
          <w:color w:val="111111"/>
          <w:sz w:val="28"/>
          <w:szCs w:val="28"/>
          <w:rtl/>
        </w:rPr>
        <w:t xml:space="preserve">وبعبارة أخری: هل يجوز اجتماع الأمر والنهي أم لا؟ قولان.</w:t>
      </w:r>
    </w:p>
    <w:p>
      <w:pPr>
        <w:pStyle w:val="BookText"/>
      </w:pPr>
      <w:r>
        <w:rPr>
          <w:rFonts w:ascii="IRNazanin" w:hAnsi="IRNazanin" w:eastAsia="IRNazanin" w:cs="IRNazanin"/>
          <w:lang w:bidi="fa-IR"/>
          <w:color w:val="111111"/>
          <w:sz w:val="28"/>
          <w:szCs w:val="28"/>
          <w:rtl/>
        </w:rPr>
        <w:t xml:space="preserve">فظاهر</w:t>
      </w:r>
      <w:r>
        <w:rPr>
          <w:rStyle w:val="FootnoteReference"/>
        </w:rPr>
        <w:footnoteReference w:id="2021"/>
      </w:r>
      <w:r>
        <w:rPr>
          <w:rFonts w:ascii="IRNazanin" w:hAnsi="IRNazanin" w:eastAsia="IRNazanin" w:cs="IRNazanin"/>
          <w:lang w:bidi="fa-IR"/>
          <w:color w:val="111111"/>
          <w:sz w:val="28"/>
          <w:szCs w:val="28"/>
          <w:rtl/>
        </w:rPr>
        <w:t xml:space="preserve">المشهور عدم الجواز؛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وحكي عن أبي هاشم الجواز،</w:t>
      </w:r>
      <w:r>
        <w:rPr>
          <w:rStyle w:val="FootnoteReference"/>
        </w:rPr>
        <w:footnoteReference w:id="2022"/>
      </w:r>
      <w:r>
        <w:rPr>
          <w:rFonts w:ascii="Amiri" w:hAnsi="Amiri" w:eastAsia="Amiri" w:cs="Amiri"/>
          <w:lang w:bidi="ar-SA"/>
          <w:color w:val="111111"/>
          <w:sz w:val="28"/>
          <w:szCs w:val="28"/>
          <w:rtl/>
        </w:rPr>
        <w:t xml:space="preserve">واختاره المحقّق القمي وأسنده إلى أكثر أفاضل متأخّرينا. قال: «بل هو ظاهر الفقهاء».</w:t>
      </w:r>
      <w:r>
        <w:rPr>
          <w:rStyle w:val="FootnoteReference"/>
        </w:rPr>
        <w:footnoteReference w:id="2023"/>
      </w:r>
    </w:p>
    <w:p>
      <w:pPr>
        <w:pStyle w:val="BookText"/>
      </w:pPr>
      <w:r>
        <w:rPr>
          <w:rFonts w:ascii="IRNazanin" w:hAnsi="IRNazanin" w:eastAsia="IRNazanin" w:cs="IRNazanin"/>
          <w:lang w:bidi="fa-IR"/>
          <w:color w:val="111111"/>
          <w:sz w:val="28"/>
          <w:szCs w:val="28"/>
          <w:rtl/>
        </w:rPr>
        <w:t xml:space="preserve">ويظهر منه أنّ وجه النسبة أنّهم حكموا بكون المستطيع مکلّفاً بالحجّ إذا أخّرهاختياراً وإن فات استطاعته.</w:t>
      </w:r>
      <w:r>
        <w:rPr>
          <w:rStyle w:val="FootnoteReference"/>
        </w:rPr>
        <w:footnoteReference w:id="2024"/>
      </w:r>
    </w:p>
    <w:p>
      <w:pPr>
        <w:pStyle w:val="BookText"/>
      </w:pPr>
      <w:r>
        <w:rPr>
          <w:rFonts w:ascii="IRNazanin" w:hAnsi="IRNazanin" w:eastAsia="IRNazanin" w:cs="IRNazanin"/>
          <w:lang w:bidi="fa-IR"/>
          <w:color w:val="111111"/>
          <w:sz w:val="28"/>
          <w:szCs w:val="28"/>
          <w:rtl/>
        </w:rPr>
        <w:t xml:space="preserve">وربما يورد عليه أنّ ما حكم به الفقهاء إنّما هو وجوب الحجّ مع فوت الاستطاعة الشرعیّة وبقاء العقليّة فلا يكون من المقام.</w:t>
      </w:r>
    </w:p>
    <w:p>
      <w:pPr>
        <w:pStyle w:val="BookText"/>
      </w:pPr>
      <w:r>
        <w:rPr>
          <w:rFonts w:ascii="IRNazanin" w:hAnsi="IRNazanin" w:eastAsia="IRNazanin" w:cs="IRNazanin"/>
          <w:lang w:bidi="fa-IR"/>
          <w:color w:val="111111"/>
          <w:sz w:val="28"/>
          <w:szCs w:val="28"/>
          <w:rtl/>
        </w:rPr>
        <w:t xml:space="preserve">ویکفي في فساد النسبة المذكورة ذهاب المشهور من أصحابنا إلى عدم جواز الاجتماع فيما فيه المندوحة فكيف بما ليس فيه ذلك؟</w:t>
      </w:r>
    </w:p>
    <w:p>
      <w:pPr>
        <w:pStyle w:val="BookText"/>
      </w:pPr>
      <w:r>
        <w:rPr>
          <w:rFonts w:ascii="Amiri" w:hAnsi="Amiri" w:eastAsia="Amiri" w:cs="Amiri"/>
          <w:lang w:bidi="ar-SA"/>
          <w:color w:val="111111"/>
          <w:sz w:val="28"/>
          <w:szCs w:val="28"/>
          <w:rtl/>
        </w:rPr>
        <w:t xml:space="preserve">قلت: يمكن أن يقال: إنّ مراد المحقّق القمي</w:t>
      </w:r>
      <w:r>
        <w:rPr>
          <w:rStyle w:val="FootnoteReference"/>
        </w:rPr>
        <w:footnoteReference w:id="2025"/>
      </w:r>
      <w:r>
        <w:rPr>
          <w:rFonts w:ascii="IRNazanin" w:hAnsi="IRNazanin" w:eastAsia="IRNazanin" w:cs="IRNazanin"/>
          <w:lang w:bidi="fa-IR"/>
          <w:color w:val="111111"/>
          <w:sz w:val="28"/>
          <w:szCs w:val="28"/>
          <w:rtl/>
        </w:rPr>
        <w:t xml:space="preserve">صورة تأخير الحجّ عند خروج الرفقة وزوال الاستطاعة في ذلك العام فإنّهم يحكمون بعصيان المکلّف بعد مجي‌ء ذي الحجّة ولا يكون العصيان إلّا مع مخالفة الأمر، وعند خروج الرفقة لم</w:t>
      </w:r>
      <w:r>
        <w:rPr>
          <w:rStyle w:val="FootnoteReference"/>
        </w:rPr>
        <w:footnoteReference w:id="2026"/>
      </w:r>
      <w:r>
        <w:rPr>
          <w:rFonts w:ascii="IRNazanin" w:hAnsi="IRNazanin" w:eastAsia="IRNazanin" w:cs="IRNazanin"/>
          <w:lang w:bidi="fa-IR"/>
          <w:color w:val="111111"/>
          <w:sz w:val="28"/>
          <w:szCs w:val="28"/>
          <w:rtl/>
        </w:rPr>
        <w:t xml:space="preserve">يحصل المخالفة بل هي إنّما تتحقّق عند مجيء وقت الحجّ فحكمهم بالعصيان مع أنّه فرع الأمر ومخالفتِه كاشف عن تجويزهم التکلیف بما لا يطاق إذا كان بسوء اختيار المکلّف.</w:t>
      </w:r>
    </w:p>
    <w:p>
      <w:pPr>
        <w:pStyle w:val="BookText"/>
      </w:pPr>
      <w:r>
        <w:rPr>
          <w:rFonts w:ascii="IRNazanin" w:hAnsi="IRNazanin" w:eastAsia="IRNazanin" w:cs="IRNazanin"/>
          <w:lang w:bidi="fa-IR"/>
          <w:color w:val="111111"/>
          <w:sz w:val="28"/>
          <w:szCs w:val="28"/>
          <w:rtl/>
        </w:rPr>
        <w:t xml:space="preserve">وغرضه أنّ لازم کلامهم هذا تجويزهم</w:t>
      </w:r>
      <w:r>
        <w:rPr>
          <w:rStyle w:val="FootnoteReference"/>
        </w:rPr>
        <w:footnoteReference w:id="2027"/>
      </w:r>
      <w:r>
        <w:rPr>
          <w:rFonts w:ascii="IRNazanin" w:hAnsi="IRNazanin" w:eastAsia="IRNazanin" w:cs="IRNazanin"/>
          <w:lang w:bidi="fa-IR"/>
          <w:color w:val="111111"/>
          <w:sz w:val="28"/>
          <w:szCs w:val="28"/>
          <w:rtl/>
        </w:rPr>
        <w:t xml:space="preserve">الاجتماع في المقام أیضاً حيث إنّه لا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 منه إلّا كونه تکلیفاً بما لا يطاق، وإلّا فمسألة الحجّ لا دخل لها باجتماع الأمر والنهي.</w:t>
      </w:r>
    </w:p>
    <w:p>
      <w:pPr>
        <w:pStyle w:val="BookText"/>
      </w:pPr>
      <w:r>
        <w:rPr>
          <w:rFonts w:ascii="IRNazanin" w:hAnsi="IRNazanin" w:eastAsia="IRNazanin" w:cs="IRNazanin"/>
          <w:lang w:bidi="fa-IR"/>
          <w:color w:val="111111"/>
          <w:sz w:val="28"/>
          <w:szCs w:val="28"/>
          <w:rtl/>
        </w:rPr>
        <w:t xml:space="preserve">ويمكن أن يكون مراده صورة زوال الاستطاعة العقليّة فيما لو أخّر الحجّ عن العام الأوّل فإنّهم يحكمون بكون المکلّف عاصياً ولا يكون إلّا مع كونه مکلّفاً بالحجّ.</w:t>
      </w:r>
    </w:p>
    <w:p>
      <w:pPr>
        <w:pStyle w:val="BookText"/>
      </w:pPr>
      <w:r>
        <w:rPr>
          <w:rFonts w:ascii="IRNazanin" w:hAnsi="IRNazanin" w:eastAsia="IRNazanin" w:cs="IRNazanin"/>
          <w:lang w:bidi="fa-IR"/>
          <w:color w:val="111111"/>
          <w:sz w:val="28"/>
          <w:szCs w:val="28"/>
          <w:rtl/>
        </w:rPr>
        <w:t xml:space="preserve">نعم يرد على المحقّق المذكور أنّ مجرّد الحكم بالعقاب والعصيان لا يدلّ على كونه مأموراً بالحجّ ومخاطباً فيمكن أن يكون من جهة الأمر السّابق والمخالفة السّابقة من جهة ترك المقدّمة وإن کان لا يعاقب إلّا عند مجي‌ء وقت الحجّ.</w:t>
      </w:r>
    </w:p>
    <w:p>
      <w:pPr>
        <w:pStyle w:val="BookText"/>
      </w:pPr>
      <w:r>
        <w:rPr>
          <w:rFonts w:ascii="Amiri" w:hAnsi="Amiri" w:eastAsia="Amiri" w:cs="Amiri"/>
          <w:lang w:bidi="ar-SA"/>
          <w:color w:val="111111"/>
          <w:sz w:val="28"/>
          <w:szCs w:val="28"/>
          <w:rtl/>
        </w:rPr>
        <w:t xml:space="preserve">وكيف كان فقد صرّح المحقّق المذكور</w:t>
      </w:r>
      <w:r>
        <w:rPr>
          <w:rStyle w:val="FootnoteReference"/>
        </w:rPr>
        <w:footnoteReference w:id="2028"/>
      </w:r>
      <w:r>
        <w:rPr>
          <w:rFonts w:ascii="IRNazanin" w:hAnsi="IRNazanin" w:eastAsia="IRNazanin" w:cs="IRNazanin"/>
          <w:lang w:bidi="fa-IR"/>
          <w:color w:val="111111"/>
          <w:sz w:val="28"/>
          <w:szCs w:val="28"/>
          <w:rtl/>
        </w:rPr>
        <w:t xml:space="preserve">بعد ذلك بأنّ النهي الموجود فيالمقام نظير التکلیف الابتلائي یعني أنّه تسجيلي ومن باب التنبيه على استحقاق العقاب</w:t>
      </w:r>
      <w:r>
        <w:rPr>
          <w:rStyle w:val="FootnoteReference"/>
        </w:rPr>
        <w:footnoteReference w:id="2029"/>
      </w:r>
      <w:r>
        <w:rPr>
          <w:rFonts w:ascii="IRNazanin" w:hAnsi="IRNazanin" w:eastAsia="IRNazanin" w:cs="IRNazanin"/>
          <w:lang w:bidi="fa-IR"/>
          <w:color w:val="111111"/>
          <w:sz w:val="28"/>
          <w:szCs w:val="28"/>
          <w:rtl/>
        </w:rPr>
        <w:t xml:space="preserve">لا أنّه بمعنى طلب الترك حقیقة.</w:t>
      </w:r>
    </w:p>
    <w:p>
      <w:pPr>
        <w:pStyle w:val="BookText"/>
      </w:pPr>
      <w:r>
        <w:rPr>
          <w:rFonts w:ascii="Amiri" w:hAnsi="Amiri" w:eastAsia="Amiri" w:cs="Amiri"/>
          <w:lang w:bidi="ar-SA"/>
          <w:color w:val="111111"/>
          <w:sz w:val="28"/>
          <w:szCs w:val="28"/>
          <w:rtl/>
        </w:rPr>
        <w:t xml:space="preserve">وعلى هذا فلا ينبغي عدّه من المجوّزين؛ إذ الاجتماع</w:t>
      </w:r>
      <w:r>
        <w:rPr>
          <w:rStyle w:val="FootnoteReference"/>
        </w:rPr>
        <w:footnoteReference w:id="2030"/>
      </w:r>
      <w:r>
        <w:rPr>
          <w:rFonts w:ascii="Amiri" w:hAnsi="Amiri" w:eastAsia="Amiri" w:cs="Amiri"/>
          <w:lang w:bidi="ar-SA"/>
          <w:color w:val="111111"/>
          <w:sz w:val="28"/>
          <w:szCs w:val="28"/>
          <w:rtl/>
        </w:rPr>
        <w:t xml:space="preserve">على هذا الوجه جائز عند الجميع؛ إذ هو في الحقيقة ليس من الاجتماع.</w:t>
      </w:r>
    </w:p>
    <w:p>
      <w:pPr>
        <w:pStyle w:val="BookText"/>
      </w:pPr>
      <w:r>
        <w:rPr>
          <w:rFonts w:ascii="Amiri" w:hAnsi="Amiri" w:eastAsia="Amiri" w:cs="Amiri"/>
          <w:lang w:bidi="ar-SA"/>
          <w:color w:val="111111"/>
          <w:sz w:val="28"/>
          <w:szCs w:val="28"/>
          <w:rtl/>
        </w:rPr>
        <w:t xml:space="preserve">هذا ولا يخفى أنّ القائل بجواز الاجتماع في المقام بين من يقول بالجواز مطلقاً كما عن ظاهر أبي هاشم</w:t>
      </w:r>
      <w:r>
        <w:rPr>
          <w:rStyle w:val="FootnoteReference"/>
        </w:rPr>
        <w:footnoteReference w:id="2031"/>
      </w:r>
      <w:r>
        <w:rPr>
          <w:rFonts w:ascii="Amiri" w:hAnsi="Amiri" w:eastAsia="Amiri" w:cs="Amiri"/>
          <w:lang w:bidi="ar-SA"/>
          <w:color w:val="111111"/>
          <w:sz w:val="28"/>
          <w:szCs w:val="28"/>
          <w:rtl/>
        </w:rPr>
        <w:t xml:space="preserve">وغيره ممّن تمسّك بمجرّد أنّ الامتناع بالاختيار لا ينافي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الاختيار</w:t>
      </w:r>
      <w:r>
        <w:rPr>
          <w:rStyle w:val="FootnoteReference"/>
        </w:rPr>
        <w:footnoteReference w:id="2032"/>
      </w:r>
      <w:r>
        <w:rPr>
          <w:rFonts w:ascii="IRNazanin" w:hAnsi="IRNazanin" w:eastAsia="IRNazanin" w:cs="IRNazanin"/>
          <w:lang w:bidi="fa-IR"/>
          <w:color w:val="111111"/>
          <w:sz w:val="28"/>
          <w:szCs w:val="28"/>
          <w:rtl/>
        </w:rPr>
        <w:t xml:space="preserve">وبين من يقول به إذا كان هناك تعدّد الجهة بأن کان بين الموردين عموم من وجه كالمحقّق القمي (قدس‌سره).</w:t>
      </w:r>
      <w:r>
        <w:rPr>
          <w:rStyle w:val="FootnoteReference"/>
        </w:rPr>
        <w:footnoteReference w:id="2033"/>
      </w:r>
    </w:p>
    <w:p>
      <w:pPr>
        <w:pStyle w:val="BookText"/>
      </w:pPr>
      <w:r>
        <w:rPr>
          <w:rFonts w:ascii="Amiri" w:hAnsi="Amiri" w:eastAsia="Amiri" w:cs="Amiri"/>
          <w:lang w:bidi="ar-SA"/>
          <w:color w:val="111111"/>
          <w:sz w:val="28"/>
          <w:szCs w:val="28"/>
          <w:rtl/>
        </w:rPr>
        <w:t xml:space="preserve">والحقّ هو القول الأوّل؛ وذلك لاستحالة تعلّق الإرادة والكراهة بالخروج مع أنّه واحد شخصي.</w:t>
      </w:r>
    </w:p>
    <w:p>
      <w:pPr>
        <w:pStyle w:val="BookText"/>
      </w:pPr>
      <w:r>
        <w:rPr>
          <w:rFonts w:ascii="Amiri" w:hAnsi="Amiri" w:eastAsia="Amiri" w:cs="Amiri"/>
          <w:lang w:bidi="ar-SA"/>
          <w:color w:val="111111"/>
          <w:sz w:val="28"/>
          <w:szCs w:val="28"/>
          <w:rtl/>
        </w:rPr>
        <w:t xml:space="preserve">هذا إذا كان هو المتعلّق للطّلبين، وأمّا إذا كان المتعلّق طبيعة الغصب وطبيعة التخلّص فلأنّه</w:t>
      </w:r>
      <w:r>
        <w:rPr>
          <w:rStyle w:val="FootnoteReference"/>
        </w:rPr>
        <w:footnoteReference w:id="2034"/>
      </w:r>
      <w:r>
        <w:rPr>
          <w:rFonts w:ascii="Amiri" w:hAnsi="Amiri" w:eastAsia="Amiri" w:cs="Amiri"/>
          <w:lang w:bidi="ar-SA"/>
          <w:color w:val="111111"/>
          <w:sz w:val="28"/>
          <w:szCs w:val="28"/>
          <w:rtl/>
        </w:rPr>
        <w:t xml:space="preserve">إذا لم يكن للتخلّص إلّا الفرد المحرّم فلا يعقل تعلّق الطلب به لما عرفت من أنّ المصحّح للتعلّق بالطبيعة وجود الفرد المباح.</w:t>
      </w:r>
    </w:p>
    <w:p>
      <w:pPr>
        <w:pStyle w:val="BookText"/>
      </w:pPr>
      <w:r>
        <w:rPr>
          <w:rFonts w:ascii="IRNazanin" w:hAnsi="IRNazanin" w:eastAsia="IRNazanin" w:cs="IRNazanin"/>
          <w:lang w:bidi="fa-IR"/>
          <w:color w:val="111111"/>
          <w:sz w:val="28"/>
          <w:szCs w:val="28"/>
          <w:rtl/>
        </w:rPr>
        <w:t xml:space="preserve">وإن شئت فقل: إنّه يلزم من الاجتماع تکلیف ما لا يطاق ولا فرق في قبحه بينأن يكون المکلّف هو السّبب فيه أو لا.</w:t>
      </w:r>
    </w:p>
    <w:p>
      <w:pPr>
        <w:pStyle w:val="BookText"/>
      </w:pPr>
      <w:r>
        <w:rPr>
          <w:rFonts w:ascii="IRNazanin" w:hAnsi="IRNazanin" w:eastAsia="IRNazanin" w:cs="IRNazanin"/>
          <w:lang w:bidi="fa-IR"/>
          <w:color w:val="111111"/>
          <w:sz w:val="28"/>
          <w:szCs w:val="28"/>
          <w:rtl/>
        </w:rPr>
        <w:t xml:space="preserve">نعم في النهي التسجيلي والأمر الحقيقي لا مانع منه لكنّ الکلام في وجود هذا النهي؛ إذ لا دليل عليه ولا حاجة إلیه في العقاب؛ إذ یکفي فيه النهي السّابق والمخالفة الحاصلة من إيجاد السّبب.</w:t>
      </w:r>
    </w:p>
    <w:p>
      <w:pPr>
        <w:pStyle w:val="BookText"/>
      </w:pPr>
      <w:r>
        <w:rPr>
          <w:rFonts w:ascii="IRNazanin" w:hAnsi="IRNazanin" w:eastAsia="IRNazanin" w:cs="IRNazanin"/>
          <w:lang w:bidi="fa-IR"/>
          <w:color w:val="111111"/>
          <w:sz w:val="28"/>
          <w:szCs w:val="28"/>
          <w:rtl/>
        </w:rPr>
        <w:t xml:space="preserve">مع أنّه يمكن القول بعدم العقاب أیضاً إلّا على الدّخول وسيأتي الکلام فيه</w:t>
      </w:r>
      <w:r>
        <w:rPr>
          <w:rStyle w:val="FootnoteReference"/>
        </w:rPr>
        <w:footnoteReference w:id="2035"/>
      </w:r>
    </w:p>
    <w:p>
      <w:pPr>
        <w:pStyle w:val="BookText"/>
      </w:pPr>
      <w:r>
        <w:rPr>
          <w:rFonts w:ascii="Amiri" w:hAnsi="Amiri" w:eastAsia="Amiri" w:cs="Amiri"/>
          <w:lang w:bidi="ar-SA"/>
          <w:color w:val="111111"/>
          <w:sz w:val="28"/>
          <w:szCs w:val="28"/>
          <w:rtl/>
        </w:rPr>
        <w:t xml:space="preserve">والحاصل: أنّ اجتماع الطلبين على وجه الحقيقة ممّا يأبى عنه العقل حتّى على القول بالجواز في أصل المسألة.</w:t>
      </w:r>
    </w:p>
    <w:p>
      <w:pPr>
        <w:pStyle w:val="BookText"/>
      </w:pPr>
      <w:r>
        <w:rPr>
          <w:rFonts w:ascii="Amiri" w:hAnsi="Amiri" w:eastAsia="Amiri" w:cs="Amiri"/>
          <w:lang w:bidi="ar-SA"/>
          <w:color w:val="111111"/>
          <w:sz w:val="28"/>
          <w:szCs w:val="28"/>
          <w:rtl/>
        </w:rPr>
        <w:t xml:space="preserve">وما اشتهر من أنّ الامتناع بالاختيار لا ينافي الاختيار لا وجه له إن أريد ذلك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خطاباً، وإن أريد عقاباً فلا يجدي.</w:t>
      </w:r>
    </w:p>
    <w:p>
      <w:pPr>
        <w:pStyle w:val="BookText"/>
      </w:pPr>
      <w:r>
        <w:rPr>
          <w:rFonts w:ascii="Amiri" w:hAnsi="Amiri" w:eastAsia="Amiri" w:cs="Amiri"/>
          <w:lang w:bidi="ar-SA"/>
          <w:color w:val="111111"/>
          <w:sz w:val="28"/>
          <w:szCs w:val="28"/>
          <w:rtl/>
        </w:rPr>
        <w:t xml:space="preserve">مع أنّ الظاهر أنّ مورده غير المقام وأنّ المشهور أرادوا من ذلك الرّد على الجبريّة القائلين بأنّ فعل العبد إمّا واجب الصّدور أو ممتنع الصّدور؛ إذ مع الإرادة واجب ومع عدمها ممتنع، فقيل لهم: إنّ الوجوب بالاختيار والامتناع بالاختيار لا ينافيان الاختيار، يعنون بذلك نفي الجبر.</w:t>
      </w:r>
    </w:p>
    <w:p>
      <w:pPr>
        <w:pStyle w:val="BookText"/>
      </w:pPr>
      <w:r>
        <w:rPr>
          <w:rFonts w:ascii="Amiri" w:hAnsi="Amiri" w:eastAsia="Amiri" w:cs="Amiri"/>
          <w:lang w:bidi="ar-SA"/>
          <w:color w:val="111111"/>
          <w:sz w:val="28"/>
          <w:szCs w:val="28"/>
          <w:rtl/>
        </w:rPr>
        <w:t xml:space="preserve">وممّا ذكرنا ظهر ما في استدلال القائل بالجواز من أنّه مقتضى العمل بالدليلين وأنّه لا مانع منه إلّا اجتماع الإرادة والكراهة.</w:t>
      </w:r>
    </w:p>
    <w:p>
      <w:pPr>
        <w:pStyle w:val="BookText"/>
      </w:pPr>
      <w:r>
        <w:rPr>
          <w:rFonts w:ascii="IRNazanin" w:hAnsi="IRNazanin" w:eastAsia="IRNazanin" w:cs="IRNazanin"/>
          <w:lang w:bidi="fa-IR"/>
          <w:color w:val="111111"/>
          <w:sz w:val="28"/>
          <w:szCs w:val="28"/>
          <w:rtl/>
        </w:rPr>
        <w:t xml:space="preserve">ويدفعه تعدّد الجهة أو التکلیف بما لا يطاق ولا بأس به إذا كان بسوء اختيار المکلّف.</w:t>
      </w:r>
    </w:p>
    <w:p>
      <w:pPr>
        <w:pStyle w:val="BookText"/>
      </w:pPr>
      <w:r>
        <w:rPr>
          <w:rFonts w:ascii="Amiri" w:hAnsi="Amiri" w:eastAsia="Amiri" w:cs="Amiri"/>
          <w:lang w:bidi="ar-SA"/>
          <w:color w:val="111111"/>
          <w:sz w:val="28"/>
          <w:szCs w:val="28"/>
          <w:rtl/>
        </w:rPr>
        <w:t xml:space="preserve">ثمّ إنّ المحقّق القمي (قدس‌سره) بعد ما قرّر الاستدلال بنحو ما ذكرناه قال:</w:t>
      </w:r>
    </w:p>
    <w:p>
      <w:pPr>
        <w:pStyle w:val="BookText"/>
      </w:pPr>
      <w:r>
        <w:rPr>
          <w:rFonts w:ascii="Amiri" w:hAnsi="Amiri" w:eastAsia="Amiri" w:cs="Amiri"/>
          <w:lang w:bidi="ar-SA"/>
          <w:color w:val="111111"/>
          <w:sz w:val="28"/>
          <w:szCs w:val="28"/>
          <w:rtl/>
        </w:rPr>
        <w:t xml:space="preserve">لا يقال: الخروج أخصّ مطلقاً من الغصب والعرف يفهم التخصيص.</w:t>
      </w:r>
    </w:p>
    <w:p>
      <w:pPr>
        <w:pStyle w:val="BookText"/>
      </w:pPr>
      <w:r>
        <w:rPr>
          <w:rFonts w:ascii="Amiri" w:hAnsi="Amiri" w:eastAsia="Amiri" w:cs="Amiri"/>
          <w:lang w:bidi="ar-SA"/>
          <w:color w:val="111111"/>
          <w:sz w:val="28"/>
          <w:szCs w:val="28"/>
          <w:rtl/>
        </w:rPr>
        <w:t xml:space="preserve">لأنّا نقول: ليس الخروج مورداً للأمر من حيث هو، بل لأنّه تخلّص</w:t>
      </w:r>
      <w:r>
        <w:rPr>
          <w:rStyle w:val="FootnoteReference"/>
        </w:rPr>
        <w:footnoteReference w:id="2036"/>
      </w:r>
      <w:r>
        <w:rPr>
          <w:rFonts w:ascii="IRNazanin" w:hAnsi="IRNazanin" w:eastAsia="IRNazanin" w:cs="IRNazanin"/>
          <w:lang w:bidi="fa-IR"/>
          <w:color w:val="111111"/>
          <w:sz w:val="28"/>
          <w:szCs w:val="28"/>
          <w:rtl/>
        </w:rPr>
        <w:t xml:space="preserve">عن الغصب وانحصار التخلّص في هذا الفرد بحسب العادة لا يضرّ فإنّ الظاهر أنّ العامّ الّذي أفراده الموجودة في الخارج منحصرة في الفرد بحسب العادة بل في نفس الأمر أیضاً لا يخرج عن كونه عامّاً في باب التعارض فليضبط ذلك، فإنّه فائدة جليلة لم أقف علىتصريح بها في کلامهم.</w:t>
      </w:r>
      <w:r>
        <w:rPr>
          <w:rStyle w:val="FootnoteReference"/>
        </w:rPr>
        <w:footnoteReference w:id="2037"/>
      </w:r>
    </w:p>
    <w:p>
      <w:pPr>
        <w:pStyle w:val="BookText"/>
      </w:pPr>
      <w:r>
        <w:rPr>
          <w:rFonts w:ascii="Amiri" w:hAnsi="Amiri" w:eastAsia="Amiri" w:cs="Amiri"/>
          <w:lang w:bidi="ar-SA"/>
          <w:color w:val="111111"/>
          <w:sz w:val="28"/>
          <w:szCs w:val="28"/>
          <w:rtl/>
        </w:rPr>
        <w:t xml:space="preserve">وأورد عليه في الإشارات بأنّ معاملة العموم من وجه مع ما كان أفراده النفس الأمريّة منحصرة في الفرد لا وجه له ولا يعدّ عامّاً في العرف لعدم الاستغراق فيه بالفعل والمدار عليه. مع أنّ التصريح من القوم موجود بخلاف ما ذكره.</w:t>
      </w:r>
      <w:r>
        <w:rPr>
          <w:rStyle w:val="FootnoteReference"/>
        </w:rPr>
        <w:footnoteReference w:id="2038"/>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86" w:name="pg6784_51620"/>
    <w:bookmarkEnd w:id="286"/>
    <w:p>
      <w:pPr>
        <w:pStyle w:val="BookText"/>
      </w:pPr>
      <w:r>
        <w:rPr>
          <w:rFonts w:ascii="IRNazanin" w:hAnsi="IRNazanin" w:eastAsia="IRNazanin" w:cs="IRNazanin"/>
          <w:lang w:bidi="fa-IR"/>
          <w:color w:val="111111"/>
          <w:sz w:val="28"/>
          <w:szCs w:val="28"/>
          <w:rtl/>
        </w:rPr>
        <w:t xml:space="preserve">قلت: الإنصاف ورود</w:t>
      </w:r>
      <w:r>
        <w:rPr>
          <w:rStyle w:val="FootnoteReference"/>
        </w:rPr>
        <w:footnoteReference w:id="2039"/>
      </w:r>
      <w:r>
        <w:rPr>
          <w:rFonts w:ascii="IRNazanin" w:hAnsi="IRNazanin" w:eastAsia="IRNazanin" w:cs="IRNazanin"/>
          <w:lang w:bidi="fa-IR"/>
          <w:color w:val="111111"/>
          <w:sz w:val="28"/>
          <w:szCs w:val="28"/>
          <w:rtl/>
        </w:rPr>
        <w:t xml:space="preserve">الإيراد على ظاهر کلام المحقّق المذكور حيث إنّ الظاهر منه أنّه جعل المقام من باب المعارضة ومع ذلك حكم بإجراء حكم العموم مع الانحصار ولا وجه له كما في الإشارات.</w:t>
      </w:r>
    </w:p>
    <w:p>
      <w:pPr>
        <w:pStyle w:val="BookText"/>
      </w:pPr>
      <w:r>
        <w:rPr>
          <w:rFonts w:ascii="Amiri" w:hAnsi="Amiri" w:eastAsia="Amiri" w:cs="Amiri"/>
          <w:lang w:bidi="ar-SA"/>
          <w:color w:val="111111"/>
          <w:sz w:val="28"/>
          <w:szCs w:val="28"/>
          <w:rtl/>
        </w:rPr>
        <w:t xml:space="preserve">فالأولى أن يقال:</w:t>
      </w:r>
    </w:p>
    <w:p>
      <w:pPr>
        <w:pStyle w:val="BookText"/>
      </w:pPr>
      <w:r>
        <w:rPr>
          <w:rFonts w:ascii="Amiri" w:hAnsi="Amiri" w:eastAsia="Amiri" w:cs="Amiri"/>
          <w:lang w:bidi="ar-SA"/>
          <w:color w:val="111111"/>
          <w:sz w:val="28"/>
          <w:szCs w:val="28"/>
          <w:rtl/>
        </w:rPr>
        <w:t xml:space="preserve">إن أريد من دعوى أنّ</w:t>
      </w:r>
      <w:r>
        <w:rPr>
          <w:rStyle w:val="FootnoteReference"/>
        </w:rPr>
        <w:footnoteReference w:id="2040"/>
      </w:r>
      <w:r>
        <w:rPr>
          <w:rFonts w:ascii="Amiri" w:hAnsi="Amiri" w:eastAsia="Amiri" w:cs="Amiri"/>
          <w:lang w:bidi="ar-SA"/>
          <w:color w:val="111111"/>
          <w:sz w:val="28"/>
          <w:szCs w:val="28"/>
          <w:rtl/>
        </w:rPr>
        <w:t xml:space="preserve">أخصّية الخروج أنّه</w:t>
      </w:r>
      <w:r>
        <w:rPr>
          <w:rStyle w:val="FootnoteReference"/>
        </w:rPr>
        <w:footnoteReference w:id="2041"/>
      </w:r>
      <w:r>
        <w:rPr>
          <w:rFonts w:ascii="Amiri" w:hAnsi="Amiri" w:eastAsia="Amiri" w:cs="Amiri"/>
          <w:lang w:bidi="ar-SA"/>
          <w:color w:val="111111"/>
          <w:sz w:val="28"/>
          <w:szCs w:val="28"/>
          <w:rtl/>
        </w:rPr>
        <w:t xml:space="preserve">يوجب التخصيص، فلا وجه له؛ لأنّ المقام من المزاحمة لا من المعارضة.</w:t>
      </w:r>
    </w:p>
    <w:p>
      <w:pPr>
        <w:pStyle w:val="BookText"/>
      </w:pPr>
      <w:r>
        <w:rPr>
          <w:rFonts w:ascii="Amiri" w:hAnsi="Amiri" w:eastAsia="Amiri" w:cs="Amiri"/>
          <w:lang w:bidi="ar-SA"/>
          <w:color w:val="111111"/>
          <w:sz w:val="28"/>
          <w:szCs w:val="28"/>
          <w:rtl/>
        </w:rPr>
        <w:t xml:space="preserve">وإن أريد أنّه يوجب ورود الإرادة والكراهة على شي‌ء واحد شخصي، ففيه: أنّ الخروج ليس مورداً من حيث هو</w:t>
      </w:r>
      <w:r>
        <w:rPr>
          <w:rStyle w:val="FootnoteReference"/>
        </w:rPr>
        <w:footnoteReference w:id="2042"/>
      </w:r>
      <w:r>
        <w:rPr>
          <w:rFonts w:ascii="Amiri" w:hAnsi="Amiri" w:eastAsia="Amiri" w:cs="Amiri"/>
          <w:lang w:bidi="ar-SA"/>
          <w:color w:val="111111"/>
          <w:sz w:val="28"/>
          <w:szCs w:val="28"/>
          <w:rtl/>
        </w:rPr>
        <w:t xml:space="preserve">بل لأنّه غصب فيكون كسائر المقامات.</w:t>
      </w:r>
    </w:p>
    <w:p>
      <w:pPr>
        <w:pStyle w:val="BookText"/>
      </w:pPr>
      <w:r>
        <w:rPr>
          <w:rFonts w:ascii="Amiri" w:hAnsi="Amiri" w:eastAsia="Amiri" w:cs="Amiri"/>
          <w:lang w:bidi="ar-SA"/>
          <w:color w:val="111111"/>
          <w:sz w:val="28"/>
          <w:szCs w:val="28"/>
          <w:rtl/>
        </w:rPr>
        <w:t xml:space="preserve">وكيف كان قد عرفت سقوط الدليل المذكور.</w:t>
      </w:r>
    </w:p>
    <w:p>
      <w:pPr>
        <w:pStyle w:val="Heading6"/>
      </w:pPr>
      <w:bookmarkStart w:id="815" w:name="_Toc496"/>
      <w:r>
        <w:t>[اختلاف المانعين في مسألة المتوسّط في الأرض المغصوبة]</w:t>
      </w:r>
      <w:bookmarkEnd w:id="815"/>
    </w:p>
    <w:p>
      <w:pPr>
        <w:pStyle w:val="Heading6"/>
      </w:pPr>
      <w:bookmarkStart w:id="816" w:name="_Toc497"/>
      <w:r>
        <w:t>اشارة</w:t>
      </w:r>
      <w:bookmarkEnd w:id="816"/>
    </w:p>
    <w:p>
      <w:pPr>
        <w:pStyle w:val="BookText"/>
      </w:pPr>
      <w:r>
        <w:rPr>
          <w:rFonts w:ascii="Amiri" w:hAnsi="Amiri" w:eastAsia="Amiri" w:cs="Amiri"/>
          <w:lang w:bidi="ar-SA"/>
          <w:color w:val="111111"/>
          <w:sz w:val="28"/>
          <w:szCs w:val="28"/>
          <w:rtl/>
        </w:rPr>
        <w:t xml:space="preserve">ثم إنّ القائلين بعدم جواز الاجتماع في المقام اختلفوا في مسألة من توسّط أرضاً مغصوبة ونظائرها مثل من لبس ثوباً مغصوباً وأدخل فرجه في فرج الأجنبيّة أو نقل مال الغير عن مكانه ونحو ذلك هل هو مأمور بالخروج أو الإخراج أو الرّد أو نحو ذلك أو منهي عنها؟ على أقوال:</w:t>
      </w:r>
    </w:p>
    <w:p>
      <w:pPr>
        <w:pStyle w:val="BookText"/>
      </w:pPr>
      <w:r>
        <w:rPr>
          <w:rFonts w:ascii="IRNazanin" w:hAnsi="IRNazanin" w:eastAsia="IRNazanin" w:cs="IRNazanin"/>
          <w:lang w:bidi="fa-IR"/>
          <w:color w:val="111111"/>
          <w:sz w:val="28"/>
          <w:szCs w:val="28"/>
          <w:rtl/>
        </w:rPr>
        <w:t xml:space="preserve">فعن جماعة أنّه مأمور به ولا يجري عليه حكم المعصيّة أیضاً، ولعلّه مذهب المشهور.وربما ينسب إلى ظاهر الفقهاء حيث حكموا بصحّة الصّلاة حال الخروج ولذا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العلّامة في النهاية</w:t>
      </w:r>
      <w:r>
        <w:rPr>
          <w:rStyle w:val="FootnoteReference"/>
        </w:rPr>
        <w:footnoteReference w:id="2043"/>
      </w:r>
    </w:p>
    <w:p>
      <w:pPr>
        <w:pStyle w:val="BookText"/>
      </w:pPr>
      <w:r>
        <w:rPr>
          <w:rFonts w:ascii="IRNazanin" w:hAnsi="IRNazanin" w:eastAsia="IRNazanin" w:cs="IRNazanin"/>
          <w:lang w:bidi="fa-IR"/>
          <w:color w:val="111111"/>
          <w:sz w:val="28"/>
          <w:szCs w:val="28"/>
          <w:rtl/>
        </w:rPr>
        <w:t xml:space="preserve">وقال العلّامة الحلّي (رحمة الله‌علیه) في نهایة الإحکام في معرفة الأحکام، ج1، ص341 و 342: «ولو أمره بالخروج بعد إذن الكون وجبت المبادرة، فإن صلّى قاطناً حينئذ بطلت صلاته، سواء كان الوقت متّسعاً أو ضيقاً. ولو صلّى خارجاً صحّ إن كان الوقت ضيقا يخاف فوته مع الخروج، وإلّا فلا. ويجب عليه مع التضييق الجمع بين الخروج والصّلاة، وإن كان إلى غير القبلة للضّرورة. فإن تمكّن من القهقرى وجب. وكذا الغاصب. ولو أمره بالكون فصلّى جاز. فإن أمره بالخروج في الأثناء، فإن كان الوقت ضيقاً خرج مصلّياً، فإن أتمّ قاطناً فالأقرب البطلان، ويحتمل الصحّة لمشروعيّة الدخول. ولو كان الوقت متّسعاً احتمل الإتمام لذلك. والقطع لأنّه غير مأذون له في الصلاة صريحاً، وقد وجد المنع صريحاً. والخروج مصلّياً كالتضیيق، للمنع من قطع عبادة مشروعة، فأشبهت المضيّق».</w:t>
      </w:r>
    </w:p>
    <w:p>
      <w:pPr>
        <w:pStyle w:val="BookText"/>
      </w:pPr>
      <w:r>
        <w:rPr>
          <w:rFonts w:ascii="IRNazanin" w:hAnsi="IRNazanin" w:eastAsia="IRNazanin" w:cs="IRNazanin"/>
          <w:lang w:bidi="fa-IR"/>
          <w:color w:val="111111"/>
          <w:sz w:val="28"/>
          <w:szCs w:val="28"/>
          <w:rtl/>
        </w:rPr>
        <w:t xml:space="preserve">: «أطبق العقلاء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كافة على تخطئة أبي هاشم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وقال العلّامة الحلّي (رحمة الله‌علیه) في منتهى المطلب في تحقیق المذهب، ج4، ص300: «قال أبو هاشم: لو توسّط أرضاً مغصوبة وهو آخذ في الخروج كان عاصياً بالكون المطلق، فيعصي حينئذٍ بالخروج؛ لأنّه يتصرّف بالكون فيه وباللبث؛ لأنّه تصرّف أيضاً. فعلى هذا القول لا يجوز له الصلاة وهو آخذ في الخروج، سواء تضيّق الوقت أو لا، لكنّ هذا القول عندنا باطل؛ لأنّه يلزم منه التكليف بما لا يطاق؛ إذ من القبيح أن ينهى الحكيم عن فعل الضدّين إذا لم يخل المكلف منهما، كما أنّه يستحيل منه التكليف بالجمع بين الضدّين، وأبو هاشم في هذا المقام عن التحقيق بمعزل».</w:t>
      </w:r>
    </w:p>
    <w:p>
      <w:pPr>
        <w:pStyle w:val="BookText"/>
      </w:pPr>
      <w:r>
        <w:rPr>
          <w:rFonts w:ascii="Amiri" w:hAnsi="Amiri" w:eastAsia="Amiri" w:cs="Amiri"/>
          <w:lang w:bidi="ar-SA"/>
          <w:color w:val="111111"/>
          <w:sz w:val="28"/>
          <w:szCs w:val="28"/>
          <w:rtl/>
        </w:rPr>
        <w:t xml:space="preserve">في قوله بأنّ الخروج تصرّف في المغصوب فيكون معصية فلا يصحّ الصّلاة وهو خارج سواء تضيّق الوقت أم لا».</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الاستفادة من الحكم</w:t>
      </w:r>
      <w:r>
        <w:rPr>
          <w:rStyle w:val="FootnoteReference"/>
        </w:rPr>
        <w:footnoteReference w:id="2044"/>
      </w:r>
      <w:r>
        <w:rPr>
          <w:rFonts w:ascii="Amiri" w:hAnsi="Amiri" w:eastAsia="Amiri" w:cs="Amiri"/>
          <w:lang w:bidi="ar-SA"/>
          <w:color w:val="111111"/>
          <w:sz w:val="28"/>
          <w:szCs w:val="28"/>
          <w:rtl/>
        </w:rPr>
        <w:t xml:space="preserve">المذكور نظر ظاهر؛ إذ يمكن كون الحكم بالصحّة من جهة جواز الاجتماع في أصل المسألة أو في خصوص المقام من حيث إنّ النهي السابق قد انقطع في اللّاحق.</w:t>
      </w:r>
    </w:p>
    <w:p>
      <w:pPr>
        <w:pStyle w:val="BookText"/>
      </w:pPr>
      <w:r>
        <w:rPr>
          <w:rFonts w:ascii="Amiri" w:hAnsi="Amiri" w:eastAsia="Amiri" w:cs="Amiri"/>
          <w:lang w:bidi="ar-SA"/>
          <w:color w:val="111111"/>
          <w:sz w:val="28"/>
          <w:szCs w:val="28"/>
          <w:rtl/>
        </w:rPr>
        <w:t xml:space="preserve">وعن الرازي</w:t>
      </w:r>
      <w:r>
        <w:rPr>
          <w:rStyle w:val="FootnoteReference"/>
        </w:rPr>
        <w:footnoteReference w:id="2045"/>
      </w:r>
      <w:r>
        <w:rPr>
          <w:rFonts w:ascii="Amiri" w:hAnsi="Amiri" w:eastAsia="Amiri" w:cs="Amiri"/>
          <w:lang w:bidi="ar-SA"/>
          <w:color w:val="111111"/>
          <w:sz w:val="28"/>
          <w:szCs w:val="28"/>
          <w:rtl/>
        </w:rPr>
        <w:t xml:space="preserve">أنّه مأمور به وليس بمنهي عنه ولكن يجري عليه حكم المعصية.</w:t>
      </w:r>
      <w:r>
        <w:rPr>
          <w:rStyle w:val="FootnoteReference"/>
        </w:rPr>
        <w:footnoteReference w:id="2046"/>
      </w:r>
    </w:p>
    <w:p>
      <w:pPr>
        <w:pStyle w:val="BookText"/>
      </w:pPr>
      <w:r>
        <w:rPr>
          <w:rFonts w:ascii="IRNazanin" w:hAnsi="IRNazanin" w:eastAsia="IRNazanin" w:cs="IRNazanin"/>
          <w:lang w:bidi="fa-IR"/>
          <w:color w:val="111111"/>
          <w:sz w:val="28"/>
          <w:szCs w:val="28"/>
          <w:rtl/>
        </w:rPr>
        <w:t xml:space="preserve">والذي یظهر من کلمات الغزالي أنّه قائل بأنّ الخروج مأمورٌ به ولا یجري علیه حکم العصیان. راجع: المستصفى، ص71 و 72 حیث قال: «فإن قيل: فمن توسّط مزرعة مغصوبة فيحرم عليه المكث ويحرم عليه الخروج؛ إذ في كلّ واحد إفساد زرع الغير فهو عاصٍ بهما ؟ قلنا: حظّ الأصولي من هذا أن يعلم أنه لا يقال له: لا تمكث ولا تخرج، ولا ينهى عن الضدّين، فإنّه محال: كما لا يؤمر بجمعهما، فإن قيل: فما يقال له؟ قلنا: يؤمر بالخروج كما يؤمر المولج في الفرج الحرام بالنزع، وإن كان به مماسّاً للفرج الحرام، ولكن يقال له: إنزع على قصد التوبة، لا على قصد الالتذاذ، فكذلك في الخروج من الغصب تقليل الضرر في المكث تكثيره، وأهون الضررين يصير واجباً وطاعة بالإضافة إلى أعظمهما». ثمّ قال: «فإن قیل: فبم تنکرون على أبي هاشم حیث ذهب إلى أنّه لو مکث عصى ولو خرج عصى وأنّه ألقى بنفسه في هذه الورطة فحکم العصیان ینسحب على فعله. قلنا: ولیس لأحد أن یلقي بنفسه في حال تکلّف ما لا یمکن فمن ألقى نفسه من سطح فانکسرت رجله لا یعصى بالصّلاة قاعداً وإنّما یعصى بکسر الرجل لا بترك الصلاة قائماً وقول القائل ینسحب علیه حکم العدوان إن أراد به أنّه إنّما نهي عنه مع النهي عن ضدّه فهو محال والعصیان عبارة عن ارتکاب منهي قد نهي عنه فإن لم یکن لم یکن عصیان».</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وذهب صاحب الإشارات</w:t>
      </w:r>
      <w:r>
        <w:rPr>
          <w:rStyle w:val="FootnoteReference"/>
        </w:rPr>
        <w:footnoteReference w:id="2047"/>
      </w:r>
    </w:p>
    <w:p>
      <w:pPr>
        <w:pStyle w:val="BookText"/>
      </w:pPr>
      <w:r>
        <w:rPr>
          <w:rFonts w:ascii="IRNazanin" w:hAnsi="IRNazanin" w:eastAsia="IRNazanin" w:cs="IRNazanin"/>
          <w:lang w:bidi="fa-IR"/>
          <w:color w:val="111111"/>
          <w:sz w:val="28"/>
          <w:szCs w:val="28"/>
          <w:rtl/>
        </w:rPr>
        <w:t xml:space="preserve">وکأنّ المصنّف السیّد الطباطبائي الیزدي (رحمة الله‌علیه) استفاد من هذا الکلام قول المحقّق الکلباسي بکون الخروج منهیّاً عنه حیث قال بأنّ عدم التصرّف في هذا الملك واجب والخروج تصرّف، ولکن یقول بأنّ الخروج مقدّمة لعدم التصرّف أیضاً، وهل التزم المحقّق الکلباسي باجتماع النهي النفسي مع الأمر الغیري المقدّمي؟ وکیف کان فجواب المسألة یحتاج إلى تدبّر وتأمّل.</w:t>
      </w:r>
    </w:p>
    <w:p>
      <w:pPr>
        <w:pStyle w:val="BookText"/>
      </w:pPr>
      <w:r>
        <w:rPr>
          <w:rFonts w:ascii="Amiri" w:hAnsi="Amiri" w:eastAsia="Amiri" w:cs="Amiri"/>
          <w:lang w:bidi="ar-SA"/>
          <w:color w:val="111111"/>
          <w:sz w:val="28"/>
          <w:szCs w:val="28"/>
          <w:rtl/>
        </w:rPr>
        <w:t xml:space="preserve">إلى أنّه منهي عنه وليس بمأمور به؛</w:t>
      </w:r>
    </w:p>
    <w:p>
      <w:pPr>
        <w:pStyle w:val="BookText"/>
      </w:pPr>
      <w:r>
        <w:rPr>
          <w:rFonts w:ascii="IRNazanin" w:hAnsi="IRNazanin" w:eastAsia="IRNazanin" w:cs="IRNazanin"/>
          <w:lang w:bidi="fa-IR"/>
          <w:color w:val="111111"/>
          <w:sz w:val="28"/>
          <w:szCs w:val="28"/>
          <w:rtl/>
        </w:rPr>
        <w:t xml:space="preserve">وصاحب الفصول</w:t>
      </w:r>
      <w:r>
        <w:rPr>
          <w:rStyle w:val="FootnoteReference"/>
        </w:rPr>
        <w:footnoteReference w:id="2048"/>
      </w:r>
      <w:r>
        <w:rPr>
          <w:rFonts w:ascii="Amiri" w:hAnsi="Amiri" w:eastAsia="Amiri" w:cs="Amiri"/>
          <w:lang w:bidi="ar-SA"/>
          <w:color w:val="111111"/>
          <w:sz w:val="28"/>
          <w:szCs w:val="28"/>
          <w:rtl/>
        </w:rPr>
        <w:t xml:space="preserve">إلى أنّه منهي عنه بالنهي السّابق ومأمور به في اللّاحقفاجتمع فيه الأمر والنهي في زمانين.</w:t>
      </w:r>
    </w:p>
    <w:p>
      <w:pPr>
        <w:pStyle w:val="BookText"/>
      </w:pPr>
      <w:r>
        <w:rPr>
          <w:rFonts w:ascii="Amiri" w:hAnsi="Amiri" w:eastAsia="Amiri" w:cs="Amiri"/>
          <w:lang w:bidi="ar-SA"/>
          <w:color w:val="111111"/>
          <w:sz w:val="28"/>
          <w:szCs w:val="28"/>
          <w:rtl/>
        </w:rPr>
        <w:t xml:space="preserve">استدلّ للأوّل بأنّ الخروج وإن کان تصرّفاً في المغصوب إلّا أنّه معنون بعنوان التخلّص عن الغصب وهو واجب عقلاً وشرعاً</w:t>
      </w:r>
      <w:r>
        <w:rPr>
          <w:rStyle w:val="FootnoteReference"/>
        </w:rPr>
        <w:footnoteReference w:id="2049"/>
      </w:r>
      <w:r>
        <w:rPr>
          <w:rFonts w:ascii="IRNazanin" w:hAnsi="IRNazanin" w:eastAsia="IRNazanin" w:cs="IRNazanin"/>
          <w:lang w:bidi="fa-IR"/>
          <w:color w:val="111111"/>
          <w:sz w:val="28"/>
          <w:szCs w:val="28"/>
          <w:rtl/>
        </w:rPr>
        <w:t xml:space="preserve">ولا وجه لتعلّق النهي به ولو سابقاً؛ إذ هو بهذا العنوان مطلوب من الأوّل أیضاً.</w:t>
      </w:r>
    </w:p>
    <w:p>
      <w:pPr>
        <w:pStyle w:val="BookText"/>
      </w:pPr>
      <w:r>
        <w:rPr>
          <w:rFonts w:ascii="IRNazanin" w:hAnsi="IRNazanin" w:eastAsia="IRNazanin" w:cs="IRNazanin"/>
          <w:lang w:bidi="fa-IR"/>
          <w:color w:val="111111"/>
          <w:sz w:val="28"/>
          <w:szCs w:val="28"/>
          <w:rtl/>
        </w:rPr>
        <w:t xml:space="preserve">وفيه: أنّه إن أريد أنّه مأمور به بهذا العنوان من الأوّل على وجه الإطلاق فلا معنى له؛ إذ لازمه كون الدخول واجباً من باب المقدّمة وهو بديهي الفساد وإن أريد وجوبه بشرط الدخول فهو وإن کان كذلك إلّا أنّه لا مانع من النهي السابق؛ إذ قبل الدخول یكون جميع أنحاء التصرّف في مال الغير حراماً حتّى هذا التخلّص ويمكنه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الامتثال بترك الدخول، ولازم القول المذكور أن لا</w:t>
      </w:r>
      <w:r>
        <w:rPr>
          <w:rStyle w:val="FootnoteReference"/>
        </w:rPr>
        <w:footnoteReference w:id="2050"/>
      </w:r>
      <w:r>
        <w:rPr>
          <w:rFonts w:ascii="Amiri" w:hAnsi="Amiri" w:eastAsia="Amiri" w:cs="Amiri"/>
          <w:lang w:bidi="ar-SA"/>
          <w:color w:val="111111"/>
          <w:sz w:val="28"/>
          <w:szCs w:val="28"/>
          <w:rtl/>
        </w:rPr>
        <w:t xml:space="preserve">يكون الدخول حراماً إلّا من حيث نفسه فلو فرضنا عدم حرمة الدخول من حيث هو يلزم أن لا يكون محرّماً من حيث المقدّمية للتصرّف الخروجي ولا يمكن الالتزام به.</w:t>
      </w:r>
    </w:p>
    <w:p>
      <w:pPr>
        <w:pStyle w:val="BookText"/>
      </w:pPr>
      <w:r>
        <w:rPr>
          <w:rFonts w:ascii="IRNazanin" w:hAnsi="IRNazanin" w:eastAsia="IRNazanin" w:cs="IRNazanin"/>
          <w:lang w:bidi="fa-IR"/>
          <w:color w:val="111111"/>
          <w:sz w:val="28"/>
          <w:szCs w:val="28"/>
          <w:rtl/>
        </w:rPr>
        <w:t xml:space="preserve">ألا ترى أنّه لو علم أنّه لو دخل دار زيد مثلاً يجبر على شرب الخمر لا يجوز له الدخول وإن لم يكن الشرب حين صدوره حراماً؛ إذ قبل الدخول مکلّف بترك شرب الخمر في حال الدخول ويصحّ تکلیفه به ويكون الدخول حراماً من باب المقدّمة وإن کان</w:t>
      </w:r>
      <w:r>
        <w:rPr>
          <w:rStyle w:val="FootnoteReference"/>
        </w:rPr>
        <w:footnoteReference w:id="2051"/>
      </w:r>
      <w:r>
        <w:rPr>
          <w:rFonts w:ascii="Amiri" w:hAnsi="Amiri" w:eastAsia="Amiri" w:cs="Amiri"/>
          <w:lang w:bidi="ar-SA"/>
          <w:color w:val="111111"/>
          <w:sz w:val="28"/>
          <w:szCs w:val="28"/>
          <w:rtl/>
        </w:rPr>
        <w:t xml:space="preserve">ينقطع النهي بالدخول، فكذا في المقام.</w:t>
      </w:r>
    </w:p>
    <w:p>
      <w:pPr>
        <w:pStyle w:val="BookText"/>
      </w:pPr>
      <w:r>
        <w:rPr>
          <w:rFonts w:ascii="Amiri" w:hAnsi="Amiri" w:eastAsia="Amiri" w:cs="Amiri"/>
          <w:lang w:bidi="ar-SA"/>
          <w:color w:val="111111"/>
          <w:sz w:val="28"/>
          <w:szCs w:val="28"/>
          <w:rtl/>
        </w:rPr>
        <w:t xml:space="preserve">ويمكن أن يستدلّ للرازي</w:t>
      </w:r>
      <w:r>
        <w:rPr>
          <w:rStyle w:val="FootnoteReference"/>
        </w:rPr>
        <w:footnoteReference w:id="2052"/>
      </w:r>
      <w:r>
        <w:rPr>
          <w:rFonts w:ascii="IRNazanin" w:hAnsi="IRNazanin" w:eastAsia="IRNazanin" w:cs="IRNazanin"/>
          <w:lang w:bidi="fa-IR"/>
          <w:color w:val="111111"/>
          <w:sz w:val="28"/>
          <w:szCs w:val="28"/>
          <w:rtl/>
        </w:rPr>
        <w:t xml:space="preserve">إذا لم يرجع قوله إلى قول صاحب الفصول بأنّ الخروج وإن کان مأموراً به ولا يكون منهياً عنه إلّا أنّه مبغوض للمولى ذاتاً وعدم النهي عنه من جهة عدم الإمکان فيعاقب على إتیان المبغوض اختياراً؛ لأنّ الامتناع بالاختيار لا ينافي الاختيار عقاباً وإن نافاه خطاباً نظير العقاب على ترك الواجبات أو الإتیان بالمحرّمات في حال الجهل بحكمها إذا كان مقصّراً في ترك تحصيل العلمحين الالتفات، فإنّ الخطاب لا يتوجّه إلى الجاهل حال جهله لكن يمكن عقابه من جهة تقصيره لا بمعنى كون العقاب على ترك التحصيل بل بمعنى أنّ التقصير فيه يصحّح العقاب على الواقعيات.</w:t>
      </w:r>
    </w:p>
    <w:p>
      <w:pPr>
        <w:pStyle w:val="BookText"/>
      </w:pPr>
      <w:r>
        <w:rPr>
          <w:rFonts w:ascii="Amiri" w:hAnsi="Amiri" w:eastAsia="Amiri" w:cs="Amiri"/>
          <w:lang w:bidi="ar-SA"/>
          <w:color w:val="111111"/>
          <w:sz w:val="28"/>
          <w:szCs w:val="28"/>
          <w:rtl/>
        </w:rPr>
        <w:t xml:space="preserve">واستدلّ صاحب الإشارات على ما ذكره: أمّا على كونه منهياً عنه فبأنّه غصب وهو حرام، وأمّا على عدم كونه مأموراً به فبأنّ الخروج ليس متعلّقاً للأمر بل الواجب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87" w:name="pg6784_51631"/>
    <w:bookmarkEnd w:id="287"/>
    <w:p>
      <w:pPr>
        <w:pStyle w:val="BookText"/>
      </w:pPr>
      <w:r>
        <w:rPr>
          <w:rFonts w:ascii="Amiri" w:hAnsi="Amiri" w:eastAsia="Amiri" w:cs="Amiri"/>
          <w:lang w:bidi="ar-SA"/>
          <w:color w:val="111111"/>
          <w:sz w:val="28"/>
          <w:szCs w:val="28"/>
          <w:rtl/>
        </w:rPr>
        <w:t xml:space="preserve">إنّما هو عدم التصرّف في ملك الغير بغير إذنه والخروج مقدّمة له وليس واجباً.</w:t>
      </w:r>
      <w:r>
        <w:rPr>
          <w:rStyle w:val="FootnoteReference"/>
        </w:rPr>
        <w:footnoteReference w:id="2053"/>
      </w:r>
    </w:p>
    <w:p>
      <w:pPr>
        <w:pStyle w:val="BookText"/>
      </w:pPr>
      <w:r>
        <w:rPr>
          <w:rFonts w:ascii="Amiri" w:hAnsi="Amiri" w:eastAsia="Amiri" w:cs="Amiri"/>
          <w:lang w:bidi="ar-SA"/>
          <w:color w:val="111111"/>
          <w:sz w:val="28"/>
          <w:szCs w:val="28"/>
          <w:rtl/>
        </w:rPr>
        <w:t xml:space="preserve">وفيه منع عدم وجوب المقدّمة مع أنّ الخروج عين التخلّص الّذي هو واجب بحكم العقل، مضافاً إلى أنّه لا يعقل النهي عن هذا التصرّف مع فرض دوران أمره بينه وبين البقاء الّذي هو أشدّ حرمة.</w:t>
      </w:r>
    </w:p>
    <w:p>
      <w:pPr>
        <w:pStyle w:val="BookText"/>
      </w:pPr>
      <w:r>
        <w:rPr>
          <w:rFonts w:ascii="Amiri" w:hAnsi="Amiri" w:eastAsia="Amiri" w:cs="Amiri"/>
          <w:lang w:bidi="ar-SA"/>
          <w:color w:val="111111"/>
          <w:sz w:val="28"/>
          <w:szCs w:val="28"/>
          <w:rtl/>
        </w:rPr>
        <w:t xml:space="preserve">ويمكن توجيه القول المذكور بوجه آخر وهو أنّه لا شكّ أنّ جميع أنحاء التصرّفات</w:t>
      </w:r>
      <w:r>
        <w:rPr>
          <w:rStyle w:val="FootnoteReference"/>
        </w:rPr>
        <w:footnoteReference w:id="2054"/>
      </w:r>
      <w:r>
        <w:rPr>
          <w:rFonts w:ascii="IRNazanin" w:hAnsi="IRNazanin" w:eastAsia="IRNazanin" w:cs="IRNazanin"/>
          <w:lang w:bidi="fa-IR"/>
          <w:color w:val="111111"/>
          <w:sz w:val="28"/>
          <w:szCs w:val="28"/>
          <w:rtl/>
        </w:rPr>
        <w:t xml:space="preserve">في مال الغير حرام حتّى هذا التصرّف الخروجي، والتکلیف الوجوبي يتعلّق بترك الغصب والخروج مقدّمة له ومقدّمة الواجب إنّما تكون واجبة إذا لم تكن محرّمة فلا یتّصف الخروج بالوجوب لمكان النهي وإن انقطع بسبب تحقّق المخالفة.</w:t>
      </w:r>
    </w:p>
    <w:p>
      <w:pPr>
        <w:pStyle w:val="BookText"/>
      </w:pPr>
      <w:r>
        <w:rPr>
          <w:rFonts w:ascii="Amiri" w:hAnsi="Amiri" w:eastAsia="Amiri" w:cs="Amiri"/>
          <w:lang w:bidi="ar-SA"/>
          <w:color w:val="111111"/>
          <w:sz w:val="28"/>
          <w:szCs w:val="28"/>
          <w:rtl/>
        </w:rPr>
        <w:t xml:space="preserve">غاية الأمر أنّه يجب من باب التخلّص عن الغصب وعن المحرّم الأشدّ بحكم العقل لكن لا يكون واجباً شرعاً، وما حكم به العقل يحكم به الشرع إذا لم يكن هناك مانع وفي المقام لا يمكن تعلّق الوجوب الشرعي به فلا يجري قاعدة الملازمة.</w:t>
      </w:r>
    </w:p>
    <w:p>
      <w:pPr>
        <w:pStyle w:val="BookText"/>
      </w:pPr>
      <w:r>
        <w:rPr>
          <w:rFonts w:ascii="IRNazanin" w:hAnsi="IRNazanin" w:eastAsia="IRNazanin" w:cs="IRNazanin"/>
          <w:lang w:bidi="fa-IR"/>
          <w:color w:val="111111"/>
          <w:sz w:val="28"/>
          <w:szCs w:val="28"/>
          <w:rtl/>
        </w:rPr>
        <w:t xml:space="preserve">والحاصل: أنّ الخروج تصرّف غصبي حرام فلا يمكن أن يكون واجباً وإن کان النهي منقطعاً بعد الدخول؛ لأنّ الانقطاع إنّما يكون بالمخالفة وبعد انصباغ المحلّ بصبغ الحرمة لا يمكن انصباغه بالوجوب الشرعي، وأنّ حكم العقل بوجوبه من باب وجوب ارتكاب أقلّ القبيحين. فتدبّر</w:t>
      </w:r>
      <w:r>
        <w:rPr>
          <w:rStyle w:val="FootnoteReference"/>
        </w:rPr>
        <w:footnoteReference w:id="2055"/>
      </w:r>
    </w:p>
    <w:p>
      <w:pPr>
        <w:pStyle w:val="Heading6"/>
      </w:pPr>
      <w:bookmarkStart w:id="817" w:name="_Toc498"/>
      <w:r>
        <w:t>[استدلال صاحب الفصول (رحمة الله‌علیه)]</w:t>
      </w:r>
      <w:bookmarkEnd w:id="817"/>
    </w:p>
    <w:p>
      <w:pPr>
        <w:pStyle w:val="BookText"/>
      </w:pPr>
      <w:r>
        <w:rPr>
          <w:rFonts w:ascii="IRNazanin" w:hAnsi="IRNazanin" w:eastAsia="IRNazanin" w:cs="IRNazanin"/>
          <w:lang w:bidi="fa-IR"/>
          <w:color w:val="111111"/>
          <w:sz w:val="28"/>
          <w:szCs w:val="28"/>
          <w:rtl/>
        </w:rPr>
        <w:t xml:space="preserve">واحتج صاحب الفصول لما صار إلیه بأنّ الغصب بجميع أنحائه مبغوض للمولى حتّى حال الخروج فما دام يمكن النهي عنه يكون منهياً</w:t>
      </w:r>
      <w:r>
        <w:rPr>
          <w:rStyle w:val="FootnoteReference"/>
        </w:rPr>
        <w:footnoteReference w:id="2056"/>
      </w:r>
      <w:r>
        <w:rPr>
          <w:rFonts w:ascii="Amiri" w:hAnsi="Amiri" w:eastAsia="Amiri" w:cs="Amiri"/>
          <w:lang w:bidi="ar-SA"/>
          <w:color w:val="111111"/>
          <w:sz w:val="28"/>
          <w:szCs w:val="28"/>
          <w:rtl/>
        </w:rPr>
        <w:t xml:space="preserve">وإذا لم يمكن ينقطع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88" w:name="pg6784_51633"/>
    <w:bookmarkEnd w:id="288"/>
    <w:p>
      <w:pPr>
        <w:pStyle w:val="BookText"/>
      </w:pPr>
      <w:r>
        <w:rPr>
          <w:rFonts w:ascii="IRNazanin" w:hAnsi="IRNazanin" w:eastAsia="IRNazanin" w:cs="IRNazanin"/>
          <w:lang w:bidi="fa-IR"/>
          <w:color w:val="111111"/>
          <w:sz w:val="28"/>
          <w:szCs w:val="28"/>
          <w:rtl/>
        </w:rPr>
        <w:t xml:space="preserve">النهي، فقبل الدخول لما كان المکلّف متمکّناً من تركه بجميع أنحائه يكون مکلّفاً به وبعد الدخول يرتفع التمکّن مقدار ما يتوقّف عليه التخلّص الواجب بحكم العقل والشرع وهو مقدار الخروج المفروض انحصار التخلّص فيه، فلا يعقل بقاء إرادة الترك بالنسبة إلیه.</w:t>
      </w:r>
    </w:p>
    <w:p>
      <w:pPr>
        <w:pStyle w:val="BookText"/>
      </w:pPr>
      <w:r>
        <w:rPr>
          <w:rFonts w:ascii="IRNazanin" w:hAnsi="IRNazanin" w:eastAsia="IRNazanin" w:cs="IRNazanin"/>
          <w:lang w:bidi="fa-IR"/>
          <w:color w:val="111111"/>
          <w:sz w:val="28"/>
          <w:szCs w:val="28"/>
          <w:rtl/>
        </w:rPr>
        <w:t xml:space="preserve">فيكون للخروج باعتبار ما قبل الدخول وما بعده حكمان متضادّان أحدهما مطلق وهو النهي والآخر مشروط بالدخول وهو الأمر وهما غير مجتمعين ليلزم الجمع بين الضدّين، بل یتّصف بکلّ في زمان ويلحقه حكمه من استحقاق الثواب والعقاب باعتبار الحالين ولو كانت المبغوضیّة مضادّة للمطلوبیّة ولو مع تعدّد الزمان لزم امتناع البداء في حقّنا مع وضوح جوازه وإنّما لا يترتّب هنا أثر الأوّل لرفع البداء له بخلاف المقام ولا يضرّ كون الشي‌ء الواحد طاعة وعصياناً؛ لأنّ تنافيهما ليس من حيث نفسيهما بل باعتبار ما أضيفا إلیه من الأمر والنهي وتنافيهما لا يكون إلّا مع وحدة الزمان.</w:t>
      </w:r>
      <w:r>
        <w:rPr>
          <w:rStyle w:val="FootnoteReference"/>
        </w:rPr>
        <w:footnoteReference w:id="2057"/>
      </w:r>
    </w:p>
    <w:p>
      <w:pPr>
        <w:pStyle w:val="Heading6"/>
      </w:pPr>
      <w:bookmarkStart w:id="818" w:name="_Toc499"/>
      <w:r>
        <w:t>[إیرادات على صاحب الفصول (رحمة الله‌علیه) وأجوبتها]</w:t>
      </w:r>
      <w:bookmarkEnd w:id="818"/>
    </w:p>
    <w:p>
      <w:pPr>
        <w:pStyle w:val="Heading6"/>
      </w:pPr>
      <w:bookmarkStart w:id="819" w:name="_Toc500"/>
      <w:r>
        <w:t>اشارة</w:t>
      </w:r>
      <w:bookmarkEnd w:id="819"/>
    </w:p>
    <w:p>
      <w:pPr>
        <w:pStyle w:val="BookText"/>
      </w:pPr>
      <w:r>
        <w:rPr>
          <w:rFonts w:ascii="IRNazanin" w:hAnsi="IRNazanin" w:eastAsia="IRNazanin" w:cs="IRNazanin"/>
          <w:lang w:bidi="fa-IR"/>
          <w:color w:val="111111"/>
          <w:sz w:val="28"/>
          <w:szCs w:val="28"/>
          <w:rtl/>
        </w:rPr>
        <w:t xml:space="preserve">وأورد</w:t>
      </w:r>
      <w:r>
        <w:rPr>
          <w:rStyle w:val="FootnoteReference"/>
        </w:rPr>
        <w:footnoteReference w:id="2058"/>
      </w:r>
      <w:r>
        <w:rPr>
          <w:rFonts w:ascii="Amiri" w:hAnsi="Amiri" w:eastAsia="Amiri" w:cs="Amiri"/>
          <w:lang w:bidi="ar-SA"/>
          <w:color w:val="111111"/>
          <w:sz w:val="28"/>
          <w:szCs w:val="28"/>
          <w:rtl/>
        </w:rPr>
        <w:t xml:space="preserve">عليه بوجوه:</w:t>
      </w:r>
    </w:p>
    <w:p>
      <w:pPr>
        <w:pStyle w:val="Heading6"/>
      </w:pPr>
      <w:bookmarkStart w:id="820" w:name="_Toc501"/>
      <w:r>
        <w:t>[الإیراد الأوّل]</w:t>
      </w:r>
      <w:bookmarkEnd w:id="820"/>
    </w:p>
    <w:p>
      <w:pPr>
        <w:pStyle w:val="BookText"/>
      </w:pPr>
      <w:r>
        <w:rPr>
          <w:rFonts w:ascii="IRNazanin" w:hAnsi="IRNazanin" w:eastAsia="IRNazanin" w:cs="IRNazanin"/>
          <w:lang w:bidi="fa-IR"/>
          <w:color w:val="111111"/>
          <w:sz w:val="28"/>
          <w:szCs w:val="28"/>
          <w:rtl/>
        </w:rPr>
        <w:t xml:space="preserve">أحدها: أنّه لا وجه لما ادّعاه من النهي السّابق؛ إذ التصرّف في مال الغير ليس من العناوين الّتي لا يختلف حكمها بتبدل العناوين ضرورة اتّصافه بالوجوب إذا اتّصف بعنوان حفظ النفس فيمكن أن يختلف حكمه بلحوق عنوان التخلّص أیضاً ولا شكّ أنّ موضوع التخلّص ممّا لا يختلف حكمه بعد الدخول وقبله وإن توقّف وجوده في الخارج على الدخول لترتّب طبيعي بينهما؛ إذ هذا التوقّف الوجودي لايعقل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منشأ لاختلاف حكم ذلك الموقوف؛ إذ الحكم تابع لعنوان ينتزع تارة من ذات الفعل وأخرى باعتبارات</w:t>
      </w:r>
      <w:r>
        <w:rPr>
          <w:rStyle w:val="FootnoteReference"/>
        </w:rPr>
        <w:footnoteReference w:id="2059"/>
      </w:r>
      <w:r>
        <w:rPr>
          <w:rFonts w:ascii="Amiri" w:hAnsi="Amiri" w:eastAsia="Amiri" w:cs="Amiri"/>
          <w:lang w:bidi="ar-SA"/>
          <w:color w:val="111111"/>
          <w:sz w:val="28"/>
          <w:szCs w:val="28"/>
          <w:rtl/>
        </w:rPr>
        <w:t xml:space="preserve">لاحقة له عند وجوده في الخارج ولا مدخل للأمور الّتي يتوقّف وجود العنوان عليها في ذلك.</w:t>
      </w:r>
    </w:p>
    <w:p>
      <w:pPr>
        <w:pStyle w:val="BookText"/>
      </w:pPr>
      <w:r>
        <w:rPr>
          <w:rFonts w:ascii="IRNazanin" w:hAnsi="IRNazanin" w:eastAsia="IRNazanin" w:cs="IRNazanin"/>
          <w:lang w:bidi="fa-IR"/>
          <w:color w:val="111111"/>
          <w:sz w:val="28"/>
          <w:szCs w:val="28"/>
          <w:rtl/>
        </w:rPr>
        <w:t xml:space="preserve">وحینئذٍ فنقول: إنّ الحركات الواقعة في ملك الغير تارة غصب وأخرى معنونة بعنوان التخلّص عنه ويلحق کلّاً حكمه من غير مداخلة لأحد العنوانين في الآخر فالغصب مبغوض دائماً والتخلّص مطلوب كذلك ولو فرض كونه قبل الدخول حراماً وبعد الدخول واجباً يلزم كونه طاعة وعصياناً وهو محال، ولا يندفع استحالته بما ذكره من تعدّد الزمان؛ إذ</w:t>
      </w:r>
      <w:r>
        <w:rPr>
          <w:rStyle w:val="FootnoteReference"/>
        </w:rPr>
        <w:footnoteReference w:id="2060"/>
      </w:r>
      <w:r>
        <w:rPr>
          <w:rFonts w:ascii="Amiri" w:hAnsi="Amiri" w:eastAsia="Amiri" w:cs="Amiri"/>
          <w:lang w:bidi="ar-SA"/>
          <w:color w:val="111111"/>
          <w:sz w:val="28"/>
          <w:szCs w:val="28"/>
          <w:rtl/>
        </w:rPr>
        <w:t xml:space="preserve">اختلاف الزمان إنّما ينفع في رفع التناقض إذا كانت القضية سالبة في أحدهما موجبة في الآخر كقولك: «زيد قائم أمس» و «زيد ليس بقائم الآن».</w:t>
      </w:r>
    </w:p>
    <w:p>
      <w:pPr>
        <w:pStyle w:val="BookText"/>
      </w:pPr>
      <w:r>
        <w:rPr>
          <w:rFonts w:ascii="Amiri" w:hAnsi="Amiri" w:eastAsia="Amiri" w:cs="Amiri"/>
          <w:lang w:bidi="ar-SA"/>
          <w:color w:val="111111"/>
          <w:sz w:val="28"/>
          <w:szCs w:val="28"/>
          <w:rtl/>
        </w:rPr>
        <w:t xml:space="preserve">وأمّا إذا كان عنوان الفعل في أحدهما غير عنوانه في الآخر فلا يعقل أن يكون اختلاف الزمان في مثله رافعاً للتناقض.</w:t>
      </w:r>
    </w:p>
    <w:p>
      <w:pPr>
        <w:pStyle w:val="BookText"/>
      </w:pPr>
      <w:r>
        <w:rPr>
          <w:rFonts w:ascii="Amiri" w:hAnsi="Amiri" w:eastAsia="Amiri" w:cs="Amiri"/>
          <w:lang w:bidi="ar-SA"/>
          <w:color w:val="111111"/>
          <w:sz w:val="28"/>
          <w:szCs w:val="28"/>
          <w:rtl/>
        </w:rPr>
        <w:t xml:space="preserve">توضيحه أنّ الحركات الواقعة في مال الغير لا يلحقها حكم مع قطع النظر عن لحوق العناوين وبلحوق الغصبيّة يلحقها الحرمة وبلحوق التخلّص يلحقها الوجوب ولا مدخل للزمان في ذلك وإنّما هو منشأ لوجود موضوع الوجوب في الخارج وعدم وجوده، فالبعدية إنّما تكون</w:t>
      </w:r>
      <w:r>
        <w:rPr>
          <w:rStyle w:val="FootnoteReference"/>
        </w:rPr>
        <w:footnoteReference w:id="2061"/>
      </w:r>
      <w:r>
        <w:rPr>
          <w:rFonts w:ascii="Amiri" w:hAnsi="Amiri" w:eastAsia="Amiri" w:cs="Amiri"/>
          <w:lang w:bidi="ar-SA"/>
          <w:color w:val="111111"/>
          <w:sz w:val="28"/>
          <w:szCs w:val="28"/>
          <w:rtl/>
        </w:rPr>
        <w:t xml:space="preserve">مؤثّرة في تحقّق عنوان التخلّص في الوجود الخارجي، وأين ذلك من الزمان الّذي يؤخذ ظرفاً لوقوع النسبة في القضية؟</w:t>
      </w:r>
    </w:p>
    <w:p>
      <w:pPr>
        <w:pStyle w:val="BookText"/>
      </w:pPr>
      <w:r>
        <w:rPr>
          <w:rFonts w:ascii="Amiri" w:hAnsi="Amiri" w:eastAsia="Amiri" w:cs="Amiri"/>
          <w:lang w:bidi="ar-SA"/>
          <w:color w:val="111111"/>
          <w:sz w:val="28"/>
          <w:szCs w:val="28"/>
          <w:rtl/>
        </w:rPr>
        <w:t xml:space="preserve">فإن أراد من قوله: «إنّ الغصب بجميع أنحائه حرام» جميع ما اتّصف بعنوان الغصبيّة فهو مسلّم ولا يجدي.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89" w:name="pg6784_51637"/>
    <w:bookmarkEnd w:id="289"/>
    <w:p>
      <w:pPr>
        <w:pStyle w:val="BookText"/>
      </w:pPr>
      <w:r>
        <w:rPr>
          <w:rFonts w:ascii="IRNazanin" w:hAnsi="IRNazanin" w:eastAsia="IRNazanin" w:cs="IRNazanin"/>
          <w:lang w:bidi="fa-IR"/>
          <w:color w:val="111111"/>
          <w:sz w:val="28"/>
          <w:szCs w:val="28"/>
          <w:rtl/>
        </w:rPr>
        <w:t xml:space="preserve">وإن أراد ما يعمّ الحركة الخروجية المعنونة بعنوان التخلّص فلا نسلّم حرمته؛ إذ العقل والنقل على ما اعترف به قد تعاضدا على وجوبه ومطلوبیّته.</w:t>
      </w:r>
      <w:r>
        <w:rPr>
          <w:rStyle w:val="FootnoteReference"/>
        </w:rPr>
        <w:footnoteReference w:id="2062"/>
      </w:r>
    </w:p>
    <w:p>
      <w:pPr>
        <w:pStyle w:val="Heading6"/>
      </w:pPr>
      <w:bookmarkStart w:id="821" w:name="_Toc502"/>
      <w:r>
        <w:t>[الجواب عن الإیراد الأوّل]</w:t>
      </w:r>
      <w:bookmarkEnd w:id="821"/>
    </w:p>
    <w:p>
      <w:pPr>
        <w:pStyle w:val="BookText"/>
      </w:pPr>
      <w:r>
        <w:rPr>
          <w:rFonts w:ascii="Amiri" w:hAnsi="Amiri" w:eastAsia="Amiri" w:cs="Amiri"/>
          <w:lang w:bidi="ar-SA"/>
          <w:color w:val="111111"/>
          <w:sz w:val="28"/>
          <w:szCs w:val="28"/>
          <w:rtl/>
        </w:rPr>
        <w:t xml:space="preserve">وفيه: أنّ كون التصرّف في مال الغير من قبيل الأفعال الّتي لا حكم لها فينفسها بل يختلف باختلاف العناوين اللاحقة ممنوع بل هو متّصف بالقبح في حدّ نفسه، غاية الأمر أنّه يطرؤه</w:t>
      </w:r>
      <w:r>
        <w:rPr>
          <w:rStyle w:val="FootnoteReference"/>
        </w:rPr>
        <w:footnoteReference w:id="2063"/>
      </w:r>
      <w:r>
        <w:rPr>
          <w:rFonts w:ascii="Amiri" w:hAnsi="Amiri" w:eastAsia="Amiri" w:cs="Amiri"/>
          <w:lang w:bidi="ar-SA"/>
          <w:color w:val="111111"/>
          <w:sz w:val="28"/>
          <w:szCs w:val="28"/>
          <w:rtl/>
        </w:rPr>
        <w:t xml:space="preserve">في بعض الأحوال والأوقات عنوان يوجب رفع اليد عن حكمه كالاضطرار وحفظ النفس ونحو ذلك فهو كسائر المحرّمات المضطرّ إلى ارتكابها الغير الخارجة عن قبحها الذاتي.</w:t>
      </w:r>
    </w:p>
    <w:p>
      <w:pPr>
        <w:pStyle w:val="BookText"/>
      </w:pPr>
      <w:r>
        <w:rPr>
          <w:rFonts w:ascii="Amiri" w:hAnsi="Amiri" w:eastAsia="Amiri" w:cs="Amiri"/>
          <w:lang w:bidi="ar-SA"/>
          <w:color w:val="111111"/>
          <w:sz w:val="28"/>
          <w:szCs w:val="28"/>
          <w:rtl/>
        </w:rPr>
        <w:t xml:space="preserve">وعلى فرض التسليم نقول: إنّ عنوان الغصبيّة لا ينفكّ عنه والمفروض أنّ الحرمة لازمة له من حيث هو ولحوق عنوان التخلّص ليس بعد زوال عنوان الغصبيّة بل هو طارٍ عليه فهو في طوله لا في عرضه.</w:t>
      </w:r>
    </w:p>
    <w:p>
      <w:pPr>
        <w:pStyle w:val="BookText"/>
      </w:pPr>
      <w:r>
        <w:rPr>
          <w:rFonts w:ascii="Amiri" w:hAnsi="Amiri" w:eastAsia="Amiri" w:cs="Amiri"/>
          <w:lang w:bidi="ar-SA"/>
          <w:color w:val="111111"/>
          <w:sz w:val="28"/>
          <w:szCs w:val="28"/>
          <w:rtl/>
        </w:rPr>
        <w:t xml:space="preserve">فدعوى عدم المداخلة بين العنوانين ممنوعة.</w:t>
      </w:r>
    </w:p>
    <w:p>
      <w:pPr>
        <w:pStyle w:val="BookText"/>
      </w:pPr>
      <w:r>
        <w:rPr>
          <w:rFonts w:ascii="IRNazanin" w:hAnsi="IRNazanin" w:eastAsia="IRNazanin" w:cs="IRNazanin"/>
          <w:lang w:bidi="fa-IR"/>
          <w:color w:val="111111"/>
          <w:sz w:val="28"/>
          <w:szCs w:val="28"/>
          <w:rtl/>
        </w:rPr>
        <w:t xml:space="preserve">وأمّا ما ذكره من أنّ عنوان التخلّص مطلوب من الأوّل فإن أراد أنّه مطلوب مطلقاً فهو واضح الفساد؛ ضرورة أنّ لازمه كون الدخول واجباً من باب المقدّمة، وإن أراد مطلوبیّته بشرط الدخول فلا يجديه؛ إذ لا يكون حینئذٍ واجباً من الأوّل فيمكن أن يكون من الأوّل حراماً ولا يلزم اجتماع الحرمة والوجوب في زمان واحد.</w:t>
      </w:r>
    </w:p>
    <w:p>
      <w:pPr>
        <w:pStyle w:val="BookText"/>
      </w:pPr>
      <w:r>
        <w:rPr>
          <w:rFonts w:ascii="Amiri" w:hAnsi="Amiri" w:eastAsia="Amiri" w:cs="Amiri"/>
          <w:lang w:bidi="ar-SA"/>
          <w:color w:val="111111"/>
          <w:sz w:val="28"/>
          <w:szCs w:val="28"/>
          <w:rtl/>
        </w:rPr>
        <w:t xml:space="preserve">ودعوى لزوم اجتماع الطاعة والعصيان في شي‌ء واحد؛</w:t>
      </w:r>
    </w:p>
    <w:p>
      <w:pPr>
        <w:pStyle w:val="BookText"/>
      </w:pPr>
      <w:r>
        <w:rPr>
          <w:rFonts w:ascii="Amiri" w:hAnsi="Amiri" w:eastAsia="Amiri" w:cs="Amiri"/>
          <w:lang w:bidi="ar-SA"/>
          <w:color w:val="111111"/>
          <w:sz w:val="28"/>
          <w:szCs w:val="28"/>
          <w:rtl/>
        </w:rPr>
        <w:t xml:space="preserve">مدفوعة بما ذكره في الفصول.</w:t>
      </w:r>
      <w:r>
        <w:rPr>
          <w:rStyle w:val="FootnoteReference"/>
        </w:rPr>
        <w:footnoteReference w:id="2064"/>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90" w:name="pg6784_51639"/>
    <w:bookmarkEnd w:id="290"/>
    <w:p>
      <w:pPr>
        <w:pStyle w:val="BookText"/>
      </w:pPr>
      <w:r>
        <w:rPr>
          <w:rFonts w:ascii="Amiri" w:hAnsi="Amiri" w:eastAsia="Amiri" w:cs="Amiri"/>
          <w:lang w:bidi="ar-SA"/>
          <w:color w:val="111111"/>
          <w:sz w:val="28"/>
          <w:szCs w:val="28"/>
          <w:rtl/>
        </w:rPr>
        <w:t xml:space="preserve">وما ذكره من أنّ تعدّد الزمان لا يرفع التناقض في المقام</w:t>
      </w:r>
      <w:r>
        <w:rPr>
          <w:rStyle w:val="FootnoteReference"/>
        </w:rPr>
        <w:footnoteReference w:id="2065"/>
      </w:r>
      <w:r>
        <w:rPr>
          <w:rFonts w:ascii="IRNazanin" w:hAnsi="IRNazanin" w:eastAsia="IRNazanin" w:cs="IRNazanin"/>
          <w:lang w:bidi="fa-IR"/>
          <w:color w:val="111111"/>
          <w:sz w:val="28"/>
          <w:szCs w:val="28"/>
          <w:rtl/>
        </w:rPr>
        <w:t xml:space="preserve">إذ هو إنّما يؤثّر في تغیّر العنوان وتعدّده ولا مدخل له في تغیّر الحكم من حيث هو؛</w:t>
      </w:r>
    </w:p>
    <w:p>
      <w:pPr>
        <w:pStyle w:val="BookText"/>
      </w:pPr>
      <w:r>
        <w:rPr>
          <w:rFonts w:ascii="IRNazanin" w:hAnsi="IRNazanin" w:eastAsia="IRNazanin" w:cs="IRNazanin"/>
          <w:lang w:bidi="fa-IR"/>
          <w:color w:val="111111"/>
          <w:sz w:val="28"/>
          <w:szCs w:val="28"/>
          <w:rtl/>
        </w:rPr>
        <w:t xml:space="preserve">فيه: أنّ العنوان لا يتغیّر بتغیّر الزمان بل يحدث عنوان آخر مع بقاء العنوان الأوّل فيصدق أنّ هذه الحركة الخاصّة متّصفة بكذا في زمان وبضدّه في آخر.</w:t>
      </w:r>
    </w:p>
    <w:p>
      <w:pPr>
        <w:pStyle w:val="BookText"/>
      </w:pPr>
      <w:r>
        <w:rPr>
          <w:rFonts w:ascii="IRNazanin" w:hAnsi="IRNazanin" w:eastAsia="IRNazanin" w:cs="IRNazanin"/>
          <w:lang w:bidi="fa-IR"/>
          <w:color w:val="111111"/>
          <w:sz w:val="28"/>
          <w:szCs w:val="28"/>
          <w:rtl/>
        </w:rPr>
        <w:t xml:space="preserve">وكان الأولى أن يقول: إنّ تعدّد الزمان إنّما يثمر إذا كان الفعل متعدّداً بتعدّدهكما في مثال «قيام زيد» فإنّ قيامه أمس غير قيامه اليوم بخلاف المقام، فإنّ الفعل الواحد الشخصي متّصف بحكمين في زمانين وهو مشکل.</w:t>
      </w:r>
    </w:p>
    <w:p>
      <w:pPr>
        <w:pStyle w:val="BookText"/>
      </w:pPr>
      <w:r>
        <w:rPr>
          <w:rFonts w:ascii="IRNazanin" w:hAnsi="IRNazanin" w:eastAsia="IRNazanin" w:cs="IRNazanin"/>
          <w:lang w:bidi="fa-IR"/>
          <w:color w:val="111111"/>
          <w:sz w:val="28"/>
          <w:szCs w:val="28"/>
          <w:rtl/>
        </w:rPr>
        <w:t xml:space="preserve">ولعلّه إلیه نظر بقوله:</w:t>
      </w:r>
    </w:p>
    <w:p>
      <w:pPr>
        <w:pStyle w:val="Heading6"/>
      </w:pPr>
      <w:bookmarkStart w:id="822" w:name="_Toc503"/>
      <w:r>
        <w:t>[الإیراد الثاني]</w:t>
      </w:r>
      <w:bookmarkEnd w:id="822"/>
    </w:p>
    <w:p>
      <w:pPr>
        <w:pStyle w:val="BookText"/>
      </w:pPr>
      <w:r>
        <w:rPr>
          <w:rFonts w:ascii="Amiri" w:hAnsi="Amiri" w:eastAsia="Amiri" w:cs="Amiri"/>
          <w:lang w:bidi="ar-SA"/>
          <w:color w:val="111111"/>
          <w:sz w:val="28"/>
          <w:szCs w:val="28"/>
          <w:rtl/>
        </w:rPr>
        <w:t xml:space="preserve">الثاني: لو سلّمنا أنّ اختلاف الزمان يجدي في دفع التناقض</w:t>
      </w:r>
      <w:r>
        <w:rPr>
          <w:rStyle w:val="FootnoteReference"/>
        </w:rPr>
        <w:footnoteReference w:id="2066"/>
      </w:r>
      <w:r>
        <w:rPr>
          <w:rFonts w:ascii="Amiri" w:hAnsi="Amiri" w:eastAsia="Amiri" w:cs="Amiri"/>
          <w:lang w:bidi="ar-SA"/>
          <w:color w:val="111111"/>
          <w:sz w:val="28"/>
          <w:szCs w:val="28"/>
          <w:rtl/>
        </w:rPr>
        <w:t xml:space="preserve">نقول: قد قرّر في محلّه أنّ اختلاف نفس الزمان من دون رجوعه إلى اختلاف عنوان الفعل كالشي‌ء الواحد الشخصي لا يعقل توارد الأمر والنهي عليه كما نبّهوا على ذلك في مسألة النّسخ قبل حضور وقت العمل. </w:t>
      </w:r>
      <w:r>
        <w:rPr>
          <w:rStyle w:val="FootnoteReference"/>
        </w:rPr>
        <w:footnoteReference w:id="2067"/>
      </w:r>
    </w:p>
    <w:p>
      <w:pPr>
        <w:pStyle w:val="Heading6"/>
      </w:pPr>
      <w:bookmarkStart w:id="823" w:name="_Toc504"/>
      <w:r>
        <w:t>[الجواب عن الإیراد الثاني]</w:t>
      </w:r>
      <w:bookmarkEnd w:id="823"/>
    </w:p>
    <w:p>
      <w:pPr>
        <w:pStyle w:val="BookText"/>
      </w:pPr>
      <w:r>
        <w:rPr>
          <w:rFonts w:ascii="Amiri" w:hAnsi="Amiri" w:eastAsia="Amiri" w:cs="Amiri"/>
          <w:lang w:bidi="ar-SA"/>
          <w:color w:val="111111"/>
          <w:sz w:val="28"/>
          <w:szCs w:val="28"/>
          <w:rtl/>
        </w:rPr>
        <w:t xml:space="preserve">ولكن فيه: أنّ غير المعقول إنّما هو إذا كان حكم الثاني وارداً على نفس العنوان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91" w:name="pg6784_51641"/>
    <w:bookmarkEnd w:id="291"/>
    <w:p>
      <w:pPr>
        <w:pStyle w:val="BookText"/>
      </w:pPr>
      <w:r>
        <w:rPr>
          <w:rFonts w:ascii="Amiri" w:hAnsi="Amiri" w:eastAsia="Amiri" w:cs="Amiri"/>
          <w:lang w:bidi="ar-SA"/>
          <w:color w:val="111111"/>
          <w:sz w:val="28"/>
          <w:szCs w:val="28"/>
          <w:rtl/>
        </w:rPr>
        <w:t xml:space="preserve">الأوّل وأمّا إذا كان وارداً على عنوان آخر متّحد في المصداق مع الأوّل فلا بأس به كما في المقام فإنّ الحركة الخاصّة متّصفة بالحرمة من حيث إنّها غصب، وبالوجوب لا من حيث إنّها غصب بل من حيث إنّها تخلّص عن الغصب وإن كانت غصباً</w:t>
      </w:r>
      <w:r>
        <w:rPr>
          <w:rStyle w:val="FootnoteReference"/>
        </w:rPr>
        <w:footnoteReference w:id="2068"/>
      </w:r>
      <w:r>
        <w:rPr>
          <w:rFonts w:ascii="IRNazanin" w:hAnsi="IRNazanin" w:eastAsia="IRNazanin" w:cs="IRNazanin"/>
          <w:lang w:bidi="fa-IR"/>
          <w:color w:val="111111"/>
          <w:sz w:val="28"/>
          <w:szCs w:val="28"/>
          <w:rtl/>
        </w:rPr>
        <w:t xml:space="preserve">أیضاً في حال كونها تخلّصاً، وأمّا النسخ فيجوز وإن کان العنوان واحداً أیضاً وسيأتي بيانه</w:t>
      </w:r>
      <w:r>
        <w:rPr>
          <w:rStyle w:val="FootnoteReference"/>
        </w:rPr>
        <w:footnoteReference w:id="2069"/>
      </w:r>
      <w:r>
        <w:rPr>
          <w:rFonts w:ascii="IRNazanin" w:hAnsi="IRNazanin" w:eastAsia="IRNazanin" w:cs="IRNazanin"/>
          <w:lang w:bidi="fa-IR"/>
          <w:color w:val="111111"/>
          <w:sz w:val="28"/>
          <w:szCs w:val="28"/>
          <w:rtl/>
        </w:rPr>
        <w:t xml:space="preserve">إن شاء الله.</w:t>
      </w:r>
    </w:p>
    <w:p>
      <w:pPr>
        <w:pStyle w:val="Heading6"/>
      </w:pPr>
      <w:bookmarkStart w:id="824" w:name="_Toc505"/>
      <w:r>
        <w:t>[الإیراد الثالث]</w:t>
      </w:r>
      <w:bookmarkEnd w:id="824"/>
    </w:p>
    <w:p>
      <w:pPr>
        <w:pStyle w:val="BookText"/>
      </w:pPr>
      <w:r>
        <w:rPr>
          <w:rFonts w:ascii="IRNazanin" w:hAnsi="IRNazanin" w:eastAsia="IRNazanin" w:cs="IRNazanin"/>
          <w:lang w:bidi="fa-IR"/>
          <w:color w:val="111111"/>
          <w:sz w:val="28"/>
          <w:szCs w:val="28"/>
          <w:rtl/>
        </w:rPr>
        <w:t xml:space="preserve">الثّالث: أنّ القول بإجداء اختلاف الزمان ينافي ما هو بصدده من إجراء حكم النهي السابق، كيف والنهي مفروض الاختصاص بالزمان الأوّل ولازم ذلك اختصاص حكمه أیضاً بذلك الزمان.</w:t>
      </w:r>
    </w:p>
    <w:p>
      <w:pPr>
        <w:pStyle w:val="BookText"/>
      </w:pPr>
      <w:r>
        <w:rPr>
          <w:rFonts w:ascii="Amiri" w:hAnsi="Amiri" w:eastAsia="Amiri" w:cs="Amiri"/>
          <w:lang w:bidi="ar-SA"/>
          <w:color w:val="111111"/>
          <w:sz w:val="28"/>
          <w:szCs w:val="28"/>
          <w:rtl/>
        </w:rPr>
        <w:t xml:space="preserve">ألا ترى أنّ حرمة الخمر في الأمس لا توجب إجراء حكمه إلى اليوم.</w:t>
      </w:r>
      <w:r>
        <w:rPr>
          <w:rStyle w:val="FootnoteReference"/>
        </w:rPr>
        <w:footnoteReference w:id="2070"/>
      </w:r>
    </w:p>
    <w:p>
      <w:pPr>
        <w:pStyle w:val="Heading6"/>
      </w:pPr>
      <w:bookmarkStart w:id="825" w:name="_Toc506"/>
      <w:r>
        <w:t>[الجواب عن الإیراد الثالث]</w:t>
      </w:r>
      <w:bookmarkEnd w:id="825"/>
    </w:p>
    <w:p>
      <w:pPr>
        <w:pStyle w:val="BookText"/>
      </w:pPr>
      <w:r>
        <w:rPr>
          <w:rFonts w:ascii="IRNazanin" w:hAnsi="IRNazanin" w:eastAsia="IRNazanin" w:cs="IRNazanin"/>
          <w:lang w:bidi="fa-IR"/>
          <w:color w:val="111111"/>
          <w:sz w:val="28"/>
          <w:szCs w:val="28"/>
          <w:rtl/>
        </w:rPr>
        <w:t xml:space="preserve">وفيه: أنّ اختصاص النهي بالزمان السّابق ليس من جهة حصول البداء بالنسبة إلیه حتّى يرتفع أثره بل من جهة عدم إمکان تسريته إلى ما بعد الدخول من جهة الاضطرار إلى الارتكاب وبمجرّد الدخول يتحقّق عصيانه فيجري حكمه.</w:t>
      </w:r>
    </w:p>
    <w:p>
      <w:pPr>
        <w:pStyle w:val="BookText"/>
      </w:pPr>
      <w:r>
        <w:rPr>
          <w:rFonts w:ascii="IRNazanin" w:hAnsi="IRNazanin" w:eastAsia="IRNazanin" w:cs="IRNazanin"/>
          <w:lang w:bidi="fa-IR"/>
          <w:color w:val="111111"/>
          <w:sz w:val="28"/>
          <w:szCs w:val="28"/>
          <w:rtl/>
        </w:rPr>
        <w:t xml:space="preserve">وبعبارة أخری: انقطاع النهي إنّما هو بالمخالفة والعصيان ولازم ذلك استحقاق العقاب فليس من قبيل المثال المذكور ولا من قبيل البداء أیضاً كما بيّنه صاحب الفصول</w:t>
      </w:r>
      <w:r>
        <w:rPr>
          <w:rStyle w:val="FootnoteReference"/>
        </w:rPr>
        <w:footnoteReference w:id="2071"/>
      </w:r>
      <w:r>
        <w:rPr>
          <w:rFonts w:ascii="IRNazanin" w:hAnsi="IRNazanin" w:eastAsia="IRNazanin" w:cs="IRNazanin"/>
          <w:lang w:bidi="fa-IR"/>
          <w:color w:val="111111"/>
          <w:sz w:val="28"/>
          <w:szCs w:val="28"/>
          <w:rtl/>
        </w:rPr>
        <w:t xml:space="preserve">في کلامه المتقدّم.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92" w:name="pg6784_51643"/>
    <w:bookmarkEnd w:id="292"/>
    <w:p>
      <w:pPr>
        <w:pStyle w:val="Heading6"/>
      </w:pPr>
      <w:bookmarkStart w:id="826" w:name="_Toc507"/>
      <w:r>
        <w:t>[الإیراد الرابع]</w:t>
      </w:r>
      <w:bookmarkEnd w:id="826"/>
    </w:p>
    <w:p>
      <w:pPr>
        <w:pStyle w:val="BookText"/>
      </w:pPr>
      <w:r>
        <w:rPr>
          <w:rFonts w:ascii="Amiri" w:hAnsi="Amiri" w:eastAsia="Amiri" w:cs="Amiri"/>
          <w:lang w:bidi="ar-SA"/>
          <w:color w:val="111111"/>
          <w:sz w:val="28"/>
          <w:szCs w:val="28"/>
          <w:rtl/>
        </w:rPr>
        <w:t xml:space="preserve">الرّابع: أنّ استفادة الحكم المذكور من الدليل اللّفظي الدالّ على حرمة الغصب مثل قوله: «لا تغصب» لا تخلو</w:t>
      </w:r>
      <w:r>
        <w:rPr>
          <w:rStyle w:val="FootnoteReference"/>
        </w:rPr>
        <w:footnoteReference w:id="2072"/>
      </w:r>
      <w:r>
        <w:rPr>
          <w:rFonts w:ascii="IRNazanin" w:hAnsi="IRNazanin" w:eastAsia="IRNazanin" w:cs="IRNazanin"/>
          <w:lang w:bidi="fa-IR"/>
          <w:color w:val="111111"/>
          <w:sz w:val="28"/>
          <w:szCs w:val="28"/>
          <w:rtl/>
        </w:rPr>
        <w:t xml:space="preserve">عن إشکال فإنّه بعمومه يدلّ على تحريم جميع أفراد الغصب في مرتبة واحدة والترتيب المذكور ممّا لا يعقل استفادته من الدليل المذكور.</w:t>
      </w:r>
      <w:r>
        <w:rPr>
          <w:rStyle w:val="FootnoteReference"/>
        </w:rPr>
        <w:footnoteReference w:id="2073"/>
      </w:r>
    </w:p>
    <w:p>
      <w:pPr>
        <w:pStyle w:val="Heading6"/>
      </w:pPr>
      <w:bookmarkStart w:id="827" w:name="_Toc508"/>
      <w:r>
        <w:t>[الجواب عن الإیراد الرابع]</w:t>
      </w:r>
      <w:bookmarkEnd w:id="827"/>
    </w:p>
    <w:p>
      <w:pPr>
        <w:pStyle w:val="BookText"/>
      </w:pPr>
      <w:r>
        <w:rPr>
          <w:rFonts w:ascii="IRNazanin" w:hAnsi="IRNazanin" w:eastAsia="IRNazanin" w:cs="IRNazanin"/>
          <w:lang w:bidi="fa-IR"/>
          <w:color w:val="111111"/>
          <w:sz w:val="28"/>
          <w:szCs w:val="28"/>
          <w:rtl/>
        </w:rPr>
        <w:t xml:space="preserve">وفيه: أنّ مقتضى العموم المذكور حرمة جميع أفراد الغصب وأنحائه ووجوب تركها، والعقل يخصّص التکلیف المذكور بصورة التمکّن من الترك، فقبل الدخول لمّا كان متمکّناً من الترك يتوجّه إلیه الخطاب وبعد الدخول والمخالفة ينقطع الخطاب لعدم التمکّن من الترك ولا محذور في ذلك فليس الاستفادة من مجرّد الدليل اللّفظي.</w:t>
      </w:r>
    </w:p>
    <w:p>
      <w:pPr>
        <w:pStyle w:val="Heading6"/>
      </w:pPr>
      <w:bookmarkStart w:id="828" w:name="_Toc509"/>
      <w:r>
        <w:t>[الإیراد الخامس]</w:t>
      </w:r>
      <w:bookmarkEnd w:id="828"/>
    </w:p>
    <w:p>
      <w:pPr>
        <w:pStyle w:val="BookText"/>
      </w:pPr>
      <w:r>
        <w:rPr>
          <w:rFonts w:ascii="Amiri" w:hAnsi="Amiri" w:eastAsia="Amiri" w:cs="Amiri"/>
          <w:lang w:bidi="ar-SA"/>
          <w:color w:val="111111"/>
          <w:sz w:val="28"/>
          <w:szCs w:val="28"/>
          <w:rtl/>
        </w:rPr>
        <w:t xml:space="preserve">الخامس: أنّ ما أفاده من أنّ النهي على وجه الإطلاق والأمر مشروط بالدخول لا يخلو</w:t>
      </w:r>
      <w:r>
        <w:rPr>
          <w:rStyle w:val="FootnoteReference"/>
        </w:rPr>
        <w:footnoteReference w:id="2074"/>
      </w:r>
      <w:r>
        <w:rPr>
          <w:rFonts w:ascii="Amiri" w:hAnsi="Amiri" w:eastAsia="Amiri" w:cs="Amiri"/>
          <w:lang w:bidi="ar-SA"/>
          <w:color w:val="111111"/>
          <w:sz w:val="28"/>
          <w:szCs w:val="28"/>
          <w:rtl/>
        </w:rPr>
        <w:t xml:space="preserve">عن تناقض فإنّ النهي على الإطلاق وجميع التقادير ينافي الأمر به علىبعضها.</w:t>
      </w:r>
      <w:r>
        <w:rPr>
          <w:rStyle w:val="FootnoteReference"/>
        </w:rPr>
        <w:footnoteReference w:id="2075"/>
      </w:r>
    </w:p>
    <w:p>
      <w:pPr>
        <w:pStyle w:val="Heading6"/>
      </w:pPr>
      <w:bookmarkStart w:id="829" w:name="_Toc510"/>
      <w:r>
        <w:t>[الجواب عن الإیراد الخامس]</w:t>
      </w:r>
      <w:bookmarkEnd w:id="829"/>
    </w:p>
    <w:p>
      <w:pPr>
        <w:pStyle w:val="BookText"/>
      </w:pPr>
      <w:r>
        <w:rPr>
          <w:rFonts w:ascii="Amiri" w:hAnsi="Amiri" w:eastAsia="Amiri" w:cs="Amiri"/>
          <w:lang w:bidi="ar-SA"/>
          <w:color w:val="111111"/>
          <w:sz w:val="28"/>
          <w:szCs w:val="28"/>
          <w:rtl/>
        </w:rPr>
        <w:t xml:space="preserve">وفيه: أنّ المراد من كون النّهي على الإطلاق عدم</w:t>
      </w:r>
      <w:r>
        <w:rPr>
          <w:rStyle w:val="FootnoteReference"/>
        </w:rPr>
        <w:footnoteReference w:id="2076"/>
      </w:r>
      <w:r>
        <w:rPr>
          <w:rFonts w:ascii="IRNazanin" w:hAnsi="IRNazanin" w:eastAsia="IRNazanin" w:cs="IRNazanin"/>
          <w:lang w:bidi="fa-IR"/>
          <w:color w:val="111111"/>
          <w:sz w:val="28"/>
          <w:szCs w:val="28"/>
          <w:rtl/>
        </w:rPr>
        <w:t xml:space="preserve">اشتراطه بالدخول وأنّه متوجّه إلیه قبل الدخول لا أنّه يبقى إلى ما بعد الدخول أیضاً حتّى ينافي الأمر.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93" w:name="pg6784_51644"/>
    <w:bookmarkEnd w:id="293"/>
    <w:p>
      <w:pPr>
        <w:pStyle w:val="BookText"/>
      </w:pPr>
      <w:r>
        <w:rPr>
          <w:rFonts w:ascii="IRNazanin" w:hAnsi="IRNazanin" w:eastAsia="IRNazanin" w:cs="IRNazanin"/>
          <w:lang w:bidi="fa-IR"/>
          <w:color w:val="111111"/>
          <w:sz w:val="28"/>
          <w:szCs w:val="28"/>
          <w:rtl/>
        </w:rPr>
        <w:t xml:space="preserve">والمراد من جميع التقادير جميع أفراد الغصب من الدخول والخروج والبقاء لا جميع الأزمنة فلا تناقض في کلامه كما هو واضح.</w:t>
      </w:r>
      <w:r>
        <w:rPr>
          <w:rStyle w:val="FootnoteReference"/>
        </w:rPr>
        <w:footnoteReference w:id="2077"/>
      </w:r>
    </w:p>
    <w:p>
      <w:pPr>
        <w:pStyle w:val="BookText"/>
      </w:pPr>
      <w:r>
        <w:rPr>
          <w:rFonts w:ascii="Amiri" w:hAnsi="Amiri" w:eastAsia="Amiri" w:cs="Amiri"/>
          <w:lang w:bidi="ar-SA"/>
          <w:color w:val="111111"/>
          <w:sz w:val="28"/>
          <w:szCs w:val="28"/>
          <w:rtl/>
        </w:rPr>
        <w:t xml:space="preserve">فقول المُورِد</w:t>
      </w:r>
      <w:r>
        <w:rPr>
          <w:rStyle w:val="FootnoteReference"/>
        </w:rPr>
        <w:footnoteReference w:id="2078"/>
      </w:r>
      <w:r>
        <w:rPr>
          <w:rFonts w:ascii="Amiri" w:hAnsi="Amiri" w:eastAsia="Amiri" w:cs="Amiri"/>
          <w:lang w:bidi="ar-SA"/>
          <w:color w:val="111111"/>
          <w:sz w:val="28"/>
          <w:szCs w:val="28"/>
          <w:rtl/>
        </w:rPr>
        <w:t xml:space="preserve">- أنّ ما ذكره صاحب الفصول</w:t>
      </w:r>
      <w:r>
        <w:rPr>
          <w:rStyle w:val="FootnoteReference"/>
        </w:rPr>
        <w:footnoteReference w:id="2079"/>
      </w:r>
      <w:r>
        <w:rPr>
          <w:rFonts w:ascii="Amiri" w:hAnsi="Amiri" w:eastAsia="Amiri" w:cs="Amiri"/>
          <w:lang w:bidi="ar-SA"/>
          <w:color w:val="111111"/>
          <w:sz w:val="28"/>
          <w:szCs w:val="28"/>
          <w:rtl/>
        </w:rPr>
        <w:t xml:space="preserve">ساقط جدّاً من جهة هذه الإيرادات - ساقط جدّاً.</w:t>
      </w:r>
    </w:p>
    <w:p>
      <w:pPr>
        <w:pStyle w:val="BookText"/>
      </w:pPr>
      <w:r>
        <w:rPr>
          <w:rFonts w:ascii="Amiri" w:hAnsi="Amiri" w:eastAsia="Amiri" w:cs="Amiri"/>
          <w:lang w:bidi="ar-SA"/>
          <w:color w:val="111111"/>
          <w:sz w:val="28"/>
          <w:szCs w:val="28"/>
          <w:rtl/>
        </w:rPr>
        <w:t xml:space="preserve">والإنصاف صحّة ما ذكره لكن على مذاقنا من إجداء تعدّد العنوان وتعدّد الجهة في أصل المسألة لا على مذاقه من عدم إجدائه.</w:t>
      </w:r>
    </w:p>
    <w:p>
      <w:pPr>
        <w:pStyle w:val="BookText"/>
      </w:pPr>
      <w:r>
        <w:rPr>
          <w:rFonts w:ascii="IRNazanin" w:hAnsi="IRNazanin" w:eastAsia="IRNazanin" w:cs="IRNazanin"/>
          <w:lang w:bidi="fa-IR"/>
          <w:color w:val="111111"/>
          <w:sz w:val="28"/>
          <w:szCs w:val="28"/>
          <w:rtl/>
        </w:rPr>
        <w:t xml:space="preserve">وعمدة الإشکال لزوم اجتماع حكمين متضادّين في فعل واحد شخصي ولو في زمانين مع عدم الانقلاب وعدم رفع اليد عن الحكم الأوّل فإنّه مشکل على مذاقه.</w:t>
      </w:r>
    </w:p>
    <w:p>
      <w:pPr>
        <w:pStyle w:val="Heading6"/>
      </w:pPr>
      <w:bookmarkStart w:id="830" w:name="_Toc511"/>
      <w:r>
        <w:t>[في تحقیق المسألة]</w:t>
      </w:r>
      <w:bookmarkEnd w:id="830"/>
    </w:p>
    <w:p>
      <w:pPr>
        <w:pStyle w:val="Heading6"/>
      </w:pPr>
      <w:bookmarkStart w:id="831" w:name="_Toc512"/>
      <w:r>
        <w:t>اشارة</w:t>
      </w:r>
      <w:bookmarkEnd w:id="831"/>
    </w:p>
    <w:p>
      <w:pPr>
        <w:pStyle w:val="BookText"/>
      </w:pPr>
      <w:r>
        <w:rPr>
          <w:rFonts w:ascii="IRNazanin" w:hAnsi="IRNazanin" w:eastAsia="IRNazanin" w:cs="IRNazanin"/>
          <w:lang w:bidi="fa-IR"/>
          <w:color w:val="111111"/>
          <w:sz w:val="28"/>
          <w:szCs w:val="28"/>
          <w:rtl/>
        </w:rPr>
        <w:t xml:space="preserve">وتحقیق الحال في ذلك وفي أصل المطلب برسم أمور:</w:t>
      </w:r>
    </w:p>
    <w:p>
      <w:pPr>
        <w:pStyle w:val="Heading6"/>
      </w:pPr>
      <w:bookmarkStart w:id="832" w:name="_Toc513"/>
      <w:r>
        <w:t>[الأمر الأوّل]</w:t>
      </w:r>
      <w:bookmarkEnd w:id="832"/>
    </w:p>
    <w:p>
      <w:pPr>
        <w:pStyle w:val="BookText"/>
      </w:pPr>
      <w:r>
        <w:rPr>
          <w:rFonts w:ascii="IRNazanin" w:hAnsi="IRNazanin" w:eastAsia="IRNazanin" w:cs="IRNazanin"/>
          <w:lang w:bidi="fa-IR"/>
          <w:color w:val="111111"/>
          <w:sz w:val="28"/>
          <w:szCs w:val="28"/>
          <w:rtl/>
        </w:rPr>
        <w:t xml:space="preserve">الأوّل: لا إشکال في حرمة التصرّف في مال الغير بجميع أنحائه عقلاً ونقلاً حتّى التصرّف الخروجي الّذي هو مصداق للتخلّص فإنّه قبل الدخول حرام ويصحّ النهي عنه وإن کان لو دخل يؤمر به من حيث إنّه تخلّص؛ إذ ذلك لا يخرجه عن كونه مبغوضاً في نفسه؛ إذ لا مانع من النهي المذكور على الإطلاق قبل الدخول لقدرته على موافقته بتركه بترك الدخول وعلى مخالفته بإيجاده بإيجاد الدخول لا بمعنى أنّه يتحقّق المخالفة حين</w:t>
      </w:r>
      <w:r>
        <w:rPr>
          <w:rStyle w:val="FootnoteReference"/>
        </w:rPr>
        <w:footnoteReference w:id="2080"/>
      </w:r>
      <w:r>
        <w:rPr>
          <w:rFonts w:ascii="Amiri" w:hAnsi="Amiri" w:eastAsia="Amiri" w:cs="Amiri"/>
          <w:lang w:bidi="ar-SA"/>
          <w:color w:val="111111"/>
          <w:sz w:val="28"/>
          <w:szCs w:val="28"/>
          <w:rtl/>
        </w:rPr>
        <w:t xml:space="preserve">الدخول لعدم مجي‌ء زمانه وعدم تحقّقه بعد</w:t>
      </w:r>
      <w:r>
        <w:rPr>
          <w:rStyle w:val="FootnoteReference"/>
        </w:rPr>
        <w:footnoteReference w:id="2081"/>
      </w:r>
      <w:r>
        <w:rPr>
          <w:rFonts w:ascii="Amiri" w:hAnsi="Amiri" w:eastAsia="Amiri" w:cs="Amiri"/>
          <w:lang w:bidi="ar-SA"/>
          <w:color w:val="111111"/>
          <w:sz w:val="28"/>
          <w:szCs w:val="28"/>
          <w:rtl/>
        </w:rPr>
        <w:t xml:space="preserve">في الخارج بل بمعنى أنّه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94" w:name="pg6784_51646"/>
    <w:bookmarkEnd w:id="294"/>
    <w:p>
      <w:pPr>
        <w:pStyle w:val="BookText"/>
      </w:pPr>
      <w:r>
        <w:rPr>
          <w:rFonts w:ascii="IRNazanin" w:hAnsi="IRNazanin" w:eastAsia="IRNazanin" w:cs="IRNazanin"/>
          <w:lang w:bidi="fa-IR"/>
          <w:color w:val="111111"/>
          <w:sz w:val="28"/>
          <w:szCs w:val="28"/>
          <w:rtl/>
        </w:rPr>
        <w:t xml:space="preserve">یتّصف بالمخالفة حينه ويصحّ التکلیف به لمكان القدرة عليه بإيجاد</w:t>
      </w:r>
      <w:r>
        <w:rPr>
          <w:rStyle w:val="FootnoteReference"/>
        </w:rPr>
        <w:footnoteReference w:id="2082"/>
      </w:r>
      <w:r>
        <w:rPr>
          <w:rFonts w:ascii="Amiri" w:hAnsi="Amiri" w:eastAsia="Amiri" w:cs="Amiri"/>
          <w:lang w:bidi="ar-SA"/>
          <w:color w:val="111111"/>
          <w:sz w:val="28"/>
          <w:szCs w:val="28"/>
          <w:rtl/>
        </w:rPr>
        <w:t xml:space="preserve">سببه وتركه كما في سائر المحرّمات المقدورة بالواسطة وإن انقطع النهي عنها حينها؛ إذ هو لا ينافي كونها حراماً ومخالفة، فإذا رمى سهماً يصيب رجلاً بعد ساعة يكون القتل الواقع في الخارج حين وقوعه</w:t>
      </w:r>
      <w:r>
        <w:rPr>
          <w:rStyle w:val="FootnoteReference"/>
        </w:rPr>
        <w:footnoteReference w:id="2083"/>
      </w:r>
      <w:r>
        <w:rPr>
          <w:rFonts w:ascii="Amiri" w:hAnsi="Amiri" w:eastAsia="Amiri" w:cs="Amiri"/>
          <w:lang w:bidi="ar-SA"/>
          <w:color w:val="111111"/>
          <w:sz w:val="28"/>
          <w:szCs w:val="28"/>
          <w:rtl/>
        </w:rPr>
        <w:t xml:space="preserve">مخالفة</w:t>
      </w:r>
      <w:r>
        <w:rPr>
          <w:rStyle w:val="FootnoteReference"/>
        </w:rPr>
        <w:footnoteReference w:id="2084"/>
      </w:r>
      <w:r>
        <w:rPr>
          <w:rFonts w:ascii="Amiri" w:hAnsi="Amiri" w:eastAsia="Amiri" w:cs="Amiri"/>
          <w:lang w:bidi="ar-SA"/>
          <w:color w:val="111111"/>
          <w:sz w:val="28"/>
          <w:szCs w:val="28"/>
          <w:rtl/>
        </w:rPr>
        <w:t xml:space="preserve">وإن انقطع النهي حين الرّمي.</w:t>
      </w:r>
    </w:p>
    <w:p>
      <w:pPr>
        <w:pStyle w:val="BookText"/>
      </w:pPr>
      <w:r>
        <w:rPr>
          <w:rFonts w:ascii="IRNazanin" w:hAnsi="IRNazanin" w:eastAsia="IRNazanin" w:cs="IRNazanin"/>
          <w:lang w:bidi="fa-IR"/>
          <w:color w:val="111111"/>
          <w:sz w:val="28"/>
          <w:szCs w:val="28"/>
          <w:rtl/>
        </w:rPr>
        <w:t xml:space="preserve">ومن قبيل ما نحن فيه النهي عن شرب الخمر المجبور عليه إذا دخل مكاناً خاصّاً، فإنّه محرّم عليه قبل الدخول لمكان قدرته على تركه بترك الدخول فيه فإذا دخل وشرب يصدق عليه مخالفة ذلك النهي وإن کان مأموراً به حين الشرب لمكان المجبوریّة ولا فرق في كون الخروج حراماً ومبغوضاً من حيث هو بين أن يكون الدخول عصیاناً</w:t>
      </w:r>
      <w:r>
        <w:rPr>
          <w:rStyle w:val="FootnoteReference"/>
        </w:rPr>
        <w:footnoteReference w:id="2085"/>
      </w:r>
      <w:r>
        <w:rPr>
          <w:rFonts w:ascii="Amiri" w:hAnsi="Amiri" w:eastAsia="Amiri" w:cs="Amiri"/>
          <w:lang w:bidi="ar-SA"/>
          <w:color w:val="111111"/>
          <w:sz w:val="28"/>
          <w:szCs w:val="28"/>
          <w:rtl/>
        </w:rPr>
        <w:t xml:space="preserve">أو نسياناً.</w:t>
      </w:r>
    </w:p>
    <w:p>
      <w:pPr>
        <w:pStyle w:val="BookText"/>
      </w:pPr>
      <w:r>
        <w:rPr>
          <w:rFonts w:ascii="Amiri" w:hAnsi="Amiri" w:eastAsia="Amiri" w:cs="Amiri"/>
          <w:lang w:bidi="ar-SA"/>
          <w:color w:val="111111"/>
          <w:sz w:val="28"/>
          <w:szCs w:val="28"/>
          <w:rtl/>
        </w:rPr>
        <w:t xml:space="preserve">غاية الأمر عدم العقاب على الفرض الثاني كما إذا كان مجبوراً في أصل الدخول فإنّ خروجه كدخوله مبغوض ومحرّم معذور في ارتكابه ولا يخرج بذلك عن كونه حراماً من حيث نفسه نظير قتل النفس جهلاً أو نسياناً وليست الحرمة دائرة مدار العمد والعصيان.</w:t>
      </w:r>
    </w:p>
    <w:p>
      <w:pPr>
        <w:pStyle w:val="Heading6"/>
      </w:pPr>
      <w:bookmarkStart w:id="833" w:name="_Toc514"/>
      <w:r>
        <w:t>[الأمر الثاني]</w:t>
      </w:r>
      <w:bookmarkEnd w:id="833"/>
    </w:p>
    <w:p>
      <w:pPr>
        <w:pStyle w:val="BookText"/>
      </w:pPr>
      <w:r>
        <w:rPr>
          <w:rFonts w:ascii="IRNazanin" w:hAnsi="IRNazanin" w:eastAsia="IRNazanin" w:cs="IRNazanin"/>
          <w:lang w:bidi="fa-IR"/>
          <w:color w:val="111111"/>
          <w:sz w:val="28"/>
          <w:szCs w:val="28"/>
          <w:rtl/>
        </w:rPr>
        <w:t xml:space="preserve">الثاني: لا إشکال أیضاً في كون التخلّص عن الحرام واجباً بشرط الوقوع فيه لا مطلقاً فإنّ لازمه وجوب الوقوع فيه من باب المقدّمة ولا يمكن الالتزام به وحینئذٍ فإن أمكن بغير الإتیان بالمحرّم تعيّن فيه كما لو كان قادراً على إرضاء المالك في الحال وإلّا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تعيّن ارتكاب ذلك المحرّم إذا كان أخفّ حرمة من المحرم</w:t>
      </w:r>
      <w:r>
        <w:rPr>
          <w:rStyle w:val="FootnoteReference"/>
        </w:rPr>
        <w:footnoteReference w:id="2086"/>
      </w:r>
      <w:r>
        <w:rPr>
          <w:rFonts w:ascii="Amiri" w:hAnsi="Amiri" w:eastAsia="Amiri" w:cs="Amiri"/>
          <w:lang w:bidi="ar-SA"/>
          <w:color w:val="111111"/>
          <w:sz w:val="28"/>
          <w:szCs w:val="28"/>
          <w:rtl/>
        </w:rPr>
        <w:t xml:space="preserve">الواقع فيه.</w:t>
      </w:r>
    </w:p>
    <w:p>
      <w:pPr>
        <w:pStyle w:val="BookText"/>
      </w:pPr>
      <w:r>
        <w:rPr>
          <w:rFonts w:ascii="Amiri" w:hAnsi="Amiri" w:eastAsia="Amiri" w:cs="Amiri"/>
          <w:lang w:bidi="ar-SA"/>
          <w:color w:val="111111"/>
          <w:sz w:val="28"/>
          <w:szCs w:val="28"/>
          <w:rtl/>
        </w:rPr>
        <w:t xml:space="preserve">كما إذا</w:t>
      </w:r>
      <w:r>
        <w:rPr>
          <w:rStyle w:val="FootnoteReference"/>
        </w:rPr>
        <w:footnoteReference w:id="2087"/>
      </w:r>
      <w:r>
        <w:rPr>
          <w:rFonts w:ascii="IRNazanin" w:hAnsi="IRNazanin" w:eastAsia="IRNazanin" w:cs="IRNazanin"/>
          <w:lang w:bidi="fa-IR"/>
          <w:color w:val="111111"/>
          <w:sz w:val="28"/>
          <w:szCs w:val="28"/>
          <w:rtl/>
        </w:rPr>
        <w:t xml:space="preserve">انحصر أمره فيما نحن فيه بالخروج فإنّه يجب عليه من غير تأمّل وإشکال بحكم العقل، ولكن لا يخرج المحرّم عن كونه محرّماً من حيث هو نظير الاضطرار إلى سائر المحرّمات.</w:t>
      </w:r>
    </w:p>
    <w:p>
      <w:pPr>
        <w:pStyle w:val="BookText"/>
      </w:pPr>
      <w:r>
        <w:rPr>
          <w:rFonts w:ascii="Amiri" w:hAnsi="Amiri" w:eastAsia="Amiri" w:cs="Amiri"/>
          <w:lang w:bidi="ar-SA"/>
          <w:color w:val="111111"/>
          <w:sz w:val="28"/>
          <w:szCs w:val="28"/>
          <w:rtl/>
        </w:rPr>
        <w:t xml:space="preserve">هذا ولو اختار الخروج في الفرض الأوّل وهو ما إذا كان هناك فرد للتخلّص محلّل فهل يكون واجباً وحراماً من حيث إنّه مصداق للتخلّص الواجب نظير الصلاة والغصب أم لا؟</w:t>
      </w:r>
    </w:p>
    <w:p>
      <w:pPr>
        <w:pStyle w:val="BookText"/>
      </w:pPr>
      <w:r>
        <w:rPr>
          <w:rFonts w:ascii="IRNazanin" w:hAnsi="IRNazanin" w:eastAsia="IRNazanin" w:cs="IRNazanin"/>
          <w:lang w:bidi="fa-IR"/>
          <w:color w:val="111111"/>
          <w:sz w:val="28"/>
          <w:szCs w:val="28"/>
          <w:rtl/>
        </w:rPr>
        <w:t xml:space="preserve">التحقیق أنّه ليس من هذا الباب بل هو حرام صرف ولو على القول بجواز اجتماع الأمر والنهي</w:t>
      </w:r>
      <w:r>
        <w:rPr>
          <w:rStyle w:val="FootnoteReference"/>
        </w:rPr>
        <w:footnoteReference w:id="2088"/>
      </w:r>
      <w:r>
        <w:rPr>
          <w:rFonts w:ascii="Amiri" w:hAnsi="Amiri" w:eastAsia="Amiri" w:cs="Amiri"/>
          <w:lang w:bidi="ar-SA"/>
          <w:color w:val="111111"/>
          <w:sz w:val="28"/>
          <w:szCs w:val="28"/>
          <w:rtl/>
        </w:rPr>
        <w:t xml:space="preserve">مع المندوحة.</w:t>
      </w:r>
    </w:p>
    <w:p>
      <w:pPr>
        <w:pStyle w:val="BookText"/>
      </w:pPr>
      <w:r>
        <w:rPr>
          <w:rFonts w:ascii="IRNazanin" w:hAnsi="IRNazanin" w:eastAsia="IRNazanin" w:cs="IRNazanin"/>
          <w:lang w:bidi="fa-IR"/>
          <w:color w:val="111111"/>
          <w:sz w:val="28"/>
          <w:szCs w:val="28"/>
          <w:rtl/>
        </w:rPr>
        <w:t xml:space="preserve">وذلك لأنّ العقل الحاكم بوجوب التخلّص يعيّن طريقه في غير الخروج المحرّم، فإنّ التخلّص عنه أیضاً واجب بحكمه فلا يعقل أن يكون مصداقاً للتخلّص الواجب خصوصاً في مثل</w:t>
      </w:r>
      <w:r>
        <w:rPr>
          <w:rStyle w:val="FootnoteReference"/>
        </w:rPr>
        <w:footnoteReference w:id="2089"/>
      </w:r>
      <w:r>
        <w:rPr>
          <w:rFonts w:ascii="Amiri" w:hAnsi="Amiri" w:eastAsia="Amiri" w:cs="Amiri"/>
          <w:lang w:bidi="ar-SA"/>
          <w:color w:val="111111"/>
          <w:sz w:val="28"/>
          <w:szCs w:val="28"/>
          <w:rtl/>
        </w:rPr>
        <w:t xml:space="preserve">ما نحن فيه ممّا يكون المحرّم المتخلّص عنه والمتخلّص به عنواناً واحداً.</w:t>
      </w:r>
    </w:p>
    <w:p>
      <w:pPr>
        <w:pStyle w:val="BookText"/>
      </w:pPr>
      <w:r>
        <w:rPr>
          <w:rFonts w:ascii="IRNazanin" w:hAnsi="IRNazanin" w:eastAsia="IRNazanin" w:cs="IRNazanin"/>
          <w:lang w:bidi="fa-IR"/>
          <w:color w:val="111111"/>
          <w:sz w:val="28"/>
          <w:szCs w:val="28"/>
          <w:rtl/>
        </w:rPr>
        <w:t xml:space="preserve">وفي الفرض الثاني أیضاً لا يكون الخروج تخلّصاً عن أصل الحرام بل عن بعض أفراده الأشدّ في الحرمة مثل البقاء أبداً ففي الفرض الأوّل لمّا كان الواجب عليه التخلّص عن طبيعة الغصب لا عن خصوص بعض أفراده تعيّن مصداقه في خصوص المباح ولا يكون الخروج مصداقاً له إلّا بالنّسبة إلى الجزء الأخير منه؛ إذ هو تخلّص عن طبيعة الغصب، وفي الفرض الثاني الواجب هو التخلّص عن الفرد الأشدّ فيكون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95" w:name="pg6784_51651"/>
    <w:bookmarkEnd w:id="295"/>
    <w:p>
      <w:pPr>
        <w:pStyle w:val="BookText"/>
      </w:pPr>
      <w:r>
        <w:rPr>
          <w:rFonts w:ascii="IRNazanin" w:hAnsi="IRNazanin" w:eastAsia="IRNazanin" w:cs="IRNazanin"/>
          <w:lang w:bidi="fa-IR"/>
          <w:color w:val="111111"/>
          <w:sz w:val="28"/>
          <w:szCs w:val="28"/>
          <w:rtl/>
        </w:rPr>
        <w:t xml:space="preserve">الخروج مصداقاً له، وهذا واضح.</w:t>
      </w:r>
    </w:p>
    <w:p>
      <w:pPr>
        <w:pStyle w:val="BookText"/>
      </w:pPr>
      <w:r>
        <w:rPr>
          <w:rFonts w:ascii="IRNazanin" w:hAnsi="IRNazanin" w:eastAsia="IRNazanin" w:cs="IRNazanin"/>
          <w:lang w:bidi="fa-IR"/>
          <w:color w:val="111111"/>
          <w:sz w:val="28"/>
          <w:szCs w:val="28"/>
          <w:rtl/>
        </w:rPr>
        <w:t xml:space="preserve">هذا بناء على كون الخروج مصداقاً للتخلّص وأمّا على فرض كونه مقدّمة له كما هو التحقیق فنقول أیضاً: إنّ العقل یعيّن طريق تحصيله في غير الخروج. فتدبّر.</w:t>
      </w:r>
    </w:p>
    <w:p>
      <w:pPr>
        <w:pStyle w:val="Heading6"/>
      </w:pPr>
      <w:bookmarkStart w:id="834" w:name="_Toc515"/>
      <w:r>
        <w:t>[الأمر الثالث]</w:t>
      </w:r>
      <w:bookmarkEnd w:id="834"/>
    </w:p>
    <w:p>
      <w:pPr>
        <w:pStyle w:val="BookText"/>
      </w:pPr>
      <w:r>
        <w:rPr>
          <w:rFonts w:ascii="Amiri" w:hAnsi="Amiri" w:eastAsia="Amiri" w:cs="Amiri"/>
          <w:lang w:bidi="ar-SA"/>
          <w:color w:val="111111"/>
          <w:sz w:val="28"/>
          <w:szCs w:val="28"/>
          <w:rtl/>
        </w:rPr>
        <w:t xml:space="preserve">الثّالث: يجوز كون فعل واحد شخصي متّصفاً بحكمين مختلفين في زمانين فيالجملة وذلك بأن ينقلب الحكم الأوّل إلى الحكم</w:t>
      </w:r>
      <w:r>
        <w:rPr>
          <w:rStyle w:val="FootnoteReference"/>
        </w:rPr>
        <w:footnoteReference w:id="2090"/>
      </w:r>
      <w:r>
        <w:rPr>
          <w:rFonts w:ascii="Amiri" w:hAnsi="Amiri" w:eastAsia="Amiri" w:cs="Amiri"/>
          <w:lang w:bidi="ar-SA"/>
          <w:color w:val="111111"/>
          <w:sz w:val="28"/>
          <w:szCs w:val="28"/>
          <w:rtl/>
        </w:rPr>
        <w:t xml:space="preserve">الثاني بحيث يرتفع الأوّل أصلاً:</w:t>
      </w:r>
    </w:p>
    <w:p>
      <w:pPr>
        <w:pStyle w:val="BookText"/>
      </w:pPr>
      <w:r>
        <w:rPr>
          <w:rFonts w:ascii="IRNazanin" w:hAnsi="IRNazanin" w:eastAsia="IRNazanin" w:cs="IRNazanin"/>
          <w:lang w:bidi="fa-IR"/>
          <w:color w:val="111111"/>
          <w:sz w:val="28"/>
          <w:szCs w:val="28"/>
          <w:rtl/>
        </w:rPr>
        <w:t xml:space="preserve">إمّا بالبداء</w:t>
      </w:r>
      <w:r>
        <w:rPr>
          <w:rStyle w:val="FootnoteReference"/>
        </w:rPr>
        <w:footnoteReference w:id="2091"/>
      </w:r>
      <w:r>
        <w:rPr>
          <w:rFonts w:ascii="IRNazanin" w:hAnsi="IRNazanin" w:eastAsia="IRNazanin" w:cs="IRNazanin"/>
          <w:lang w:bidi="fa-IR"/>
          <w:color w:val="111111"/>
          <w:sz w:val="28"/>
          <w:szCs w:val="28"/>
          <w:rtl/>
        </w:rPr>
        <w:t xml:space="preserve">الحقيقي كما إذا أمر بفعل في زمان خاصّ بتخيّل أنّه ذو مصلحة فبان له بعد ذلك وقبل مجي‌ء زمان الفعل أنّه ذو مفسدة فنهى عنه، فإنّ ذلك الفعل الخاصّ يكون متعلّقاً للأمر والنهي في زمانين لكن يكون الحكم الثاني بعد رفع الحكم الأوّل بحيث لا يبقى أثره أیضاً، وهذا في حقّ الشارع مُحال، فإنّ البداء في حقّه إبداء بعد الإخفاء فليس الحكم الأوّل شاملاً لذلك الفعل؛</w:t>
      </w:r>
    </w:p>
    <w:p>
      <w:pPr>
        <w:pStyle w:val="BookText"/>
      </w:pPr>
      <w:r>
        <w:rPr>
          <w:rFonts w:ascii="IRNazanin" w:hAnsi="IRNazanin" w:eastAsia="IRNazanin" w:cs="IRNazanin"/>
          <w:lang w:bidi="fa-IR"/>
          <w:color w:val="111111"/>
          <w:sz w:val="28"/>
          <w:szCs w:val="28"/>
          <w:rtl/>
        </w:rPr>
        <w:t xml:space="preserve">وإمّا بانقلاب موضوع المکلّف كما إذا بلغ الصّبي بعد الظهر مثلاً قبل مضيّ مقدار الصّلاة فإنّ الصّلاة المعيّنة كانت مستحبّة قبل البلوغ وقد صارت واجبة بعده وكما إذا فرض للمکلّف مقدار من المال لا يكون بقدر الاستطاعة الشرعیّة ولكن لو بلغ إلى الميقات وكان عنده هذا المقدار</w:t>
      </w:r>
      <w:r>
        <w:rPr>
          <w:rStyle w:val="FootnoteReference"/>
        </w:rPr>
        <w:footnoteReference w:id="2092"/>
      </w:r>
      <w:r>
        <w:rPr>
          <w:rFonts w:ascii="IRNazanin" w:hAnsi="IRNazanin" w:eastAsia="IRNazanin" w:cs="IRNazanin"/>
          <w:lang w:bidi="fa-IR"/>
          <w:color w:val="111111"/>
          <w:sz w:val="28"/>
          <w:szCs w:val="28"/>
          <w:rtl/>
        </w:rPr>
        <w:t xml:space="preserve">يكون مستطيعاً فقبل أن يصل إلیه يكون مکلّفاً بحجّ هذه السنة ندباً وإذا وصل إلى الميقات متسكّعاً يصير الحجّ واجباً عليه؛ لأنّه يصير مستطيعاً فانقلب التکلیف في المثالين بانقلاب موضوع الصّبي بالغاً وغير المستطيع مستطيعاً؛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وإمّا بانقلاب موضوع المکلِّف - بالكسر - كما إذا كان شخص عبداً لمالكٍ فنهاه عن فعل خاصّ فمات المالك وصار عبداً لمالكٍ آخر فأمره بذلك الفعل؛</w:t>
      </w:r>
    </w:p>
    <w:p>
      <w:pPr>
        <w:pStyle w:val="BookText"/>
      </w:pPr>
      <w:r>
        <w:rPr>
          <w:rFonts w:ascii="IRNazanin" w:hAnsi="IRNazanin" w:eastAsia="IRNazanin" w:cs="IRNazanin"/>
          <w:lang w:bidi="fa-IR"/>
          <w:color w:val="111111"/>
          <w:sz w:val="28"/>
          <w:szCs w:val="28"/>
          <w:rtl/>
        </w:rPr>
        <w:t xml:space="preserve">وإمّا بانقلاب موضوع المکلَّف به وتبدّل عنوانه كما إذا نهاه المالك عن التصرّف في ملك خاصّ فانتقل ملكه إلیه أو إلى شخص آخر وأباح له ذلك التصرّف الخاصّ في الزمان الخاصّ.</w:t>
      </w:r>
    </w:p>
    <w:p>
      <w:pPr>
        <w:pStyle w:val="BookText"/>
      </w:pPr>
      <w:r>
        <w:rPr>
          <w:rFonts w:ascii="IRNazanin" w:hAnsi="IRNazanin" w:eastAsia="IRNazanin" w:cs="IRNazanin"/>
          <w:lang w:bidi="fa-IR"/>
          <w:color w:val="111111"/>
          <w:sz w:val="28"/>
          <w:szCs w:val="28"/>
          <w:rtl/>
        </w:rPr>
        <w:t xml:space="preserve">ففي جميع هذه الصّور يتوارد حكمان مختلفان على موضوع واحد شخصي ولو بحسب الزمان لكن مع اختلاف زمان الحكمين ولا بأس بذلك ولا يضرّ عدم إمکان امتثال التکلیف الأوّل من حيث إنّ المفروض أنّه ينقلب إلى التکلیف الثاني قبل مجي‌ء زمان الفعل؛ إذ لا يعتبر في التکلیف أزيد من إمکان الامتثال مع فرض بقاءالتکلیف وهو كذلك، وعدم الإمکان من جهة ارتفاع الحكم لا يضرّ بصحّة وروده.</w:t>
      </w:r>
    </w:p>
    <w:p>
      <w:pPr>
        <w:pStyle w:val="BookText"/>
      </w:pPr>
      <w:r>
        <w:rPr>
          <w:rFonts w:ascii="Amiri" w:hAnsi="Amiri" w:eastAsia="Amiri" w:cs="Amiri"/>
          <w:lang w:bidi="ar-SA"/>
          <w:color w:val="111111"/>
          <w:sz w:val="28"/>
          <w:szCs w:val="28"/>
          <w:rtl/>
        </w:rPr>
        <w:t xml:space="preserve">هذا وأمّا</w:t>
      </w:r>
      <w:r>
        <w:rPr>
          <w:rStyle w:val="FootnoteReference"/>
        </w:rPr>
        <w:footnoteReference w:id="2093"/>
      </w:r>
      <w:r>
        <w:rPr>
          <w:rFonts w:ascii="Amiri" w:hAnsi="Amiri" w:eastAsia="Amiri" w:cs="Amiri"/>
          <w:lang w:bidi="ar-SA"/>
          <w:color w:val="111111"/>
          <w:sz w:val="28"/>
          <w:szCs w:val="28"/>
          <w:rtl/>
        </w:rPr>
        <w:t xml:space="preserve">اتّصاف فعل واحد بحكمين مختلفين ولو في زمانين لا على وجه الانقلاب بل مع بقاء أثر الحكم الأوّل فلا يجوز إذا كان الحكم الثاني وارداً على عنوان الحكم الأوّل.</w:t>
      </w:r>
    </w:p>
    <w:p>
      <w:pPr>
        <w:pStyle w:val="BookText"/>
      </w:pPr>
      <w:r>
        <w:rPr>
          <w:rFonts w:ascii="IRNazanin" w:hAnsi="IRNazanin" w:eastAsia="IRNazanin" w:cs="IRNazanin"/>
          <w:lang w:bidi="fa-IR"/>
          <w:color w:val="111111"/>
          <w:sz w:val="28"/>
          <w:szCs w:val="28"/>
          <w:rtl/>
        </w:rPr>
        <w:t xml:space="preserve">مثلاً إذا كان الخروج فيما نحن فيه حراماً من الأوّل من حيث إنّه خروج فلا يجوز أن يجب من هذه الحيثيّة بعد الدخول وإن کان الحكم الثاني مشروطاً والأوّل مطلقاً؛ لأنّ ذلك الخروج في محلّه متّصف بالمبغوضیّة والحرمة فلا يعقل أن يكون واجباً أیضاً ولو كان النهي منقطعاً؛ إذ الانقطاع ليس برفع اليد عنه بل بإيجاد سبب المخالفة ومثل هذا الانقطاع لا أثر له.</w:t>
      </w:r>
    </w:p>
    <w:p>
      <w:pPr>
        <w:pStyle w:val="BookText"/>
      </w:pPr>
      <w:r>
        <w:rPr>
          <w:rFonts w:ascii="IRNazanin" w:hAnsi="IRNazanin" w:eastAsia="IRNazanin" w:cs="IRNazanin"/>
          <w:lang w:bidi="fa-IR"/>
          <w:color w:val="111111"/>
          <w:sz w:val="28"/>
          <w:szCs w:val="28"/>
          <w:rtl/>
        </w:rPr>
        <w:t xml:space="preserve">ألا ترى أنّه لو كان قتل زيد حراماً فلا يمكن أن يكون واجباً بعد رمي السهم وقبل الوصول إلیه إلّا بالبداء ومعه يرتفع النهي من الأصل بحيث لا يكون المکلّف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معاقباً ويكون عمله مثل التجرّي على الحرام، وكذا إذا حرم عليه الارتماس في الماء فألقى نفسه من شاهق في الماء فقبل الوصول إلیه وبعد الإلقاء وإن انقطع النهي إلّا أنه لا يمكن أن یتّصف الارتماس بغير الحرمة إلّا مع البداء أو غيره من أنحاء الانقلاب.</w:t>
      </w:r>
    </w:p>
    <w:p>
      <w:pPr>
        <w:pStyle w:val="BookText"/>
      </w:pPr>
      <w:r>
        <w:rPr>
          <w:rFonts w:ascii="IRNazanin" w:hAnsi="IRNazanin" w:eastAsia="IRNazanin" w:cs="IRNazanin"/>
          <w:lang w:bidi="fa-IR"/>
          <w:color w:val="111111"/>
          <w:sz w:val="28"/>
          <w:szCs w:val="28"/>
          <w:rtl/>
        </w:rPr>
        <w:t xml:space="preserve">ففيما نحن فيه أیضاً الخروج إذا كان محرّماً قبل الدخول فلا يعقل أن یتّصف بالوجوب من هذه الحيثيّة بعده.</w:t>
      </w:r>
    </w:p>
    <w:p>
      <w:pPr>
        <w:pStyle w:val="BookText"/>
      </w:pPr>
      <w:r>
        <w:rPr>
          <w:rFonts w:ascii="Amiri" w:hAnsi="Amiri" w:eastAsia="Amiri" w:cs="Amiri"/>
          <w:lang w:bidi="ar-SA"/>
          <w:color w:val="111111"/>
          <w:sz w:val="28"/>
          <w:szCs w:val="28"/>
          <w:rtl/>
        </w:rPr>
        <w:t xml:space="preserve">ودعوى أنّ الارتماس والقتل في المثالين خارجان عن تحت القدرة فلذا لا يعقل وجوبهما بخلاف الخروج فيما نحن فيه؛</w:t>
      </w:r>
    </w:p>
    <w:p>
      <w:pPr>
        <w:pStyle w:val="BookText"/>
      </w:pPr>
      <w:r>
        <w:rPr>
          <w:rFonts w:ascii="Amiri" w:hAnsi="Amiri" w:eastAsia="Amiri" w:cs="Amiri"/>
          <w:lang w:bidi="ar-SA"/>
          <w:color w:val="111111"/>
          <w:sz w:val="28"/>
          <w:szCs w:val="28"/>
          <w:rtl/>
        </w:rPr>
        <w:t xml:space="preserve">مدفوعة بأنّه لا فرق بين الاضطرار إلى الفعل بالخصوص أو إلى أحد الفعلين وفيما نحن فيه وإن لم يكن مضطرّاً إلى خصوص الخروج عقلاً إلّا أنّه مضطرّ إلى أحد المحرّمين من البقاء والخروج.</w:t>
      </w:r>
    </w:p>
    <w:p>
      <w:pPr>
        <w:pStyle w:val="BookText"/>
      </w:pPr>
      <w:r>
        <w:rPr>
          <w:rFonts w:ascii="Amiri" w:hAnsi="Amiri" w:eastAsia="Amiri" w:cs="Amiri"/>
          <w:lang w:bidi="ar-SA"/>
          <w:color w:val="111111"/>
          <w:sz w:val="28"/>
          <w:szCs w:val="28"/>
          <w:rtl/>
        </w:rPr>
        <w:t xml:space="preserve">وإن شئت فقل: إنّه مضطرّ إلى الخروج بعد حكم الشرع بحرمة البقاء وأشدّيّتها من حرمة الخروج.مع أنّ الملاك ليس هو الاضطرار بحيث يكون الفعل خارجاً عن تحت</w:t>
      </w:r>
      <w:r>
        <w:rPr>
          <w:rStyle w:val="FootnoteReference"/>
        </w:rPr>
        <w:footnoteReference w:id="2094"/>
      </w:r>
      <w:r>
        <w:rPr>
          <w:rFonts w:ascii="IRNazanin" w:hAnsi="IRNazanin" w:eastAsia="IRNazanin" w:cs="IRNazanin"/>
          <w:lang w:bidi="fa-IR"/>
          <w:color w:val="111111"/>
          <w:sz w:val="28"/>
          <w:szCs w:val="28"/>
          <w:rtl/>
        </w:rPr>
        <w:t xml:space="preserve">قدرته</w:t>
      </w:r>
      <w:r>
        <w:rPr>
          <w:rStyle w:val="FootnoteReference"/>
        </w:rPr>
        <w:footnoteReference w:id="2095"/>
      </w:r>
      <w:r>
        <w:rPr>
          <w:rFonts w:ascii="IRNazanin" w:hAnsi="IRNazanin" w:eastAsia="IRNazanin" w:cs="IRNazanin"/>
          <w:lang w:bidi="fa-IR"/>
          <w:color w:val="111111"/>
          <w:sz w:val="28"/>
          <w:szCs w:val="28"/>
          <w:rtl/>
        </w:rPr>
        <w:t xml:space="preserve">، بل هو</w:t>
      </w:r>
      <w:r>
        <w:rPr>
          <w:rStyle w:val="FootnoteReference"/>
        </w:rPr>
        <w:footnoteReference w:id="2096"/>
      </w:r>
      <w:r>
        <w:rPr>
          <w:rFonts w:ascii="IRNazanin" w:hAnsi="IRNazanin" w:eastAsia="IRNazanin" w:cs="IRNazanin"/>
          <w:lang w:bidi="fa-IR"/>
          <w:color w:val="111111"/>
          <w:sz w:val="28"/>
          <w:szCs w:val="28"/>
          <w:rtl/>
        </w:rPr>
        <w:t xml:space="preserve">عدم معقولية اتّصاف المحلّ بالمحبوبيّة بعد صيرورته متّصفاً بالمبغوضیّة؛ لأنّ المفروض أنّ الخروج الواقع بعدُ لا يخرج عن كونه مخالفة للآمر ومبغوضاً له.</w:t>
      </w:r>
    </w:p>
    <w:p>
      <w:pPr>
        <w:pStyle w:val="BookText"/>
      </w:pPr>
      <w:r>
        <w:rPr>
          <w:rFonts w:ascii="IRNazanin" w:hAnsi="IRNazanin" w:eastAsia="IRNazanin" w:cs="IRNazanin"/>
          <w:lang w:bidi="fa-IR"/>
          <w:color w:val="111111"/>
          <w:sz w:val="28"/>
          <w:szCs w:val="28"/>
          <w:rtl/>
        </w:rPr>
        <w:t xml:space="preserve">وهذا الحكم جارٍ في جميع الموارد الّتي أوجد المکلّف سبب الحرام ولم يتحقّق المحرّم بعدُ في الخارج فلا يعقل اتّصافه بحكم مخالف بغير الانقلاب.</w:t>
      </w:r>
    </w:p>
    <w:p>
      <w:pPr>
        <w:pStyle w:val="BookText"/>
      </w:pPr>
      <w:r>
        <w:rPr>
          <w:rFonts w:ascii="IRNazanin" w:hAnsi="IRNazanin" w:eastAsia="IRNazanin" w:cs="IRNazanin"/>
          <w:lang w:bidi="fa-IR"/>
          <w:color w:val="111111"/>
          <w:sz w:val="28"/>
          <w:szCs w:val="28"/>
          <w:rtl/>
        </w:rPr>
        <w:t xml:space="preserve">نعم إذا كان له عنوان آخر يجوز أن یتّصف بالحكم المخالف من حيث ذلك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96" w:name="pg6784_51656"/>
    <w:bookmarkEnd w:id="296"/>
    <w:p>
      <w:pPr>
        <w:pStyle w:val="BookText"/>
      </w:pPr>
      <w:r>
        <w:rPr>
          <w:rFonts w:ascii="IRNazanin" w:hAnsi="IRNazanin" w:eastAsia="IRNazanin" w:cs="IRNazanin"/>
          <w:lang w:bidi="fa-IR"/>
          <w:color w:val="111111"/>
          <w:sz w:val="28"/>
          <w:szCs w:val="28"/>
          <w:rtl/>
        </w:rPr>
        <w:t xml:space="preserve">العنوان فمثل الارتماس المفروض يجوز أن یتّصف بالوجوب من حيث إنّه غسل الجنابة لكن إذا كان الحكم وارداً على عنوان الغسل الأعمّ من الارتماس والترتيب، وإلّا فلايجوز وجوب خصوص الارتماسي</w:t>
      </w:r>
      <w:r>
        <w:rPr>
          <w:rStyle w:val="FootnoteReference"/>
        </w:rPr>
        <w:footnoteReference w:id="2097"/>
      </w:r>
      <w:r>
        <w:rPr>
          <w:rFonts w:ascii="Amiri" w:hAnsi="Amiri" w:eastAsia="Amiri" w:cs="Amiri"/>
          <w:lang w:bidi="ar-SA"/>
          <w:color w:val="111111"/>
          <w:sz w:val="28"/>
          <w:szCs w:val="28"/>
          <w:rtl/>
        </w:rPr>
        <w:t xml:space="preserve">من الغسل؛ لأنّه إذا كان الارتماس حراماً فلايجوز أن يكون واجباً ولو في ضمن الغسل، وأمّا إذا وجبت</w:t>
      </w:r>
      <w:r>
        <w:rPr>
          <w:rStyle w:val="FootnoteReference"/>
        </w:rPr>
        <w:footnoteReference w:id="2098"/>
      </w:r>
      <w:r>
        <w:rPr>
          <w:rFonts w:ascii="Amiri" w:hAnsi="Amiri" w:eastAsia="Amiri" w:cs="Amiri"/>
          <w:lang w:bidi="ar-SA"/>
          <w:color w:val="111111"/>
          <w:sz w:val="28"/>
          <w:szCs w:val="28"/>
          <w:rtl/>
        </w:rPr>
        <w:t xml:space="preserve">طبيعة الغسل</w:t>
      </w:r>
      <w:r>
        <w:rPr>
          <w:rStyle w:val="FootnoteReference"/>
        </w:rPr>
        <w:footnoteReference w:id="2099"/>
      </w:r>
      <w:r>
        <w:rPr>
          <w:rFonts w:ascii="IRNazanin" w:hAnsi="IRNazanin" w:eastAsia="IRNazanin" w:cs="IRNazanin"/>
          <w:lang w:bidi="fa-IR"/>
          <w:color w:val="111111"/>
          <w:sz w:val="28"/>
          <w:szCs w:val="28"/>
          <w:rtl/>
        </w:rPr>
        <w:t xml:space="preserve">الأعمّ فأوجده المکلّف في ضمن الارتماس فلا بأس به ويكون من اجتماع الأمر والنهي مع تعدّد الجهة، وفي المقام أیضاً يمكن أن یتّصف الخروج بالوجوب</w:t>
      </w:r>
      <w:r>
        <w:rPr>
          <w:rStyle w:val="FootnoteReference"/>
        </w:rPr>
        <w:footnoteReference w:id="2100"/>
      </w:r>
      <w:r>
        <w:rPr>
          <w:rFonts w:ascii="IRNazanin" w:hAnsi="IRNazanin" w:eastAsia="IRNazanin" w:cs="IRNazanin"/>
          <w:lang w:bidi="fa-IR"/>
          <w:color w:val="111111"/>
          <w:sz w:val="28"/>
          <w:szCs w:val="28"/>
          <w:rtl/>
        </w:rPr>
        <w:t xml:space="preserve">من حيث إنّه تخلّص عن الغصب وإن کان منحصراً فيه فيكون تعدّد الجهة مجدياً في ذلك وإن لم يكن مجدياً مع اتّحاد الزمان لفرض الانحصار.</w:t>
      </w:r>
    </w:p>
    <w:p>
      <w:pPr>
        <w:pStyle w:val="Heading6"/>
      </w:pPr>
      <w:bookmarkStart w:id="835" w:name="_Toc516"/>
      <w:r>
        <w:t>[حاصل الکلام]</w:t>
      </w:r>
      <w:bookmarkEnd w:id="835"/>
    </w:p>
    <w:p>
      <w:pPr>
        <w:pStyle w:val="BookText"/>
      </w:pPr>
      <w:r>
        <w:rPr>
          <w:rFonts w:ascii="Amiri" w:hAnsi="Amiri" w:eastAsia="Amiri" w:cs="Amiri"/>
          <w:lang w:bidi="ar-SA"/>
          <w:color w:val="111111"/>
          <w:sz w:val="28"/>
          <w:szCs w:val="28"/>
          <w:rtl/>
        </w:rPr>
        <w:t xml:space="preserve">والحاصل: أنّه يجوز اجتماع الوجوب والحرمة في شي‌ء واحد شخصي إذا كان مع تعدّد العنوان مع المندوحة ولو في زمان واحد، ولا مع المندوحة لفرض الانحصار إذا كان في زمانين، فتعدّد الزمان بمنزلة المندوحة في صورة وحدة الزمانفيشترط في جواز الاجتماع أمران: تعدّد العنوان، وأحد الأمرين من المندوحة أو تعدّد الزمان.</w:t>
      </w:r>
    </w:p>
    <w:p>
      <w:pPr>
        <w:pStyle w:val="BookText"/>
      </w:pPr>
      <w:r>
        <w:rPr>
          <w:rFonts w:ascii="Amiri" w:hAnsi="Amiri" w:eastAsia="Amiri" w:cs="Amiri"/>
          <w:lang w:bidi="ar-SA"/>
          <w:color w:val="111111"/>
          <w:sz w:val="28"/>
          <w:szCs w:val="28"/>
          <w:rtl/>
        </w:rPr>
        <w:t xml:space="preserve">إذا عرفت ذلك ظهر لك الحال في المسألة وأنّه منهي عنه قبل الدخول ومأمور به بعده لكن بعنوان التخلّص.</w:t>
      </w:r>
    </w:p>
    <w:p>
      <w:pPr>
        <w:pStyle w:val="BookText"/>
      </w:pPr>
      <w:r>
        <w:rPr>
          <w:rFonts w:ascii="Amiri" w:hAnsi="Amiri" w:eastAsia="Amiri" w:cs="Amiri"/>
          <w:lang w:bidi="ar-SA"/>
          <w:color w:val="111111"/>
          <w:sz w:val="28"/>
          <w:szCs w:val="28"/>
          <w:rtl/>
        </w:rPr>
        <w:t xml:space="preserve">وإنّ ما ذكره في الفصول من الجواز مع تعدّد الزمان</w:t>
      </w:r>
      <w:r>
        <w:rPr>
          <w:rStyle w:val="FootnoteReference"/>
        </w:rPr>
        <w:footnoteReference w:id="2101"/>
      </w:r>
      <w:r>
        <w:rPr>
          <w:rFonts w:ascii="IRNazanin" w:hAnsi="IRNazanin" w:eastAsia="IRNazanin" w:cs="IRNazanin"/>
          <w:lang w:bidi="fa-IR"/>
          <w:color w:val="111111"/>
          <w:sz w:val="28"/>
          <w:szCs w:val="28"/>
          <w:rtl/>
        </w:rPr>
        <w:t xml:space="preserve">إنّما ينفع على مذاق من يجوّز الاجتماع مع تعدّد الجهة ويقول بتعلّق الأحکام بالطبایع، وأمّا على مذاقه فلا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97" w:name="pg6784_51658"/>
    <w:bookmarkEnd w:id="297"/>
    <w:p>
      <w:pPr>
        <w:pStyle w:val="BookText"/>
      </w:pPr>
      <w:r>
        <w:rPr>
          <w:rFonts w:ascii="IRNazanin" w:hAnsi="IRNazanin" w:eastAsia="IRNazanin" w:cs="IRNazanin"/>
          <w:lang w:bidi="fa-IR"/>
          <w:color w:val="111111"/>
          <w:sz w:val="28"/>
          <w:szCs w:val="28"/>
          <w:rtl/>
        </w:rPr>
        <w:t xml:space="preserve">ينفع، وأیضاً ظاهر کلامه إجداء تعدّد الزمان حتّى مع عدم تعدّد العنوان وقد عرفت استحالته وأنّ تنظيره بالبداء تنظير بغير النظير.</w:t>
      </w:r>
    </w:p>
    <w:p>
      <w:pPr>
        <w:pStyle w:val="BookText"/>
      </w:pPr>
      <w:r>
        <w:rPr>
          <w:rFonts w:ascii="IRNazanin" w:hAnsi="IRNazanin" w:eastAsia="IRNazanin" w:cs="IRNazanin"/>
          <w:lang w:bidi="fa-IR"/>
          <w:color w:val="111111"/>
          <w:sz w:val="28"/>
          <w:szCs w:val="28"/>
          <w:rtl/>
        </w:rPr>
        <w:t xml:space="preserve">فإن قلت: على ما ذكرت أیضاً يلزم ورود الحكمين على عنوان واحد؛ وذلك لأنّ هذا القسم من التخلّص كان قبل الدخول متّصفاً بالحرمة فلا يعقل أن يكون واجباً بعده.</w:t>
      </w:r>
    </w:p>
    <w:p>
      <w:pPr>
        <w:pStyle w:val="BookText"/>
      </w:pPr>
      <w:r>
        <w:rPr>
          <w:rFonts w:ascii="Amiri" w:hAnsi="Amiri" w:eastAsia="Amiri" w:cs="Amiri"/>
          <w:lang w:bidi="ar-SA"/>
          <w:color w:val="111111"/>
          <w:sz w:val="28"/>
          <w:szCs w:val="28"/>
          <w:rtl/>
        </w:rPr>
        <w:t xml:space="preserve">قلت: نعم ولكن ليست الحرمة واردة عليه بعنوان أنّه تخلّص بل بعنوان أنّه غصب، فالتخلّص المخصوص مصداق للحرام لا أنّه بعنوانه حرام، وهذا واضح</w:t>
      </w:r>
      <w:r>
        <w:rPr>
          <w:rStyle w:val="FootnoteReference"/>
        </w:rPr>
        <w:footnoteReference w:id="2102"/>
      </w:r>
    </w:p>
    <w:p>
      <w:pPr>
        <w:pStyle w:val="Heading6"/>
      </w:pPr>
      <w:bookmarkStart w:id="836" w:name="_Toc517"/>
      <w:r>
        <w:t>[نقد کلام المحقّق الأنصاري (رحمة الله‌علیه)]</w:t>
      </w:r>
      <w:bookmarkEnd w:id="836"/>
    </w:p>
    <w:p>
      <w:pPr>
        <w:pStyle w:val="BookText"/>
      </w:pPr>
      <w:r>
        <w:rPr>
          <w:rFonts w:ascii="IRNazanin" w:hAnsi="IRNazanin" w:eastAsia="IRNazanin" w:cs="IRNazanin"/>
          <w:lang w:bidi="fa-IR"/>
          <w:color w:val="111111"/>
          <w:sz w:val="28"/>
          <w:szCs w:val="28"/>
          <w:rtl/>
        </w:rPr>
        <w:t xml:space="preserve">وممّا ذكرنا من إمکان توجّه النهي إلى الحرام المضطرّ إلیه قبل الاضطرار وإن وجب بعده ظهر أنّه لا حاجة إلى التزام كون النهي في أمثال ذلك متوجّهاً إلى إيجاد سبب الاضطرار دون نفس الفعل المضطرّ إلیه لمكان وجوبه بالاضطرار.</w:t>
      </w:r>
    </w:p>
    <w:p>
      <w:pPr>
        <w:pStyle w:val="BookText"/>
      </w:pPr>
      <w:r>
        <w:rPr>
          <w:rFonts w:ascii="IRNazanin" w:hAnsi="IRNazanin" w:eastAsia="IRNazanin" w:cs="IRNazanin"/>
          <w:lang w:bidi="fa-IR"/>
          <w:color w:val="111111"/>
          <w:sz w:val="28"/>
          <w:szCs w:val="28"/>
          <w:rtl/>
        </w:rPr>
        <w:t xml:space="preserve">فلا وجه لما ذهب إلیه بعضهم من الالتزام بذلك حيث إنّه لمّا حكم بأنّ مثل التصرّف في مال الغير وشرب الخمر ونحوهما في حدّ نفسه لا حكم له ولا یتّصف بالحرمة بل يختلف باختلاف العناوين اللاحقة</w:t>
      </w:r>
      <w:r>
        <w:rPr>
          <w:rStyle w:val="FootnoteReference"/>
        </w:rPr>
        <w:footnoteReference w:id="2103"/>
      </w:r>
      <w:r>
        <w:rPr>
          <w:rFonts w:ascii="Amiri" w:hAnsi="Amiri" w:eastAsia="Amiri" w:cs="Amiri"/>
          <w:lang w:bidi="ar-SA"/>
          <w:color w:val="111111"/>
          <w:sz w:val="28"/>
          <w:szCs w:val="28"/>
          <w:rtl/>
        </w:rPr>
        <w:t xml:space="preserve">ويكون</w:t>
      </w:r>
      <w:r>
        <w:rPr>
          <w:rStyle w:val="FootnoteReference"/>
        </w:rPr>
        <w:footnoteReference w:id="2104"/>
      </w:r>
      <w:r>
        <w:rPr>
          <w:rFonts w:ascii="IRNazanin" w:hAnsi="IRNazanin" w:eastAsia="IRNazanin" w:cs="IRNazanin"/>
          <w:lang w:bidi="fa-IR"/>
          <w:color w:val="111111"/>
          <w:sz w:val="28"/>
          <w:szCs w:val="28"/>
          <w:rtl/>
        </w:rPr>
        <w:t xml:space="preserve">الخروج في المثال المتقدّمحراماً قبل الدّخول رأی</w:t>
      </w:r>
      <w:r>
        <w:rPr>
          <w:rStyle w:val="FootnoteReference"/>
        </w:rPr>
        <w:footnoteReference w:id="2105"/>
      </w:r>
      <w:r>
        <w:rPr>
          <w:rFonts w:ascii="Amiri" w:hAnsi="Amiri" w:eastAsia="Amiri" w:cs="Amiri"/>
          <w:lang w:bidi="ar-SA"/>
          <w:color w:val="111111"/>
          <w:sz w:val="28"/>
          <w:szCs w:val="28"/>
          <w:rtl/>
        </w:rPr>
        <w:t xml:space="preserve">أنّ لازم ذلك وجوب إيجاد السّبب من باب المقدّمة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للتخلّص الواجب أو لا أقلّ من جوازه بناءً على كون وجوب التخلّص مشروطاً بالدخول مع أنّه لا يمكن الالتزام بشي‌ء منهما فحكم بأنّ النهي في أمثال ذلك متعلّق بإيجاد السبب للاضطرار.</w:t>
      </w:r>
    </w:p>
    <w:p>
      <w:pPr>
        <w:pStyle w:val="BookText"/>
      </w:pPr>
      <w:r>
        <w:rPr>
          <w:rFonts w:ascii="Amiri" w:hAnsi="Amiri" w:eastAsia="Amiri" w:cs="Amiri"/>
          <w:lang w:bidi="ar-SA"/>
          <w:color w:val="111111"/>
          <w:sz w:val="28"/>
          <w:szCs w:val="28"/>
          <w:rtl/>
        </w:rPr>
        <w:t xml:space="preserve">قال: ونظير ذلك قد يتحقّق في الأوامر فإنّه ربما لا يمكن الأمر بشي‌ء ابتداءً فيتعلّق الأمر</w:t>
      </w:r>
      <w:r>
        <w:rPr>
          <w:rStyle w:val="FootnoteReference"/>
        </w:rPr>
        <w:footnoteReference w:id="2106"/>
      </w:r>
      <w:r>
        <w:rPr>
          <w:rFonts w:ascii="IRNazanin" w:hAnsi="IRNazanin" w:eastAsia="IRNazanin" w:cs="IRNazanin"/>
          <w:lang w:bidi="fa-IR"/>
          <w:color w:val="111111"/>
          <w:sz w:val="28"/>
          <w:szCs w:val="28"/>
          <w:rtl/>
        </w:rPr>
        <w:t xml:space="preserve">بمقدّمته، ثمّ يتعلّق بعد ذلك بذيها وذلك كما لو قلنا بعدم تکلیف الغافل الصرف إلّا بعد العلم التفصيلي فإنّ الآمر لو حاول طلب شي‌ء منه لا بدّ أن يطلب أوّلاً تحصيل</w:t>
      </w:r>
      <w:r>
        <w:rPr>
          <w:rStyle w:val="FootnoteReference"/>
        </w:rPr>
        <w:footnoteReference w:id="2107"/>
      </w:r>
      <w:r>
        <w:rPr>
          <w:rFonts w:ascii="IRNazanin" w:hAnsi="IRNazanin" w:eastAsia="IRNazanin" w:cs="IRNazanin"/>
          <w:lang w:bidi="fa-IR"/>
          <w:color w:val="111111"/>
          <w:sz w:val="28"/>
          <w:szCs w:val="28"/>
          <w:rtl/>
        </w:rPr>
        <w:t xml:space="preserve">العلم حتّى يتوجّه إلیه التکلیف بذي المقدّمة.</w:t>
      </w:r>
    </w:p>
    <w:p>
      <w:pPr>
        <w:pStyle w:val="BookText"/>
      </w:pPr>
      <w:r>
        <w:rPr>
          <w:rFonts w:ascii="Amiri" w:hAnsi="Amiri" w:eastAsia="Amiri" w:cs="Amiri"/>
          <w:lang w:bidi="ar-SA"/>
          <w:color w:val="111111"/>
          <w:sz w:val="28"/>
          <w:szCs w:val="28"/>
          <w:rtl/>
        </w:rPr>
        <w:t xml:space="preserve">ومن هنا ذهب جماعة</w:t>
      </w:r>
      <w:r>
        <w:rPr>
          <w:rStyle w:val="FootnoteReference"/>
        </w:rPr>
        <w:footnoteReference w:id="2108"/>
      </w:r>
      <w:r>
        <w:rPr>
          <w:rFonts w:ascii="IRNazanin" w:hAnsi="IRNazanin" w:eastAsia="IRNazanin" w:cs="IRNazanin"/>
          <w:lang w:bidi="fa-IR"/>
          <w:color w:val="111111"/>
          <w:sz w:val="28"/>
          <w:szCs w:val="28"/>
          <w:rtl/>
        </w:rPr>
        <w:t xml:space="preserve">إلى أنّ المکلّف المقصّر إنّما يعاقب على ترك تحصيل العلم وإلى ما ذكرنا يشير بعض الأخبار من المنع عن المسافرة إلى البلاد الّتي لا يتمکّن المسافر</w:t>
      </w:r>
      <w:r>
        <w:rPr>
          <w:rStyle w:val="FootnoteReference"/>
        </w:rPr>
        <w:footnoteReference w:id="2109"/>
      </w:r>
      <w:r>
        <w:rPr>
          <w:rFonts w:ascii="Amiri" w:hAnsi="Amiri" w:eastAsia="Amiri" w:cs="Amiri"/>
          <w:lang w:bidi="ar-SA"/>
          <w:color w:val="111111"/>
          <w:sz w:val="28"/>
          <w:szCs w:val="28"/>
          <w:rtl/>
        </w:rPr>
        <w:t xml:space="preserve">فيها من أداء أحكام الإسلام وعلى ذلك استقرّ بناء العقلاء في أمور معاشهم؛ إذ يعاقبون على التسبيبات المذكورة دون نفس</w:t>
      </w:r>
      <w:r>
        <w:rPr>
          <w:rStyle w:val="FootnoteReference"/>
        </w:rPr>
        <w:footnoteReference w:id="2110"/>
      </w:r>
      <w:r>
        <w:rPr>
          <w:rFonts w:ascii="Amiri" w:hAnsi="Amiri" w:eastAsia="Amiri" w:cs="Amiri"/>
          <w:lang w:bidi="ar-SA"/>
          <w:color w:val="111111"/>
          <w:sz w:val="28"/>
          <w:szCs w:val="28"/>
          <w:rtl/>
        </w:rPr>
        <w:t xml:space="preserve">المسبّبات.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 حمل کلام الرّازى</w:t>
      </w:r>
      <w:r>
        <w:rPr>
          <w:rStyle w:val="FootnoteReference"/>
        </w:rPr>
        <w:footnoteReference w:id="2111"/>
      </w:r>
      <w:r>
        <w:rPr>
          <w:rFonts w:ascii="Amiri" w:hAnsi="Amiri" w:eastAsia="Amiri" w:cs="Amiri"/>
          <w:lang w:bidi="ar-SA"/>
          <w:color w:val="111111"/>
          <w:sz w:val="28"/>
          <w:szCs w:val="28"/>
          <w:rtl/>
        </w:rPr>
        <w:t xml:space="preserve">على ذلك أولى ممّا حمله عليه صاحب الفصول</w:t>
      </w:r>
      <w:r>
        <w:rPr>
          <w:rStyle w:val="FootnoteReference"/>
        </w:rPr>
        <w:footnoteReference w:id="2112"/>
      </w:r>
    </w:p>
    <w:p>
      <w:pPr>
        <w:pStyle w:val="BookText"/>
      </w:pPr>
      <w:r>
        <w:rPr>
          <w:rFonts w:ascii="IRNazanin" w:hAnsi="IRNazanin" w:eastAsia="IRNazanin" w:cs="IRNazanin"/>
          <w:lang w:bidi="fa-IR"/>
          <w:color w:val="111111"/>
          <w:sz w:val="28"/>
          <w:szCs w:val="28"/>
          <w:rtl/>
        </w:rPr>
        <w:t xml:space="preserve">ومضى أنّ نسبة هذا الکلام إلى الرازي غیر ثابتة، وهذا قول الجویني.</w:t>
      </w:r>
    </w:p>
    <w:p>
      <w:pPr>
        <w:pStyle w:val="BookText"/>
      </w:pPr>
      <w:r>
        <w:rPr>
          <w:rFonts w:ascii="Amiri" w:hAnsi="Amiri" w:eastAsia="Amiri" w:cs="Amiri"/>
          <w:lang w:bidi="ar-SA"/>
          <w:color w:val="111111"/>
          <w:sz w:val="28"/>
          <w:szCs w:val="28"/>
          <w:rtl/>
        </w:rPr>
        <w:t xml:space="preserve">لماعرفت من فساده جدّاً، كما أنّه يحتمل أن يكون ذلك مراد من قال: إنّ الامتناع بالاختيار لا ينافي الاختيار خطاباً لا عقاباً، فإنّ العقاب على الممتنع قبيح فلا بدّ أن يكون المراد العقاب على السّبب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IRNazanin" w:hAnsi="IRNazanin" w:eastAsia="IRNazanin" w:cs="IRNazanin"/>
          <w:lang w:bidi="fa-IR"/>
          <w:color w:val="111111"/>
          <w:sz w:val="28"/>
          <w:szCs w:val="28"/>
          <w:rtl/>
        </w:rPr>
        <w:t xml:space="preserve">إذ قد عرفت إمکان توجّه الخطاب بذي المقدّمة مع أنّ الحكم بحرمة السبب المذكور إن کان من باب المقدّميّة فلا يعقل إلّا مع حرمة ذي المقدّمة، وإن کان من باب أنّه محرّم نفسي فلا وجه له؛ إذ من المعلوم أنّه لا مفسدة فيه سوى الإيصال إلى الحرام.</w:t>
      </w:r>
    </w:p>
    <w:p>
      <w:pPr>
        <w:pStyle w:val="BookText"/>
      </w:pPr>
      <w:r>
        <w:rPr>
          <w:rFonts w:ascii="IRNazanin" w:hAnsi="IRNazanin" w:eastAsia="IRNazanin" w:cs="IRNazanin"/>
          <w:lang w:bidi="fa-IR"/>
          <w:color w:val="111111"/>
          <w:sz w:val="28"/>
          <w:szCs w:val="28"/>
          <w:rtl/>
        </w:rPr>
        <w:t xml:space="preserve">ودعوى أنّ الإيصال إلى الحرام أیضاً من المفاسد فيمكن الحرمة النفسيّة لذلك؛</w:t>
      </w:r>
    </w:p>
    <w:p>
      <w:pPr>
        <w:pStyle w:val="BookText"/>
      </w:pPr>
      <w:r>
        <w:rPr>
          <w:rFonts w:ascii="Amiri" w:hAnsi="Amiri" w:eastAsia="Amiri" w:cs="Amiri"/>
          <w:lang w:bidi="ar-SA"/>
          <w:color w:val="111111"/>
          <w:sz w:val="28"/>
          <w:szCs w:val="28"/>
          <w:rtl/>
        </w:rPr>
        <w:t xml:space="preserve">مدفوعة بأنّ لازمه الحكم بوجوب المقدّمات وحرمتها نفساً ولا يمكن الالتزام به.</w:t>
      </w:r>
    </w:p>
    <w:p>
      <w:pPr>
        <w:pStyle w:val="BookText"/>
      </w:pPr>
      <w:r>
        <w:rPr>
          <w:rFonts w:ascii="IRNazanin" w:hAnsi="IRNazanin" w:eastAsia="IRNazanin" w:cs="IRNazanin"/>
          <w:lang w:bidi="fa-IR"/>
          <w:color w:val="111111"/>
          <w:sz w:val="28"/>
          <w:szCs w:val="28"/>
          <w:rtl/>
        </w:rPr>
        <w:t xml:space="preserve">ولا يخفى أنّ ما ذكره هذا القائل غير ما اختاره بعضهم من أنّ الأمر بالمسبّبات أمر بأسبابها وكذا النهي؛ إذ ذلك أیضاً إنّما يفرض فيما يمكن تعلّق التکلیف بالمسبّبات والمفروض في المقام عدم إمکان النهي عن المسبّب على ما ذكره هذا القائل.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وأمّا في مسألة الجاهل فلا وجه للقول بكون تحصيل العلم واجباً نفسيّاً بل التکلیف متعلّق بالواقعيّات وإلّا لزم التصويب.</w:t>
      </w:r>
    </w:p>
    <w:p>
      <w:pPr>
        <w:pStyle w:val="BookText"/>
      </w:pPr>
      <w:r>
        <w:rPr>
          <w:rFonts w:ascii="IRNazanin" w:hAnsi="IRNazanin" w:eastAsia="IRNazanin" w:cs="IRNazanin"/>
          <w:lang w:bidi="fa-IR"/>
          <w:color w:val="111111"/>
          <w:sz w:val="28"/>
          <w:szCs w:val="28"/>
          <w:rtl/>
        </w:rPr>
        <w:t xml:space="preserve">والتکلیف مقتضٍ للعقاب إلّا إذا كان للمکلّف عذر قاطع فمع فرض تقصيره لا مانع من عقابه على نفس الواقع وإن کان غافلاً عنه وإن فرض عدم قدرته على إتیانالواقع مع قطع النظر عن الجهل فنقول: لا مانع من عقابه إذا كان ذلك من جهة تقصيره في المقدّمات لكن مع الالتزام بكون التكاليف من باب الواجبات المعلّقة لا المشروطة وإلّا فلو كان التقصير قبل أوقات التكاليف يشکل عقابهم ونلتزم بالعدم حینئذٍ.</w:t>
      </w:r>
    </w:p>
    <w:p>
      <w:pPr>
        <w:pStyle w:val="BookText"/>
      </w:pPr>
      <w:r>
        <w:rPr>
          <w:rFonts w:ascii="IRNazanin" w:hAnsi="IRNazanin" w:eastAsia="IRNazanin" w:cs="IRNazanin"/>
          <w:lang w:bidi="fa-IR"/>
          <w:color w:val="111111"/>
          <w:sz w:val="28"/>
          <w:szCs w:val="28"/>
          <w:rtl/>
        </w:rPr>
        <w:t xml:space="preserve">وأمّا کلام الرازي</w:t>
      </w:r>
      <w:r>
        <w:rPr>
          <w:rStyle w:val="FootnoteReference"/>
        </w:rPr>
        <w:footnoteReference w:id="2113"/>
      </w:r>
      <w:r>
        <w:rPr>
          <w:rFonts w:ascii="Amiri" w:hAnsi="Amiri" w:eastAsia="Amiri" w:cs="Amiri"/>
          <w:lang w:bidi="ar-SA"/>
          <w:color w:val="111111"/>
          <w:sz w:val="28"/>
          <w:szCs w:val="28"/>
          <w:rtl/>
        </w:rPr>
        <w:t xml:space="preserve">فقد عرفت محمله، وكذا قولهم: الامتناع بالاختيار لا ينافي الاختيار.</w:t>
      </w:r>
    </w:p>
    <w:p>
      <w:pPr>
        <w:pStyle w:val="BookText"/>
      </w:pPr>
      <w:r>
        <w:rPr>
          <w:rFonts w:ascii="Amiri" w:hAnsi="Amiri" w:eastAsia="Amiri" w:cs="Amiri"/>
          <w:lang w:bidi="ar-SA"/>
          <w:color w:val="111111"/>
          <w:sz w:val="28"/>
          <w:szCs w:val="28"/>
          <w:rtl/>
        </w:rPr>
        <w:t xml:space="preserve">وأمّا دعوى استقرار بناء العقلاء على ما ذكره فهي ممنوعة بل عقابهم على نفس المسبّبات وإن كانت غير مقدورة؛ لأنّ القدرة عليها حين إيجاد الأسباب كافٍ في صحّة العقاب عليها. فتدبّر.</w:t>
      </w:r>
    </w:p>
    <w:p>
      <w:pPr>
        <w:pStyle w:val="BookText"/>
      </w:pPr>
      <w:r>
        <w:rPr>
          <w:rFonts w:ascii="IRNazanin" w:hAnsi="IRNazanin" w:eastAsia="IRNazanin" w:cs="IRNazanin"/>
          <w:lang w:bidi="fa-IR"/>
          <w:color w:val="111111"/>
          <w:sz w:val="28"/>
          <w:szCs w:val="28"/>
          <w:rtl/>
        </w:rPr>
        <w:t xml:space="preserve">ثمّ لا يخفى أنّه بناءً على وجوب الخروج سواء قلنا بكونه منهياً عنه بالنهي السّابق أو لا، يكون وجوبه مقصوراً على ما إذا كان بقصد التخلّص مع حصوله أیضاً في الخارج.</w:t>
      </w:r>
    </w:p>
    <w:p>
      <w:pPr>
        <w:pStyle w:val="BookText"/>
      </w:pPr>
      <w:r>
        <w:rPr>
          <w:rFonts w:ascii="IRNazanin" w:hAnsi="IRNazanin" w:eastAsia="IRNazanin" w:cs="IRNazanin"/>
          <w:lang w:bidi="fa-IR"/>
          <w:color w:val="111111"/>
          <w:sz w:val="28"/>
          <w:szCs w:val="28"/>
          <w:rtl/>
        </w:rPr>
        <w:t xml:space="preserve">فلو خرج لا بعنوان التخلّص بل بقصد العدوان أو لا</w:t>
      </w:r>
      <w:r>
        <w:rPr>
          <w:rStyle w:val="FootnoteReference"/>
        </w:rPr>
        <w:footnoteReference w:id="2114"/>
      </w:r>
      <w:r>
        <w:rPr>
          <w:rFonts w:ascii="Amiri" w:hAnsi="Amiri" w:eastAsia="Amiri" w:cs="Amiri"/>
          <w:lang w:bidi="ar-SA"/>
          <w:color w:val="111111"/>
          <w:sz w:val="28"/>
          <w:szCs w:val="28"/>
          <w:rtl/>
        </w:rPr>
        <w:t xml:space="preserve">عن قصد لا يخرج عن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 محرّماً ومعاقباً عليه ولا يشمله الإذن أو</w:t>
      </w:r>
      <w:r>
        <w:rPr>
          <w:rStyle w:val="FootnoteReference"/>
        </w:rPr>
        <w:footnoteReference w:id="2115"/>
      </w:r>
      <w:r>
        <w:rPr>
          <w:rFonts w:ascii="IRNazanin" w:hAnsi="IRNazanin" w:eastAsia="IRNazanin" w:cs="IRNazanin"/>
          <w:lang w:bidi="fa-IR"/>
          <w:color w:val="111111"/>
          <w:sz w:val="28"/>
          <w:szCs w:val="28"/>
          <w:rtl/>
        </w:rPr>
        <w:t xml:space="preserve">الوجوب</w:t>
      </w:r>
      <w:r>
        <w:rPr>
          <w:rStyle w:val="FootnoteReference"/>
        </w:rPr>
        <w:footnoteReference w:id="2116"/>
      </w:r>
      <w:r>
        <w:rPr>
          <w:rFonts w:ascii="Amiri" w:hAnsi="Amiri" w:eastAsia="Amiri" w:cs="Amiri"/>
          <w:lang w:bidi="ar-SA"/>
          <w:color w:val="111111"/>
          <w:sz w:val="28"/>
          <w:szCs w:val="28"/>
          <w:rtl/>
        </w:rPr>
        <w:t xml:space="preserve">لا لاعتبار قصد العنوان في صدق موضوع التخلّص نظير ما يقال في مثل</w:t>
      </w:r>
      <w:r>
        <w:rPr>
          <w:rStyle w:val="FootnoteReference"/>
        </w:rPr>
        <w:footnoteReference w:id="2117"/>
      </w:r>
      <w:r>
        <w:rPr>
          <w:rFonts w:ascii="IRNazanin" w:hAnsi="IRNazanin" w:eastAsia="IRNazanin" w:cs="IRNazanin"/>
          <w:lang w:bidi="fa-IR"/>
          <w:color w:val="111111"/>
          <w:sz w:val="28"/>
          <w:szCs w:val="28"/>
          <w:rtl/>
        </w:rPr>
        <w:t xml:space="preserve">التأديب والتعظيم لمنع ذلك فيه بل فيهما أیضاً فإنّ التخلّص يتحقّق بالخروج ولو كان لا عن قصد وكذلك التأديب والتعظيم.</w:t>
      </w:r>
    </w:p>
    <w:p>
      <w:pPr>
        <w:pStyle w:val="BookText"/>
      </w:pPr>
      <w:r>
        <w:rPr>
          <w:rFonts w:ascii="Amiri" w:hAnsi="Amiri" w:eastAsia="Amiri" w:cs="Amiri"/>
          <w:lang w:bidi="ar-SA"/>
          <w:color w:val="111111"/>
          <w:sz w:val="28"/>
          <w:szCs w:val="28"/>
          <w:rtl/>
        </w:rPr>
        <w:t xml:space="preserve">فإنّ التأديب إيجاد الأدب والتعظيم إيجاد ما يوجب العظمة ولا يتوقّف شي‌ءمن</w:t>
      </w:r>
      <w:r>
        <w:rPr>
          <w:rStyle w:val="FootnoteReference"/>
        </w:rPr>
        <w:footnoteReference w:id="2118"/>
      </w:r>
      <w:r>
        <w:rPr>
          <w:rFonts w:ascii="Amiri" w:hAnsi="Amiri" w:eastAsia="Amiri" w:cs="Amiri"/>
          <w:lang w:bidi="ar-SA"/>
          <w:color w:val="111111"/>
          <w:sz w:val="28"/>
          <w:szCs w:val="28"/>
          <w:rtl/>
        </w:rPr>
        <w:t xml:space="preserve">ذلك</w:t>
      </w:r>
      <w:r>
        <w:rPr>
          <w:rStyle w:val="FootnoteReference"/>
        </w:rPr>
        <w:footnoteReference w:id="2119"/>
      </w:r>
      <w:r>
        <w:rPr>
          <w:rFonts w:ascii="IRNazanin" w:hAnsi="IRNazanin" w:eastAsia="IRNazanin" w:cs="IRNazanin"/>
          <w:lang w:bidi="fa-IR"/>
          <w:color w:val="111111"/>
          <w:sz w:val="28"/>
          <w:szCs w:val="28"/>
          <w:rtl/>
        </w:rPr>
        <w:t xml:space="preserve">على القصد.</w:t>
      </w:r>
    </w:p>
    <w:p>
      <w:pPr>
        <w:pStyle w:val="BookText"/>
      </w:pPr>
      <w:r>
        <w:rPr>
          <w:rFonts w:ascii="Amiri" w:hAnsi="Amiri" w:eastAsia="Amiri" w:cs="Amiri"/>
          <w:lang w:bidi="ar-SA"/>
          <w:color w:val="111111"/>
          <w:sz w:val="28"/>
          <w:szCs w:val="28"/>
          <w:rtl/>
        </w:rPr>
        <w:t xml:space="preserve">نعم لا نضايق في أنّ بعض أفراد</w:t>
      </w:r>
      <w:r>
        <w:rPr>
          <w:rStyle w:val="FootnoteReference"/>
        </w:rPr>
        <w:footnoteReference w:id="2120"/>
      </w:r>
      <w:r>
        <w:rPr>
          <w:rFonts w:ascii="Amiri" w:hAnsi="Amiri" w:eastAsia="Amiri" w:cs="Amiri"/>
          <w:lang w:bidi="ar-SA"/>
          <w:color w:val="111111"/>
          <w:sz w:val="28"/>
          <w:szCs w:val="28"/>
          <w:rtl/>
        </w:rPr>
        <w:t xml:space="preserve">التعظيم</w:t>
      </w:r>
      <w:r>
        <w:rPr>
          <w:rStyle w:val="FootnoteReference"/>
        </w:rPr>
        <w:footnoteReference w:id="2121"/>
      </w:r>
      <w:r>
        <w:rPr>
          <w:rFonts w:ascii="Amiri" w:hAnsi="Amiri" w:eastAsia="Amiri" w:cs="Amiri"/>
          <w:lang w:bidi="ar-SA"/>
          <w:color w:val="111111"/>
          <w:sz w:val="28"/>
          <w:szCs w:val="28"/>
          <w:rtl/>
        </w:rPr>
        <w:t xml:space="preserve">لا يصدق عليه العنوان إلّا مع القصد لكن ليس كذلك</w:t>
      </w:r>
      <w:r>
        <w:rPr>
          <w:rStyle w:val="FootnoteReference"/>
        </w:rPr>
        <w:footnoteReference w:id="2122"/>
      </w:r>
      <w:r>
        <w:rPr>
          <w:rFonts w:ascii="IRNazanin" w:hAnsi="IRNazanin" w:eastAsia="IRNazanin" w:cs="IRNazanin"/>
          <w:lang w:bidi="fa-IR"/>
          <w:color w:val="111111"/>
          <w:sz w:val="28"/>
          <w:szCs w:val="28"/>
          <w:rtl/>
        </w:rPr>
        <w:t xml:space="preserve">کلّيّة، بل لأنّ العقل والنقل متطابقان على كون التصرّف في مال الغير حراماً وقبيحاً والقدر المرخص فيه بحكم العقل والشرع الحاكم على طبقه ما يكون بقصد التخلّص؛ إذ لا مانع عقلاً من العقاب على ما يكون بعنوان العدوان وليس الاضطرار موجباً لأزيد من الإذن على التقدير المذكور.</w:t>
      </w:r>
    </w:p>
    <w:p>
      <w:pPr>
        <w:pStyle w:val="BookText"/>
      </w:pPr>
      <w:r>
        <w:rPr>
          <w:rFonts w:ascii="Amiri" w:hAnsi="Amiri" w:eastAsia="Amiri" w:cs="Amiri"/>
          <w:lang w:bidi="ar-SA"/>
          <w:color w:val="111111"/>
          <w:sz w:val="28"/>
          <w:szCs w:val="28"/>
          <w:rtl/>
        </w:rPr>
        <w:t xml:space="preserve">وكذا في وجوب التأديب نقول</w:t>
      </w:r>
      <w:r>
        <w:rPr>
          <w:rStyle w:val="FootnoteReference"/>
        </w:rPr>
        <w:footnoteReference w:id="2123"/>
      </w:r>
      <w:r>
        <w:rPr>
          <w:rFonts w:ascii="IRNazanin" w:hAnsi="IRNazanin" w:eastAsia="IRNazanin" w:cs="IRNazanin"/>
          <w:lang w:bidi="fa-IR"/>
          <w:color w:val="111111"/>
          <w:sz w:val="28"/>
          <w:szCs w:val="28"/>
          <w:rtl/>
        </w:rPr>
        <w:t xml:space="preserve">: إنّ الإيذاء حرام وقبيح والقدر المأذون فيه ما كان بقصد التأديب فالضرب بقصد الإيلام والإيذاء لا يكون مرخّصاً فيه وإن حصل منه الأدب في الخارج وصدق عليه أنّه تأديب خصوصاً مع جهل المکلّف بكون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الضرب المذكور سبباً للأدب وأنّه مأذون فيه على هذا الوجه وكذا في المقام إذا كان جاهلاً بأنّ المشي إلى الجهة المعيّنة خروج عن الغصب وتخلّص منه.</w:t>
      </w:r>
    </w:p>
    <w:p>
      <w:pPr>
        <w:pStyle w:val="BookText"/>
      </w:pPr>
      <w:r>
        <w:rPr>
          <w:rFonts w:ascii="Amiri" w:hAnsi="Amiri" w:eastAsia="Amiri" w:cs="Amiri"/>
          <w:lang w:bidi="ar-SA"/>
          <w:color w:val="111111"/>
          <w:sz w:val="28"/>
          <w:szCs w:val="28"/>
          <w:rtl/>
        </w:rPr>
        <w:t xml:space="preserve">فإن قلت: المفروض أنّ مطلق الخروج مشتمل على مصلحة التخلّص والحكم العقلي تابع للمصلحة فلا وجه لقصر حكمه على ما إذا كان بقصد التخلّص.</w:t>
      </w:r>
    </w:p>
    <w:p>
      <w:pPr>
        <w:pStyle w:val="BookText"/>
      </w:pPr>
      <w:r>
        <w:rPr>
          <w:rFonts w:ascii="Amiri" w:hAnsi="Amiri" w:eastAsia="Amiri" w:cs="Amiri"/>
          <w:lang w:bidi="ar-SA"/>
          <w:color w:val="111111"/>
          <w:sz w:val="28"/>
          <w:szCs w:val="28"/>
          <w:rtl/>
        </w:rPr>
        <w:t xml:space="preserve">قلت: سلّمنا أنّ المصلحة في المطلق إلّا أنّ هناك مانعاً</w:t>
      </w:r>
      <w:r>
        <w:rPr>
          <w:rStyle w:val="FootnoteReference"/>
        </w:rPr>
        <w:footnoteReference w:id="2124"/>
      </w:r>
      <w:r>
        <w:rPr>
          <w:rFonts w:ascii="Amiri" w:hAnsi="Amiri" w:eastAsia="Amiri" w:cs="Amiri"/>
          <w:lang w:bidi="ar-SA"/>
          <w:color w:val="111111"/>
          <w:sz w:val="28"/>
          <w:szCs w:val="28"/>
          <w:rtl/>
        </w:rPr>
        <w:t xml:space="preserve">عن شمول الحكم له؛ لأنّ التصرّف العدواني قبيح من حيث هو ولا بدّ في الخروج عنه من الاقتصار على مقدار الإلجاء وهو خاصّ بحكم العقل بما إذا كان مع القصد المذكور فإنّ العقل لا يستقبح العقاب على ما كان لا بهذا القصد.</w:t>
      </w:r>
    </w:p>
    <w:p>
      <w:pPr>
        <w:pStyle w:val="BookText"/>
      </w:pPr>
      <w:r>
        <w:rPr>
          <w:rFonts w:ascii="IRNazanin" w:hAnsi="IRNazanin" w:eastAsia="IRNazanin" w:cs="IRNazanin"/>
          <w:lang w:bidi="fa-IR"/>
          <w:color w:val="111111"/>
          <w:sz w:val="28"/>
          <w:szCs w:val="28"/>
          <w:rtl/>
        </w:rPr>
        <w:t xml:space="preserve">وإن شئت فقل: إنّ الحكم تابع لمصلحة التشريع ولا یکفي مجرّد مصلحة الفعل في ذلك، وكذا لو مشى نحو الخارج بقصد التخلّص لكن بدا له في ذلك قبل الخروج فإنّه لا يخرج تصرّفه عن كونه محرّماً ومعاقباً عليه ويكشف عدم خروجه عنبقاء النهي بالنّسبة إلى مقدار ما مشى أیضاً لا لاعتبار المقدّمة الموصلة بل لما مرّ من أنّ العقل لايرخّص في مثل التصرّف المذكور.</w:t>
      </w:r>
    </w:p>
    <w:p>
      <w:pPr>
        <w:pStyle w:val="BookText"/>
      </w:pPr>
      <w:r>
        <w:rPr>
          <w:rFonts w:ascii="Amiri" w:hAnsi="Amiri" w:eastAsia="Amiri" w:cs="Amiri"/>
          <w:lang w:bidi="ar-SA"/>
          <w:color w:val="111111"/>
          <w:sz w:val="28"/>
          <w:szCs w:val="28"/>
          <w:rtl/>
        </w:rPr>
        <w:t xml:space="preserve">نعم لو كان قاصداً للخروج ومشى نحو الخارج فحال بينه وبينه</w:t>
      </w:r>
      <w:r>
        <w:rPr>
          <w:rStyle w:val="FootnoteReference"/>
        </w:rPr>
        <w:footnoteReference w:id="2125"/>
      </w:r>
      <w:r>
        <w:rPr>
          <w:rFonts w:ascii="Amiri" w:hAnsi="Amiri" w:eastAsia="Amiri" w:cs="Amiri"/>
          <w:lang w:bidi="ar-SA"/>
          <w:color w:val="111111"/>
          <w:sz w:val="28"/>
          <w:szCs w:val="28"/>
          <w:rtl/>
        </w:rPr>
        <w:t xml:space="preserve">مانع قهري كان مقدار ما مشى متّصفاً بالوجوب بناءً على وجوب مطلق المقدّمة دون خصوص الموصلة إذا جعلنا الخروج مقدّمة للتخلّص لا مصداقاً له، ولو جعلناه مصداقاً له فكذلك</w:t>
      </w:r>
      <w:r>
        <w:rPr>
          <w:rStyle w:val="FootnoteReference"/>
        </w:rPr>
        <w:footnoteReference w:id="2126"/>
      </w:r>
      <w:r>
        <w:rPr>
          <w:rFonts w:ascii="Amiri" w:hAnsi="Amiri" w:eastAsia="Amiri" w:cs="Amiri"/>
          <w:lang w:bidi="ar-SA"/>
          <w:color w:val="111111"/>
          <w:sz w:val="28"/>
          <w:szCs w:val="28"/>
          <w:rtl/>
        </w:rPr>
        <w:t xml:space="preserve">إن جعلنا المصداق مجموع الحركة الخروجيّة من حيث المجموع</w:t>
      </w:r>
      <w:r>
        <w:rPr>
          <w:rStyle w:val="FootnoteReference"/>
        </w:rPr>
        <w:footnoteReference w:id="2127"/>
      </w:r>
      <w:r>
        <w:rPr>
          <w:rFonts w:ascii="IRNazanin" w:hAnsi="IRNazanin" w:eastAsia="IRNazanin" w:cs="IRNazanin"/>
          <w:lang w:bidi="fa-IR"/>
          <w:color w:val="111111"/>
          <w:sz w:val="28"/>
          <w:szCs w:val="28"/>
          <w:rtl/>
        </w:rPr>
        <w:t xml:space="preserve">وإن جعلنا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98" w:name="pg6784_51670"/>
    <w:bookmarkEnd w:id="298"/>
    <w:p>
      <w:pPr>
        <w:pStyle w:val="BookText"/>
      </w:pPr>
      <w:r>
        <w:rPr>
          <w:rFonts w:ascii="IRNazanin" w:hAnsi="IRNazanin" w:eastAsia="IRNazanin" w:cs="IRNazanin"/>
          <w:lang w:bidi="fa-IR"/>
          <w:color w:val="111111"/>
          <w:sz w:val="28"/>
          <w:szCs w:val="28"/>
          <w:rtl/>
        </w:rPr>
        <w:t xml:space="preserve">المصداق المشي نحو الخارج فيكون کلّ قدم متّصفاً بالتخلّص؛ لأنّه تخلّص عن البقاء في مقامه السّابق. فتأمّل.</w:t>
      </w:r>
    </w:p>
    <w:p>
      <w:pPr>
        <w:pStyle w:val="BookText"/>
      </w:pPr>
      <w:r>
        <w:rPr>
          <w:rFonts w:ascii="Amiri" w:hAnsi="Amiri" w:eastAsia="Amiri" w:cs="Amiri"/>
          <w:lang w:bidi="ar-SA"/>
          <w:color w:val="111111"/>
          <w:sz w:val="28"/>
          <w:szCs w:val="28"/>
          <w:rtl/>
        </w:rPr>
        <w:t xml:space="preserve">لكن لا ينبغي التأمّل في كون الخروج مقدّمة للتخلّص وأنّه عنوان بسيط لايتحقّق في الخارج إلّا بالخروج.</w:t>
      </w:r>
    </w:p>
    <w:p>
      <w:pPr>
        <w:pStyle w:val="Heading6"/>
      </w:pPr>
      <w:bookmarkStart w:id="837" w:name="_Toc518"/>
      <w:r>
        <w:t>[حكم الصلاة حال الخروج من الأرض المغصوبة]</w:t>
      </w:r>
      <w:bookmarkEnd w:id="837"/>
    </w:p>
    <w:p>
      <w:pPr>
        <w:pStyle w:val="BookText"/>
      </w:pPr>
      <w:r>
        <w:rPr>
          <w:rFonts w:ascii="IRNazanin" w:hAnsi="IRNazanin" w:eastAsia="IRNazanin" w:cs="IRNazanin"/>
          <w:lang w:bidi="fa-IR"/>
          <w:color w:val="111111"/>
          <w:sz w:val="28"/>
          <w:szCs w:val="28"/>
          <w:rtl/>
        </w:rPr>
        <w:t xml:space="preserve">ثمّ ممّا ذكرنا ظهر حال الصّلاة حال الخروج فإنّها تصحّ إذا كانت نافلة مطلقاً أو فريضة في ضيق الوقت بناءً على وجوب الخروج وإن قلنا بحرمته بالنهي السابق؛ لأنّه قد انقطع فلا مانع من الأمر بالصّلاة ولو على مذهب المانعين من الاجتماع في أصل المسألة، بل عن العلّامة في المنتهی</w:t>
      </w:r>
      <w:r>
        <w:rPr>
          <w:rStyle w:val="FootnoteReference"/>
        </w:rPr>
        <w:footnoteReference w:id="2128"/>
      </w:r>
      <w:r>
        <w:rPr>
          <w:rFonts w:ascii="Amiri" w:hAnsi="Amiri" w:eastAsia="Amiri" w:cs="Amiri"/>
          <w:lang w:bidi="ar-SA"/>
          <w:color w:val="111111"/>
          <w:sz w:val="28"/>
          <w:szCs w:val="28"/>
          <w:rtl/>
        </w:rPr>
        <w:t xml:space="preserve">دعوى الإجماع على الصحّة.</w:t>
      </w:r>
      <w:r>
        <w:rPr>
          <w:rStyle w:val="FootnoteReference"/>
        </w:rPr>
        <w:footnoteReference w:id="2129"/>
      </w:r>
    </w:p>
    <w:p>
      <w:pPr>
        <w:pStyle w:val="BookText"/>
      </w:pPr>
      <w:r>
        <w:rPr>
          <w:rFonts w:ascii="Amiri" w:hAnsi="Amiri" w:eastAsia="Amiri" w:cs="Amiri"/>
          <w:lang w:bidi="ar-SA"/>
          <w:color w:val="111111"/>
          <w:sz w:val="28"/>
          <w:szCs w:val="28"/>
          <w:rtl/>
        </w:rPr>
        <w:t xml:space="preserve">نعم لازم من قال بأنّه منهي عنه وليس بمأمور به أصلاً بطلان الصّلاة؛ لعدم الأمرإلّا بناءً على ما احتملناه</w:t>
      </w:r>
      <w:r>
        <w:rPr>
          <w:rStyle w:val="FootnoteReference"/>
        </w:rPr>
        <w:footnoteReference w:id="2130"/>
      </w:r>
      <w:r>
        <w:rPr>
          <w:rFonts w:ascii="Amiri" w:hAnsi="Amiri" w:eastAsia="Amiri" w:cs="Amiri"/>
          <w:lang w:bidi="ar-SA"/>
          <w:color w:val="111111"/>
          <w:sz w:val="28"/>
          <w:szCs w:val="28"/>
          <w:rtl/>
        </w:rPr>
        <w:t xml:space="preserve">سابقاً من صحّة الصّلاة ولو مع عدم الأمر.</w:t>
      </w:r>
    </w:p>
    <w:p>
      <w:pPr>
        <w:pStyle w:val="BookText"/>
      </w:pPr>
      <w:r>
        <w:rPr>
          <w:rFonts w:ascii="Amiri" w:hAnsi="Amiri" w:eastAsia="Amiri" w:cs="Amiri"/>
          <w:lang w:bidi="ar-SA"/>
          <w:color w:val="111111"/>
          <w:sz w:val="28"/>
          <w:szCs w:val="28"/>
          <w:rtl/>
        </w:rPr>
        <w:t xml:space="preserve">وأمّا على مذهب أبي هاشم</w:t>
      </w:r>
      <w:r>
        <w:rPr>
          <w:rStyle w:val="FootnoteReference"/>
        </w:rPr>
        <w:footnoteReference w:id="2131"/>
      </w:r>
      <w:r>
        <w:rPr>
          <w:rFonts w:ascii="Amiri" w:hAnsi="Amiri" w:eastAsia="Amiri" w:cs="Amiri"/>
          <w:lang w:bidi="ar-SA"/>
          <w:color w:val="111111"/>
          <w:sz w:val="28"/>
          <w:szCs w:val="28"/>
          <w:rtl/>
        </w:rPr>
        <w:t xml:space="preserve">وغيره ممّن قال بكونه مأموراً به ومنهياً عنه فقد يتخيّل بطلان الصّلاة.</w:t>
      </w:r>
    </w:p>
    <w:p>
      <w:pPr>
        <w:pStyle w:val="BookText"/>
      </w:pPr>
      <w:r>
        <w:rPr>
          <w:rFonts w:ascii="IRNazanin" w:hAnsi="IRNazanin" w:eastAsia="IRNazanin" w:cs="IRNazanin"/>
          <w:lang w:bidi="fa-IR"/>
          <w:color w:val="111111"/>
          <w:sz w:val="28"/>
          <w:szCs w:val="28"/>
          <w:rtl/>
        </w:rPr>
        <w:t xml:space="preserve">قال في الجواهر بعد ما حكم بالصحّة: «لكن عن أبي هاشم أنّ الخروج أیضاً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تصرّف في المغصوب فيكون معصية فلا تصحّ الصّلاة حینئذٍ».</w:t>
      </w:r>
      <w:r>
        <w:rPr>
          <w:rStyle w:val="FootnoteReference"/>
        </w:rPr>
        <w:footnoteReference w:id="2132"/>
      </w:r>
    </w:p>
    <w:p>
      <w:pPr>
        <w:pStyle w:val="BookText"/>
      </w:pPr>
      <w:r>
        <w:rPr>
          <w:rFonts w:ascii="Amiri" w:hAnsi="Amiri" w:eastAsia="Amiri" w:cs="Amiri"/>
          <w:lang w:bidi="ar-SA"/>
          <w:color w:val="111111"/>
          <w:sz w:val="28"/>
          <w:szCs w:val="28"/>
          <w:rtl/>
        </w:rPr>
        <w:t xml:space="preserve">بل يظهر من المحكي</w:t>
      </w:r>
      <w:r>
        <w:rPr>
          <w:rStyle w:val="FootnoteReference"/>
        </w:rPr>
        <w:footnoteReference w:id="2133"/>
      </w:r>
      <w:r>
        <w:rPr>
          <w:rFonts w:ascii="Amiri" w:hAnsi="Amiri" w:eastAsia="Amiri" w:cs="Amiri"/>
          <w:lang w:bidi="ar-SA"/>
          <w:color w:val="111111"/>
          <w:sz w:val="28"/>
          <w:szCs w:val="28"/>
          <w:rtl/>
        </w:rPr>
        <w:t xml:space="preserve">عن نهاية</w:t>
      </w:r>
      <w:r>
        <w:rPr>
          <w:rStyle w:val="FootnoteReference"/>
        </w:rPr>
        <w:footnoteReference w:id="2134"/>
      </w:r>
      <w:r>
        <w:rPr>
          <w:rFonts w:ascii="Amiri" w:hAnsi="Amiri" w:eastAsia="Amiri" w:cs="Amiri"/>
          <w:lang w:bidi="ar-SA"/>
          <w:color w:val="111111"/>
          <w:sz w:val="28"/>
          <w:szCs w:val="28"/>
          <w:rtl/>
        </w:rPr>
        <w:t xml:space="preserve">العلامة</w:t>
      </w:r>
      <w:r>
        <w:rPr>
          <w:rStyle w:val="FootnoteReference"/>
        </w:rPr>
        <w:footnoteReference w:id="2135"/>
      </w:r>
      <w:r>
        <w:rPr>
          <w:rFonts w:ascii="IRNazanin" w:hAnsi="IRNazanin" w:eastAsia="IRNazanin" w:cs="IRNazanin"/>
          <w:lang w:bidi="fa-IR"/>
          <w:color w:val="111111"/>
          <w:sz w:val="28"/>
          <w:szCs w:val="28"/>
          <w:rtl/>
        </w:rPr>
        <w:t xml:space="preserve">إسناد عدم الصحّة إلیه.</w:t>
      </w:r>
      <w:r>
        <w:rPr>
          <w:rStyle w:val="FootnoteReference"/>
        </w:rPr>
        <w:footnoteReference w:id="2136"/>
      </w:r>
    </w:p>
    <w:p>
      <w:pPr>
        <w:pStyle w:val="BookText"/>
      </w:pPr>
      <w:r>
        <w:rPr>
          <w:rFonts w:ascii="IRNazanin" w:hAnsi="IRNazanin" w:eastAsia="IRNazanin" w:cs="IRNazanin"/>
          <w:lang w:bidi="fa-IR"/>
          <w:color w:val="111111"/>
          <w:sz w:val="28"/>
          <w:szCs w:val="28"/>
          <w:rtl/>
        </w:rPr>
        <w:t xml:space="preserve">وکذا یظهر أنّ کلام العلّامة (رحمة الله‌علیه) في موضع آخر من کتابه هذا یتفاوت عمّا قال هنا، حیث یقول في ج2، ص81 و82: «قال أبو هاشم: من توسّط أرضاً مغصوبة عصى باللبث والخروج، وجعل الخروج متعلّق الأمر والنهي معاً. وهو خطأ؛ لاستلزامه التكليف بالمحال، فإنّ الخروج متعيّن عليه للأمر، فيعلم أنّ انتفاء المعصية به وبشرطه، فلا يكون متعلّق النهي. وفيه نظر، فإنّ الخروج تصرّف في ملك الغير، فيكون حراماً، ويمتنع وجوبه، بل الواجب ترك التصرّف في كلّ آنٍ، وكونه في الزّمن الثاني لايتمّ إلّا بالخروج مستنداً إلى فعله الّذي هو التوسّط، فلا يستلزم وجوبه».</w:t>
      </w:r>
    </w:p>
    <w:p>
      <w:pPr>
        <w:pStyle w:val="BookText"/>
      </w:pPr>
      <w:r>
        <w:rPr>
          <w:rFonts w:ascii="IRNazanin" w:hAnsi="IRNazanin" w:eastAsia="IRNazanin" w:cs="IRNazanin"/>
          <w:lang w:bidi="fa-IR"/>
          <w:color w:val="111111"/>
          <w:sz w:val="28"/>
          <w:szCs w:val="28"/>
          <w:rtl/>
        </w:rPr>
        <w:t xml:space="preserve">فبالدقّة یظهر تفاوت الکلامین في ما ینسب إلى الجُبّائي، وفي رأي المصنّف نفسه.</w:t>
      </w:r>
    </w:p>
    <w:p>
      <w:pPr>
        <w:pStyle w:val="BookText"/>
      </w:pPr>
      <w:r>
        <w:rPr>
          <w:rFonts w:ascii="Amiri" w:hAnsi="Amiri" w:eastAsia="Amiri" w:cs="Amiri"/>
          <w:lang w:bidi="ar-SA"/>
          <w:color w:val="111111"/>
          <w:sz w:val="28"/>
          <w:szCs w:val="28"/>
          <w:rtl/>
        </w:rPr>
        <w:t xml:space="preserve">ولكن فيه نظر فإنّه إذا كان واجباً وحراماً عنده فلازمه صحّة الصّلاة؛ إذ يكون نظير مذهب المجوّزين للاجتماع في أصل المسألة، فلا وجه للحكم بالبطلان على مذهبه.ويحتمل الحكم بصحّة النافلة حال الخروج على جميع المذاهب بناءً على عدم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99" w:name="pg6784_51674"/>
    <w:bookmarkEnd w:id="299"/>
    <w:p>
      <w:pPr>
        <w:pStyle w:val="BookText"/>
      </w:pPr>
      <w:r>
        <w:rPr>
          <w:rFonts w:ascii="Amiri" w:hAnsi="Amiri" w:eastAsia="Amiri" w:cs="Amiri"/>
          <w:lang w:bidi="ar-SA"/>
          <w:color w:val="111111"/>
          <w:sz w:val="28"/>
          <w:szCs w:val="28"/>
          <w:rtl/>
        </w:rPr>
        <w:t xml:space="preserve">كون القراءة</w:t>
      </w:r>
      <w:r>
        <w:rPr>
          <w:rStyle w:val="FootnoteReference"/>
        </w:rPr>
        <w:footnoteReference w:id="2137"/>
      </w:r>
      <w:r>
        <w:rPr>
          <w:rFonts w:ascii="IRNazanin" w:hAnsi="IRNazanin" w:eastAsia="IRNazanin" w:cs="IRNazanin"/>
          <w:lang w:bidi="fa-IR"/>
          <w:color w:val="111111"/>
          <w:sz w:val="28"/>
          <w:szCs w:val="28"/>
          <w:rtl/>
        </w:rPr>
        <w:t xml:space="preserve">تصرّفاً في المغصوب، فإنّه ليس فيها ركوع وسجود ویکفي فيها الإيماء لهما.</w:t>
      </w:r>
    </w:p>
    <w:p>
      <w:pPr>
        <w:pStyle w:val="Heading6"/>
      </w:pPr>
      <w:bookmarkStart w:id="838" w:name="_Toc519"/>
      <w:r>
        <w:t>[حکم الصلاة مع البقاء وعدم الخروج]</w:t>
      </w:r>
      <w:bookmarkEnd w:id="838"/>
    </w:p>
    <w:p>
      <w:pPr>
        <w:pStyle w:val="BookText"/>
      </w:pPr>
      <w:r>
        <w:rPr>
          <w:rFonts w:ascii="Amiri" w:hAnsi="Amiri" w:eastAsia="Amiri" w:cs="Amiri"/>
          <w:lang w:bidi="ar-SA"/>
          <w:color w:val="111111"/>
          <w:sz w:val="28"/>
          <w:szCs w:val="28"/>
          <w:rtl/>
        </w:rPr>
        <w:t xml:space="preserve">هذا وأمّا الصّلاة مع البقاء وعدم الخروج فباطلة على مذهب المانعين مطلقاً إلّا إذا كانت نافلة وأتى بها بالإيماء على البناء المذكور.</w:t>
      </w:r>
    </w:p>
    <w:p>
      <w:pPr>
        <w:pStyle w:val="BookText"/>
      </w:pPr>
      <w:r>
        <w:rPr>
          <w:rFonts w:ascii="Amiri" w:hAnsi="Amiri" w:eastAsia="Amiri" w:cs="Amiri"/>
          <w:lang w:bidi="ar-SA"/>
          <w:color w:val="111111"/>
          <w:sz w:val="28"/>
          <w:szCs w:val="28"/>
          <w:rtl/>
        </w:rPr>
        <w:t xml:space="preserve">وأمّا على مذهب المجوّزين في أصل المسألة فمبنيّة على وجود الأمر بطبيعة الصلاة وعدمه.</w:t>
      </w:r>
    </w:p>
    <w:p>
      <w:pPr>
        <w:pStyle w:val="BookText"/>
      </w:pPr>
      <w:r>
        <w:rPr>
          <w:rFonts w:ascii="Amiri" w:hAnsi="Amiri" w:eastAsia="Amiri" w:cs="Amiri"/>
          <w:lang w:bidi="ar-SA"/>
          <w:color w:val="111111"/>
          <w:sz w:val="28"/>
          <w:szCs w:val="28"/>
          <w:rtl/>
        </w:rPr>
        <w:t xml:space="preserve">فإن قلنا بوجوب الخروج أو كان التخلّص ممكناً بغيره من غير مضيّ زمان فتكون صحيحة وإن اختار الفرد المشتمل على الرّكوع والسّجود بسوء اختياره.</w:t>
      </w:r>
    </w:p>
    <w:p>
      <w:pPr>
        <w:pStyle w:val="BookText"/>
      </w:pPr>
      <w:r>
        <w:rPr>
          <w:rFonts w:ascii="IRNazanin" w:hAnsi="IRNazanin" w:eastAsia="IRNazanin" w:cs="IRNazanin"/>
          <w:lang w:bidi="fa-IR"/>
          <w:color w:val="111111"/>
          <w:sz w:val="28"/>
          <w:szCs w:val="28"/>
          <w:rtl/>
        </w:rPr>
        <w:t xml:space="preserve">وإن قلنا بعدم وجوب الخروج ولم يمكن التخلّص بغيره، أو أمكن وكان محتاجاً إلى مضيّ زمان فتكون باطلة؛ لعدم الأمر حینئذٍ بها أصلاً إلّا على ما احتملناه</w:t>
      </w:r>
      <w:r>
        <w:rPr>
          <w:rStyle w:val="FootnoteReference"/>
        </w:rPr>
        <w:footnoteReference w:id="2138"/>
      </w:r>
      <w:r>
        <w:rPr>
          <w:rFonts w:ascii="Amiri" w:hAnsi="Amiri" w:eastAsia="Amiri" w:cs="Amiri"/>
          <w:lang w:bidi="ar-SA"/>
          <w:color w:val="111111"/>
          <w:sz w:val="28"/>
          <w:szCs w:val="28"/>
          <w:rtl/>
        </w:rPr>
        <w:t xml:space="preserve">من الصحّة ولو مع عدم الأمر.</w:t>
      </w:r>
    </w:p>
    <w:p>
      <w:pPr>
        <w:pStyle w:val="Heading6"/>
      </w:pPr>
      <w:bookmarkStart w:id="839" w:name="_Toc520"/>
      <w:r>
        <w:t>[إشکال في صحّة الصلاة مع الخروج بأنّ العقاب أمارة على عدم بدلیّة الصلاة الاضطراریّة]</w:t>
      </w:r>
      <w:bookmarkEnd w:id="839"/>
    </w:p>
    <w:p>
      <w:pPr>
        <w:pStyle w:val="BookText"/>
      </w:pPr>
      <w:r>
        <w:rPr>
          <w:rFonts w:ascii="IRNazanin" w:hAnsi="IRNazanin" w:eastAsia="IRNazanin" w:cs="IRNazanin"/>
          <w:lang w:bidi="fa-IR"/>
          <w:color w:val="111111"/>
          <w:sz w:val="28"/>
          <w:szCs w:val="28"/>
          <w:rtl/>
        </w:rPr>
        <w:t xml:space="preserve">ثمّ إنّه ربما يستشکل في حكمهم بصحّة الفريضة حال الخروج إذا كان في ضيق الوقت ولو قلنا بوجوبه وعدم النهي فيما لو كان الدخول في دار الغير عمداً وعدواناً بأنّ من المعلوم أنّه حینئذٍ معاقب على ترك الصّلاة المشتملة على الرّكوع والسّجود ومعه لايعقل صحّة الصّلاة الاضطراريّة؛ لأنّ العقاب لا يكون إلّا مع العصيان وهو فرع عدم كون هذه بدلاً وإلّا لزم الجمع بين البدل والمبدل منه.</w:t>
      </w:r>
    </w:p>
    <w:p>
      <w:pPr>
        <w:pStyle w:val="BookText"/>
      </w:pPr>
      <w:r>
        <w:rPr>
          <w:rFonts w:ascii="IRNazanin" w:hAnsi="IRNazanin" w:eastAsia="IRNazanin" w:cs="IRNazanin"/>
          <w:lang w:bidi="fa-IR"/>
          <w:color w:val="111111"/>
          <w:sz w:val="28"/>
          <w:szCs w:val="28"/>
          <w:rtl/>
        </w:rPr>
        <w:t xml:space="preserve">وبعبارة أخری: إذا كان مکلّفاً بهذا البدل فكأنّه أتى بالمبدل منه فلا وجه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00" w:name="pg6784_51676"/>
    <w:bookmarkEnd w:id="300"/>
    <w:p>
      <w:pPr>
        <w:pStyle w:val="BookText"/>
      </w:pPr>
      <w:r>
        <w:rPr>
          <w:rFonts w:ascii="IRNazanin" w:hAnsi="IRNazanin" w:eastAsia="IRNazanin" w:cs="IRNazanin"/>
          <w:lang w:bidi="fa-IR"/>
          <w:color w:val="111111"/>
          <w:sz w:val="28"/>
          <w:szCs w:val="28"/>
          <w:rtl/>
        </w:rPr>
        <w:t xml:space="preserve">للعقاب وإذا حكم بالعقاب فيكشف عن عدم كون البدل مکلّفاً به ولذا حكي عنيحيى بن سعيد</w:t>
      </w:r>
      <w:r>
        <w:rPr>
          <w:rStyle w:val="FootnoteReference"/>
        </w:rPr>
        <w:footnoteReference w:id="2139"/>
      </w:r>
      <w:r>
        <w:rPr>
          <w:rFonts w:ascii="Amiri" w:hAnsi="Amiri" w:eastAsia="Amiri" w:cs="Amiri"/>
          <w:lang w:bidi="ar-SA"/>
          <w:color w:val="111111"/>
          <w:sz w:val="28"/>
          <w:szCs w:val="28"/>
          <w:rtl/>
        </w:rPr>
        <w:t xml:space="preserve">إسناد الصحّة إلى القيل المشعر بالضعف.</w:t>
      </w:r>
    </w:p>
    <w:p>
      <w:pPr>
        <w:pStyle w:val="Heading6"/>
      </w:pPr>
      <w:bookmarkStart w:id="840" w:name="_Toc521"/>
      <w:r>
        <w:t>[نقد الإشکال]</w:t>
      </w:r>
      <w:bookmarkEnd w:id="840"/>
    </w:p>
    <w:p>
      <w:pPr>
        <w:pStyle w:val="BookText"/>
      </w:pPr>
      <w:r>
        <w:rPr>
          <w:rFonts w:ascii="IRNazanin" w:hAnsi="IRNazanin" w:eastAsia="IRNazanin" w:cs="IRNazanin"/>
          <w:lang w:bidi="fa-IR"/>
          <w:color w:val="111111"/>
          <w:sz w:val="28"/>
          <w:szCs w:val="28"/>
          <w:rtl/>
        </w:rPr>
        <w:t xml:space="preserve">قلت: هذا الإشکال سيّال في جميع المقامات الّتي يكون المکلّف سبباً للدخول تحت العنوان الاضطراري مثل إهراق الماء بعد الوقت وإيجاد سبب العجز عن القيام في الصّلاة وتفويت السّاتر وهكذا.</w:t>
      </w:r>
    </w:p>
    <w:p>
      <w:pPr>
        <w:pStyle w:val="BookText"/>
      </w:pPr>
      <w:r>
        <w:rPr>
          <w:rFonts w:ascii="IRNazanin" w:hAnsi="IRNazanin" w:eastAsia="IRNazanin" w:cs="IRNazanin"/>
          <w:lang w:bidi="fa-IR"/>
          <w:color w:val="111111"/>
          <w:sz w:val="28"/>
          <w:szCs w:val="28"/>
          <w:rtl/>
        </w:rPr>
        <w:t xml:space="preserve">وحاصل تقرير الإشکال أنّه معاقب قطعاً ولا يكون العقاب على إهراق الماء؛ لعدم حرمته نفساً والحرمة المقدّميّة فرع كونه موجباً لتفويت الصلاة والمفروض عدم الفوات لصيرورته مکلّفاً بالصّلاة مع التيمّم أو جالساً أو عارياً أو نحو ذلك فلا يعقل العقاب على ترك الواجب.</w:t>
      </w:r>
    </w:p>
    <w:p>
      <w:pPr>
        <w:pStyle w:val="BookText"/>
      </w:pPr>
      <w:r>
        <w:rPr>
          <w:rFonts w:ascii="IRNazanin" w:hAnsi="IRNazanin" w:eastAsia="IRNazanin" w:cs="IRNazanin"/>
          <w:lang w:bidi="fa-IR"/>
          <w:color w:val="111111"/>
          <w:sz w:val="28"/>
          <w:szCs w:val="28"/>
          <w:rtl/>
        </w:rPr>
        <w:t xml:space="preserve">ويمكن الجواب بأنّه معاقب على ترك الصّلاة التامّة الكاملة الواجبة في المرتبة الأولى لفرض التمکّن منها والأمر بالبدل إنّما هو بعد عصيانه للتکلیف الاختياري وليس البدل في عرض المبدل منه كما في المسافر والحاضر بل في طوله.</w:t>
      </w:r>
    </w:p>
    <w:p>
      <w:pPr>
        <w:pStyle w:val="BookText"/>
      </w:pPr>
      <w:r>
        <w:rPr>
          <w:rFonts w:ascii="IRNazanin" w:hAnsi="IRNazanin" w:eastAsia="IRNazanin" w:cs="IRNazanin"/>
          <w:lang w:bidi="fa-IR"/>
          <w:color w:val="111111"/>
          <w:sz w:val="28"/>
          <w:szCs w:val="28"/>
          <w:rtl/>
        </w:rPr>
        <w:t xml:space="preserve">فهو من الأوّل مکلّف بالصّلاة مع الوضوء فما دام يمكنه ذلك في تمام الوقت يجب عليه، وإذا أهرق ماءه</w:t>
      </w:r>
      <w:r>
        <w:rPr>
          <w:rStyle w:val="FootnoteReference"/>
        </w:rPr>
        <w:footnoteReference w:id="2140"/>
      </w:r>
      <w:r>
        <w:rPr>
          <w:rFonts w:ascii="IRNazanin" w:hAnsi="IRNazanin" w:eastAsia="IRNazanin" w:cs="IRNazanin"/>
          <w:lang w:bidi="fa-IR"/>
          <w:color w:val="111111"/>
          <w:sz w:val="28"/>
          <w:szCs w:val="28"/>
          <w:rtl/>
        </w:rPr>
        <w:t xml:space="preserve">اختياراً فقد عصى بترك الصّلاة مع الوضوء ويعاقب على ذلك، وإن صار بعد ذلك مکلّفاً بالبدل ولا يلزم الجمع بين العوض والمعوّض عنه؛ إذ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يکلّف بهما في زمان واحد.</w:t>
      </w:r>
    </w:p>
    <w:p>
      <w:pPr>
        <w:pStyle w:val="BookText"/>
      </w:pPr>
      <w:r>
        <w:rPr>
          <w:rFonts w:ascii="IRNazanin" w:hAnsi="IRNazanin" w:eastAsia="IRNazanin" w:cs="IRNazanin"/>
          <w:lang w:bidi="fa-IR"/>
          <w:color w:val="111111"/>
          <w:sz w:val="28"/>
          <w:szCs w:val="28"/>
          <w:rtl/>
        </w:rPr>
        <w:t xml:space="preserve">فالمقام نظير ما لو ترك الصّلاة في الوقت وصار مکلّفاً بالإتیان بها خارج الوقت بناءً على القول بأنّ القضاء بالأمر الأوّل بجعله من باب تعدّد المطلوب فإنّه يعاقب على ترك الصّلاة في الوقت لا على ترك أصل الصّلاة إذا أتى بها خارج الوقت.ففي المقام أیضاً نقول بأنّه</w:t>
      </w:r>
      <w:r>
        <w:rPr>
          <w:rStyle w:val="FootnoteReference"/>
        </w:rPr>
        <w:footnoteReference w:id="2141"/>
      </w:r>
      <w:r>
        <w:rPr>
          <w:rFonts w:ascii="IRNazanin" w:hAnsi="IRNazanin" w:eastAsia="IRNazanin" w:cs="IRNazanin"/>
          <w:lang w:bidi="fa-IR"/>
          <w:color w:val="111111"/>
          <w:sz w:val="28"/>
          <w:szCs w:val="28"/>
          <w:rtl/>
        </w:rPr>
        <w:t xml:space="preserve">مکلّف بأصل الصّلاة وبكونها مع الوضوء إن أمكن فيعاقب على ترك الصّلاة مع الوضوء لا على ترك أصل الصّلاة ولاعلى خصوص ترك الوضوء.</w:t>
      </w:r>
    </w:p>
    <w:p>
      <w:pPr>
        <w:pStyle w:val="BookText"/>
      </w:pPr>
      <w:r>
        <w:rPr>
          <w:rFonts w:ascii="IRNazanin" w:hAnsi="IRNazanin" w:eastAsia="IRNazanin" w:cs="IRNazanin"/>
          <w:lang w:bidi="fa-IR"/>
          <w:color w:val="111111"/>
          <w:sz w:val="28"/>
          <w:szCs w:val="28"/>
          <w:rtl/>
        </w:rPr>
        <w:t xml:space="preserve">والحاصل: أنّه مکلّف بالبدل والمبدل منه على سبيل الترتّب، نظير ما ذكره كاشف الغطاء في دفع الإشکال عن مسألة صحّة صلاة الجاهل بالقصر والإتمام والجهر والإخفات،</w:t>
      </w:r>
      <w:r>
        <w:rPr>
          <w:rStyle w:val="FootnoteReference"/>
        </w:rPr>
        <w:footnoteReference w:id="2142"/>
      </w:r>
      <w:r>
        <w:rPr>
          <w:rFonts w:ascii="Amiri" w:hAnsi="Amiri" w:eastAsia="Amiri" w:cs="Amiri"/>
          <w:lang w:bidi="ar-SA"/>
          <w:color w:val="111111"/>
          <w:sz w:val="28"/>
          <w:szCs w:val="28"/>
          <w:rtl/>
        </w:rPr>
        <w:t xml:space="preserve">مع كونه معاقباً على ترك الواقع.</w:t>
      </w:r>
    </w:p>
    <w:p>
      <w:pPr>
        <w:pStyle w:val="BookText"/>
      </w:pPr>
      <w:r>
        <w:rPr>
          <w:rFonts w:ascii="IRNazanin" w:hAnsi="IRNazanin" w:eastAsia="IRNazanin" w:cs="IRNazanin"/>
          <w:lang w:bidi="fa-IR"/>
          <w:color w:val="111111"/>
          <w:sz w:val="28"/>
          <w:szCs w:val="28"/>
          <w:rtl/>
        </w:rPr>
        <w:t xml:space="preserve">ولكن لا يرد علينا ما يرد عليه من الإشکال، فإنّه على ما ذكره يرجع إلى إيجاب القصر والإتمام في آنٍ واحد؛ إذ بالعصيان لا يرتفع الواقع بخلاف مقامنا فإنّ التکلیف الاختياري يسقط بالعصيان ويصير مکلّفاً بالبدل بعده.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01" w:name="pg6784_51680"/>
    <w:bookmarkEnd w:id="301"/>
    <w:p>
      <w:pPr>
        <w:pStyle w:val="BookText"/>
      </w:pPr>
      <w:r>
        <w:rPr>
          <w:rFonts w:ascii="Amiri" w:hAnsi="Amiri" w:eastAsia="Amiri" w:cs="Amiri"/>
          <w:lang w:bidi="ar-SA"/>
          <w:color w:val="111111"/>
          <w:sz w:val="28"/>
          <w:szCs w:val="28"/>
          <w:rtl/>
        </w:rPr>
        <w:t xml:space="preserve">وبالجملة العقاب على ترك المبدل منه إنّما ينافي صحّة البدل إذا كان في عرض</w:t>
      </w:r>
      <w:r>
        <w:rPr>
          <w:rStyle w:val="FootnoteReference"/>
        </w:rPr>
        <w:footnoteReference w:id="2143"/>
      </w:r>
      <w:r>
        <w:rPr>
          <w:rFonts w:ascii="IRNazanin" w:hAnsi="IRNazanin" w:eastAsia="IRNazanin" w:cs="IRNazanin"/>
          <w:lang w:bidi="fa-IR"/>
          <w:color w:val="111111"/>
          <w:sz w:val="28"/>
          <w:szCs w:val="28"/>
          <w:rtl/>
        </w:rPr>
        <w:t xml:space="preserve">المبدل منه</w:t>
      </w:r>
      <w:r>
        <w:rPr>
          <w:rStyle w:val="FootnoteReference"/>
        </w:rPr>
        <w:footnoteReference w:id="2144"/>
      </w:r>
      <w:r>
        <w:rPr>
          <w:rFonts w:ascii="Amiri" w:hAnsi="Amiri" w:eastAsia="Amiri" w:cs="Amiri"/>
          <w:lang w:bidi="ar-SA"/>
          <w:color w:val="111111"/>
          <w:sz w:val="28"/>
          <w:szCs w:val="28"/>
          <w:rtl/>
        </w:rPr>
        <w:t xml:space="preserve">دون ما إذا كان مترتّباً على عصيانه ولا يستلزم الجمع بينهما على هذا الوجه.</w:t>
      </w:r>
    </w:p>
    <w:p>
      <w:pPr>
        <w:pStyle w:val="Heading6"/>
      </w:pPr>
      <w:bookmarkStart w:id="841" w:name="_Toc522"/>
      <w:r>
        <w:t>[إشکال آخر على صحّة الصلاة حال الخروج بأنّه شبیه بالصلاة مع الجهل بالحرمة]</w:t>
      </w:r>
      <w:bookmarkEnd w:id="841"/>
    </w:p>
    <w:p>
      <w:pPr>
        <w:pStyle w:val="BookText"/>
      </w:pPr>
      <w:r>
        <w:rPr>
          <w:rFonts w:ascii="IRNazanin" w:hAnsi="IRNazanin" w:eastAsia="IRNazanin" w:cs="IRNazanin"/>
          <w:lang w:bidi="fa-IR"/>
          <w:color w:val="111111"/>
          <w:sz w:val="28"/>
          <w:szCs w:val="28"/>
          <w:rtl/>
        </w:rPr>
        <w:t xml:space="preserve">هذا وربما يستشکل على المشهور في حكمهم بصحّة الصّلاة حال الخروج بوجه آخر وهو أنّه منافٍ لما ذهبوا إلیه من بطلان الصّلاة في المغصوب مع الجهلبالحرمة؛ إذ هما من وادٍ واحد وهو عدم توجّه النهي فعلاً إلى المکلّف.</w:t>
      </w:r>
    </w:p>
    <w:p>
      <w:pPr>
        <w:pStyle w:val="Heading6"/>
      </w:pPr>
      <w:bookmarkStart w:id="842" w:name="_Toc523"/>
      <w:r>
        <w:t>[نقد الإشکال]</w:t>
      </w:r>
      <w:bookmarkEnd w:id="842"/>
    </w:p>
    <w:p>
      <w:pPr>
        <w:pStyle w:val="BookText"/>
      </w:pPr>
      <w:r>
        <w:rPr>
          <w:rFonts w:ascii="Amiri" w:hAnsi="Amiri" w:eastAsia="Amiri" w:cs="Amiri"/>
          <w:lang w:bidi="ar-SA"/>
          <w:color w:val="111111"/>
          <w:sz w:val="28"/>
          <w:szCs w:val="28"/>
          <w:rtl/>
        </w:rPr>
        <w:t xml:space="preserve">وأنت خبير بعدم الوقع</w:t>
      </w:r>
      <w:r>
        <w:rPr>
          <w:rStyle w:val="FootnoteReference"/>
        </w:rPr>
        <w:footnoteReference w:id="2145"/>
      </w:r>
      <w:r>
        <w:rPr>
          <w:rFonts w:ascii="IRNazanin" w:hAnsi="IRNazanin" w:eastAsia="IRNazanin" w:cs="IRNazanin"/>
          <w:lang w:bidi="fa-IR"/>
          <w:color w:val="111111"/>
          <w:sz w:val="28"/>
          <w:szCs w:val="28"/>
          <w:rtl/>
        </w:rPr>
        <w:t xml:space="preserve">لهذا الإشکال؛ إذ الفرق بين المقامين واضح حيث إنّ المتوسّط للغصب ليس مکلّفاً بترك الغصب حال الخروج لا واقعاً ولا ظاهراً وإن قلنا بكونه معاقباً من جهة النهي السابق، فلا مانع من تعلّق الأمر بالصّلاة به بخلاف الجاهل فإنّه مکلّف واقعاً بالترك فلا يمكن أمره بالصّلاة بناءً على مذهب المانعين.</w:t>
      </w:r>
    </w:p>
    <w:p>
      <w:pPr>
        <w:pStyle w:val="BookText"/>
      </w:pPr>
      <w:r>
        <w:rPr>
          <w:rFonts w:ascii="IRNazanin" w:hAnsi="IRNazanin" w:eastAsia="IRNazanin" w:cs="IRNazanin"/>
          <w:lang w:bidi="fa-IR"/>
          <w:color w:val="111111"/>
          <w:sz w:val="28"/>
          <w:szCs w:val="28"/>
          <w:rtl/>
        </w:rPr>
        <w:t xml:space="preserve">نعم يرد الإشکال على من خصّ المنع بالأمر والنهي الفعليّين</w:t>
      </w:r>
      <w:r>
        <w:rPr>
          <w:rStyle w:val="FootnoteReference"/>
        </w:rPr>
        <w:footnoteReference w:id="2146"/>
      </w:r>
      <w:r>
        <w:rPr>
          <w:rFonts w:ascii="IRNazanin" w:hAnsi="IRNazanin" w:eastAsia="IRNazanin" w:cs="IRNazanin"/>
          <w:lang w:bidi="fa-IR"/>
          <w:color w:val="111111"/>
          <w:sz w:val="28"/>
          <w:szCs w:val="28"/>
          <w:rtl/>
        </w:rPr>
        <w:t xml:space="preserve">وقد عرفت سابقاً</w:t>
      </w:r>
      <w:r>
        <w:rPr>
          <w:rStyle w:val="FootnoteReference"/>
        </w:rPr>
        <w:footnoteReference w:id="2147"/>
      </w:r>
      <w:r>
        <w:rPr>
          <w:rFonts w:ascii="IRNazanin" w:hAnsi="IRNazanin" w:eastAsia="IRNazanin" w:cs="IRNazanin"/>
          <w:lang w:bidi="fa-IR"/>
          <w:color w:val="111111"/>
          <w:sz w:val="28"/>
          <w:szCs w:val="28"/>
          <w:rtl/>
        </w:rPr>
        <w:t xml:space="preserve">أنّه لا وجه له.</w:t>
      </w:r>
    </w:p>
    <w:p>
      <w:pPr>
        <w:pStyle w:val="Heading5"/>
      </w:pPr>
      <w:bookmarkStart w:id="843" w:name="_Toc524"/>
      <w:r>
        <w:t>[التنبیه التاسع: مشارکة المأمور بفعل مع من یحرم علیه ذلك الفعل]</w:t>
      </w:r>
      <w:bookmarkEnd w:id="843"/>
    </w:p>
    <w:p>
      <w:pPr>
        <w:pStyle w:val="BookText"/>
      </w:pPr>
      <w:r>
        <w:rPr>
          <w:rFonts w:ascii="IRNazanin" w:hAnsi="IRNazanin" w:eastAsia="IRNazanin" w:cs="IRNazanin"/>
          <w:lang w:bidi="fa-IR"/>
          <w:color w:val="111111"/>
          <w:sz w:val="28"/>
          <w:szCs w:val="28"/>
          <w:rtl/>
        </w:rPr>
        <w:t xml:space="preserve">التّاسع: إذا كان الفعل المطلوب من المکلّف ممّا يتوقّف على الشّركة مع غيره كأن يطلب منه رفع حجر لا يمكنه رفعه إلّا مع آخر فشارك مع من يحرم عليه ذلك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فهل يكون من اجتماع الأمر والنهي أو لا؟</w:t>
      </w:r>
    </w:p>
    <w:p>
      <w:pPr>
        <w:pStyle w:val="BookText"/>
      </w:pPr>
      <w:r>
        <w:rPr>
          <w:rFonts w:ascii="IRNazanin" w:hAnsi="IRNazanin" w:eastAsia="IRNazanin" w:cs="IRNazanin"/>
          <w:lang w:bidi="fa-IR"/>
          <w:color w:val="111111"/>
          <w:sz w:val="28"/>
          <w:szCs w:val="28"/>
          <w:rtl/>
        </w:rPr>
        <w:t xml:space="preserve">الظاهر أنّه ليس منه إذا فرض كون المطلوب من کلّ مکلّف الشّركة فيه فإنّ حرمته على الآخر لا دخل له بوجوبه عليه؛ إذ هما في الحقيقة فعلان أحدهما واجب والآخر حرام.</w:t>
      </w:r>
    </w:p>
    <w:p>
      <w:pPr>
        <w:pStyle w:val="BookText"/>
      </w:pPr>
      <w:r>
        <w:rPr>
          <w:rFonts w:ascii="IRNazanin" w:hAnsi="IRNazanin" w:eastAsia="IRNazanin" w:cs="IRNazanin"/>
          <w:lang w:bidi="fa-IR"/>
          <w:color w:val="111111"/>
          <w:sz w:val="28"/>
          <w:szCs w:val="28"/>
          <w:rtl/>
        </w:rPr>
        <w:t xml:space="preserve">وأمّا إذا فرض كون الواجب على کلّ إيجاد ذلك الفعل في الخارج ولو بمعاون بحيث يكون المکلّف به نفس الفعل المفروض لا الشّركة فيه فلا يبعد صدق الاجتماع، فبناءً على عدم الجواز لا يحصل الامتثال إذا كان المعاون ممّن يحرم عليه ذلك.</w:t>
      </w:r>
    </w:p>
    <w:p>
      <w:pPr>
        <w:pStyle w:val="BookText"/>
      </w:pPr>
      <w:r>
        <w:rPr>
          <w:rFonts w:ascii="Amiri" w:hAnsi="Amiri" w:eastAsia="Amiri" w:cs="Amiri"/>
          <w:lang w:bidi="ar-SA"/>
          <w:color w:val="111111"/>
          <w:sz w:val="28"/>
          <w:szCs w:val="28"/>
          <w:rtl/>
        </w:rPr>
        <w:t xml:space="preserve">ومن ذلك يظهر حال ما إذا وجب عليه فعل يكون متقوّماً باثنين كما إذا وجب عليه إعطاء درهم لفقير</w:t>
      </w:r>
      <w:r>
        <w:rPr>
          <w:rStyle w:val="FootnoteReference"/>
        </w:rPr>
        <w:footnoteReference w:id="2148"/>
      </w:r>
      <w:r>
        <w:rPr>
          <w:rFonts w:ascii="IRNazanin" w:hAnsi="IRNazanin" w:eastAsia="IRNazanin" w:cs="IRNazanin"/>
          <w:lang w:bidi="fa-IR"/>
          <w:color w:val="111111"/>
          <w:sz w:val="28"/>
          <w:szCs w:val="28"/>
          <w:rtl/>
        </w:rPr>
        <w:t xml:space="preserve">فأعطاه فقيراً يحرم عليه الأخذ فإنّه يحصل الامتثال وإن کان حراماً على الآخذ أخذه؛ لأنّ الواجب هو الإعطاء ولا دخل له بأخذ الآخر وإن کان لايتحقّق إلّا به.</w:t>
      </w:r>
    </w:p>
    <w:p>
      <w:pPr>
        <w:pStyle w:val="BookText"/>
      </w:pPr>
      <w:r>
        <w:rPr>
          <w:rFonts w:ascii="IRNazanin" w:hAnsi="IRNazanin" w:eastAsia="IRNazanin" w:cs="IRNazanin"/>
          <w:lang w:bidi="fa-IR"/>
          <w:color w:val="111111"/>
          <w:sz w:val="28"/>
          <w:szCs w:val="28"/>
          <w:rtl/>
        </w:rPr>
        <w:t xml:space="preserve">نعم يشترط فيه كونه أهلاً للأخذ من حيث هو وكانت الحرمة تکلیفيّة صرفة كما لو كان الآخذ ممّن نذر أن لا يأخذ</w:t>
      </w:r>
      <w:r>
        <w:rPr>
          <w:rStyle w:val="FootnoteReference"/>
        </w:rPr>
        <w:footnoteReference w:id="2149"/>
      </w:r>
      <w:r>
        <w:rPr>
          <w:rFonts w:ascii="Amiri" w:hAnsi="Amiri" w:eastAsia="Amiri" w:cs="Amiri"/>
          <w:lang w:bidi="ar-SA"/>
          <w:color w:val="111111"/>
          <w:sz w:val="28"/>
          <w:szCs w:val="28"/>
          <w:rtl/>
        </w:rPr>
        <w:t xml:space="preserve">من غيره شيئاً وأمّا إذا كانت الحرمة من حيث عدم أهليّته</w:t>
      </w:r>
      <w:r>
        <w:rPr>
          <w:rStyle w:val="FootnoteReference"/>
        </w:rPr>
        <w:footnoteReference w:id="2150"/>
      </w:r>
      <w:r>
        <w:rPr>
          <w:rFonts w:ascii="Amiri" w:hAnsi="Amiri" w:eastAsia="Amiri" w:cs="Amiri"/>
          <w:lang w:bidi="ar-SA"/>
          <w:color w:val="111111"/>
          <w:sz w:val="28"/>
          <w:szCs w:val="28"/>
          <w:rtl/>
        </w:rPr>
        <w:t xml:space="preserve">كأن لا يكون فقيراً أو كان هاشميّاً وكان الدرهم</w:t>
      </w:r>
      <w:r>
        <w:rPr>
          <w:rStyle w:val="FootnoteReference"/>
        </w:rPr>
        <w:footnoteReference w:id="2151"/>
      </w:r>
      <w:r>
        <w:rPr>
          <w:rFonts w:ascii="IRNazanin" w:hAnsi="IRNazanin" w:eastAsia="IRNazanin" w:cs="IRNazanin"/>
          <w:lang w:bidi="fa-IR"/>
          <w:color w:val="111111"/>
          <w:sz w:val="28"/>
          <w:szCs w:val="28"/>
          <w:rtl/>
        </w:rPr>
        <w:t xml:space="preserve">صدقة من غير الهاشمي فلايحصل الامتثال لكن لا من جهة الاجتماع بل من جهة عدم قابليّة المحلّ، ففي الحقيقة يحرم على المعطي أیضاً هذا الفرد من الإعطاء.</w:t>
      </w:r>
    </w:p>
    <w:p>
      <w:pPr>
        <w:pStyle w:val="BookText"/>
      </w:pPr>
      <w:r>
        <w:rPr>
          <w:rFonts w:ascii="IRNazanin" w:hAnsi="IRNazanin" w:eastAsia="IRNazanin" w:cs="IRNazanin"/>
          <w:lang w:bidi="fa-IR"/>
          <w:color w:val="111111"/>
          <w:sz w:val="28"/>
          <w:szCs w:val="28"/>
          <w:rtl/>
        </w:rPr>
        <w:t xml:space="preserve">وممّا ذكرنا ظهر حال البيع بالنّسبة إلى من يجب عليه إذا كان المشتري ممّن يحرم عليه الشّراء من جهة كونه مکلّفاً بصلاة الجمعة وكان وقت النداء فإنّه يحصل الامتثال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بالنسبة إلى الأوّل؛ إذ البيع فعل والشراء فعل آخر وحرمة أحدهما لا يستلزم حرمة الآخر إلّا من باب الإعانة على الإثم إذا فرض كونه كذلك.</w:t>
      </w:r>
    </w:p>
    <w:p>
      <w:pPr>
        <w:pStyle w:val="BookText"/>
      </w:pPr>
      <w:r>
        <w:rPr>
          <w:rFonts w:ascii="IRNazanin" w:hAnsi="IRNazanin" w:eastAsia="IRNazanin" w:cs="IRNazanin"/>
          <w:lang w:bidi="fa-IR"/>
          <w:color w:val="111111"/>
          <w:sz w:val="28"/>
          <w:szCs w:val="28"/>
          <w:rtl/>
        </w:rPr>
        <w:t xml:space="preserve">نعم لو كان الواجب عليه المعاملة البيعيّة لا خصوص الإيجاب أمكن أن يقال:يلزم الاجتماع؛ إذ المکلّف به حینئذٍ تمام المعاملة فالشّراء أیضاً كأنّه فعل للبائع من حيث التسبيب فلا يحصل الامتثال بناءً على عدم الجواز.</w:t>
      </w:r>
    </w:p>
    <w:p>
      <w:pPr>
        <w:pStyle w:val="BookText"/>
      </w:pPr>
      <w:r>
        <w:rPr>
          <w:rFonts w:ascii="IRNazanin" w:hAnsi="IRNazanin" w:eastAsia="IRNazanin" w:cs="IRNazanin"/>
          <w:lang w:bidi="fa-IR"/>
          <w:color w:val="111111"/>
          <w:sz w:val="28"/>
          <w:szCs w:val="28"/>
          <w:rtl/>
        </w:rPr>
        <w:t xml:space="preserve">وأمّا في صورة وجوب نفس البيع فالاجتماع لا يكون إلّا في المجموع من حيث المجموع والمفروض أنّ المکلّف به بعض هذا المجموع وهو البيع فقط وتوقّفه على الشّراء لا يجعلهما فعلاً واحداً فيحصل الامتثال ولو تعمّد في اختيار هذا الفرد وتمکّن من المعاملة مع غيره مع قطع النظر عن الإعانة على الإثم أو مع فرض جهل الآخر بالحرمة لكن بشرط عدم كون الحرمة من جهة عدم قابليّة المحلّ.</w:t>
      </w:r>
    </w:p>
    <w:p>
      <w:pPr>
        <w:pStyle w:val="BookText"/>
      </w:pPr>
      <w:r>
        <w:rPr>
          <w:rFonts w:ascii="IRNazanin" w:hAnsi="IRNazanin" w:eastAsia="IRNazanin" w:cs="IRNazanin"/>
          <w:lang w:bidi="fa-IR"/>
          <w:color w:val="111111"/>
          <w:sz w:val="28"/>
          <w:szCs w:val="28"/>
          <w:rtl/>
        </w:rPr>
        <w:t xml:space="preserve">والحاصل: أنّه إن وجب عليه إيجاد المعاملة بتمامها بحيث يكون الشّراء أیضاً فعلاً تسبيبیاً له فلا يحصل الامتثال إلّا إذا كان المشتري ممّن يجوز في حقّه الشّراء وأمّا إذا كان الواجب البيع فقط فلا يضرّ في امتثاله كون الشّراء حراماً على المشتري</w:t>
      </w:r>
      <w:r>
        <w:rPr>
          <w:rStyle w:val="FootnoteReference"/>
        </w:rPr>
        <w:footnoteReference w:id="2152"/>
      </w:r>
    </w:p>
    <w:p>
      <w:pPr>
        <w:pStyle w:val="BookText"/>
      </w:pPr>
      <w:r>
        <w:rPr>
          <w:rFonts w:ascii="Amiri" w:hAnsi="Amiri" w:eastAsia="Amiri" w:cs="Amiri"/>
          <w:lang w:bidi="ar-SA"/>
          <w:color w:val="111111"/>
          <w:sz w:val="28"/>
          <w:szCs w:val="28"/>
          <w:rtl/>
        </w:rPr>
        <w:t xml:space="preserve">ومن هنا ظهر أنّ سراية الحرمة من أحد الطّرفين إلى الآخر في النكاح ليست من جهة لزوم الاجتماع لولاها بل إنّما هي من جهة أنّه إذا قال: «يحرم عليه تزويج البنت أو الأخت» أو نحو ذلك</w:t>
      </w:r>
      <w:r>
        <w:rPr>
          <w:rStyle w:val="FootnoteReference"/>
        </w:rPr>
        <w:footnoteReference w:id="2153"/>
      </w:r>
      <w:r>
        <w:rPr>
          <w:rFonts w:ascii="IRNazanin" w:hAnsi="IRNazanin" w:eastAsia="IRNazanin" w:cs="IRNazanin"/>
          <w:lang w:bidi="fa-IR"/>
          <w:color w:val="111111"/>
          <w:sz w:val="28"/>
          <w:szCs w:val="28"/>
          <w:rtl/>
        </w:rPr>
        <w:t xml:space="preserve">يستفاد منه عدم أهليّتهما للزّوجيّة له فيكون النكاح محرّماً على البنت والأخت أیضاً من هذه الجهة.</w:t>
      </w:r>
    </w:p>
    <w:p>
      <w:pPr>
        <w:pStyle w:val="BookText"/>
      </w:pPr>
      <w:r>
        <w:rPr>
          <w:rFonts w:ascii="IRNazanin" w:hAnsi="IRNazanin" w:eastAsia="IRNazanin" w:cs="IRNazanin"/>
          <w:lang w:bidi="fa-IR"/>
          <w:color w:val="111111"/>
          <w:sz w:val="28"/>
          <w:szCs w:val="28"/>
          <w:rtl/>
        </w:rPr>
        <w:t xml:space="preserve">مع أنّه يستفاد منه الحرمة من الطّرفين أوّلاً مع قطع النظر عن عدم الأهليّة أیضاً.</w:t>
      </w:r>
    </w:p>
    <w:p>
      <w:pPr>
        <w:pStyle w:val="BookText"/>
      </w:pPr>
      <w:r>
        <w:rPr>
          <w:rFonts w:ascii="IRNazanin" w:hAnsi="IRNazanin" w:eastAsia="IRNazanin" w:cs="IRNazanin"/>
          <w:lang w:bidi="fa-IR"/>
          <w:color w:val="111111"/>
          <w:sz w:val="28"/>
          <w:szCs w:val="28"/>
          <w:rtl/>
        </w:rPr>
        <w:t xml:space="preserve">والحاصل: أنّ الوجه في الحكم بالحرمة على النساء أیضاً مع اختصاص النواهي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بالرّجال ليس لزوم اجتماع الأمر والنهي في العقد الّذي هو فعل واحد لولا الحكم بالحرمة، بل الوجه كون النهي ظاهراً في إفادة الحكم الوضعي وهو عدم القابليّة ولازمه عدم حصول الزّوجيّة ولازمه الحرمة أو كونه ظاهراً في الحرمة على النّساء أیضاً وإن ذكر الرّجال من باب المثال والأشرفيّة.</w:t>
      </w:r>
    </w:p>
    <w:p>
      <w:pPr>
        <w:pStyle w:val="BookText"/>
      </w:pPr>
      <w:r>
        <w:rPr>
          <w:rFonts w:ascii="Amiri" w:hAnsi="Amiri" w:eastAsia="Amiri" w:cs="Amiri"/>
          <w:lang w:bidi="ar-SA"/>
          <w:color w:val="111111"/>
          <w:sz w:val="28"/>
          <w:szCs w:val="28"/>
          <w:rtl/>
        </w:rPr>
        <w:t xml:space="preserve">ولعلّه إلى ما ذكرنا نظر المحقّق</w:t>
      </w:r>
      <w:r>
        <w:rPr>
          <w:rStyle w:val="FootnoteReference"/>
        </w:rPr>
        <w:footnoteReference w:id="2154"/>
      </w:r>
      <w:r>
        <w:rPr>
          <w:rFonts w:ascii="Amiri" w:hAnsi="Amiri" w:eastAsia="Amiri" w:cs="Amiri"/>
          <w:lang w:bidi="ar-SA"/>
          <w:color w:val="111111"/>
          <w:sz w:val="28"/>
          <w:szCs w:val="28"/>
          <w:rtl/>
        </w:rPr>
        <w:t xml:space="preserve">والشهيد</w:t>
      </w:r>
      <w:r>
        <w:rPr>
          <w:rStyle w:val="FootnoteReference"/>
        </w:rPr>
        <w:footnoteReference w:id="2155"/>
      </w:r>
      <w:r>
        <w:rPr>
          <w:rFonts w:ascii="Amiri" w:hAnsi="Amiri" w:eastAsia="Amiri" w:cs="Amiri"/>
          <w:lang w:bidi="ar-SA"/>
          <w:color w:val="111111"/>
          <w:sz w:val="28"/>
          <w:szCs w:val="28"/>
          <w:rtl/>
        </w:rPr>
        <w:t xml:space="preserve">الثانيان في حكمهما بسراية الحرمة من أحد الطّرفين إلى الآخر لا إلى ما تخيّله صاحب الإشارات من لزوم الاجتماع.فلا وجه لإيراده عليهما بعد التوجيه بذلك حيث قال:</w:t>
      </w:r>
    </w:p>
    <w:p>
      <w:pPr>
        <w:pStyle w:val="BookText"/>
      </w:pPr>
      <w:r>
        <w:rPr>
          <w:rFonts w:ascii="Amiri" w:hAnsi="Amiri" w:eastAsia="Amiri" w:cs="Amiri"/>
          <w:lang w:bidi="ar-SA"/>
          <w:color w:val="111111"/>
          <w:sz w:val="28"/>
          <w:szCs w:val="28"/>
          <w:rtl/>
        </w:rPr>
        <w:t xml:space="preserve">«صرّح الثانيان وغيرهما بأنّ تحريم النكاح من أحد الطّرفين يقتضي ثبوت التحريم من الطّرف الآخر.</w:t>
      </w:r>
    </w:p>
    <w:p>
      <w:pPr>
        <w:pStyle w:val="BookText"/>
      </w:pPr>
      <w:r>
        <w:rPr>
          <w:rFonts w:ascii="IRNazanin" w:hAnsi="IRNazanin" w:eastAsia="IRNazanin" w:cs="IRNazanin"/>
          <w:lang w:bidi="fa-IR"/>
          <w:color w:val="111111"/>
          <w:sz w:val="28"/>
          <w:szCs w:val="28"/>
          <w:rtl/>
        </w:rPr>
        <w:t xml:space="preserve">وربما يظهر من کلام سيّد الأواخر</w:t>
      </w:r>
      <w:r>
        <w:rPr>
          <w:rStyle w:val="FootnoteReference"/>
        </w:rPr>
        <w:footnoteReference w:id="2156"/>
      </w:r>
      <w:r>
        <w:rPr>
          <w:rFonts w:ascii="Amiri" w:hAnsi="Amiri" w:eastAsia="Amiri" w:cs="Amiri"/>
          <w:lang w:bidi="ar-SA"/>
          <w:color w:val="111111"/>
          <w:sz w:val="28"/>
          <w:szCs w:val="28"/>
          <w:rtl/>
        </w:rPr>
        <w:t xml:space="preserve">القطع بذلك ومن هذا استخرج غير واحد منهم</w:t>
      </w:r>
      <w:r>
        <w:rPr>
          <w:rStyle w:val="FootnoteReference"/>
        </w:rPr>
        <w:footnoteReference w:id="2157"/>
      </w:r>
      <w:r>
        <w:rPr>
          <w:rFonts w:ascii="Amiri" w:hAnsi="Amiri" w:eastAsia="Amiri" w:cs="Amiri"/>
          <w:lang w:bidi="ar-SA"/>
          <w:color w:val="111111"/>
          <w:sz w:val="28"/>
          <w:szCs w:val="28"/>
          <w:rtl/>
        </w:rPr>
        <w:t xml:space="preserve">النكتة في تخصيص الله تعالى الحكم بالرّجال في محرّمات النكاح ويلزمهم أنّ تحريم المعاملة على أحد المتقابلين</w:t>
      </w:r>
      <w:r>
        <w:rPr>
          <w:rStyle w:val="FootnoteReference"/>
        </w:rPr>
        <w:footnoteReference w:id="2158"/>
      </w:r>
      <w:r>
        <w:rPr>
          <w:rFonts w:ascii="Amiri" w:hAnsi="Amiri" w:eastAsia="Amiri" w:cs="Amiri"/>
          <w:lang w:bidi="ar-SA"/>
          <w:color w:val="111111"/>
          <w:sz w:val="28"/>
          <w:szCs w:val="28"/>
          <w:rtl/>
        </w:rPr>
        <w:t xml:space="preserve">يقتضي تحريمها على الآخر.</w:t>
      </w:r>
    </w:p>
    <w:p>
      <w:pPr>
        <w:pStyle w:val="BookText"/>
      </w:pPr>
      <w:r>
        <w:rPr>
          <w:rFonts w:ascii="Amiri" w:hAnsi="Amiri" w:eastAsia="Amiri" w:cs="Amiri"/>
          <w:lang w:bidi="ar-SA"/>
          <w:color w:val="111111"/>
          <w:sz w:val="28"/>
          <w:szCs w:val="28"/>
          <w:rtl/>
        </w:rPr>
        <w:t xml:space="preserve">ويمكن أن يوجّه بأنّ العقد والنكاح لمّا كان أمراً واحداً بسيطاً لا يجتمع فيه الحكمان المتضادّان.</w:t>
      </w:r>
    </w:p>
    <w:p>
      <w:pPr>
        <w:pStyle w:val="BookText"/>
      </w:pPr>
      <w:r>
        <w:rPr>
          <w:rFonts w:ascii="IRNazanin" w:hAnsi="IRNazanin" w:eastAsia="IRNazanin" w:cs="IRNazanin"/>
          <w:lang w:bidi="fa-IR"/>
          <w:color w:val="111111"/>
          <w:sz w:val="28"/>
          <w:szCs w:val="28"/>
          <w:rtl/>
        </w:rPr>
        <w:t xml:space="preserve">وفيه: أنّ ذلك لا يتمّ، فإنّ العقد له آثار في الموجب وآثار في القابل كما أنّ له إيجاباً وقبولاً فيمكن اختلاف المصلحة فيه بأحد الاعتبارين دون الآخر، وأیضاً لو كان العقد أمراً واحداً بسيطاً لامتنع اتّصاف الطّرفين به لاستحالة قيام العرض الواحد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بمحلّين مستقلّين، فإنّ وحدة الحالّ يستلزم وحدة المحلّ بالضّرورة وإن اختلف فيه ويتفرّع عليه فروع لا تخفی».</w:t>
      </w:r>
      <w:r>
        <w:rPr>
          <w:rStyle w:val="FootnoteReference"/>
        </w:rPr>
        <w:footnoteReference w:id="2159"/>
      </w:r>
      <w:r>
        <w:rPr>
          <w:rFonts w:ascii="IRNazanin" w:hAnsi="IRNazanin" w:eastAsia="IRNazanin" w:cs="IRNazanin"/>
          <w:lang w:bidi="fa-IR"/>
          <w:color w:val="111111"/>
          <w:sz w:val="28"/>
          <w:szCs w:val="28"/>
          <w:rtl/>
        </w:rPr>
        <w:t xml:space="preserve">انتهى.</w:t>
      </w:r>
    </w:p>
    <w:p>
      <w:pPr>
        <w:pStyle w:val="BookText"/>
      </w:pPr>
      <w:r>
        <w:rPr>
          <w:rFonts w:ascii="IRNazanin" w:hAnsi="IRNazanin" w:eastAsia="IRNazanin" w:cs="IRNazanin"/>
          <w:lang w:bidi="fa-IR"/>
          <w:color w:val="111111"/>
          <w:sz w:val="28"/>
          <w:szCs w:val="28"/>
          <w:rtl/>
        </w:rPr>
        <w:t xml:space="preserve">فتحصّل أنّ حرمة المعاملة من أحد الطرفين إمّا أن يكون من باب الحكم الوضعي ولازمه السّراية إلى الآخر وإمّا أن يكون تکلیفاً صرفاً ولازمه عدم السراية إلّا من باب الإعانة مع اجتماع شروطها وأنّ محرّمات النكاح من قبيل الأوّل والبيع وقت النداء من قبيل الثاني.</w:t>
      </w:r>
    </w:p>
    <w:p>
      <w:pPr>
        <w:pStyle w:val="BookText"/>
      </w:pPr>
      <w:r>
        <w:rPr>
          <w:rFonts w:ascii="Amiri" w:hAnsi="Amiri" w:eastAsia="Amiri" w:cs="Amiri"/>
          <w:lang w:bidi="ar-SA"/>
          <w:color w:val="111111"/>
          <w:sz w:val="28"/>
          <w:szCs w:val="28"/>
          <w:rtl/>
        </w:rPr>
        <w:t xml:space="preserve">ونظر الجماعة في السّراية إلى الحكم الوضعي لا إلى أنّ العقد أمر واحد بسيط فلا إيراد عليهم، ولذا يبعد</w:t>
      </w:r>
      <w:r>
        <w:rPr>
          <w:rStyle w:val="FootnoteReference"/>
        </w:rPr>
        <w:footnoteReference w:id="2160"/>
      </w:r>
      <w:r>
        <w:rPr>
          <w:rFonts w:ascii="Amiri" w:hAnsi="Amiri" w:eastAsia="Amiri" w:cs="Amiri"/>
          <w:lang w:bidi="ar-SA"/>
          <w:color w:val="111111"/>
          <w:sz w:val="28"/>
          <w:szCs w:val="28"/>
          <w:rtl/>
        </w:rPr>
        <w:t xml:space="preserve">التزامهم بالبطلان فيما لو حرم النكاح على أحد الطّرفين من جهة النّذر أو نحوه من مخالفة الأب</w:t>
      </w:r>
      <w:r>
        <w:rPr>
          <w:rStyle w:val="FootnoteReference"/>
        </w:rPr>
        <w:footnoteReference w:id="2161"/>
      </w:r>
      <w:r>
        <w:rPr>
          <w:rFonts w:ascii="IRNazanin" w:hAnsi="IRNazanin" w:eastAsia="IRNazanin" w:cs="IRNazanin"/>
          <w:lang w:bidi="fa-IR"/>
          <w:color w:val="111111"/>
          <w:sz w:val="28"/>
          <w:szCs w:val="28"/>
          <w:rtl/>
        </w:rPr>
        <w:t xml:space="preserve">إذا نهى عن التزوّج</w:t>
      </w:r>
      <w:r>
        <w:rPr>
          <w:rStyle w:val="FootnoteReference"/>
        </w:rPr>
        <w:footnoteReference w:id="2162"/>
      </w:r>
      <w:r>
        <w:rPr>
          <w:rFonts w:ascii="Amiri" w:hAnsi="Amiri" w:eastAsia="Amiri" w:cs="Amiri"/>
          <w:lang w:bidi="ar-SA"/>
          <w:color w:val="111111"/>
          <w:sz w:val="28"/>
          <w:szCs w:val="28"/>
          <w:rtl/>
        </w:rPr>
        <w:t xml:space="preserve">أو التزويج بشخص خاصّ.</w:t>
      </w:r>
    </w:p>
    <w:p>
      <w:pPr>
        <w:pStyle w:val="BookText"/>
      </w:pPr>
      <w:r>
        <w:rPr>
          <w:rFonts w:ascii="Amiri" w:hAnsi="Amiri" w:eastAsia="Amiri" w:cs="Amiri"/>
          <w:lang w:bidi="ar-SA"/>
          <w:color w:val="111111"/>
          <w:sz w:val="28"/>
          <w:szCs w:val="28"/>
          <w:rtl/>
        </w:rPr>
        <w:t xml:space="preserve">وأما مسألة نكاح البكر بدون إذن الأب على القول بعدم الصحّة فهي من باب شرطية الإذن لا لمجرّد الحرمة.</w:t>
      </w:r>
    </w:p>
    <w:p>
      <w:pPr>
        <w:pStyle w:val="BookText"/>
      </w:pPr>
      <w:r>
        <w:rPr>
          <w:rFonts w:ascii="Amiri" w:hAnsi="Amiri" w:eastAsia="Amiri" w:cs="Amiri"/>
          <w:lang w:bidi="ar-SA"/>
          <w:color w:val="111111"/>
          <w:sz w:val="28"/>
          <w:szCs w:val="28"/>
          <w:rtl/>
        </w:rPr>
        <w:t xml:space="preserve">ولازم ما ذكرنا صحّة النكاح إذا كان أحدهما مُحرِماً وكانت الحرمة من باب الإحرام إلّا أن يستفاد من الدليل شرطيّة الإحلال في الصحّة ولا بدّ من المراجعة.</w:t>
      </w:r>
      <w:r>
        <w:rPr>
          <w:rStyle w:val="FootnoteReference"/>
        </w:rPr>
        <w:footnoteReference w:id="2163"/>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02" w:name="pg6784_51690"/>
    <w:bookmarkEnd w:id="302"/>
    <w:p>
      <w:pPr>
        <w:pStyle w:val="Heading5"/>
      </w:pPr>
      <w:bookmarkStart w:id="844" w:name="_Toc525"/>
      <w:r>
        <w:t>[التنبیه العاشر: في فروع يظهر منها ثمرة المسألة]</w:t>
      </w:r>
      <w:bookmarkEnd w:id="844"/>
    </w:p>
    <w:p>
      <w:pPr>
        <w:pStyle w:val="Heading6"/>
      </w:pPr>
      <w:bookmarkStart w:id="845" w:name="_Toc526"/>
      <w:r>
        <w:t>اشارة</w:t>
      </w:r>
      <w:bookmarkEnd w:id="845"/>
    </w:p>
    <w:p>
      <w:pPr>
        <w:pStyle w:val="BookText"/>
      </w:pPr>
      <w:r>
        <w:rPr>
          <w:rFonts w:ascii="Amiri" w:hAnsi="Amiri" w:eastAsia="Amiri" w:cs="Amiri"/>
          <w:lang w:bidi="ar-SA"/>
          <w:color w:val="111111"/>
          <w:sz w:val="28"/>
          <w:szCs w:val="28"/>
          <w:rtl/>
        </w:rPr>
        <w:t xml:space="preserve">العاشر: لا بأس بذكر بعض فروع المسألة ليكون تمريناً للمتعلّم.</w:t>
      </w:r>
    </w:p>
    <w:p>
      <w:pPr>
        <w:pStyle w:val="Heading6"/>
      </w:pPr>
      <w:bookmarkStart w:id="846" w:name="_Toc527"/>
      <w:r>
        <w:t>[الصلاة في المکان المغصوب أو الفرش المغصوب]</w:t>
      </w:r>
      <w:bookmarkEnd w:id="846"/>
    </w:p>
    <w:p>
      <w:pPr>
        <w:pStyle w:val="BookText"/>
      </w:pPr>
      <w:r>
        <w:rPr>
          <w:rFonts w:ascii="Amiri" w:hAnsi="Amiri" w:eastAsia="Amiri" w:cs="Amiri"/>
          <w:lang w:bidi="ar-SA"/>
          <w:color w:val="111111"/>
          <w:sz w:val="28"/>
          <w:szCs w:val="28"/>
          <w:rtl/>
        </w:rPr>
        <w:t xml:space="preserve">فمنها ما تضمّنه المثال المتكرّر للمسألة من الصّلاة في المكان المغصوب</w:t>
      </w:r>
      <w:r>
        <w:rPr>
          <w:rStyle w:val="FootnoteReference"/>
        </w:rPr>
        <w:footnoteReference w:id="2164"/>
      </w:r>
      <w:r>
        <w:rPr>
          <w:rFonts w:ascii="Amiri" w:hAnsi="Amiri" w:eastAsia="Amiri" w:cs="Amiri"/>
          <w:lang w:bidi="ar-SA"/>
          <w:color w:val="111111"/>
          <w:sz w:val="28"/>
          <w:szCs w:val="28"/>
          <w:rtl/>
        </w:rPr>
        <w:t xml:space="preserve">أو الفرش المغصوب فإنّ لازم مذهب المانعين البطلان؛</w:t>
      </w:r>
      <w:r>
        <w:rPr>
          <w:rStyle w:val="FootnoteReference"/>
        </w:rPr>
        <w:footnoteReference w:id="2165"/>
      </w:r>
    </w:p>
    <w:p>
      <w:pPr>
        <w:pStyle w:val="BookText"/>
      </w:pPr>
      <w:r>
        <w:rPr>
          <w:rFonts w:ascii="IRNazanin" w:hAnsi="IRNazanin" w:eastAsia="IRNazanin" w:cs="IRNazanin"/>
          <w:lang w:bidi="fa-IR"/>
          <w:color w:val="111111"/>
          <w:sz w:val="28"/>
          <w:szCs w:val="28"/>
          <w:rtl/>
        </w:rPr>
        <w:t xml:space="preserve">کما ظهر من بعض أئمة الفنّ أنّ القول بالامتناع لا یلازم القول ببطلان الصلاة في المقام، فراجع: کفایةالأصول، ص174، حیث قال: «ثمّ لا يخفى أنّه لا إشكال في صحة الصلاة مطلقا في الدار المغصوبة على القول بالاجتماع وأمّا على القول بالامتناع فكذلك مع الاضطرار إلى الغصب لا بسوء الاختيار أو معه ولكنّها وقعت في حال الخروج على القول بكونه مأموراً به بدون إجراء حكم المعصية عليه أو مع غلبة ملاك الأمر على النهي مع ضيق الوقت أمّا مع السعة فالصحة وعدمها مبنيان على عدم اقتضاء الأمر بالشي‌ء للنهي عن الضد واقتضائه فإنّ الصلاة في الدار المغصوبة وإن كانت مصلحتها غالبة على ما فيها من المفسدة إلّا أنّه لا شبهة في أنّ الصلاة في غيرها تضادها بناء على أنّه لايبقى مجال مع إحداهما للأخرى مع كونها أهمّ منها لخلوها من المنقصة الناشئة من قبل اتحادها مع الغصب لكنّه عرفت عدم الاقتضاء بما لا مزيد عليه، فالصلاة في الغصب اختياراً في سعة الوقت صحيحة وإن لم تكن مأموراً بها».</w:t>
      </w:r>
    </w:p>
    <w:p>
      <w:pPr>
        <w:pStyle w:val="BookText"/>
      </w:pPr>
      <w:r>
        <w:rPr>
          <w:rFonts w:ascii="IRNazanin" w:hAnsi="IRNazanin" w:eastAsia="IRNazanin" w:cs="IRNazanin"/>
          <w:lang w:bidi="fa-IR"/>
          <w:color w:val="111111"/>
          <w:sz w:val="28"/>
          <w:szCs w:val="28"/>
          <w:rtl/>
        </w:rPr>
        <w:t xml:space="preserve">ولکن یظهر من فتاویه غیر ما قاله في هذا الموضع من الکفایة. فراجع: فقه فتوائي، ج1، ص125.</w:t>
      </w:r>
    </w:p>
    <w:p>
      <w:pPr>
        <w:pStyle w:val="BookText"/>
      </w:pPr>
      <w:r>
        <w:rPr>
          <w:rFonts w:ascii="Amiri" w:hAnsi="Amiri" w:eastAsia="Amiri" w:cs="Amiri"/>
          <w:lang w:bidi="ar-SA"/>
          <w:color w:val="111111"/>
          <w:sz w:val="28"/>
          <w:szCs w:val="28"/>
          <w:rtl/>
        </w:rPr>
        <w:t xml:space="preserve">لأنّ القيام والرّكوع والسّجود</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والجلوس للتشهّد من أفعال الصّلاة تصرّف في مال الغير، فاجتمع</w:t>
      </w:r>
      <w:r>
        <w:rPr>
          <w:rStyle w:val="FootnoteReference"/>
        </w:rPr>
        <w:footnoteReference w:id="2166"/>
      </w:r>
      <w:r>
        <w:rPr>
          <w:rFonts w:ascii="Amiri" w:hAnsi="Amiri" w:eastAsia="Amiri" w:cs="Amiri"/>
          <w:lang w:bidi="ar-SA"/>
          <w:color w:val="111111"/>
          <w:sz w:val="28"/>
          <w:szCs w:val="28"/>
          <w:rtl/>
        </w:rPr>
        <w:t xml:space="preserve">فيها الأمر والنهي،</w:t>
      </w:r>
      <w:r>
        <w:rPr>
          <w:rStyle w:val="FootnoteReference"/>
        </w:rPr>
        <w:footnoteReference w:id="2167"/>
      </w:r>
    </w:p>
    <w:p>
      <w:pPr>
        <w:pStyle w:val="BookText"/>
      </w:pPr>
      <w:r>
        <w:rPr>
          <w:rFonts w:ascii="Amiri" w:hAnsi="Amiri" w:eastAsia="Amiri" w:cs="Amiri"/>
          <w:lang w:bidi="ar-SA"/>
          <w:color w:val="111111"/>
          <w:sz w:val="28"/>
          <w:szCs w:val="28"/>
          <w:rtl/>
        </w:rPr>
        <w:t xml:space="preserve">ثمّ قال في ص180: «وبالجملة أظنّ أنّ التأمّل التامّ فيما ذكرنا من دليل المجوّزين يوجب القطع بصحة هذا القول فتدبر جيداً».</w:t>
      </w:r>
    </w:p>
    <w:p>
      <w:pPr>
        <w:pStyle w:val="BookText"/>
      </w:pPr>
      <w:r>
        <w:rPr>
          <w:rFonts w:ascii="IRNazanin" w:hAnsi="IRNazanin" w:eastAsia="IRNazanin" w:cs="IRNazanin"/>
          <w:lang w:bidi="fa-IR"/>
          <w:color w:val="111111"/>
          <w:sz w:val="28"/>
          <w:szCs w:val="28"/>
          <w:rtl/>
        </w:rPr>
        <w:t xml:space="preserve">ولا فرق في القيام بين أن يكون بوضع تمام قدميه على المغصوب أو بعض کلّ منهما أو بعض إحداهما.</w:t>
      </w:r>
    </w:p>
    <w:p>
      <w:pPr>
        <w:pStyle w:val="BookText"/>
      </w:pPr>
      <w:r>
        <w:rPr>
          <w:rFonts w:ascii="Amiri" w:hAnsi="Amiri" w:eastAsia="Amiri" w:cs="Amiri"/>
          <w:lang w:bidi="ar-SA"/>
          <w:color w:val="111111"/>
          <w:sz w:val="28"/>
          <w:szCs w:val="28"/>
          <w:rtl/>
        </w:rPr>
        <w:t xml:space="preserve">نعم لو وضع رجليه في مكان مباح وكانت أصابعه على المغصوب بحيث لم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معتمداً عليها</w:t>
      </w:r>
      <w:r>
        <w:rPr>
          <w:rStyle w:val="FootnoteReference"/>
        </w:rPr>
        <w:footnoteReference w:id="2168"/>
      </w:r>
      <w:r>
        <w:rPr>
          <w:rFonts w:ascii="IRNazanin" w:hAnsi="IRNazanin" w:eastAsia="IRNazanin" w:cs="IRNazanin"/>
          <w:lang w:bidi="fa-IR"/>
          <w:color w:val="111111"/>
          <w:sz w:val="28"/>
          <w:szCs w:val="28"/>
          <w:rtl/>
        </w:rPr>
        <w:t xml:space="preserve">فلا بأس به لعدم دخلها حینئذٍ في تحقّق القيام، وكذا بالنّسبة إلى غير الأصابع من أطراف الرجلين مع عدم الاعتماد.</w:t>
      </w:r>
    </w:p>
    <w:p>
      <w:pPr>
        <w:pStyle w:val="BookText"/>
      </w:pPr>
      <w:r>
        <w:rPr>
          <w:rFonts w:ascii="Amiri" w:hAnsi="Amiri" w:eastAsia="Amiri" w:cs="Amiri"/>
          <w:lang w:bidi="ar-SA"/>
          <w:color w:val="111111"/>
          <w:sz w:val="28"/>
          <w:szCs w:val="28"/>
          <w:rtl/>
        </w:rPr>
        <w:t xml:space="preserve">وأمّا مع</w:t>
      </w:r>
      <w:r>
        <w:rPr>
          <w:rStyle w:val="FootnoteReference"/>
        </w:rPr>
        <w:footnoteReference w:id="2169"/>
      </w:r>
      <w:r>
        <w:rPr>
          <w:rFonts w:ascii="IRNazanin" w:hAnsi="IRNazanin" w:eastAsia="IRNazanin" w:cs="IRNazanin"/>
          <w:lang w:bidi="fa-IR"/>
          <w:color w:val="111111"/>
          <w:sz w:val="28"/>
          <w:szCs w:val="28"/>
          <w:rtl/>
        </w:rPr>
        <w:t xml:space="preserve">الاعتماد</w:t>
      </w:r>
      <w:r>
        <w:rPr>
          <w:rStyle w:val="FootnoteReference"/>
        </w:rPr>
        <w:footnoteReference w:id="2170"/>
      </w:r>
      <w:r>
        <w:rPr>
          <w:rFonts w:ascii="Amiri" w:hAnsi="Amiri" w:eastAsia="Amiri" w:cs="Amiri"/>
          <w:lang w:bidi="ar-SA"/>
          <w:color w:val="111111"/>
          <w:sz w:val="28"/>
          <w:szCs w:val="28"/>
          <w:rtl/>
        </w:rPr>
        <w:t xml:space="preserve">فيتحقّق الاجتماع؛ لأنّ القيام أمر واحد وهو متحقّق بمجموع ما وضعه على الأرض وكفاية البعض في تحقّقه إنّما يثمر مع الاعتماد على خصوص ذلك البعض.</w:t>
      </w:r>
    </w:p>
    <w:p>
      <w:pPr>
        <w:pStyle w:val="BookText"/>
      </w:pPr>
      <w:r>
        <w:rPr>
          <w:rFonts w:ascii="IRNazanin" w:hAnsi="IRNazanin" w:eastAsia="IRNazanin" w:cs="IRNazanin"/>
          <w:lang w:bidi="fa-IR"/>
          <w:color w:val="111111"/>
          <w:sz w:val="28"/>
          <w:szCs w:val="28"/>
          <w:rtl/>
        </w:rPr>
        <w:t xml:space="preserve">وأمّا مع الاعتماد على الکلّ فيكون الفرد المتحقّق منه هو المستند إلى المجموع</w:t>
      </w:r>
      <w:r>
        <w:rPr>
          <w:rStyle w:val="FootnoteReference"/>
        </w:rPr>
        <w:footnoteReference w:id="2171"/>
      </w:r>
      <w:r>
        <w:rPr>
          <w:rFonts w:ascii="Amiri" w:hAnsi="Amiri" w:eastAsia="Amiri" w:cs="Amiri"/>
          <w:lang w:bidi="ar-SA"/>
          <w:color w:val="111111"/>
          <w:sz w:val="28"/>
          <w:szCs w:val="28"/>
          <w:rtl/>
        </w:rPr>
        <w:t xml:space="preserve">فيكون محرّماً.</w:t>
      </w:r>
    </w:p>
    <w:p>
      <w:pPr>
        <w:pStyle w:val="BookText"/>
      </w:pPr>
      <w:r>
        <w:rPr>
          <w:rFonts w:ascii="Amiri" w:hAnsi="Amiri" w:eastAsia="Amiri" w:cs="Amiri"/>
          <w:lang w:bidi="ar-SA"/>
          <w:color w:val="111111"/>
          <w:sz w:val="28"/>
          <w:szCs w:val="28"/>
          <w:rtl/>
        </w:rPr>
        <w:t xml:space="preserve">ولعلّ ما ذكرنا مراد صاحب الفصول (رحمة‌الله) حيث قال: «ولو قام على غيره ووضع أصابع رجليه عليه أو سجد على غيره ووضع أصابع يديه عليه أو كان الوضع في غير حال الوجوب فالوجه عدم البطلان».</w:t>
      </w:r>
      <w:r>
        <w:rPr>
          <w:rStyle w:val="FootnoteReference"/>
        </w:rPr>
        <w:footnoteReference w:id="2172"/>
      </w:r>
    </w:p>
    <w:p>
      <w:pPr>
        <w:pStyle w:val="BookText"/>
      </w:pPr>
      <w:r>
        <w:rPr>
          <w:rFonts w:ascii="IRNazanin" w:hAnsi="IRNazanin" w:eastAsia="IRNazanin" w:cs="IRNazanin"/>
          <w:lang w:bidi="fa-IR"/>
          <w:color w:val="111111"/>
          <w:sz w:val="28"/>
          <w:szCs w:val="28"/>
          <w:rtl/>
        </w:rPr>
        <w:t xml:space="preserve">فمراده صورة عدم الاعتماد وعدم المدخليّة فعلاً في تحقّق القيام أو الوضع حال السّجود وإلّا فمشکل لما عرفت.</w:t>
      </w:r>
    </w:p>
    <w:p>
      <w:pPr>
        <w:pStyle w:val="BookText"/>
      </w:pPr>
      <w:r>
        <w:rPr>
          <w:rFonts w:ascii="IRNazanin" w:hAnsi="IRNazanin" w:eastAsia="IRNazanin" w:cs="IRNazanin"/>
          <w:lang w:bidi="fa-IR"/>
          <w:color w:val="111111"/>
          <w:sz w:val="28"/>
          <w:szCs w:val="28"/>
          <w:rtl/>
        </w:rPr>
        <w:t xml:space="preserve">هذا وأمّا لو كان قائماً على المغصوب في بعض أحوال القيام دون بعضفیختصّ الحرمة والبطلان بذلك فإن کان في حال القراءة الواجبة بطل ووجب التّدارك وإن کان في حال القنوت بطل ووجب التّدارك وإن کان في حال القنوت بطل ولا يجب التّدارك ولا تبطل</w:t>
      </w:r>
      <w:r>
        <w:rPr>
          <w:rStyle w:val="FootnoteReference"/>
        </w:rPr>
        <w:footnoteReference w:id="2173"/>
      </w:r>
      <w:r>
        <w:rPr>
          <w:rFonts w:ascii="Amiri" w:hAnsi="Amiri" w:eastAsia="Amiri" w:cs="Amiri"/>
          <w:lang w:bidi="ar-SA"/>
          <w:color w:val="111111"/>
          <w:sz w:val="28"/>
          <w:szCs w:val="28"/>
          <w:rtl/>
        </w:rPr>
        <w:t xml:space="preserve">الصّلاة إلّا إذا عدّ فعلاً كثيراً ولا يضرّ كونه قياماً واحداً في اختصاص الحرمة بذلك البعض؛ لأنّ الحكم الشرعي يجعله متعدّداً كما بالنّسبة إلى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الاستحباب والوجوب فهو فرد واحد عرفي لكنّه متعدّد بحسب الاعتبار الشرعي وهو مشخّص له كما في کلّ فعل وحداني مستمرّ كالجلوس في مكان فلو كان واجباً بمقدار ساعة وكان الزّائد عليه حراماً یختصّ الحرمة بذلك الزائد مع أنّ الجلوس واحد، وهذا واضح.</w:t>
      </w:r>
    </w:p>
    <w:p>
      <w:pPr>
        <w:pStyle w:val="BookText"/>
      </w:pPr>
      <w:r>
        <w:rPr>
          <w:rFonts w:ascii="IRNazanin" w:hAnsi="IRNazanin" w:eastAsia="IRNazanin" w:cs="IRNazanin"/>
          <w:lang w:bidi="fa-IR"/>
          <w:color w:val="111111"/>
          <w:sz w:val="28"/>
          <w:szCs w:val="28"/>
          <w:rtl/>
        </w:rPr>
        <w:t xml:space="preserve">ففرق بينه وبين القيام على المغصوب والمباح وإن کان مقدار المباح كافياً في صدق القيام على فرض الاعتماد عليه فقط.</w:t>
      </w:r>
    </w:p>
    <w:p>
      <w:pPr>
        <w:pStyle w:val="BookText"/>
      </w:pPr>
      <w:r>
        <w:rPr>
          <w:rFonts w:ascii="IRNazanin" w:hAnsi="IRNazanin" w:eastAsia="IRNazanin" w:cs="IRNazanin"/>
          <w:lang w:bidi="fa-IR"/>
          <w:color w:val="111111"/>
          <w:sz w:val="28"/>
          <w:szCs w:val="28"/>
          <w:rtl/>
        </w:rPr>
        <w:t xml:space="preserve">وكذا الکلام بالنّسبة إلى الجلوس للتشهّد ولا فرق فيما ذكرنا بين كون المغصوب</w:t>
      </w:r>
      <w:r>
        <w:rPr>
          <w:rStyle w:val="FootnoteReference"/>
        </w:rPr>
        <w:footnoteReference w:id="2174"/>
      </w:r>
      <w:r>
        <w:rPr>
          <w:rFonts w:ascii="IRNazanin" w:hAnsi="IRNazanin" w:eastAsia="IRNazanin" w:cs="IRNazanin"/>
          <w:lang w:bidi="fa-IR"/>
          <w:color w:val="111111"/>
          <w:sz w:val="28"/>
          <w:szCs w:val="28"/>
          <w:rtl/>
        </w:rPr>
        <w:t xml:space="preserve">خصوص المقام أو هو مع الفضاء أو خصوص الفضاء.</w:t>
      </w:r>
    </w:p>
    <w:p>
      <w:pPr>
        <w:pStyle w:val="BookText"/>
      </w:pPr>
      <w:r>
        <w:rPr>
          <w:rFonts w:ascii="IRNazanin" w:hAnsi="IRNazanin" w:eastAsia="IRNazanin" w:cs="IRNazanin"/>
          <w:lang w:bidi="fa-IR"/>
          <w:color w:val="111111"/>
          <w:sz w:val="28"/>
          <w:szCs w:val="28"/>
          <w:rtl/>
        </w:rPr>
        <w:t xml:space="preserve">نعم مع اختصاصه بخصوص المقام لا يحصل الاتّحاد بالنسبة إلى الركوع وأمّا مع اختصاصه بالفضاء فيكون کلّ من المذكورات متّحداً مع التصرّف الغصبي؛ إذ القيام في الفضاء المغصوب تصرّف فيه.</w:t>
      </w:r>
    </w:p>
    <w:p>
      <w:pPr>
        <w:pStyle w:val="BookText"/>
      </w:pPr>
      <w:r>
        <w:rPr>
          <w:rFonts w:ascii="Amiri" w:hAnsi="Amiri" w:eastAsia="Amiri" w:cs="Amiri"/>
          <w:lang w:bidi="ar-SA"/>
          <w:color w:val="111111"/>
          <w:sz w:val="28"/>
          <w:szCs w:val="28"/>
          <w:rtl/>
        </w:rPr>
        <w:t xml:space="preserve">وهكذا البقيّة سواء جعلنا الهُوِيّ إلى الرّكوع والسّجود واجباً مستقلّاً أو مقدّمياً فإنّ الحالة الرّكوعية أیضاً تصرّف في الفضاء المغصوب.</w:t>
      </w:r>
    </w:p>
    <w:p>
      <w:pPr>
        <w:pStyle w:val="BookText"/>
      </w:pPr>
      <w:r>
        <w:rPr>
          <w:rFonts w:ascii="IRNazanin" w:hAnsi="IRNazanin" w:eastAsia="IRNazanin" w:cs="IRNazanin"/>
          <w:lang w:bidi="fa-IR"/>
          <w:color w:val="111111"/>
          <w:sz w:val="28"/>
          <w:szCs w:val="28"/>
          <w:rtl/>
        </w:rPr>
        <w:t xml:space="preserve">هذا ولو كان واقفاً في مكان مباح مع كون الفضاء أیضاً مباحاً لكن وقع ثوبه على المغصوب أو مدّ يده إلى الفضاء المغصوب فلا بأس إلّا أن يكون الصّلاة في ذلك المكان مستلزماً لوقوع ثوبه على المغصوب بحيث يكون ملازماً للفرد فإنّه يوجب البطلان لا للاتّحاد</w:t>
      </w:r>
      <w:r>
        <w:rPr>
          <w:rStyle w:val="FootnoteReference"/>
        </w:rPr>
        <w:footnoteReference w:id="2175"/>
      </w:r>
      <w:r>
        <w:rPr>
          <w:rFonts w:ascii="Amiri" w:hAnsi="Amiri" w:eastAsia="Amiri" w:cs="Amiri"/>
          <w:lang w:bidi="ar-SA"/>
          <w:color w:val="111111"/>
          <w:sz w:val="28"/>
          <w:szCs w:val="28"/>
          <w:rtl/>
        </w:rPr>
        <w:t xml:space="preserve">لعدمه، بل لأنّ هذا الفرد لا يكون مطلوباً على مذهب المانعين بمقتضى بعض أدلّتهم حسبما عرفت.</w:t>
      </w:r>
    </w:p>
    <w:p>
      <w:pPr>
        <w:pStyle w:val="BookText"/>
      </w:pPr>
      <w:r>
        <w:rPr>
          <w:rFonts w:ascii="IRNazanin" w:hAnsi="IRNazanin" w:eastAsia="IRNazanin" w:cs="IRNazanin"/>
          <w:lang w:bidi="fa-IR"/>
          <w:color w:val="111111"/>
          <w:sz w:val="28"/>
          <w:szCs w:val="28"/>
          <w:rtl/>
        </w:rPr>
        <w:t xml:space="preserve">هذا</w:t>
      </w:r>
      <w:r>
        <w:rPr>
          <w:rStyle w:val="FootnoteReference"/>
        </w:rPr>
        <w:footnoteReference w:id="2176"/>
      </w:r>
      <w:r>
        <w:rPr>
          <w:rFonts w:ascii="IRNazanin" w:hAnsi="IRNazanin" w:eastAsia="IRNazanin" w:cs="IRNazanin"/>
          <w:lang w:bidi="fa-IR"/>
          <w:color w:val="111111"/>
          <w:sz w:val="28"/>
          <w:szCs w:val="28"/>
          <w:rtl/>
        </w:rPr>
        <w:t xml:space="preserve">وأمّا حال القراءة في المكان المغصوب فمن الظاهر عدم الاتّحاد وإن کان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الفضاء مغصوباً؛ لأنّ حركات الفم خارجة عن حقیقة القراءة، إلّا أن يقال: إنّ قرع الصّوت للهواء تصرّف في فضاء الغير وهو كما ترى.</w:t>
      </w:r>
    </w:p>
    <w:p>
      <w:pPr>
        <w:pStyle w:val="BookText"/>
      </w:pPr>
      <w:r>
        <w:rPr>
          <w:rFonts w:ascii="Amiri" w:hAnsi="Amiri" w:eastAsia="Amiri" w:cs="Amiri"/>
          <w:lang w:bidi="ar-SA"/>
          <w:color w:val="111111"/>
          <w:sz w:val="28"/>
          <w:szCs w:val="28"/>
          <w:rtl/>
        </w:rPr>
        <w:t xml:space="preserve">نعم تبطل القراءة من جهة كونها ملازمة</w:t>
      </w:r>
      <w:r>
        <w:rPr>
          <w:rStyle w:val="FootnoteReference"/>
        </w:rPr>
        <w:footnoteReference w:id="2177"/>
      </w:r>
      <w:r>
        <w:rPr>
          <w:rFonts w:ascii="Amiri" w:hAnsi="Amiri" w:eastAsia="Amiri" w:cs="Amiri"/>
          <w:lang w:bidi="ar-SA"/>
          <w:color w:val="111111"/>
          <w:sz w:val="28"/>
          <w:szCs w:val="28"/>
          <w:rtl/>
        </w:rPr>
        <w:t xml:space="preserve">لحركات الفم بناءً على بعض الأدلّة.</w:t>
      </w:r>
    </w:p>
    <w:p>
      <w:pPr>
        <w:pStyle w:val="BookText"/>
      </w:pPr>
      <w:r>
        <w:rPr>
          <w:rFonts w:ascii="IRNazanin" w:hAnsi="IRNazanin" w:eastAsia="IRNazanin" w:cs="IRNazanin"/>
          <w:lang w:bidi="fa-IR"/>
          <w:color w:val="111111"/>
          <w:sz w:val="28"/>
          <w:szCs w:val="28"/>
          <w:rtl/>
        </w:rPr>
        <w:t xml:space="preserve">ويمكن أن يقال: إنّ هذه القراءة تصرّف عرفاً في مال الغير وإن لم يحصل الاتّحاد حقیقة.</w:t>
      </w:r>
    </w:p>
    <w:p>
      <w:pPr>
        <w:pStyle w:val="BookText"/>
      </w:pPr>
      <w:r>
        <w:rPr>
          <w:rFonts w:ascii="Amiri" w:hAnsi="Amiri" w:eastAsia="Amiri" w:cs="Amiri"/>
          <w:lang w:bidi="ar-SA"/>
          <w:color w:val="111111"/>
          <w:sz w:val="28"/>
          <w:szCs w:val="28"/>
          <w:rtl/>
        </w:rPr>
        <w:t xml:space="preserve">ومن ذلك ظهر حال تلاوة القرآن والدّعاء</w:t>
      </w:r>
      <w:r>
        <w:rPr>
          <w:rStyle w:val="FootnoteReference"/>
        </w:rPr>
        <w:footnoteReference w:id="2178"/>
      </w:r>
      <w:r>
        <w:rPr>
          <w:rFonts w:ascii="IRNazanin" w:hAnsi="IRNazanin" w:eastAsia="IRNazanin" w:cs="IRNazanin"/>
          <w:lang w:bidi="fa-IR"/>
          <w:color w:val="111111"/>
          <w:sz w:val="28"/>
          <w:szCs w:val="28"/>
          <w:rtl/>
        </w:rPr>
        <w:t xml:space="preserve">ونحوهما</w:t>
      </w:r>
      <w:r>
        <w:rPr>
          <w:rStyle w:val="FootnoteReference"/>
        </w:rPr>
        <w:footnoteReference w:id="2179"/>
      </w:r>
      <w:r>
        <w:rPr>
          <w:rFonts w:ascii="Amiri" w:hAnsi="Amiri" w:eastAsia="Amiri" w:cs="Amiri"/>
          <w:lang w:bidi="ar-SA"/>
          <w:color w:val="111111"/>
          <w:sz w:val="28"/>
          <w:szCs w:val="28"/>
          <w:rtl/>
        </w:rPr>
        <w:t xml:space="preserve">من العبادات القوليّة في الفضاء المغصوب.</w:t>
      </w:r>
    </w:p>
    <w:p>
      <w:pPr>
        <w:pStyle w:val="BookText"/>
      </w:pPr>
      <w:r>
        <w:rPr>
          <w:rFonts w:ascii="IRNazanin" w:hAnsi="IRNazanin" w:eastAsia="IRNazanin" w:cs="IRNazanin"/>
          <w:lang w:bidi="fa-IR"/>
          <w:color w:val="111111"/>
          <w:sz w:val="28"/>
          <w:szCs w:val="28"/>
          <w:rtl/>
        </w:rPr>
        <w:t xml:space="preserve">والأقوى البطلان بناءً على عدم جواز الاجتماع: إمّا للاتّحاد بناءً على عدّه عرفاً تصرّفاً؛ وإمّا لعدم شمول الطلب لهذا الفرد الملازم للمحرّم.</w:t>
      </w:r>
    </w:p>
    <w:p>
      <w:pPr>
        <w:pStyle w:val="BookText"/>
      </w:pPr>
      <w:r>
        <w:rPr>
          <w:rFonts w:ascii="Amiri" w:hAnsi="Amiri" w:eastAsia="Amiri" w:cs="Amiri"/>
          <w:lang w:bidi="ar-SA"/>
          <w:color w:val="111111"/>
          <w:sz w:val="28"/>
          <w:szCs w:val="28"/>
          <w:rtl/>
        </w:rPr>
        <w:t xml:space="preserve">ولذا حكم ببطلان القراءة المنذورة في المكان المغصوب جماعة</w:t>
      </w:r>
      <w:r>
        <w:rPr>
          <w:rStyle w:val="FootnoteReference"/>
        </w:rPr>
        <w:footnoteReference w:id="2180"/>
      </w:r>
      <w:r>
        <w:rPr>
          <w:rFonts w:ascii="Amiri" w:hAnsi="Amiri" w:eastAsia="Amiri" w:cs="Amiri"/>
          <w:lang w:bidi="ar-SA"/>
          <w:color w:val="111111"/>
          <w:sz w:val="28"/>
          <w:szCs w:val="28"/>
          <w:rtl/>
        </w:rPr>
        <w:t xml:space="preserve">منهم العلّامة</w:t>
      </w:r>
      <w:r>
        <w:rPr>
          <w:rStyle w:val="FootnoteReference"/>
        </w:rPr>
        <w:footnoteReference w:id="2181"/>
      </w:r>
      <w:r>
        <w:rPr>
          <w:rFonts w:ascii="Amiri" w:hAnsi="Amiri" w:eastAsia="Amiri" w:cs="Amiri"/>
          <w:lang w:bidi="ar-SA"/>
          <w:color w:val="111111"/>
          <w:sz w:val="28"/>
          <w:szCs w:val="28"/>
          <w:rtl/>
        </w:rPr>
        <w:t xml:space="preserve">والشهيدان في الدروس</w:t>
      </w:r>
      <w:r>
        <w:rPr>
          <w:rStyle w:val="FootnoteReference"/>
        </w:rPr>
        <w:footnoteReference w:id="2182"/>
      </w:r>
      <w:r>
        <w:rPr>
          <w:rFonts w:ascii="IRNazanin" w:hAnsi="IRNazanin" w:eastAsia="IRNazanin" w:cs="IRNazanin"/>
          <w:lang w:bidi="fa-IR"/>
          <w:color w:val="111111"/>
          <w:sz w:val="28"/>
          <w:szCs w:val="28"/>
          <w:rtl/>
        </w:rPr>
        <w:t xml:space="preserve">والروض</w:t>
      </w:r>
      <w:r>
        <w:rPr>
          <w:rStyle w:val="FootnoteReference"/>
        </w:rPr>
        <w:footnoteReference w:id="2183"/>
      </w:r>
      <w:r>
        <w:rPr>
          <w:rFonts w:ascii="Amiri" w:hAnsi="Amiri" w:eastAsia="Amiri" w:cs="Amiri"/>
          <w:lang w:bidi="ar-SA"/>
          <w:color w:val="111111"/>
          <w:sz w:val="28"/>
          <w:szCs w:val="28"/>
          <w:rtl/>
        </w:rPr>
        <w:t xml:space="preserve">والمقاصد العلية</w:t>
      </w:r>
      <w:r>
        <w:rPr>
          <w:rStyle w:val="FootnoteReference"/>
        </w:rPr>
        <w:footnoteReference w:id="2184"/>
      </w:r>
      <w:r>
        <w:rPr>
          <w:rFonts w:ascii="Amiri" w:hAnsi="Amiri" w:eastAsia="Amiri" w:cs="Amiri"/>
          <w:lang w:bidi="ar-SA"/>
          <w:color w:val="111111"/>
          <w:sz w:val="28"/>
          <w:szCs w:val="28"/>
          <w:rtl/>
        </w:rPr>
        <w:t xml:space="preserve">وخالف فيه الأردبيلي</w:t>
      </w:r>
      <w:r>
        <w:rPr>
          <w:rStyle w:val="FootnoteReference"/>
        </w:rPr>
        <w:footnoteReference w:id="2185"/>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03" w:name="pg6784_51700"/>
    <w:bookmarkEnd w:id="303"/>
    <w:p>
      <w:pPr>
        <w:pStyle w:val="BookText"/>
      </w:pPr>
      <w:r>
        <w:rPr>
          <w:rFonts w:ascii="IRNazanin" w:hAnsi="IRNazanin" w:eastAsia="IRNazanin" w:cs="IRNazanin"/>
          <w:lang w:bidi="fa-IR"/>
          <w:color w:val="111111"/>
          <w:sz w:val="28"/>
          <w:szCs w:val="28"/>
          <w:rtl/>
        </w:rPr>
        <w:t xml:space="preserve">ولعلّه نظر إلى عدم الاتّحاد حقیقة.</w:t>
      </w:r>
    </w:p>
    <w:p>
      <w:pPr>
        <w:pStyle w:val="BookText"/>
      </w:pPr>
      <w:r>
        <w:rPr>
          <w:rFonts w:ascii="Amiri" w:hAnsi="Amiri" w:eastAsia="Amiri" w:cs="Amiri"/>
          <w:lang w:bidi="ar-SA"/>
          <w:color w:val="111111"/>
          <w:sz w:val="28"/>
          <w:szCs w:val="28"/>
          <w:rtl/>
        </w:rPr>
        <w:t xml:space="preserve">ثمّ لا فرق في بطلان الصّلاة في المكان المغصوب بناءً</w:t>
      </w:r>
      <w:r>
        <w:rPr>
          <w:rStyle w:val="FootnoteReference"/>
        </w:rPr>
        <w:footnoteReference w:id="2186"/>
      </w:r>
      <w:r>
        <w:rPr>
          <w:rFonts w:ascii="Amiri" w:hAnsi="Amiri" w:eastAsia="Amiri" w:cs="Amiri"/>
          <w:lang w:bidi="ar-SA"/>
          <w:color w:val="111111"/>
          <w:sz w:val="28"/>
          <w:szCs w:val="28"/>
          <w:rtl/>
        </w:rPr>
        <w:t xml:space="preserve">على مذهب المانعينبين الفريضة والنافلة إلّا إذا أتى بالنافلة بلا ركوع وسجود</w:t>
      </w:r>
      <w:r>
        <w:rPr>
          <w:rStyle w:val="FootnoteReference"/>
        </w:rPr>
        <w:footnoteReference w:id="2187"/>
      </w:r>
      <w:r>
        <w:rPr>
          <w:rFonts w:ascii="Amiri" w:hAnsi="Amiri" w:eastAsia="Amiri" w:cs="Amiri"/>
          <w:lang w:bidi="ar-SA"/>
          <w:color w:val="111111"/>
          <w:sz w:val="28"/>
          <w:szCs w:val="28"/>
          <w:rtl/>
        </w:rPr>
        <w:t xml:space="preserve">بل بالإيماء القلبي لهما بناءً على كفايته إذا قلنا: إنّ القراءة والأذكار</w:t>
      </w:r>
      <w:r>
        <w:rPr>
          <w:rStyle w:val="FootnoteReference"/>
        </w:rPr>
        <w:footnoteReference w:id="2188"/>
      </w:r>
      <w:r>
        <w:rPr>
          <w:rFonts w:ascii="Amiri" w:hAnsi="Amiri" w:eastAsia="Amiri" w:cs="Amiri"/>
          <w:lang w:bidi="ar-SA"/>
          <w:color w:val="111111"/>
          <w:sz w:val="28"/>
          <w:szCs w:val="28"/>
          <w:rtl/>
        </w:rPr>
        <w:t xml:space="preserve">لا تكون تصرّفاً في المغصوب.</w:t>
      </w:r>
    </w:p>
    <w:p>
      <w:pPr>
        <w:pStyle w:val="BookText"/>
      </w:pPr>
      <w:r>
        <w:rPr>
          <w:rFonts w:ascii="IRNazanin" w:hAnsi="IRNazanin" w:eastAsia="IRNazanin" w:cs="IRNazanin"/>
          <w:lang w:bidi="fa-IR"/>
          <w:color w:val="111111"/>
          <w:sz w:val="28"/>
          <w:szCs w:val="28"/>
          <w:rtl/>
        </w:rPr>
        <w:t xml:space="preserve">وأمّا إذا أتى بها مع الرّكوع والسّجود ونحوهما على الوجه المتعارف فلا إشکال في البطلان للاتّحاد ومجرّد عدم حاجة النافلة إليها لا يقتضي ذلك مع فرض إتیانها.</w:t>
      </w:r>
    </w:p>
    <w:p>
      <w:pPr>
        <w:pStyle w:val="BookText"/>
      </w:pPr>
      <w:r>
        <w:rPr>
          <w:rFonts w:ascii="IRNazanin" w:hAnsi="IRNazanin" w:eastAsia="IRNazanin" w:cs="IRNazanin"/>
          <w:lang w:bidi="fa-IR"/>
          <w:color w:val="111111"/>
          <w:sz w:val="28"/>
          <w:szCs w:val="28"/>
          <w:rtl/>
        </w:rPr>
        <w:t xml:space="preserve">وينبغي أن يحمل على ذلك ما يحكی</w:t>
      </w:r>
      <w:r>
        <w:rPr>
          <w:rStyle w:val="FootnoteReference"/>
        </w:rPr>
        <w:footnoteReference w:id="2189"/>
      </w:r>
    </w:p>
    <w:p>
      <w:pPr>
        <w:pStyle w:val="BookText"/>
      </w:pPr>
      <w:r>
        <w:rPr>
          <w:rFonts w:ascii="IRNazanin" w:hAnsi="IRNazanin" w:eastAsia="IRNazanin" w:cs="IRNazanin"/>
          <w:lang w:bidi="fa-IR"/>
          <w:color w:val="111111"/>
          <w:sz w:val="28"/>
          <w:szCs w:val="28"/>
          <w:rtl/>
        </w:rPr>
        <w:t xml:space="preserve">وظاهر کلام المحقّق في المعتبر الصحّة في الوضوء في المغصوب لا في النافلة کما سیجيء.</w:t>
      </w:r>
    </w:p>
    <w:p>
      <w:pPr>
        <w:pStyle w:val="BookText"/>
      </w:pPr>
      <w:r>
        <w:rPr>
          <w:rFonts w:ascii="Amiri" w:hAnsi="Amiri" w:eastAsia="Amiri" w:cs="Amiri"/>
          <w:lang w:bidi="ar-SA"/>
          <w:color w:val="111111"/>
          <w:sz w:val="28"/>
          <w:szCs w:val="28"/>
          <w:rtl/>
        </w:rPr>
        <w:t xml:space="preserve">عن المحقّق من الحكم بصحّة النافلة في المكان المغصوب معلّلاً بأنّ الكون ليس جزءاً منها ولا شرطاً فيها.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ولذا حكي عن كاشف اللثام</w:t>
      </w:r>
      <w:r>
        <w:rPr>
          <w:rStyle w:val="FootnoteReference"/>
        </w:rPr>
        <w:footnoteReference w:id="2190"/>
      </w:r>
      <w:r>
        <w:rPr>
          <w:rFonts w:ascii="IRNazanin" w:hAnsi="IRNazanin" w:eastAsia="IRNazanin" w:cs="IRNazanin"/>
          <w:lang w:bidi="fa-IR"/>
          <w:color w:val="111111"/>
          <w:sz w:val="28"/>
          <w:szCs w:val="28"/>
          <w:rtl/>
        </w:rPr>
        <w:t xml:space="preserve">حمل کلامه على إرادة الإتیان بها ماشياً مومياً للرّكوع والسّجود في حال الخروج.</w:t>
      </w:r>
    </w:p>
    <w:p>
      <w:pPr>
        <w:pStyle w:val="Heading6"/>
      </w:pPr>
      <w:bookmarkStart w:id="847" w:name="_Toc528"/>
      <w:r>
        <w:t>[الصلاة تحت سقف مغصوب]</w:t>
      </w:r>
      <w:bookmarkEnd w:id="847"/>
    </w:p>
    <w:p>
      <w:pPr>
        <w:pStyle w:val="BookText"/>
      </w:pPr>
      <w:r>
        <w:rPr>
          <w:rFonts w:ascii="Amiri" w:hAnsi="Amiri" w:eastAsia="Amiri" w:cs="Amiri"/>
          <w:lang w:bidi="ar-SA"/>
          <w:color w:val="111111"/>
          <w:sz w:val="28"/>
          <w:szCs w:val="28"/>
          <w:rtl/>
        </w:rPr>
        <w:t xml:space="preserve">هذا وأمّا الصّلاة تحت سقف مغصوب أو خيمة مغصوبة</w:t>
      </w:r>
      <w:r>
        <w:rPr>
          <w:rStyle w:val="FootnoteReference"/>
        </w:rPr>
        <w:footnoteReference w:id="2191"/>
      </w:r>
      <w:r>
        <w:rPr>
          <w:rFonts w:ascii="Amiri" w:hAnsi="Amiri" w:eastAsia="Amiri" w:cs="Amiri"/>
          <w:lang w:bidi="ar-SA"/>
          <w:color w:val="111111"/>
          <w:sz w:val="28"/>
          <w:szCs w:val="28"/>
          <w:rtl/>
        </w:rPr>
        <w:t xml:space="preserve">فلا اتّحاد فيها مع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المحرّم.</w:t>
      </w:r>
    </w:p>
    <w:p>
      <w:pPr>
        <w:pStyle w:val="BookText"/>
      </w:pPr>
      <w:r>
        <w:rPr>
          <w:rFonts w:ascii="Amiri" w:hAnsi="Amiri" w:eastAsia="Amiri" w:cs="Amiri"/>
          <w:lang w:bidi="ar-SA"/>
          <w:color w:val="111111"/>
          <w:sz w:val="28"/>
          <w:szCs w:val="28"/>
          <w:rtl/>
        </w:rPr>
        <w:t xml:space="preserve">ومن هنا حكي</w:t>
      </w:r>
      <w:r>
        <w:rPr>
          <w:rStyle w:val="FootnoteReference"/>
        </w:rPr>
        <w:footnoteReference w:id="2192"/>
      </w:r>
      <w:r>
        <w:rPr>
          <w:rFonts w:ascii="Amiri" w:hAnsi="Amiri" w:eastAsia="Amiri" w:cs="Amiri"/>
          <w:lang w:bidi="ar-SA"/>
          <w:color w:val="111111"/>
          <w:sz w:val="28"/>
          <w:szCs w:val="28"/>
          <w:rtl/>
        </w:rPr>
        <w:t xml:space="preserve">عن جماعة الصحّة كالشّهيدين في البيان</w:t>
      </w:r>
      <w:r>
        <w:rPr>
          <w:rStyle w:val="FootnoteReference"/>
        </w:rPr>
        <w:footnoteReference w:id="2193"/>
      </w:r>
      <w:r>
        <w:rPr>
          <w:rFonts w:ascii="IRNazanin" w:hAnsi="IRNazanin" w:eastAsia="IRNazanin" w:cs="IRNazanin"/>
          <w:lang w:bidi="fa-IR"/>
          <w:color w:val="111111"/>
          <w:sz w:val="28"/>
          <w:szCs w:val="28"/>
          <w:rtl/>
        </w:rPr>
        <w:t xml:space="preserve">والروض</w:t>
      </w:r>
      <w:r>
        <w:rPr>
          <w:rStyle w:val="FootnoteReference"/>
        </w:rPr>
        <w:footnoteReference w:id="2194"/>
      </w:r>
      <w:r>
        <w:rPr>
          <w:rFonts w:ascii="Amiri" w:hAnsi="Amiri" w:eastAsia="Amiri" w:cs="Amiri"/>
          <w:lang w:bidi="ar-SA"/>
          <w:color w:val="111111"/>
          <w:sz w:val="28"/>
          <w:szCs w:val="28"/>
          <w:rtl/>
        </w:rPr>
        <w:t xml:space="preserve">والجزائري</w:t>
      </w:r>
      <w:r>
        <w:rPr>
          <w:rStyle w:val="FootnoteReference"/>
        </w:rPr>
        <w:footnoteReference w:id="2195"/>
      </w:r>
    </w:p>
    <w:p>
      <w:pPr>
        <w:pStyle w:val="BookText"/>
      </w:pPr>
      <w:r>
        <w:rPr>
          <w:rFonts w:ascii="IRNazanin" w:hAnsi="IRNazanin" w:eastAsia="IRNazanin" w:cs="IRNazanin"/>
          <w:lang w:bidi="fa-IR"/>
          <w:color w:val="111111"/>
          <w:sz w:val="28"/>
          <w:szCs w:val="28"/>
          <w:rtl/>
        </w:rPr>
        <w:t xml:space="preserve">وفي الذریعة إلى تصانیف الشیعة، ج1، ص11: «الشافية الصّلاتيّة (أو الشّافية في الصّلاة)، رأيته في (مكتبة الشيخ محمد صالح الجزائري) في النجف، أوّله: (الحمد لله الذي يهدي بلطفه من يشاء فكان من هداه من الصّلحاء إلى قوله: سمّيته بالشافية لطيف رآه بعض الصالحين) وقال الشيخ حسين بن محمد بن عبد النبي السنبسي في إجازته الكبيرة إنّه ذكر فيه مع كلّ حكم دليله وينقل عنه صاحب (الجواهر) في مبحث الصّلاة على الميّت بعد دفنه».</w:t>
      </w:r>
    </w:p>
    <w:p>
      <w:pPr>
        <w:pStyle w:val="BookText"/>
      </w:pPr>
      <w:r>
        <w:rPr>
          <w:rFonts w:ascii="Amiri" w:hAnsi="Amiri" w:eastAsia="Amiri" w:cs="Amiri"/>
          <w:lang w:bidi="ar-SA"/>
          <w:color w:val="111111"/>
          <w:sz w:val="28"/>
          <w:szCs w:val="28"/>
          <w:rtl/>
        </w:rPr>
        <w:t xml:space="preserve">في شافيته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والمجلسي في البحار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ومجرّد كونه منتفعاً</w:t>
      </w:r>
      <w:r>
        <w:rPr>
          <w:rStyle w:val="FootnoteReference"/>
        </w:rPr>
        <w:footnoteReference w:id="2196"/>
      </w:r>
      <w:r>
        <w:rPr>
          <w:rFonts w:ascii="Amiri" w:hAnsi="Amiri" w:eastAsia="Amiri" w:cs="Amiri"/>
          <w:lang w:bidi="ar-SA"/>
          <w:color w:val="111111"/>
          <w:sz w:val="28"/>
          <w:szCs w:val="28"/>
          <w:rtl/>
        </w:rPr>
        <w:t xml:space="preserve">بهما حال الصّلاة لا يوجب الاتّحاد.</w:t>
      </w:r>
    </w:p>
    <w:p>
      <w:pPr>
        <w:pStyle w:val="BookText"/>
      </w:pPr>
      <w:r>
        <w:rPr>
          <w:rFonts w:ascii="Amiri" w:hAnsi="Amiri" w:eastAsia="Amiri" w:cs="Amiri"/>
          <w:lang w:bidi="ar-SA"/>
          <w:color w:val="111111"/>
          <w:sz w:val="28"/>
          <w:szCs w:val="28"/>
          <w:rtl/>
        </w:rPr>
        <w:t xml:space="preserve">لكن يمكن القول بالبطلان إذا عدّت</w:t>
      </w:r>
      <w:r>
        <w:rPr>
          <w:rStyle w:val="FootnoteReference"/>
        </w:rPr>
        <w:footnoteReference w:id="2197"/>
      </w:r>
      <w:r>
        <w:rPr>
          <w:rFonts w:ascii="IRNazanin" w:hAnsi="IRNazanin" w:eastAsia="IRNazanin" w:cs="IRNazanin"/>
          <w:lang w:bidi="fa-IR"/>
          <w:color w:val="111111"/>
          <w:sz w:val="28"/>
          <w:szCs w:val="28"/>
          <w:rtl/>
        </w:rPr>
        <w:t xml:space="preserve">الصّلاة تحتهما تصرّفاً في المغصوب؛ لأنّه حینئذٍ يصدق الاتّحاد ولذا حكي عن بعض الأعيان البطلان بل قال بالبطلان في کلّ موضع يكون من الانتفاع بالمغصوب.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يعتبر في المكان الإباحة بحيث لا يتوجّه إليه منع التصرّف أو الانتفاع بوجه من الوجوه في أرض أو فضاء أو فراش أو خيمة أو صهوة أو أطناب</w:t>
      </w:r>
      <w:r>
        <w:rPr>
          <w:rStyle w:val="FootnoteReference"/>
        </w:rPr>
        <w:footnoteReference w:id="2198"/>
      </w:r>
      <w:r>
        <w:rPr>
          <w:rFonts w:ascii="Amiri" w:hAnsi="Amiri" w:eastAsia="Amiri" w:cs="Amiri"/>
          <w:lang w:bidi="ar-SA"/>
          <w:color w:val="111111"/>
          <w:sz w:val="28"/>
          <w:szCs w:val="28"/>
          <w:rtl/>
        </w:rPr>
        <w:t xml:space="preserve">أو حبال أو أوتاد أو خفّ أو نعل أو مركوب أو سرجه أو وطائه أو رحله أو نعله أو باقي ما اتّصل به أو بعض منها مع الدّخول في الاستعمال وإن قلّ أو سقف أو جدران</w:t>
      </w:r>
      <w:r>
        <w:rPr>
          <w:rStyle w:val="FootnoteReference"/>
        </w:rPr>
        <w:footnoteReference w:id="2199"/>
      </w:r>
      <w:r>
        <w:rPr>
          <w:rFonts w:ascii="IRNazanin" w:hAnsi="IRNazanin" w:eastAsia="IRNazanin" w:cs="IRNazanin"/>
          <w:lang w:bidi="fa-IR"/>
          <w:color w:val="111111"/>
          <w:sz w:val="28"/>
          <w:szCs w:val="28"/>
          <w:rtl/>
        </w:rPr>
        <w:t xml:space="preserve">أو بعض منهما ولو حجراً واحداً</w:t>
      </w:r>
      <w:r>
        <w:rPr>
          <w:rStyle w:val="FootnoteReference"/>
        </w:rPr>
        <w:footnoteReference w:id="2200"/>
      </w:r>
      <w:r>
        <w:rPr>
          <w:rFonts w:ascii="Amiri" w:hAnsi="Amiri" w:eastAsia="Amiri" w:cs="Amiri"/>
          <w:lang w:bidi="ar-SA"/>
          <w:color w:val="111111"/>
          <w:sz w:val="28"/>
          <w:szCs w:val="28"/>
          <w:rtl/>
        </w:rPr>
        <w:t xml:space="preserve">أو إباحة البيت مع إحاطة جدار</w:t>
      </w:r>
      <w:r>
        <w:rPr>
          <w:rStyle w:val="FootnoteReference"/>
        </w:rPr>
        <w:footnoteReference w:id="2201"/>
      </w:r>
      <w:r>
        <w:rPr>
          <w:rFonts w:ascii="IRNazanin" w:hAnsi="IRNazanin" w:eastAsia="IRNazanin" w:cs="IRNazanin"/>
          <w:lang w:bidi="fa-IR"/>
          <w:color w:val="111111"/>
          <w:sz w:val="28"/>
          <w:szCs w:val="28"/>
          <w:rtl/>
        </w:rPr>
        <w:t xml:space="preserve">[الدار] </w:t>
      </w:r>
      <w:r>
        <w:rPr>
          <w:rStyle w:val="FootnoteReference"/>
        </w:rPr>
        <w:footnoteReference w:id="2202"/>
      </w:r>
      <w:r>
        <w:rPr>
          <w:rFonts w:ascii="Amiri" w:hAnsi="Amiri" w:eastAsia="Amiri" w:cs="Amiri"/>
          <w:lang w:bidi="ar-SA"/>
          <w:color w:val="111111"/>
          <w:sz w:val="28"/>
          <w:szCs w:val="28"/>
          <w:rtl/>
        </w:rPr>
        <w:t xml:space="preserve">المغصوب؛ لأنّه لا يخرجه عن حكم المغصوب بخلاف سور البلد.</w:t>
      </w:r>
      <w:r>
        <w:rPr>
          <w:rStyle w:val="FootnoteReference"/>
        </w:rPr>
        <w:footnoteReference w:id="2203"/>
      </w:r>
      <w:r>
        <w:rPr>
          <w:rFonts w:ascii="IRNazanin" w:hAnsi="IRNazanin" w:eastAsia="IRNazanin" w:cs="IRNazanin"/>
          <w:lang w:bidi="fa-IR"/>
          <w:color w:val="111111"/>
          <w:sz w:val="28"/>
          <w:szCs w:val="28"/>
          <w:rtl/>
        </w:rPr>
        <w:t xml:space="preserve">انتهى.</w:t>
      </w:r>
    </w:p>
    <w:p>
      <w:pPr>
        <w:pStyle w:val="BookText"/>
      </w:pPr>
      <w:r>
        <w:rPr>
          <w:rFonts w:ascii="IRNazanin" w:hAnsi="IRNazanin" w:eastAsia="IRNazanin" w:cs="IRNazanin"/>
          <w:lang w:bidi="fa-IR"/>
          <w:color w:val="111111"/>
          <w:sz w:val="28"/>
          <w:szCs w:val="28"/>
          <w:rtl/>
        </w:rPr>
        <w:t xml:space="preserve">بل حكي عن بعض أهل البحرين البطلان مع غصب مثل سور البلد أیضاً.</w:t>
      </w:r>
      <w:r>
        <w:rPr>
          <w:rStyle w:val="FootnoteReference"/>
        </w:rPr>
        <w:footnoteReference w:id="2204"/>
      </w:r>
      <w:r>
        <w:rPr>
          <w:rFonts w:ascii="Amiri" w:hAnsi="Amiri" w:eastAsia="Amiri" w:cs="Amiri"/>
          <w:lang w:bidi="ar-SA"/>
          <w:color w:val="111111"/>
          <w:sz w:val="28"/>
          <w:szCs w:val="28"/>
          <w:rtl/>
        </w:rPr>
        <w:t xml:space="preserve">والإنصاف عدم صدق التصرّف والانتفاع في جملة من المذكورات وصدق الانتفاع</w:t>
      </w:r>
      <w:r>
        <w:rPr>
          <w:rStyle w:val="FootnoteReference"/>
        </w:rPr>
        <w:footnoteReference w:id="2205"/>
      </w:r>
      <w:r>
        <w:rPr>
          <w:rFonts w:ascii="IRNazanin" w:hAnsi="IRNazanin" w:eastAsia="IRNazanin" w:cs="IRNazanin"/>
          <w:lang w:bidi="fa-IR"/>
          <w:color w:val="111111"/>
          <w:sz w:val="28"/>
          <w:szCs w:val="28"/>
          <w:rtl/>
        </w:rPr>
        <w:t xml:space="preserve">حال الصّلاة لا یکفي في البطلان بل لا بدّ من صدق كون الصّلاة تصرّفاً وانتفاعاً.</w:t>
      </w:r>
    </w:p>
    <w:p>
      <w:pPr>
        <w:pStyle w:val="BookText"/>
      </w:pPr>
      <w:r>
        <w:rPr>
          <w:rFonts w:ascii="Amiri" w:hAnsi="Amiri" w:eastAsia="Amiri" w:cs="Amiri"/>
          <w:lang w:bidi="ar-SA"/>
          <w:color w:val="111111"/>
          <w:sz w:val="28"/>
          <w:szCs w:val="28"/>
          <w:rtl/>
        </w:rPr>
        <w:t xml:space="preserve">نعم إذا صدق ذلك ينبغي الحكم بالبطلان.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04" w:name="pg6784_51706"/>
    <w:bookmarkEnd w:id="304"/>
    <w:p>
      <w:pPr>
        <w:pStyle w:val="Heading6"/>
      </w:pPr>
      <w:bookmarkStart w:id="848" w:name="_Toc529"/>
      <w:r>
        <w:t>[الصلاة في مكان يحرم الكون فيه كما تحت الجدار المشرف على الانهدام]</w:t>
      </w:r>
      <w:bookmarkEnd w:id="848"/>
    </w:p>
    <w:p>
      <w:pPr>
        <w:pStyle w:val="BookText"/>
      </w:pPr>
      <w:r>
        <w:rPr>
          <w:rFonts w:ascii="Amiri" w:hAnsi="Amiri" w:eastAsia="Amiri" w:cs="Amiri"/>
          <w:lang w:bidi="ar-SA"/>
          <w:color w:val="111111"/>
          <w:sz w:val="28"/>
          <w:szCs w:val="28"/>
          <w:rtl/>
        </w:rPr>
        <w:t xml:space="preserve">ومنها: الصّلاة في مكان يحرم الكون فيه كما تحت الجدار المشرف على الانهدام بحيث يكون مظنّة الضّرر وفي مواضع التهمة إذا بلغت حدّ حرمة الكون وكالمكان الّذي نذر أن لا يكون فيه أو حلف أو نهاه من يجب عليه طاعته.</w:t>
      </w:r>
    </w:p>
    <w:p>
      <w:pPr>
        <w:pStyle w:val="BookText"/>
      </w:pPr>
      <w:r>
        <w:rPr>
          <w:rFonts w:ascii="Amiri" w:hAnsi="Amiri" w:eastAsia="Amiri" w:cs="Amiri"/>
          <w:lang w:bidi="ar-SA"/>
          <w:color w:val="111111"/>
          <w:sz w:val="28"/>
          <w:szCs w:val="28"/>
          <w:rtl/>
        </w:rPr>
        <w:t xml:space="preserve">وذلك لاتّحاد الأكوان الصّلاتيّة من القيام والجلوس</w:t>
      </w:r>
      <w:r>
        <w:rPr>
          <w:rStyle w:val="FootnoteReference"/>
        </w:rPr>
        <w:footnoteReference w:id="2206"/>
      </w:r>
      <w:r>
        <w:rPr>
          <w:rFonts w:ascii="Amiri" w:hAnsi="Amiri" w:eastAsia="Amiri" w:cs="Amiri"/>
          <w:lang w:bidi="ar-SA"/>
          <w:color w:val="111111"/>
          <w:sz w:val="28"/>
          <w:szCs w:val="28"/>
          <w:rtl/>
        </w:rPr>
        <w:t xml:space="preserve">والرّكوع والسّجود مع الكون المفروض.</w:t>
      </w:r>
    </w:p>
    <w:p>
      <w:pPr>
        <w:pStyle w:val="BookText"/>
      </w:pPr>
      <w:r>
        <w:rPr>
          <w:rFonts w:ascii="Amiri" w:hAnsi="Amiri" w:eastAsia="Amiri" w:cs="Amiri"/>
          <w:lang w:bidi="ar-SA"/>
          <w:color w:val="111111"/>
          <w:sz w:val="28"/>
          <w:szCs w:val="28"/>
          <w:rtl/>
        </w:rPr>
        <w:t xml:space="preserve">ولكن ذهب صاحب الفصول</w:t>
      </w:r>
      <w:r>
        <w:rPr>
          <w:rStyle w:val="FootnoteReference"/>
        </w:rPr>
        <w:footnoteReference w:id="2207"/>
      </w:r>
      <w:r>
        <w:rPr>
          <w:rFonts w:ascii="IRNazanin" w:hAnsi="IRNazanin" w:eastAsia="IRNazanin" w:cs="IRNazanin"/>
          <w:lang w:bidi="fa-IR"/>
          <w:color w:val="111111"/>
          <w:sz w:val="28"/>
          <w:szCs w:val="28"/>
          <w:rtl/>
        </w:rPr>
        <w:t xml:space="preserve">إلى عدم البطلان</w:t>
      </w:r>
      <w:r>
        <w:rPr>
          <w:rStyle w:val="FootnoteReference"/>
        </w:rPr>
        <w:footnoteReference w:id="2208"/>
      </w:r>
      <w:r>
        <w:rPr>
          <w:rFonts w:ascii="IRNazanin" w:hAnsi="IRNazanin" w:eastAsia="IRNazanin" w:cs="IRNazanin"/>
          <w:lang w:bidi="fa-IR"/>
          <w:color w:val="111111"/>
          <w:sz w:val="28"/>
          <w:szCs w:val="28"/>
          <w:rtl/>
        </w:rPr>
        <w:t xml:space="preserve">لعدم الاتّحاد بدعوى أنّ المحرّم هو الكون بمعنى التحيّز والواجب هو الكون بمعنى الحركة والسّكون وهما متعدّدان بحسب الوجود الخارجي فإنّ للمکلّف في المكان أكواناً</w:t>
      </w:r>
      <w:r>
        <w:rPr>
          <w:rStyle w:val="FootnoteReference"/>
        </w:rPr>
        <w:footnoteReference w:id="2209"/>
      </w:r>
      <w:r>
        <w:rPr>
          <w:rFonts w:ascii="Amiri" w:hAnsi="Amiri" w:eastAsia="Amiri" w:cs="Amiri"/>
          <w:lang w:bidi="ar-SA"/>
          <w:color w:val="111111"/>
          <w:sz w:val="28"/>
          <w:szCs w:val="28"/>
          <w:rtl/>
        </w:rPr>
        <w:t xml:space="preserve">ثلاثة:</w:t>
      </w:r>
    </w:p>
    <w:p>
      <w:pPr>
        <w:pStyle w:val="BookText"/>
      </w:pPr>
      <w:r>
        <w:rPr>
          <w:rFonts w:ascii="Amiri" w:hAnsi="Amiri" w:eastAsia="Amiri" w:cs="Amiri"/>
          <w:lang w:bidi="ar-SA"/>
          <w:color w:val="111111"/>
          <w:sz w:val="28"/>
          <w:szCs w:val="28"/>
          <w:rtl/>
        </w:rPr>
        <w:t xml:space="preserve">كوناً</w:t>
      </w:r>
      <w:r>
        <w:rPr>
          <w:rStyle w:val="FootnoteReference"/>
        </w:rPr>
        <w:footnoteReference w:id="2210"/>
      </w:r>
      <w:r>
        <w:rPr>
          <w:rFonts w:ascii="IRNazanin" w:hAnsi="IRNazanin" w:eastAsia="IRNazanin" w:cs="IRNazanin"/>
          <w:lang w:bidi="fa-IR"/>
          <w:color w:val="111111"/>
          <w:sz w:val="28"/>
          <w:szCs w:val="28"/>
          <w:rtl/>
        </w:rPr>
        <w:t xml:space="preserve">بمعنى الوجود وهذا ليس متعلّقاً للتکلیف وكوناً</w:t>
      </w:r>
      <w:r>
        <w:rPr>
          <w:rStyle w:val="FootnoteReference"/>
        </w:rPr>
        <w:footnoteReference w:id="2211"/>
      </w:r>
      <w:r>
        <w:rPr>
          <w:rFonts w:ascii="Amiri" w:hAnsi="Amiri" w:eastAsia="Amiri" w:cs="Amiri"/>
          <w:lang w:bidi="ar-SA"/>
          <w:color w:val="111111"/>
          <w:sz w:val="28"/>
          <w:szCs w:val="28"/>
          <w:rtl/>
        </w:rPr>
        <w:t xml:space="preserve">بمعنى التحيّز وكوناً</w:t>
      </w:r>
      <w:r>
        <w:rPr>
          <w:rStyle w:val="FootnoteReference"/>
        </w:rPr>
        <w:footnoteReference w:id="2212"/>
      </w:r>
      <w:r>
        <w:rPr>
          <w:rFonts w:ascii="IRNazanin" w:hAnsi="IRNazanin" w:eastAsia="IRNazanin" w:cs="IRNazanin"/>
          <w:lang w:bidi="fa-IR"/>
          <w:color w:val="111111"/>
          <w:sz w:val="28"/>
          <w:szCs w:val="28"/>
          <w:rtl/>
        </w:rPr>
        <w:t xml:space="preserve">بمعنى الحركة والسكون وهذان متقارنان في الوجود لا متّحدان ولذا لا يصدق أنّ بعض التحيّز حركة أو سكون كما يصدق أنّ بعض الصّلاة غصب.قال: وأمّا ما يقال: «إنّ الحركة كون الجسم في المكان الثاني بعد كونه في المكان الأوّل أعني مجموع الكونين» فمسامحة، بل التحقیق في حدّها ما ذكره الآخرون من أنّها «خروج الجسم من مكان إلى مكان» فيكون أمراً مغايراً للكون في المكان مضافاً إليه.</w:t>
      </w:r>
    </w:p>
    <w:p>
      <w:pPr>
        <w:pStyle w:val="BookText"/>
      </w:pPr>
      <w:r>
        <w:rPr>
          <w:rFonts w:ascii="Amiri" w:hAnsi="Amiri" w:eastAsia="Amiri" w:cs="Amiri"/>
          <w:lang w:bidi="ar-SA"/>
          <w:color w:val="111111"/>
          <w:sz w:val="28"/>
          <w:szCs w:val="28"/>
          <w:rtl/>
        </w:rPr>
        <w:t xml:space="preserve">لا يقال: فالحركة الخاصّة لكونها أمراً إضافياً تتوقّف على الكون الخاصّ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ضرورة أنّ المضاف الخاصّ يتوقّف على خصوص ما يضاف إليه فيجب الكون الخاصّ من باب المقدّمة فيجتمع فيه الأمر والنهي؛</w:t>
      </w:r>
    </w:p>
    <w:p>
      <w:pPr>
        <w:pStyle w:val="BookText"/>
      </w:pPr>
      <w:r>
        <w:rPr>
          <w:rFonts w:ascii="Amiri" w:hAnsi="Amiri" w:eastAsia="Amiri" w:cs="Amiri"/>
          <w:lang w:bidi="ar-SA"/>
          <w:color w:val="111111"/>
          <w:sz w:val="28"/>
          <w:szCs w:val="28"/>
          <w:rtl/>
        </w:rPr>
        <w:t xml:space="preserve">لأنّا نقول: ليس المراد أنّ الحركة صفة مضافة إلى الكون في المكان بل إلى نفس المكان والكون فيه من لوازمه فلا توقّف لها عليه أصلاً.</w:t>
      </w:r>
    </w:p>
    <w:p>
      <w:pPr>
        <w:pStyle w:val="BookText"/>
      </w:pPr>
      <w:r>
        <w:rPr>
          <w:rFonts w:ascii="Amiri" w:hAnsi="Amiri" w:eastAsia="Amiri" w:cs="Amiri"/>
          <w:lang w:bidi="ar-SA"/>
          <w:color w:val="111111"/>
          <w:sz w:val="28"/>
          <w:szCs w:val="28"/>
          <w:rtl/>
        </w:rPr>
        <w:t xml:space="preserve">ومع الإغماض عن ذلك نقول: إنّما يجب الحركة الخاصّة بالوجوب التخييري نظراً إلى أنّها أحد أفراد الواجب التعييني على تقدير حصول مقدّمتها من الكون المحرّم لا مطلقاً ووجوب الواجب على تقدير حصول مقدّمته لا يقتضي وجوبها.</w:t>
      </w:r>
    </w:p>
    <w:p>
      <w:pPr>
        <w:pStyle w:val="BookText"/>
      </w:pPr>
      <w:r>
        <w:rPr>
          <w:rFonts w:ascii="IRNazanin" w:hAnsi="IRNazanin" w:eastAsia="IRNazanin" w:cs="IRNazanin"/>
          <w:lang w:bidi="fa-IR"/>
          <w:color w:val="111111"/>
          <w:sz w:val="28"/>
          <w:szCs w:val="28"/>
          <w:rtl/>
        </w:rPr>
        <w:t xml:space="preserve">فالکلام في المقام على حدّ الکلام في الضدّ حيث يجب على تقدير ترك الواجب.</w:t>
      </w:r>
    </w:p>
    <w:p>
      <w:pPr>
        <w:pStyle w:val="BookText"/>
      </w:pPr>
      <w:r>
        <w:rPr>
          <w:rFonts w:ascii="IRNazanin" w:hAnsi="IRNazanin" w:eastAsia="IRNazanin" w:cs="IRNazanin"/>
          <w:lang w:bidi="fa-IR"/>
          <w:color w:val="111111"/>
          <w:sz w:val="28"/>
          <w:szCs w:val="28"/>
          <w:rtl/>
        </w:rPr>
        <w:t xml:space="preserve">فإن قلت: قضيّة النهي عن طبيعة الكون حرمة کلّ واحد من أفرادها والخروج من مكان سبب للكون في مكان آخر وهو محرّم فيحرم الخروج منه لحرمة معلوله.</w:t>
      </w:r>
    </w:p>
    <w:p>
      <w:pPr>
        <w:pStyle w:val="BookText"/>
      </w:pPr>
      <w:r>
        <w:rPr>
          <w:rFonts w:ascii="IRNazanin" w:hAnsi="IRNazanin" w:eastAsia="IRNazanin" w:cs="IRNazanin"/>
          <w:lang w:bidi="fa-IR"/>
          <w:color w:val="111111"/>
          <w:sz w:val="28"/>
          <w:szCs w:val="28"/>
          <w:rtl/>
        </w:rPr>
        <w:t xml:space="preserve">قلت: كما أنّه سبب للتوصّل إلى الفرد المحرّم كذلك سبب للتخلّص عن فرد محرّم أیضاً فيتساقطان ويبقى السّبب خالياً عن الحكم بلحاظهما</w:t>
      </w:r>
      <w:r>
        <w:rPr>
          <w:rStyle w:val="FootnoteReference"/>
        </w:rPr>
        <w:footnoteReference w:id="2213"/>
      </w:r>
      <w:r>
        <w:rPr>
          <w:rFonts w:ascii="Amiri" w:hAnsi="Amiri" w:eastAsia="Amiri" w:cs="Amiri"/>
          <w:lang w:bidi="ar-SA"/>
          <w:color w:val="111111"/>
          <w:sz w:val="28"/>
          <w:szCs w:val="28"/>
          <w:rtl/>
        </w:rPr>
        <w:t xml:space="preserve">فإذا تحقّق له جهة أخرى مقتضية لوجوبه صحّ اتّصافه به.</w:t>
      </w:r>
    </w:p>
    <w:p>
      <w:pPr>
        <w:pStyle w:val="BookText"/>
      </w:pPr>
      <w:r>
        <w:rPr>
          <w:rFonts w:ascii="Amiri" w:hAnsi="Amiri" w:eastAsia="Amiri" w:cs="Amiri"/>
          <w:lang w:bidi="ar-SA"/>
          <w:color w:val="111111"/>
          <w:sz w:val="28"/>
          <w:szCs w:val="28"/>
          <w:rtl/>
        </w:rPr>
        <w:t xml:space="preserve">ويظهر من ذلك أنّه لو كانت الحركة في جوانب المكان بحيث يتسبّب لزوال الكون المباح وحدوث الكون المحرّم كانت محرّمة - إلى أن قال -: واعلم أنّه يتفرّع على ما حقّقناه من تغاير الكونين فروع. ثمّ ذكر جملة من الفروع.</w:t>
      </w:r>
      <w:r>
        <w:rPr>
          <w:rStyle w:val="FootnoteReference"/>
        </w:rPr>
        <w:footnoteReference w:id="2214"/>
      </w:r>
      <w:r>
        <w:rPr>
          <w:rFonts w:ascii="IRNazanin" w:hAnsi="IRNazanin" w:eastAsia="IRNazanin" w:cs="IRNazanin"/>
          <w:lang w:bidi="fa-IR"/>
          <w:color w:val="111111"/>
          <w:sz w:val="28"/>
          <w:szCs w:val="28"/>
          <w:rtl/>
        </w:rPr>
        <w:t xml:space="preserve">منها: من آجر نفسه على الكون في مكان کان له أن يوجر</w:t>
      </w:r>
      <w:r>
        <w:rPr>
          <w:rStyle w:val="FootnoteReference"/>
        </w:rPr>
        <w:footnoteReference w:id="2215"/>
      </w:r>
      <w:r>
        <w:rPr>
          <w:rFonts w:ascii="Amiri" w:hAnsi="Amiri" w:eastAsia="Amiri" w:cs="Amiri"/>
          <w:lang w:bidi="ar-SA"/>
          <w:color w:val="111111"/>
          <w:sz w:val="28"/>
          <w:szCs w:val="28"/>
          <w:rtl/>
        </w:rPr>
        <w:t xml:space="preserve">نفسه لآخر على عمل كالخياطة والتجارة والصّلاة فيه إذا ساغ له التصرّف فيه.</w:t>
      </w:r>
      <w:r>
        <w:rPr>
          <w:rStyle w:val="FootnoteReference"/>
        </w:rPr>
        <w:footnoteReference w:id="2216"/>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05" w:name="pg6784_51711"/>
    <w:bookmarkEnd w:id="305"/>
    <w:p>
      <w:pPr>
        <w:pStyle w:val="BookText"/>
      </w:pPr>
      <w:r>
        <w:rPr>
          <w:rFonts w:ascii="IRNazanin" w:hAnsi="IRNazanin" w:eastAsia="IRNazanin" w:cs="IRNazanin"/>
          <w:lang w:bidi="fa-IR"/>
          <w:color w:val="111111"/>
          <w:sz w:val="28"/>
          <w:szCs w:val="28"/>
          <w:rtl/>
        </w:rPr>
        <w:t xml:space="preserve">قلت: الإنصاف اتّحاد الكونين في الخارج فلا يتفرّع الفروع الّتي ذكرها وعلى فرض التعدّد أمكن القول ببطلان الصّلاة؛ لأنّ هذا الفرد من الصّلاة لا يكون مطلوباً لملازمته مع الكون المحرّم حسبما مرّ مراراً؛ إذ ليس الكون في المكان المحرّم نظير النظر إلى الأجنبيّة حال الصّلاة فإنّه ليس ملازماً للفرد لإمکان ترك النظر في کلّ حين.</w:t>
      </w:r>
    </w:p>
    <w:p>
      <w:pPr>
        <w:pStyle w:val="BookText"/>
      </w:pPr>
      <w:r>
        <w:rPr>
          <w:rFonts w:ascii="Amiri" w:hAnsi="Amiri" w:eastAsia="Amiri" w:cs="Amiri"/>
          <w:lang w:bidi="ar-SA"/>
          <w:color w:val="111111"/>
          <w:sz w:val="28"/>
          <w:szCs w:val="28"/>
          <w:rtl/>
        </w:rPr>
        <w:t xml:space="preserve">نعم هو مثل الصّلاة في مكان لا يقدر على الصّلاة فيه إلّا مع النظر</w:t>
      </w:r>
      <w:r>
        <w:rPr>
          <w:rStyle w:val="FootnoteReference"/>
        </w:rPr>
        <w:footnoteReference w:id="2217"/>
      </w:r>
      <w:r>
        <w:rPr>
          <w:rFonts w:ascii="Amiri" w:hAnsi="Amiri" w:eastAsia="Amiri" w:cs="Amiri"/>
          <w:lang w:bidi="ar-SA"/>
          <w:color w:val="111111"/>
          <w:sz w:val="28"/>
          <w:szCs w:val="28"/>
          <w:rtl/>
        </w:rPr>
        <w:t xml:space="preserve">إلى الأجنبيّة وقد ذكرنا سابقاً</w:t>
      </w:r>
      <w:r>
        <w:rPr>
          <w:rStyle w:val="FootnoteReference"/>
        </w:rPr>
        <w:footnoteReference w:id="2218"/>
      </w:r>
      <w:r>
        <w:rPr>
          <w:rFonts w:ascii="Amiri" w:hAnsi="Amiri" w:eastAsia="Amiri" w:cs="Amiri"/>
          <w:lang w:bidi="ar-SA"/>
          <w:color w:val="111111"/>
          <w:sz w:val="28"/>
          <w:szCs w:val="28"/>
          <w:rtl/>
        </w:rPr>
        <w:t xml:space="preserve">أنّ لازم مذهب المانعين بطلانها بمقتضى بعض أدلّتهم.</w:t>
      </w:r>
    </w:p>
    <w:p>
      <w:pPr>
        <w:pStyle w:val="Heading6"/>
      </w:pPr>
      <w:bookmarkStart w:id="849" w:name="_Toc530"/>
      <w:r>
        <w:t>[الطواف مع الغصب]</w:t>
      </w:r>
      <w:bookmarkEnd w:id="849"/>
    </w:p>
    <w:p>
      <w:pPr>
        <w:pStyle w:val="BookText"/>
      </w:pPr>
      <w:r>
        <w:rPr>
          <w:rFonts w:ascii="Amiri" w:hAnsi="Amiri" w:eastAsia="Amiri" w:cs="Amiri"/>
          <w:lang w:bidi="ar-SA"/>
          <w:color w:val="111111"/>
          <w:sz w:val="28"/>
          <w:szCs w:val="28"/>
          <w:rtl/>
        </w:rPr>
        <w:t xml:space="preserve">ومنها: الطّواف مع نعل مغصوبة أو على دابّة مغصوبة أو على فرش مغصوب فيبطل بناءً على مذهب المانعين للاتّحاد.</w:t>
      </w:r>
    </w:p>
    <w:p>
      <w:pPr>
        <w:pStyle w:val="Heading6"/>
      </w:pPr>
      <w:bookmarkStart w:id="850" w:name="_Toc531"/>
      <w:r>
        <w:t>[الاعتکاف على فرش مغصوب]</w:t>
      </w:r>
      <w:bookmarkEnd w:id="850"/>
    </w:p>
    <w:p>
      <w:pPr>
        <w:pStyle w:val="BookText"/>
      </w:pPr>
      <w:r>
        <w:rPr>
          <w:rFonts w:ascii="Amiri" w:hAnsi="Amiri" w:eastAsia="Amiri" w:cs="Amiri"/>
          <w:lang w:bidi="ar-SA"/>
          <w:color w:val="111111"/>
          <w:sz w:val="28"/>
          <w:szCs w:val="28"/>
          <w:rtl/>
        </w:rPr>
        <w:t xml:space="preserve">ومنها: الاعتكاف على فرش مغصوب.</w:t>
      </w:r>
    </w:p>
    <w:p>
      <w:pPr>
        <w:pStyle w:val="Heading6"/>
      </w:pPr>
      <w:bookmarkStart w:id="851" w:name="_Toc532"/>
      <w:r>
        <w:t>[الوقوف بعرفات على فرش مغصوب]</w:t>
      </w:r>
      <w:bookmarkEnd w:id="851"/>
    </w:p>
    <w:p>
      <w:pPr>
        <w:pStyle w:val="BookText"/>
      </w:pPr>
      <w:r>
        <w:rPr>
          <w:rFonts w:ascii="IRNazanin" w:hAnsi="IRNazanin" w:eastAsia="IRNazanin" w:cs="IRNazanin"/>
          <w:lang w:bidi="fa-IR"/>
          <w:color w:val="111111"/>
          <w:sz w:val="28"/>
          <w:szCs w:val="28"/>
          <w:rtl/>
        </w:rPr>
        <w:t xml:space="preserve">ومنها: الوقوف بعرفات</w:t>
      </w:r>
      <w:r>
        <w:rPr>
          <w:rStyle w:val="FootnoteReference"/>
        </w:rPr>
        <w:footnoteReference w:id="2219"/>
      </w:r>
      <w:r>
        <w:rPr>
          <w:rFonts w:ascii="Amiri" w:hAnsi="Amiri" w:eastAsia="Amiri" w:cs="Amiri"/>
          <w:lang w:bidi="ar-SA"/>
          <w:color w:val="111111"/>
          <w:sz w:val="28"/>
          <w:szCs w:val="28"/>
          <w:rtl/>
        </w:rPr>
        <w:t xml:space="preserve">على فرش مغصوب أو على دابّة مغصوبة.</w:t>
      </w:r>
    </w:p>
    <w:p>
      <w:pPr>
        <w:pStyle w:val="BookText"/>
      </w:pPr>
      <w:r>
        <w:rPr>
          <w:rFonts w:ascii="Amiri" w:hAnsi="Amiri" w:eastAsia="Amiri" w:cs="Amiri"/>
          <w:lang w:bidi="ar-SA"/>
          <w:color w:val="111111"/>
          <w:sz w:val="28"/>
          <w:szCs w:val="28"/>
          <w:rtl/>
        </w:rPr>
        <w:t xml:space="preserve">ولا يجي‌ء فيهما ما ذكره صاحب الفصول؛</w:t>
      </w:r>
      <w:r>
        <w:rPr>
          <w:rStyle w:val="FootnoteReference"/>
        </w:rPr>
        <w:footnoteReference w:id="2220"/>
      </w:r>
      <w:r>
        <w:rPr>
          <w:rFonts w:ascii="IRNazanin" w:hAnsi="IRNazanin" w:eastAsia="IRNazanin" w:cs="IRNazanin"/>
          <w:lang w:bidi="fa-IR"/>
          <w:color w:val="111111"/>
          <w:sz w:val="28"/>
          <w:szCs w:val="28"/>
          <w:rtl/>
        </w:rPr>
        <w:t xml:space="preserve">لأنّ الواجب هو الكون بمعنى التحيّز والمحرّم هو الكون بمعنى التحيّز والحركة والسّكون کلیهما، فبالنّسبة إلى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06" w:name="pg6784_51713"/>
    <w:bookmarkEnd w:id="306"/>
    <w:p>
      <w:pPr>
        <w:pStyle w:val="BookText"/>
      </w:pPr>
      <w:r>
        <w:rPr>
          <w:rFonts w:ascii="Amiri" w:hAnsi="Amiri" w:eastAsia="Amiri" w:cs="Amiri"/>
          <w:lang w:bidi="ar-SA"/>
          <w:color w:val="111111"/>
          <w:sz w:val="28"/>
          <w:szCs w:val="28"/>
          <w:rtl/>
        </w:rPr>
        <w:t xml:space="preserve">الحركة والسّكون وإن لم يتحقّق الاجتماع إلّا أنّه بالنّسبة إلى التحيّز قد تحقّق وهو كافٍ.</w:t>
      </w:r>
    </w:p>
    <w:p>
      <w:pPr>
        <w:pStyle w:val="BookText"/>
      </w:pPr>
      <w:r>
        <w:rPr>
          <w:rFonts w:ascii="Amiri" w:hAnsi="Amiri" w:eastAsia="Amiri" w:cs="Amiri"/>
          <w:lang w:bidi="ar-SA"/>
          <w:color w:val="111111"/>
          <w:sz w:val="28"/>
          <w:szCs w:val="28"/>
          <w:rtl/>
        </w:rPr>
        <w:t xml:space="preserve">نعم لو تحرّك المعتكف في المسجد حركة محرّمة أو سكن سكوناً محرّماً لم يبطل اعتكافه بمقتضى مذهب صاحب الفصول من تعدّد الكونين وقد صرّح بذلك</w:t>
      </w:r>
      <w:r>
        <w:rPr>
          <w:rStyle w:val="FootnoteReference"/>
        </w:rPr>
        <w:footnoteReference w:id="2221"/>
      </w:r>
      <w:r>
        <w:rPr>
          <w:rFonts w:ascii="IRNazanin" w:hAnsi="IRNazanin" w:eastAsia="IRNazanin" w:cs="IRNazanin"/>
          <w:lang w:bidi="fa-IR"/>
          <w:color w:val="111111"/>
          <w:sz w:val="28"/>
          <w:szCs w:val="28"/>
          <w:rtl/>
        </w:rPr>
        <w:t xml:space="preserve">وجعله من جملة الفروع المشار إليها ولازمه عدم البطلان في الوقوف أیضاً إذا تحرّك حركة محرّمة أو سكن سكوناً كذلك.</w:t>
      </w:r>
    </w:p>
    <w:p>
      <w:pPr>
        <w:pStyle w:val="BookText"/>
      </w:pPr>
      <w:r>
        <w:rPr>
          <w:rFonts w:ascii="Amiri" w:hAnsi="Amiri" w:eastAsia="Amiri" w:cs="Amiri"/>
          <w:lang w:bidi="ar-SA"/>
          <w:color w:val="111111"/>
          <w:sz w:val="28"/>
          <w:szCs w:val="28"/>
          <w:rtl/>
        </w:rPr>
        <w:t xml:space="preserve">وقد عرفت منع التعدّد. وعلى فرض تسليمه لا يجري ما ذكرناه</w:t>
      </w:r>
      <w:r>
        <w:rPr>
          <w:rStyle w:val="FootnoteReference"/>
        </w:rPr>
        <w:footnoteReference w:id="2222"/>
      </w:r>
      <w:r>
        <w:rPr>
          <w:rFonts w:ascii="Amiri" w:hAnsi="Amiri" w:eastAsia="Amiri" w:cs="Amiri"/>
          <w:lang w:bidi="ar-SA"/>
          <w:color w:val="111111"/>
          <w:sz w:val="28"/>
          <w:szCs w:val="28"/>
          <w:rtl/>
        </w:rPr>
        <w:t xml:space="preserve">في الصّلاة من البطلان من جهة الملازمة لعدمها</w:t>
      </w:r>
      <w:r>
        <w:rPr>
          <w:rStyle w:val="FootnoteReference"/>
        </w:rPr>
        <w:footnoteReference w:id="2223"/>
      </w:r>
      <w:r>
        <w:rPr>
          <w:rFonts w:ascii="IRNazanin" w:hAnsi="IRNazanin" w:eastAsia="IRNazanin" w:cs="IRNazanin"/>
          <w:lang w:bidi="fa-IR"/>
          <w:color w:val="111111"/>
          <w:sz w:val="28"/>
          <w:szCs w:val="28"/>
          <w:rtl/>
        </w:rPr>
        <w:t xml:space="preserve">في المقام لإمكان ترك الحركة المحرّمة والسكون المحرّم کلّ حين فهما نظير النظر إلى الأجنبية حال الصّلاة في أنّه حرام مقارن ولا يوجب البطلان.</w:t>
      </w:r>
    </w:p>
    <w:p>
      <w:pPr>
        <w:pStyle w:val="Heading6"/>
      </w:pPr>
      <w:bookmarkStart w:id="852" w:name="_Toc533"/>
      <w:r>
        <w:t>[الصلاة أو الطواف في ثوب مغصوب]</w:t>
      </w:r>
      <w:bookmarkEnd w:id="852"/>
    </w:p>
    <w:p>
      <w:pPr>
        <w:pStyle w:val="BookText"/>
      </w:pPr>
      <w:r>
        <w:rPr>
          <w:rFonts w:ascii="Amiri" w:hAnsi="Amiri" w:eastAsia="Amiri" w:cs="Amiri"/>
          <w:lang w:bidi="ar-SA"/>
          <w:color w:val="111111"/>
          <w:sz w:val="28"/>
          <w:szCs w:val="28"/>
          <w:rtl/>
        </w:rPr>
        <w:t xml:space="preserve">ومنها: الصّلاة أو الطّواف في ثوب مغصوب أو محمول كذلك ولو كان خيطاً واحداً</w:t>
      </w:r>
      <w:r>
        <w:rPr>
          <w:rStyle w:val="FootnoteReference"/>
        </w:rPr>
        <w:footnoteReference w:id="2224"/>
      </w:r>
      <w:r>
        <w:rPr>
          <w:rFonts w:ascii="Amiri" w:hAnsi="Amiri" w:eastAsia="Amiri" w:cs="Amiri"/>
          <w:lang w:bidi="ar-SA"/>
          <w:color w:val="111111"/>
          <w:sz w:val="28"/>
          <w:szCs w:val="28"/>
          <w:rtl/>
        </w:rPr>
        <w:t xml:space="preserve">لأنّ الطواف والحركات الصّلاتيّة تصرّف فيه ولا فرق بين السّاتر وغيره فتبطل الصّلاة والطّواف على مذهب المانعين مطلقاً وعلى مذهب المجوّزين يحكم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بصحّتهما</w:t>
      </w:r>
      <w:r>
        <w:rPr>
          <w:rStyle w:val="FootnoteReference"/>
        </w:rPr>
        <w:footnoteReference w:id="2225"/>
      </w:r>
      <w:r>
        <w:rPr>
          <w:rFonts w:ascii="IRNazanin" w:hAnsi="IRNazanin" w:eastAsia="IRNazanin" w:cs="IRNazanin"/>
          <w:lang w:bidi="fa-IR"/>
          <w:color w:val="111111"/>
          <w:sz w:val="28"/>
          <w:szCs w:val="28"/>
          <w:rtl/>
        </w:rPr>
        <w:t xml:space="preserve">مطلقاً ولو حمل المغصوب حال القيام وألقاه حال الرّكوع فلا بطلان لعدم الاتّحاد إلّا أن يعدّ الصلاة على الوجه المذكور تصرّفاً فيه كما لا يبعد ذلك إذا كان لابساً له حال القيام لدفع البرد ونحوه فحینئذٍ يحكم بالبطلان.وربما يخصّ البطلان بخصوص السّاتر ويحكم في غيره بعدمه كما عن جماعة منهم المحقّق في المعتبر</w:t>
      </w:r>
      <w:r>
        <w:rPr>
          <w:rStyle w:val="FootnoteReference"/>
        </w:rPr>
        <w:footnoteReference w:id="2226"/>
      </w:r>
      <w:r>
        <w:rPr>
          <w:rFonts w:ascii="Amiri" w:hAnsi="Amiri" w:eastAsia="Amiri" w:cs="Amiri"/>
          <w:lang w:bidi="ar-SA"/>
          <w:color w:val="111111"/>
          <w:sz w:val="28"/>
          <w:szCs w:val="28"/>
          <w:rtl/>
        </w:rPr>
        <w:t xml:space="preserve">وصاحب المدارك</w:t>
      </w:r>
      <w:r>
        <w:rPr>
          <w:rStyle w:val="FootnoteReference"/>
        </w:rPr>
        <w:footnoteReference w:id="2227"/>
      </w:r>
      <w:r>
        <w:rPr>
          <w:rFonts w:ascii="Amiri" w:hAnsi="Amiri" w:eastAsia="Amiri" w:cs="Amiri"/>
          <w:lang w:bidi="ar-SA"/>
          <w:color w:val="111111"/>
          <w:sz w:val="28"/>
          <w:szCs w:val="28"/>
          <w:rtl/>
        </w:rPr>
        <w:t xml:space="preserve">وكاشف اللثام</w:t>
      </w:r>
      <w:r>
        <w:rPr>
          <w:rStyle w:val="FootnoteReference"/>
        </w:rPr>
        <w:footnoteReference w:id="2228"/>
      </w:r>
    </w:p>
    <w:p>
      <w:pPr>
        <w:pStyle w:val="BookText"/>
      </w:pPr>
      <w:r>
        <w:rPr>
          <w:rFonts w:ascii="Amiri" w:hAnsi="Amiri" w:eastAsia="Amiri" w:cs="Amiri"/>
          <w:lang w:bidi="ar-SA"/>
          <w:color w:val="111111"/>
          <w:sz w:val="28"/>
          <w:szCs w:val="28"/>
          <w:rtl/>
        </w:rPr>
        <w:t xml:space="preserve">قال في المعتبر</w:t>
      </w:r>
      <w:r>
        <w:rPr>
          <w:rStyle w:val="FootnoteReference"/>
        </w:rPr>
        <w:footnoteReference w:id="2229"/>
      </w:r>
      <w:r>
        <w:rPr>
          <w:rFonts w:ascii="IRNazanin" w:hAnsi="IRNazanin" w:eastAsia="IRNazanin" w:cs="IRNazanin"/>
          <w:lang w:bidi="fa-IR"/>
          <w:color w:val="111111"/>
          <w:sz w:val="28"/>
          <w:szCs w:val="28"/>
          <w:rtl/>
        </w:rPr>
        <w:t xml:space="preserve">: «اعلم أنّي لم أقف على نصّ من أهل البيت (علیهم‌السلام) بإبطال الصّلاة وإنّما هو شي‌ء ذهب إليه المشايخ الثّلاثة وأتباعهم، والأقرب أنّه إن ستر به العورة أو سجد عليه أو قام فوقه كانت الصّلاة باطلة؛ لأنّ جزء الصّلاة يكون منهياً عنه وتبطل الصّلاة بفواته، أمّا لو لم يكن كذلك لم تبطل وكان کلبس خاتم من ذهب</w:t>
      </w:r>
      <w:r>
        <w:rPr>
          <w:rStyle w:val="FootnoteReference"/>
        </w:rPr>
        <w:footnoteReference w:id="2230"/>
      </w:r>
      <w:r>
        <w:rPr>
          <w:rFonts w:ascii="Times New Roman" w:hAnsi="Times New Roman" w:eastAsia="Times New Roman" w:cs="Times New Roman"/>
          <w:lang w:val="en-US" w:bidi="en-US"/>
          <w:color w:val="111111"/>
          <w:sz w:val="28"/>
          <w:szCs w:val="28"/>
          <w:rtl/>
        </w:rPr>
        <w:t xml:space="preserve">».</w:t>
      </w:r>
      <w:r>
        <w:rPr>
          <w:rStyle w:val="FootnoteReference"/>
        </w:rPr>
        <w:footnoteReference w:id="2231"/>
      </w:r>
    </w:p>
    <w:p>
      <w:pPr>
        <w:pStyle w:val="BookText"/>
      </w:pPr>
      <w:r>
        <w:rPr>
          <w:rFonts w:ascii="IRNazanin" w:hAnsi="IRNazanin" w:eastAsia="IRNazanin" w:cs="IRNazanin"/>
          <w:lang w:bidi="fa-IR"/>
          <w:color w:val="111111"/>
          <w:sz w:val="28"/>
          <w:szCs w:val="28"/>
          <w:rtl/>
        </w:rPr>
        <w:t xml:space="preserve">وعن كاشف اللّثام أنّ حاصل مراده - یعني المحقّق (رحمة الله‌علیه) -:</w:t>
      </w:r>
    </w:p>
    <w:p>
      <w:pPr>
        <w:pStyle w:val="BookText"/>
      </w:pPr>
      <w:r>
        <w:rPr>
          <w:rFonts w:ascii="IRNazanin" w:hAnsi="IRNazanin" w:eastAsia="IRNazanin" w:cs="IRNazanin"/>
          <w:lang w:bidi="fa-IR"/>
          <w:color w:val="111111"/>
          <w:sz w:val="28"/>
          <w:szCs w:val="28"/>
          <w:rtl/>
        </w:rPr>
        <w:t xml:space="preserve">أنّ النهي إنّما يقتضي الفساد إذا تعلّق بالعبادة لجزئها أو لشرطها وأدرجه هنا في الجزء في کلامه لجريانه مجراه باعتبار مقارنته فإذا استتر بالمغصوب صدق أنّه استتر استتاراً منهياً عنه ضرورة كون الاستتار به عين لبسه والتصرّف فيه، فلا يكون استتاراً مأموراً به في الصّلاة فقد صلّى صلاة خالية عن شرطها الّذي هو الاستتار المأمور به.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هذا كالتّطهير من الخبث بالمغصوب فإنّه وإن نهي عنه لكن تحصل الطّهارة، وشرط الصّلاة إنّما هو الطّهارة لا فعلها، وإذا سجد أو قام على المغصوب فعل سجوداً أو قياماً منهياً عنه لمثل ذلك بخلاف ما إذا قام وركع وسجد لابساً للمغصوب متحرّكاً فيه؛ إذ ليس شي‌ء من ذلك عين التصرّف فيه وإنّما هو مقرون به والتصرّف هو لبسه وتحريكه.</w:t>
      </w:r>
      <w:r>
        <w:rPr>
          <w:rStyle w:val="FootnoteReference"/>
        </w:rPr>
        <w:footnoteReference w:id="2232"/>
      </w:r>
    </w:p>
    <w:p>
      <w:pPr>
        <w:pStyle w:val="BookText"/>
      </w:pPr>
      <w:r>
        <w:rPr>
          <w:rFonts w:ascii="IRNazanin" w:hAnsi="IRNazanin" w:eastAsia="IRNazanin" w:cs="IRNazanin"/>
          <w:lang w:bidi="fa-IR"/>
          <w:color w:val="111111"/>
          <w:sz w:val="28"/>
          <w:szCs w:val="28"/>
          <w:rtl/>
        </w:rPr>
        <w:t xml:space="preserve">ثمّ قال: وهو کلام متين لا يخدشه شي‌ء وإن اتّجه البطلان بغير السّاتر بل وغيراللّباس وغير المستصحب أیضاً بناءً على الأمر بالردّ أو الحفظ مع منافاة</w:t>
      </w:r>
      <w:r>
        <w:rPr>
          <w:rStyle w:val="FootnoteReference"/>
        </w:rPr>
        <w:footnoteReference w:id="2233"/>
      </w:r>
      <w:r>
        <w:rPr>
          <w:rFonts w:ascii="IRNazanin" w:hAnsi="IRNazanin" w:eastAsia="IRNazanin" w:cs="IRNazanin"/>
          <w:lang w:bidi="fa-IR"/>
          <w:color w:val="111111"/>
          <w:sz w:val="28"/>
          <w:szCs w:val="28"/>
          <w:rtl/>
        </w:rPr>
        <w:t xml:space="preserve">الصّلاة وكون الأمر نهياً عن ضدّه واقتضائه الفساد وإن کان الضدّ عبادة.</w:t>
      </w:r>
      <w:r>
        <w:rPr>
          <w:rStyle w:val="FootnoteReference"/>
        </w:rPr>
        <w:footnoteReference w:id="2234"/>
      </w:r>
    </w:p>
    <w:p>
      <w:pPr>
        <w:pStyle w:val="BookText"/>
      </w:pPr>
      <w:r>
        <w:rPr>
          <w:rFonts w:ascii="IRNazanin" w:hAnsi="IRNazanin" w:eastAsia="IRNazanin" w:cs="IRNazanin"/>
          <w:lang w:bidi="fa-IR"/>
          <w:color w:val="111111"/>
          <w:sz w:val="28"/>
          <w:szCs w:val="28"/>
          <w:rtl/>
        </w:rPr>
        <w:t xml:space="preserve">قلت: لا وجه للتفصيل المذكور؛ إذ غاية ما يمكن أن يوجّه به أمّا بالنّسبة إلى عدم البطلان في غير الساتر فبأن يقال: حسبما ظهر من کلام المحقّق</w:t>
      </w:r>
      <w:r>
        <w:rPr>
          <w:rStyle w:val="FootnoteReference"/>
        </w:rPr>
        <w:footnoteReference w:id="2235"/>
      </w:r>
      <w:r>
        <w:rPr>
          <w:rFonts w:ascii="Amiri" w:hAnsi="Amiri" w:eastAsia="Amiri" w:cs="Amiri"/>
          <w:lang w:bidi="ar-SA"/>
          <w:color w:val="111111"/>
          <w:sz w:val="28"/>
          <w:szCs w:val="28"/>
          <w:rtl/>
        </w:rPr>
        <w:t xml:space="preserve">وصرّح به كاشف اللثام</w:t>
      </w:r>
      <w:r>
        <w:rPr>
          <w:rStyle w:val="FootnoteReference"/>
        </w:rPr>
        <w:footnoteReference w:id="2236"/>
      </w:r>
      <w:r>
        <w:rPr>
          <w:rFonts w:ascii="Amiri" w:hAnsi="Amiri" w:eastAsia="Amiri" w:cs="Amiri"/>
          <w:lang w:bidi="ar-SA"/>
          <w:color w:val="111111"/>
          <w:sz w:val="28"/>
          <w:szCs w:val="28"/>
          <w:rtl/>
        </w:rPr>
        <w:t xml:space="preserve">أنّ المحرّم</w:t>
      </w:r>
      <w:r>
        <w:rPr>
          <w:rStyle w:val="FootnoteReference"/>
        </w:rPr>
        <w:footnoteReference w:id="2237"/>
      </w:r>
      <w:r>
        <w:rPr>
          <w:rFonts w:ascii="Amiri" w:hAnsi="Amiri" w:eastAsia="Amiri" w:cs="Amiri"/>
          <w:lang w:bidi="ar-SA"/>
          <w:color w:val="111111"/>
          <w:sz w:val="28"/>
          <w:szCs w:val="28"/>
          <w:rtl/>
        </w:rPr>
        <w:t xml:space="preserve">- وهو اللبس والتحريك - مقارن للصّلاة لا متّحد معها.</w:t>
      </w:r>
    </w:p>
    <w:p>
      <w:pPr>
        <w:pStyle w:val="BookText"/>
      </w:pPr>
      <w:r>
        <w:rPr>
          <w:rFonts w:ascii="Amiri" w:hAnsi="Amiri" w:eastAsia="Amiri" w:cs="Amiri"/>
          <w:lang w:bidi="ar-SA"/>
          <w:color w:val="111111"/>
          <w:sz w:val="28"/>
          <w:szCs w:val="28"/>
          <w:rtl/>
        </w:rPr>
        <w:t xml:space="preserve">وأمّا بالنّسبة إلى البطلان في السّاتر:</w:t>
      </w:r>
    </w:p>
    <w:p>
      <w:pPr>
        <w:pStyle w:val="BookText"/>
      </w:pPr>
      <w:r>
        <w:rPr>
          <w:rFonts w:ascii="Amiri" w:hAnsi="Amiri" w:eastAsia="Amiri" w:cs="Amiri"/>
          <w:lang w:bidi="ar-SA"/>
          <w:color w:val="111111"/>
          <w:sz w:val="28"/>
          <w:szCs w:val="28"/>
          <w:rtl/>
        </w:rPr>
        <w:t xml:space="preserve">فإمّا بأن يقال: إنّ السّتر جزء الصّلاة فيكون حاله حال سائر أجزائها إذا أتى بها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الوجه المحرّم في بطلانها للنّهي وبطلان الصّلاة لفقد جزئها كما</w:t>
      </w:r>
      <w:r>
        <w:rPr>
          <w:rStyle w:val="FootnoteReference"/>
        </w:rPr>
        <w:footnoteReference w:id="2238"/>
      </w:r>
      <w:r>
        <w:rPr>
          <w:rFonts w:ascii="IRNazanin" w:hAnsi="IRNazanin" w:eastAsia="IRNazanin" w:cs="IRNazanin"/>
          <w:lang w:bidi="fa-IR"/>
          <w:color w:val="111111"/>
          <w:sz w:val="28"/>
          <w:szCs w:val="28"/>
          <w:rtl/>
        </w:rPr>
        <w:t xml:space="preserve">هو</w:t>
      </w:r>
      <w:r>
        <w:rPr>
          <w:rStyle w:val="FootnoteReference"/>
        </w:rPr>
        <w:footnoteReference w:id="2239"/>
      </w:r>
      <w:r>
        <w:rPr>
          <w:rFonts w:ascii="IRNazanin" w:hAnsi="IRNazanin" w:eastAsia="IRNazanin" w:cs="IRNazanin"/>
          <w:lang w:bidi="fa-IR"/>
          <w:color w:val="111111"/>
          <w:sz w:val="28"/>
          <w:szCs w:val="28"/>
          <w:rtl/>
        </w:rPr>
        <w:t xml:space="preserve">ظاهر کلام المحقّق؛</w:t>
      </w:r>
    </w:p>
    <w:p>
      <w:pPr>
        <w:pStyle w:val="BookText"/>
      </w:pPr>
      <w:r>
        <w:rPr>
          <w:rFonts w:ascii="Amiri" w:hAnsi="Amiri" w:eastAsia="Amiri" w:cs="Amiri"/>
          <w:lang w:bidi="ar-SA"/>
          <w:color w:val="111111"/>
          <w:sz w:val="28"/>
          <w:szCs w:val="28"/>
          <w:rtl/>
        </w:rPr>
        <w:t xml:space="preserve">وإمّا بأن يقال: إنّه وإن لم يكن جزءاً إلّا أنّه بمنزلة الجزء فيما ذكر لكونه مقارناً للصّلاة فحاله حال الأجزاء؛</w:t>
      </w:r>
    </w:p>
    <w:p>
      <w:pPr>
        <w:pStyle w:val="BookText"/>
      </w:pPr>
      <w:r>
        <w:rPr>
          <w:rFonts w:ascii="Amiri" w:hAnsi="Amiri" w:eastAsia="Amiri" w:cs="Amiri"/>
          <w:lang w:bidi="ar-SA"/>
          <w:color w:val="111111"/>
          <w:sz w:val="28"/>
          <w:szCs w:val="28"/>
          <w:rtl/>
        </w:rPr>
        <w:t xml:space="preserve">وإمّا بأن يقال: إنّه وإن کان شرطاً إلّا أنّه يعتبر فيه صفة المأموريّة ومع النّهي ينتفي</w:t>
      </w:r>
      <w:r>
        <w:rPr>
          <w:rStyle w:val="FootnoteReference"/>
        </w:rPr>
        <w:footnoteReference w:id="2240"/>
      </w:r>
      <w:r>
        <w:rPr>
          <w:rFonts w:ascii="Amiri" w:hAnsi="Amiri" w:eastAsia="Amiri" w:cs="Amiri"/>
          <w:lang w:bidi="ar-SA"/>
          <w:color w:val="111111"/>
          <w:sz w:val="28"/>
          <w:szCs w:val="28"/>
          <w:rtl/>
        </w:rPr>
        <w:t xml:space="preserve">هذه الصّفة فلا يتحقّق الشّرط فتبطل الصّلاة لفقد الشرط كما فهمه صاحب الجواهر</w:t>
      </w:r>
      <w:r>
        <w:rPr>
          <w:rStyle w:val="FootnoteReference"/>
        </w:rPr>
        <w:footnoteReference w:id="2241"/>
      </w:r>
      <w:r>
        <w:rPr>
          <w:rFonts w:ascii="IRNazanin" w:hAnsi="IRNazanin" w:eastAsia="IRNazanin" w:cs="IRNazanin"/>
          <w:lang w:bidi="fa-IR"/>
          <w:color w:val="111111"/>
          <w:sz w:val="28"/>
          <w:szCs w:val="28"/>
          <w:rtl/>
        </w:rPr>
        <w:t xml:space="preserve">من کلام كاشف اللثام</w:t>
      </w:r>
      <w:r>
        <w:rPr>
          <w:rStyle w:val="FootnoteReference"/>
        </w:rPr>
        <w:footnoteReference w:id="2242"/>
      </w:r>
    </w:p>
    <w:p>
      <w:pPr>
        <w:pStyle w:val="BookText"/>
      </w:pPr>
      <w:r>
        <w:rPr>
          <w:rFonts w:ascii="IRNazanin" w:hAnsi="IRNazanin" w:eastAsia="IRNazanin" w:cs="IRNazanin"/>
          <w:lang w:bidi="fa-IR"/>
          <w:color w:val="111111"/>
          <w:sz w:val="28"/>
          <w:szCs w:val="28"/>
          <w:rtl/>
        </w:rPr>
        <w:t xml:space="preserve">وإمّا بأن يقال: إنّه شرط عبادي فمع النّهي يبطل؛ لعدم إمکان القربة وعدم جوازاجتماع الأمر والنّهي كما في سائر العبادات كما فهمه صاحب</w:t>
      </w:r>
      <w:r>
        <w:rPr>
          <w:rStyle w:val="FootnoteReference"/>
        </w:rPr>
        <w:footnoteReference w:id="2243"/>
      </w:r>
      <w:r>
        <w:rPr>
          <w:rFonts w:ascii="Amiri" w:hAnsi="Amiri" w:eastAsia="Amiri" w:cs="Amiri"/>
          <w:lang w:bidi="ar-SA"/>
          <w:color w:val="111111"/>
          <w:sz w:val="28"/>
          <w:szCs w:val="28"/>
          <w:rtl/>
        </w:rPr>
        <w:t xml:space="preserve">الرياض</w:t>
      </w:r>
      <w:r>
        <w:rPr>
          <w:rStyle w:val="FootnoteReference"/>
        </w:rPr>
        <w:footnoteReference w:id="2244"/>
      </w:r>
      <w:r>
        <w:rPr>
          <w:rFonts w:ascii="Amiri" w:hAnsi="Amiri" w:eastAsia="Amiri" w:cs="Amiri"/>
          <w:lang w:bidi="ar-SA"/>
          <w:color w:val="111111"/>
          <w:sz w:val="28"/>
          <w:szCs w:val="28"/>
          <w:rtl/>
        </w:rPr>
        <w:t xml:space="preserve">من كاشف اللثام</w:t>
      </w:r>
      <w:r>
        <w:rPr>
          <w:rStyle w:val="FootnoteReference"/>
        </w:rPr>
        <w:footnoteReference w:id="2245"/>
      </w:r>
    </w:p>
    <w:p>
      <w:pPr>
        <w:pStyle w:val="BookText"/>
      </w:pPr>
      <w:r>
        <w:rPr>
          <w:rFonts w:ascii="IRNazanin" w:hAnsi="IRNazanin" w:eastAsia="IRNazanin" w:cs="IRNazanin"/>
          <w:lang w:bidi="fa-IR"/>
          <w:color w:val="111111"/>
          <w:sz w:val="28"/>
          <w:szCs w:val="28"/>
          <w:rtl/>
        </w:rPr>
        <w:t xml:space="preserve">وإمّا بأن يقال: إنّه وإن کان شرطاً ولم يعتبر فيه قصد القربة ولا صفة المأموريّة إلّا أنّ الأمر به لا يتعلّق إلّا بالمباح منه؛ لعدم جواز الاجتماع فيكون إتیان المنهي عنه بمنزلة العدم لعدم شمول دليل</w:t>
      </w:r>
      <w:r>
        <w:rPr>
          <w:rStyle w:val="FootnoteReference"/>
        </w:rPr>
        <w:footnoteReference w:id="2246"/>
      </w:r>
      <w:r>
        <w:rPr>
          <w:rFonts w:ascii="IRNazanin" w:hAnsi="IRNazanin" w:eastAsia="IRNazanin" w:cs="IRNazanin"/>
          <w:lang w:bidi="fa-IR"/>
          <w:color w:val="111111"/>
          <w:sz w:val="28"/>
          <w:szCs w:val="28"/>
          <w:rtl/>
        </w:rPr>
        <w:t xml:space="preserve">الشّرط وهو الأمر بالاستتار له كما هو الظّاهر من کلام كاشف اللثام</w:t>
      </w:r>
      <w:r>
        <w:rPr>
          <w:rStyle w:val="FootnoteReference"/>
        </w:rPr>
        <w:footnoteReference w:id="2247"/>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يخفى فساد الکلّ.</w:t>
      </w:r>
    </w:p>
    <w:p>
      <w:pPr>
        <w:pStyle w:val="BookText"/>
      </w:pPr>
      <w:r>
        <w:rPr>
          <w:rFonts w:ascii="Amiri" w:hAnsi="Amiri" w:eastAsia="Amiri" w:cs="Amiri"/>
          <w:lang w:bidi="ar-SA"/>
          <w:color w:val="111111"/>
          <w:sz w:val="28"/>
          <w:szCs w:val="28"/>
          <w:rtl/>
        </w:rPr>
        <w:t xml:space="preserve">أمّا ما ذكر وجهاً لعدم البطلان في غير السّاتر فلما عرفت من الاتّحاد في الحركات الصّلاتيّة مثل الرّكوع والسّجود؛ إذ هي تصرّف في ذلك المغصوب ولازمه البطلان فليس من قبيل لبس خاتم من ذهب؛ إذ فيه ليس المحرّم الحركة والسّكون بل مجرّد اللّبس.</w:t>
      </w:r>
      <w:r>
        <w:rPr>
          <w:rStyle w:val="FootnoteReference"/>
        </w:rPr>
        <w:footnoteReference w:id="2248"/>
      </w:r>
    </w:p>
    <w:p>
      <w:pPr>
        <w:pStyle w:val="BookText"/>
      </w:pPr>
      <w:r>
        <w:rPr>
          <w:rFonts w:ascii="Amiri" w:hAnsi="Amiri" w:eastAsia="Amiri" w:cs="Amiri"/>
          <w:lang w:bidi="ar-SA"/>
          <w:color w:val="111111"/>
          <w:sz w:val="28"/>
          <w:szCs w:val="28"/>
          <w:rtl/>
        </w:rPr>
        <w:t xml:space="preserve">وأمّا ما ذكر من الوجوه للبطلان في السّاتر فلأنّه يرد على الأوّل والثاني منها</w:t>
      </w:r>
      <w:r>
        <w:rPr>
          <w:rStyle w:val="FootnoteReference"/>
        </w:rPr>
        <w:footnoteReference w:id="2249"/>
      </w:r>
      <w:r>
        <w:rPr>
          <w:rFonts w:ascii="Amiri" w:hAnsi="Amiri" w:eastAsia="Amiri" w:cs="Amiri"/>
          <w:lang w:bidi="ar-SA"/>
          <w:color w:val="111111"/>
          <w:sz w:val="28"/>
          <w:szCs w:val="28"/>
          <w:rtl/>
        </w:rPr>
        <w:t xml:space="preserve">منع الجزئيّة وهو واضح ومنع المنزلة، ومجرّد المقارنة مع الصّلاة لا يقتضي ذلك، كيف وغالب الشّروط كذلك.</w:t>
      </w:r>
    </w:p>
    <w:p>
      <w:pPr>
        <w:pStyle w:val="BookText"/>
      </w:pPr>
      <w:r>
        <w:rPr>
          <w:rFonts w:ascii="IRNazanin" w:hAnsi="IRNazanin" w:eastAsia="IRNazanin" w:cs="IRNazanin"/>
          <w:lang w:bidi="fa-IR"/>
          <w:color w:val="111111"/>
          <w:sz w:val="28"/>
          <w:szCs w:val="28"/>
          <w:rtl/>
        </w:rPr>
        <w:t xml:space="preserve">ولو سلّمنا كونه جزءاً نمنع عدم جواز كونه منهياً عنه؛ إذ الوجه فيه إمّا عدم إمکان ذلك عقلاً أو الإجماع على عدم وقوعه شرعاً.</w:t>
      </w:r>
    </w:p>
    <w:p>
      <w:pPr>
        <w:pStyle w:val="BookText"/>
      </w:pPr>
      <w:r>
        <w:rPr>
          <w:rFonts w:ascii="IRNazanin" w:hAnsi="IRNazanin" w:eastAsia="IRNazanin" w:cs="IRNazanin"/>
          <w:lang w:bidi="fa-IR"/>
          <w:color w:val="111111"/>
          <w:sz w:val="28"/>
          <w:szCs w:val="28"/>
          <w:rtl/>
        </w:rPr>
        <w:t xml:space="preserve">أمّا الأوّل فممنوع؛ إذ لا مانع عقلاً من أن يكون بعض أجزاء العبادة أعمّ من المحرّم والمباح؛ لإمكان أن يكون مركب تعبّدي موقوفاً في تحقّقه على شي‌ء خاصّ بأن يكون جزءاً له وإن أتي به على الوجه المحرّم وتكون عباديّته باعتبار المجموع منحيث المجموع، ولذا قلنا سابقاً: إنّه يمكن كون جزء العبادة مباحاً أیضاً.</w:t>
      </w:r>
    </w:p>
    <w:p>
      <w:pPr>
        <w:pStyle w:val="BookText"/>
      </w:pPr>
      <w:r>
        <w:rPr>
          <w:rFonts w:ascii="Amiri" w:hAnsi="Amiri" w:eastAsia="Amiri" w:cs="Amiri"/>
          <w:lang w:bidi="ar-SA"/>
          <w:color w:val="111111"/>
          <w:sz w:val="28"/>
          <w:szCs w:val="28"/>
          <w:rtl/>
        </w:rPr>
        <w:t xml:space="preserve">وأمّا الثاني فلأنّ القدر المسلّم من الإجماع على كون جميع أجزاء الصّلاة عبادة موقوفة على الأمر غير مثل الستر.</w:t>
      </w:r>
    </w:p>
    <w:p>
      <w:pPr>
        <w:pStyle w:val="BookText"/>
      </w:pPr>
      <w:r>
        <w:rPr>
          <w:rFonts w:ascii="IRNazanin" w:hAnsi="IRNazanin" w:eastAsia="IRNazanin" w:cs="IRNazanin"/>
          <w:lang w:bidi="fa-IR"/>
          <w:color w:val="111111"/>
          <w:sz w:val="28"/>
          <w:szCs w:val="28"/>
          <w:rtl/>
        </w:rPr>
        <w:t xml:space="preserve">بل أقول: قد قام الإجماع على عدم اعتبار القربة فيه وهو كاشف إمّا عن عدم الجزئيّة أو عن عدم اعتبار الأمر والقربة في کلّ جزء.</w:t>
      </w:r>
    </w:p>
    <w:p>
      <w:pPr>
        <w:pStyle w:val="BookText"/>
      </w:pPr>
      <w:r>
        <w:rPr>
          <w:rFonts w:ascii="IRNazanin" w:hAnsi="IRNazanin" w:eastAsia="IRNazanin" w:cs="IRNazanin"/>
          <w:lang w:bidi="fa-IR"/>
          <w:color w:val="111111"/>
          <w:sz w:val="28"/>
          <w:szCs w:val="28"/>
          <w:rtl/>
        </w:rPr>
        <w:t xml:space="preserve">وعلى الثّالث أیضاً منع اعتبار الصّفة المذكورة فيه؛ إذ لا دليل عليه.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الرّابع أنّ الإجماع منعقد على عدم كونه عبادة كما عرفت.</w:t>
      </w:r>
    </w:p>
    <w:p>
      <w:pPr>
        <w:pStyle w:val="BookText"/>
      </w:pPr>
      <w:r>
        <w:rPr>
          <w:rFonts w:ascii="Amiri" w:hAnsi="Amiri" w:eastAsia="Amiri" w:cs="Amiri"/>
          <w:lang w:bidi="ar-SA"/>
          <w:color w:val="111111"/>
          <w:sz w:val="28"/>
          <w:szCs w:val="28"/>
          <w:rtl/>
        </w:rPr>
        <w:t xml:space="preserve">وعلى الخامس: أوّلاً: أنّ الشرط إنّما</w:t>
      </w:r>
      <w:r>
        <w:rPr>
          <w:rStyle w:val="FootnoteReference"/>
        </w:rPr>
        <w:footnoteReference w:id="2250"/>
      </w:r>
      <w:r>
        <w:rPr>
          <w:rFonts w:ascii="IRNazanin" w:hAnsi="IRNazanin" w:eastAsia="IRNazanin" w:cs="IRNazanin"/>
          <w:lang w:bidi="fa-IR"/>
          <w:color w:val="111111"/>
          <w:sz w:val="28"/>
          <w:szCs w:val="28"/>
          <w:rtl/>
        </w:rPr>
        <w:t xml:space="preserve">هو المستوريّة لا فعل السّتر فاختصاص الأمر بالمحلّل لا يقتضي فقد الشرط؛ إذ هو حینئذٍ نظير رفع الخبث بالماء المغصوب.</w:t>
      </w:r>
    </w:p>
    <w:p>
      <w:pPr>
        <w:pStyle w:val="BookText"/>
      </w:pPr>
      <w:r>
        <w:rPr>
          <w:rFonts w:ascii="Amiri" w:hAnsi="Amiri" w:eastAsia="Amiri" w:cs="Amiri"/>
          <w:lang w:bidi="ar-SA"/>
          <w:color w:val="111111"/>
          <w:sz w:val="28"/>
          <w:szCs w:val="28"/>
          <w:rtl/>
        </w:rPr>
        <w:t xml:space="preserve">وثانياً: على فرض كون الشّرط هو السّتر نقول: لا يقتضي النّهي بطلانه؛ إذ الشّرط مطلق هذا الفعل ولو لم يكن مأموراً به فيكون كما لو قلنا: إنّ الشّرط هو المستورية، فدائرة الشّرط أوسع من دائرة الأمر المقدّمي المتعلّق به.</w:t>
      </w:r>
    </w:p>
    <w:p>
      <w:pPr>
        <w:pStyle w:val="BookText"/>
      </w:pPr>
      <w:r>
        <w:rPr>
          <w:rFonts w:ascii="Amiri" w:hAnsi="Amiri" w:eastAsia="Amiri" w:cs="Amiri"/>
          <w:lang w:bidi="ar-SA"/>
          <w:color w:val="111111"/>
          <w:sz w:val="28"/>
          <w:szCs w:val="28"/>
          <w:rtl/>
        </w:rPr>
        <w:t xml:space="preserve">ودعوى أنّ الدّليل إذا كان مثل قوله: «استتر العورة» فلا يشمل المنهي عنه فكيف تقول: «إنّ الشرط مطلق السّتر»؟!</w:t>
      </w:r>
    </w:p>
    <w:p>
      <w:pPr>
        <w:pStyle w:val="BookText"/>
      </w:pPr>
      <w:r>
        <w:rPr>
          <w:rFonts w:ascii="IRNazanin" w:hAnsi="IRNazanin" w:eastAsia="IRNazanin" w:cs="IRNazanin"/>
          <w:lang w:bidi="fa-IR"/>
          <w:color w:val="111111"/>
          <w:sz w:val="28"/>
          <w:szCs w:val="28"/>
          <w:rtl/>
        </w:rPr>
        <w:t xml:space="preserve">مدفوعة بأنّ هذا الأمر إرشاد إلى الحكم الوضعي وهو الشّرطيّة فلا مانع من تعلّقه بالمحرّم أیضاً؛ إذ قد عرفت سابقاً أنّ الأمر الإرشادي يجتمع مع النهي؛ لأنّه أمر صوري لا حقیقي.</w:t>
      </w:r>
    </w:p>
    <w:p>
      <w:pPr>
        <w:pStyle w:val="BookText"/>
      </w:pPr>
      <w:r>
        <w:rPr>
          <w:rFonts w:ascii="Amiri" w:hAnsi="Amiri" w:eastAsia="Amiri" w:cs="Amiri"/>
          <w:lang w:bidi="ar-SA"/>
          <w:color w:val="111111"/>
          <w:sz w:val="28"/>
          <w:szCs w:val="28"/>
          <w:rtl/>
        </w:rPr>
        <w:t xml:space="preserve">نعم لو جعلناه أمراً مولوياً ولو غيرياً يكون مختصّاً بالمباح، إلّا أنّ الإنصاف أنّ أمثال هذه الأوامر لبيان الشّرطيّة كما أنّ النواهي المتعلّقة بما يتعلّق بالعبادات لبيان المانعيّة فليست إلّا طلباً صورياً.</w:t>
      </w:r>
    </w:p>
    <w:p>
      <w:pPr>
        <w:pStyle w:val="BookText"/>
      </w:pPr>
      <w:r>
        <w:rPr>
          <w:rFonts w:ascii="IRNazanin" w:hAnsi="IRNazanin" w:eastAsia="IRNazanin" w:cs="IRNazanin"/>
          <w:lang w:bidi="fa-IR"/>
          <w:color w:val="111111"/>
          <w:sz w:val="28"/>
          <w:szCs w:val="28"/>
          <w:rtl/>
        </w:rPr>
        <w:t xml:space="preserve">ثمّ لا يخفى أنّ لازم کلام هؤلاء الجماعة</w:t>
      </w:r>
      <w:r>
        <w:rPr>
          <w:rStyle w:val="FootnoteReference"/>
        </w:rPr>
        <w:footnoteReference w:id="2251"/>
      </w:r>
      <w:r>
        <w:rPr>
          <w:rFonts w:ascii="Amiri" w:hAnsi="Amiri" w:eastAsia="Amiri" w:cs="Amiri"/>
          <w:lang w:bidi="ar-SA"/>
          <w:color w:val="111111"/>
          <w:sz w:val="28"/>
          <w:szCs w:val="28"/>
          <w:rtl/>
        </w:rPr>
        <w:t xml:space="preserve">اختصاص البطلان بما إذا كان هو السّاتر فعلاً بحيث لو ألقى بقي مكشوف العورة أو بعضها، وأمّا إذا كان فوقه أو تحته لباس مباح فلا يوجب البطلان.هذا</w:t>
      </w:r>
      <w:r>
        <w:rPr>
          <w:rStyle w:val="FootnoteReference"/>
        </w:rPr>
        <w:footnoteReference w:id="2252"/>
      </w:r>
      <w:r>
        <w:rPr>
          <w:rFonts w:ascii="IRNazanin" w:hAnsi="IRNazanin" w:eastAsia="IRNazanin" w:cs="IRNazanin"/>
          <w:lang w:bidi="fa-IR"/>
          <w:color w:val="111111"/>
          <w:sz w:val="28"/>
          <w:szCs w:val="28"/>
          <w:rtl/>
        </w:rPr>
        <w:t xml:space="preserve">وذهب صاحب الجواهر</w:t>
      </w:r>
      <w:r>
        <w:rPr>
          <w:rStyle w:val="FootnoteReference"/>
        </w:rPr>
        <w:footnoteReference w:id="2253"/>
      </w:r>
      <w:r>
        <w:rPr>
          <w:rFonts w:ascii="Amiri" w:hAnsi="Amiri" w:eastAsia="Amiri" w:cs="Amiri"/>
          <w:lang w:bidi="ar-SA"/>
          <w:color w:val="111111"/>
          <w:sz w:val="28"/>
          <w:szCs w:val="28"/>
          <w:rtl/>
        </w:rPr>
        <w:t xml:space="preserve">- بعد حكمه بعدم الفرق بمقتضى القاعدة بين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السّاتر وغيره من مطلق الملبوس والمستصحب - إلى عدم البطلان حتّى في السّاتر لقوّة عدم الاتّحاد وأنّ التصرّف المحرّم مقارن للحركات الصّلاتيّة وأنّه فرق بين المكان المغصوب واللّباس المغصوب ففي المكان يلزم الاتّحاد دون اللّباس.</w:t>
      </w:r>
    </w:p>
    <w:p>
      <w:pPr>
        <w:pStyle w:val="BookText"/>
      </w:pPr>
      <w:r>
        <w:rPr>
          <w:rFonts w:ascii="Amiri" w:hAnsi="Amiri" w:eastAsia="Amiri" w:cs="Amiri"/>
          <w:lang w:bidi="ar-SA"/>
          <w:color w:val="111111"/>
          <w:sz w:val="28"/>
          <w:szCs w:val="28"/>
          <w:rtl/>
        </w:rPr>
        <w:t xml:space="preserve">وقال في بيانه: «إنّ المتصوّر في لبس المغصوب ثلاثة</w:t>
      </w:r>
      <w:r>
        <w:rPr>
          <w:rStyle w:val="FootnoteReference"/>
        </w:rPr>
        <w:footnoteReference w:id="2254"/>
      </w:r>
      <w:r>
        <w:rPr>
          <w:rFonts w:ascii="Amiri" w:hAnsi="Amiri" w:eastAsia="Amiri" w:cs="Amiri"/>
          <w:lang w:bidi="ar-SA"/>
          <w:color w:val="111111"/>
          <w:sz w:val="28"/>
          <w:szCs w:val="28"/>
          <w:rtl/>
        </w:rPr>
        <w:t xml:space="preserve">محرّمات:</w:t>
      </w:r>
    </w:p>
    <w:p>
      <w:pPr>
        <w:pStyle w:val="BookText"/>
      </w:pPr>
      <w:r>
        <w:rPr>
          <w:rFonts w:ascii="Amiri" w:hAnsi="Amiri" w:eastAsia="Amiri" w:cs="Amiri"/>
          <w:lang w:bidi="ar-SA"/>
          <w:color w:val="111111"/>
          <w:sz w:val="28"/>
          <w:szCs w:val="28"/>
          <w:rtl/>
        </w:rPr>
        <w:t xml:space="preserve">أوّلها: أصل الغصب وهو لا يقتضي الفساد إلّا بناء على مسألة الضدّ.</w:t>
      </w:r>
    </w:p>
    <w:p>
      <w:pPr>
        <w:pStyle w:val="BookText"/>
      </w:pPr>
      <w:r>
        <w:rPr>
          <w:rFonts w:ascii="IRNazanin" w:hAnsi="IRNazanin" w:eastAsia="IRNazanin" w:cs="IRNazanin"/>
          <w:lang w:bidi="fa-IR"/>
          <w:color w:val="111111"/>
          <w:sz w:val="28"/>
          <w:szCs w:val="28"/>
          <w:rtl/>
        </w:rPr>
        <w:t xml:space="preserve">وثانيها: لبسه بمعنى ملابسته وهو أیضاً لا يقتضي الفساد؛ لعدم كونه أحد أجزاء الصّلاة؛ إذ هو يرجع إلى كونه عليك لا كونك فيه ومن هنا كان المتّجه الصحّة</w:t>
      </w:r>
      <w:r>
        <w:rPr>
          <w:rStyle w:val="FootnoteReference"/>
        </w:rPr>
        <w:footnoteReference w:id="2255"/>
      </w:r>
      <w:r>
        <w:rPr>
          <w:rFonts w:ascii="IRNazanin" w:hAnsi="IRNazanin" w:eastAsia="IRNazanin" w:cs="IRNazanin"/>
          <w:lang w:bidi="fa-IR"/>
          <w:color w:val="111111"/>
          <w:sz w:val="28"/>
          <w:szCs w:val="28"/>
          <w:rtl/>
        </w:rPr>
        <w:t xml:space="preserve">في کلّ ما حرم لبسه کلباس الشّهرة وغيرها خلافاً للأستاد الأكبر في كشفه حيث قال بالبطلان</w:t>
      </w:r>
      <w:r>
        <w:rPr>
          <w:rStyle w:val="FootnoteReference"/>
        </w:rPr>
        <w:footnoteReference w:id="2256"/>
      </w:r>
      <w:r>
        <w:rPr>
          <w:rFonts w:ascii="IRNazanin" w:hAnsi="IRNazanin" w:eastAsia="IRNazanin" w:cs="IRNazanin"/>
          <w:lang w:bidi="fa-IR"/>
          <w:color w:val="111111"/>
          <w:sz w:val="28"/>
          <w:szCs w:val="28"/>
          <w:rtl/>
        </w:rPr>
        <w:t xml:space="preserve">فيه أیضاً وأنّ المدار على عروض صفة التّحريم بوجه من الوجوه.</w:t>
      </w:r>
      <w:r>
        <w:rPr>
          <w:rStyle w:val="FootnoteReference"/>
        </w:rPr>
        <w:footnoteReference w:id="22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ثالثها: تحريكه بالقيام والرّكوع والسجود ونحوها ولا ريب في حرمة ذلك لكن قد يمنع اتّحاده مع الأفعال المزبورة</w:t>
      </w:r>
      <w:r>
        <w:rPr>
          <w:rStyle w:val="FootnoteReference"/>
        </w:rPr>
        <w:footnoteReference w:id="2258"/>
      </w:r>
      <w:r>
        <w:rPr>
          <w:rFonts w:ascii="Amiri" w:hAnsi="Amiri" w:eastAsia="Amiri" w:cs="Amiri"/>
          <w:lang w:bidi="ar-SA"/>
          <w:color w:val="111111"/>
          <w:sz w:val="28"/>
          <w:szCs w:val="28"/>
          <w:rtl/>
        </w:rPr>
        <w:t xml:space="preserve">الّتي هي حركات للبدن وتصرّف فيه من غير توقّف على حركات اللّباس.</w:t>
      </w:r>
    </w:p>
    <w:p>
      <w:pPr>
        <w:pStyle w:val="BookText"/>
      </w:pPr>
      <w:r>
        <w:rPr>
          <w:rFonts w:ascii="Amiri" w:hAnsi="Amiri" w:eastAsia="Amiri" w:cs="Amiri"/>
          <w:lang w:bidi="ar-SA"/>
          <w:color w:val="111111"/>
          <w:sz w:val="28"/>
          <w:szCs w:val="28"/>
          <w:rtl/>
        </w:rPr>
        <w:t xml:space="preserve">نعم تحريكه مقارن لها فهو محرّم حالها لا أنّها هي هو ضرورة كون المتحرك أمران مغايران هما البدن واللّباس.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والفرق بينه وبين المكان واضح بمعلوميّة ضروريّة الجسم وأكوانه للمكان</w:t>
      </w:r>
      <w:r>
        <w:rPr>
          <w:rStyle w:val="FootnoteReference"/>
        </w:rPr>
        <w:footnoteReference w:id="2259"/>
      </w:r>
      <w:r>
        <w:rPr>
          <w:rFonts w:ascii="Amiri" w:hAnsi="Amiri" w:eastAsia="Amiri" w:cs="Amiri"/>
          <w:lang w:bidi="ar-SA"/>
          <w:color w:val="111111"/>
          <w:sz w:val="28"/>
          <w:szCs w:val="28"/>
          <w:rtl/>
        </w:rPr>
        <w:t xml:space="preserve">بخلاف اللّباس المعلوم كونه ليس من ضروريّاته.وما يتراءى</w:t>
      </w:r>
      <w:r>
        <w:rPr>
          <w:rStyle w:val="FootnoteReference"/>
        </w:rPr>
        <w:footnoteReference w:id="2260"/>
      </w:r>
      <w:r>
        <w:rPr>
          <w:rFonts w:ascii="Amiri" w:hAnsi="Amiri" w:eastAsia="Amiri" w:cs="Amiri"/>
          <w:lang w:bidi="ar-SA"/>
          <w:color w:val="111111"/>
          <w:sz w:val="28"/>
          <w:szCs w:val="28"/>
          <w:rtl/>
        </w:rPr>
        <w:t xml:space="preserve">في بادئ النظر من أنّ هذه الأفعال نفسها تصرّف في اللّباس يرفعه التأمّل الجيّد فيما ذكرناه وأنّ المرجع هو التحريك المزبور وليس المدار على إطلاق التصرّف في العرف الّذي لم يلتفت إلى التحليل المذكور».</w:t>
      </w:r>
      <w:r>
        <w:rPr>
          <w:rStyle w:val="FootnoteReference"/>
        </w:rPr>
        <w:footnoteReference w:id="2261"/>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قلت: أوّلاً: يمكن دعوى الاتّحاد حقیقة وأنّ الهُوِيّ إلى الرّكوع والسّجود تصرّف في اللّباس كما في المكان، إلّا أن يقال: إنّ الهُوِيّ ليس واجباً بل من المقدّمات فلايكون حرمته موجباً لفقد الجزء وفي حال الرّكوع ليس إلّا اللّبس وهو محرّم مقارن بخلاف المكان فإنّ نفس الحالة الرّكوعيّة تصرّف فيه.</w:t>
      </w:r>
    </w:p>
    <w:p>
      <w:pPr>
        <w:pStyle w:val="BookText"/>
      </w:pPr>
      <w:r>
        <w:rPr>
          <w:rFonts w:ascii="IRNazanin" w:hAnsi="IRNazanin" w:eastAsia="IRNazanin" w:cs="IRNazanin"/>
          <w:lang w:bidi="fa-IR"/>
          <w:color w:val="111111"/>
          <w:sz w:val="28"/>
          <w:szCs w:val="28"/>
          <w:rtl/>
        </w:rPr>
        <w:t xml:space="preserve">وثانياً: على فرض تسليم عدم الاتّحاد حقیقة يكفينا صدق التصرّف عرفاً إذا عدّ نفس الصّلاة فيه تصرّفاً فإنّ الحكم وإن کان عقلياً إلّا أنّ تشخيص موضوع المحرّم بيد العرف فإذا جعلوا الصّلاة في</w:t>
      </w:r>
      <w:r>
        <w:rPr>
          <w:rStyle w:val="FootnoteReference"/>
        </w:rPr>
        <w:footnoteReference w:id="2262"/>
      </w:r>
      <w:r>
        <w:rPr>
          <w:rFonts w:ascii="Amiri" w:hAnsi="Amiri" w:eastAsia="Amiri" w:cs="Amiri"/>
          <w:lang w:bidi="ar-SA"/>
          <w:color w:val="111111"/>
          <w:sz w:val="28"/>
          <w:szCs w:val="28"/>
          <w:rtl/>
        </w:rPr>
        <w:t xml:space="preserve">اللّباس</w:t>
      </w:r>
      <w:r>
        <w:rPr>
          <w:rStyle w:val="FootnoteReference"/>
        </w:rPr>
        <w:footnoteReference w:id="2263"/>
      </w:r>
      <w:r>
        <w:rPr>
          <w:rFonts w:ascii="Amiri" w:hAnsi="Amiri" w:eastAsia="Amiri" w:cs="Amiri"/>
          <w:lang w:bidi="ar-SA"/>
          <w:color w:val="111111"/>
          <w:sz w:val="28"/>
          <w:szCs w:val="28"/>
          <w:rtl/>
        </w:rPr>
        <w:t xml:space="preserve">تصرّفاً فيه يكون النهي وارداً عليها.</w:t>
      </w:r>
    </w:p>
    <w:p>
      <w:pPr>
        <w:pStyle w:val="BookText"/>
      </w:pPr>
      <w:r>
        <w:rPr>
          <w:rFonts w:ascii="Amiri" w:hAnsi="Amiri" w:eastAsia="Amiri" w:cs="Amiri"/>
          <w:lang w:bidi="ar-SA"/>
          <w:color w:val="111111"/>
          <w:sz w:val="28"/>
          <w:szCs w:val="28"/>
          <w:rtl/>
        </w:rPr>
        <w:t xml:space="preserve">ومن ذلك يمكن أن لا يفرق</w:t>
      </w:r>
      <w:r>
        <w:rPr>
          <w:rStyle w:val="FootnoteReference"/>
        </w:rPr>
        <w:footnoteReference w:id="2264"/>
      </w:r>
      <w:r>
        <w:rPr>
          <w:rFonts w:ascii="Amiri" w:hAnsi="Amiri" w:eastAsia="Amiri" w:cs="Amiri"/>
          <w:lang w:bidi="ar-SA"/>
          <w:color w:val="111111"/>
          <w:sz w:val="28"/>
          <w:szCs w:val="28"/>
          <w:rtl/>
        </w:rPr>
        <w:t xml:space="preserve">بين حال التحريك وحال</w:t>
      </w:r>
      <w:r>
        <w:rPr>
          <w:rStyle w:val="FootnoteReference"/>
        </w:rPr>
        <w:footnoteReference w:id="2265"/>
      </w:r>
      <w:r>
        <w:rPr>
          <w:rFonts w:ascii="Amiri" w:hAnsi="Amiri" w:eastAsia="Amiri" w:cs="Amiri"/>
          <w:lang w:bidi="ar-SA"/>
          <w:color w:val="111111"/>
          <w:sz w:val="28"/>
          <w:szCs w:val="28"/>
          <w:rtl/>
        </w:rPr>
        <w:t xml:space="preserve">عدمه خصوصاً إذا جعله ساتراً للعورة حيث إنّه استعمله حینئذٍ في الصّلاة فإنّه يصدق أنّه صلّى بهذا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اللّباس فيكون كماء الوضوء.</w:t>
      </w:r>
    </w:p>
    <w:p>
      <w:pPr>
        <w:pStyle w:val="BookText"/>
      </w:pPr>
      <w:r>
        <w:rPr>
          <w:rFonts w:ascii="Amiri" w:hAnsi="Amiri" w:eastAsia="Amiri" w:cs="Amiri"/>
          <w:lang w:bidi="ar-SA"/>
          <w:color w:val="111111"/>
          <w:sz w:val="28"/>
          <w:szCs w:val="28"/>
          <w:rtl/>
        </w:rPr>
        <w:t xml:space="preserve">هذا مع عدم الجلوس عليه حال التشهّد وإلّا فيدخل في مسألة المكان ويكون مثل الفرش</w:t>
      </w:r>
      <w:r>
        <w:rPr>
          <w:rStyle w:val="FootnoteReference"/>
        </w:rPr>
        <w:footnoteReference w:id="2266"/>
      </w:r>
      <w:r>
        <w:rPr>
          <w:rFonts w:ascii="IRNazanin" w:hAnsi="IRNazanin" w:eastAsia="IRNazanin" w:cs="IRNazanin"/>
          <w:lang w:bidi="fa-IR"/>
          <w:color w:val="111111"/>
          <w:sz w:val="28"/>
          <w:szCs w:val="28"/>
          <w:rtl/>
        </w:rPr>
        <w:t xml:space="preserve">المغصوب.</w:t>
      </w:r>
    </w:p>
    <w:p>
      <w:pPr>
        <w:pStyle w:val="BookText"/>
      </w:pPr>
      <w:r>
        <w:rPr>
          <w:rFonts w:ascii="Amiri" w:hAnsi="Amiri" w:eastAsia="Amiri" w:cs="Amiri"/>
          <w:lang w:bidi="ar-SA"/>
          <w:color w:val="111111"/>
          <w:sz w:val="28"/>
          <w:szCs w:val="28"/>
          <w:rtl/>
        </w:rPr>
        <w:t xml:space="preserve">وثالثاً: سلّمنا عدم صدق التصرّف العرفي أو عدم كفايته لكن نقول: الملازمة الفرديّة كافية في البطلان حسبما أشرنا إليه مراراً فهذا الفرد من الهُوِيّ أو القيام الّذي يكون ملازماً للتصرّف في مال الغير لا يكون فيه مصلحة الأمر.</w:t>
      </w:r>
    </w:p>
    <w:p>
      <w:pPr>
        <w:pStyle w:val="BookText"/>
      </w:pPr>
      <w:r>
        <w:rPr>
          <w:rFonts w:ascii="Amiri" w:hAnsi="Amiri" w:eastAsia="Amiri" w:cs="Amiri"/>
          <w:lang w:bidi="ar-SA"/>
          <w:color w:val="111111"/>
          <w:sz w:val="28"/>
          <w:szCs w:val="28"/>
          <w:rtl/>
        </w:rPr>
        <w:t xml:space="preserve">وإن شئت فقل: إنّ حركة البدن علّة لحركة اللّباس وعلّة الحرام حرام فلا تكونواجبة.</w:t>
      </w:r>
    </w:p>
    <w:p>
      <w:pPr>
        <w:pStyle w:val="BookText"/>
      </w:pPr>
      <w:r>
        <w:rPr>
          <w:rFonts w:ascii="Amiri" w:hAnsi="Amiri" w:eastAsia="Amiri" w:cs="Amiri"/>
          <w:lang w:bidi="ar-SA"/>
          <w:color w:val="111111"/>
          <w:sz w:val="28"/>
          <w:szCs w:val="28"/>
          <w:rtl/>
        </w:rPr>
        <w:t xml:space="preserve">نعم ما ذكره من عدم البأس</w:t>
      </w:r>
      <w:r>
        <w:rPr>
          <w:rStyle w:val="FootnoteReference"/>
        </w:rPr>
        <w:footnoteReference w:id="2267"/>
      </w:r>
      <w:r>
        <w:rPr>
          <w:rFonts w:ascii="Amiri" w:hAnsi="Amiri" w:eastAsia="Amiri" w:cs="Amiri"/>
          <w:lang w:bidi="ar-SA"/>
          <w:color w:val="111111"/>
          <w:sz w:val="28"/>
          <w:szCs w:val="28"/>
          <w:rtl/>
        </w:rPr>
        <w:t xml:space="preserve">من حيث نفس اللّبس</w:t>
      </w:r>
      <w:r>
        <w:rPr>
          <w:rStyle w:val="FootnoteReference"/>
        </w:rPr>
        <w:footnoteReference w:id="2268"/>
      </w:r>
      <w:r>
        <w:rPr>
          <w:rFonts w:ascii="IRNazanin" w:hAnsi="IRNazanin" w:eastAsia="IRNazanin" w:cs="IRNazanin"/>
          <w:lang w:bidi="fa-IR"/>
          <w:color w:val="111111"/>
          <w:sz w:val="28"/>
          <w:szCs w:val="28"/>
          <w:rtl/>
        </w:rPr>
        <w:t xml:space="preserve">حقّ ومن ذلك نحكم بعدم البطلان في لباس الذّهب ولباس الشّهرة ولباس المرأة بالنّسبة إلى الرّجل وبالعكس والمنذور عدم لبسه ونحو ذلك مثل الحرير إذا لم نستفد من الأدلّة مانعيّته وجعلناه مجرّد حكم تکلیفي، لكن ليس كذلك؛ لأنّ قوله: «لا تصلّ في الحرير»</w:t>
      </w:r>
      <w:r>
        <w:rPr>
          <w:rStyle w:val="FootnoteReference"/>
        </w:rPr>
        <w:footnoteReference w:id="2269"/>
      </w:r>
      <w:r>
        <w:rPr>
          <w:rFonts w:ascii="IRNazanin" w:hAnsi="IRNazanin" w:eastAsia="IRNazanin" w:cs="IRNazanin"/>
          <w:lang w:bidi="fa-IR"/>
          <w:color w:val="111111"/>
          <w:sz w:val="28"/>
          <w:szCs w:val="28"/>
          <w:rtl/>
        </w:rPr>
        <w:t xml:space="preserve">ظاهر في المانعيّة وإن کان لنا فيه إشکال من حيث إنّه إذا كان المراد بيان المانعيّة فيكون النّهي إرشاديّاً ولازمه عدم الحرمة التکلیفيّة مع أنّ لبس الحرير محرّم نفسي ولا يمكن استعمال النّهي في الإرشاد والطّلب المولوي معاً وكذا الأمر؛ لعدم الجامع بینهما</w:t>
      </w:r>
      <w:r>
        <w:rPr>
          <w:rStyle w:val="FootnoteReference"/>
        </w:rPr>
        <w:footnoteReference w:id="2270"/>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أقول: إنّ النّواهي الواردة عن الحرير مطلقاً لا شكّ في كونها للطّلب المولوي فكذا الخاصّة بالصّلاة.</w:t>
      </w:r>
    </w:p>
    <w:p>
      <w:pPr>
        <w:pStyle w:val="BookText"/>
      </w:pPr>
      <w:r>
        <w:rPr>
          <w:rFonts w:ascii="IRNazanin" w:hAnsi="IRNazanin" w:eastAsia="IRNazanin" w:cs="IRNazanin"/>
          <w:lang w:bidi="fa-IR"/>
          <w:color w:val="111111"/>
          <w:sz w:val="28"/>
          <w:szCs w:val="28"/>
          <w:rtl/>
        </w:rPr>
        <w:t xml:space="preserve">فالنّهي المتعلّق بما يتعلّق بالعبادة إنّما يستفاد منه المانعيّة إذا لم يرد مطلقاً أیضاً.</w:t>
      </w:r>
    </w:p>
    <w:p>
      <w:pPr>
        <w:pStyle w:val="BookText"/>
      </w:pPr>
      <w:r>
        <w:rPr>
          <w:rFonts w:ascii="IRNazanin" w:hAnsi="IRNazanin" w:eastAsia="IRNazanin" w:cs="IRNazanin"/>
          <w:lang w:bidi="fa-IR"/>
          <w:color w:val="111111"/>
          <w:sz w:val="28"/>
          <w:szCs w:val="28"/>
          <w:rtl/>
        </w:rPr>
        <w:t xml:space="preserve">والحاصل: أنّ بعد لحاظ كون نواهي الحرير لبيان التّکلیف النّفسي يضعّف حمل النواهي الخاصّة بالصّلاة فيه على بيان المانعيّة، مع أنّ الأصل في النّهي كونه مولوياً.</w:t>
      </w:r>
    </w:p>
    <w:p>
      <w:pPr>
        <w:pStyle w:val="BookText"/>
      </w:pPr>
      <w:r>
        <w:rPr>
          <w:rFonts w:ascii="IRNazanin" w:hAnsi="IRNazanin" w:eastAsia="IRNazanin" w:cs="IRNazanin"/>
          <w:lang w:bidi="fa-IR"/>
          <w:color w:val="111111"/>
          <w:sz w:val="28"/>
          <w:szCs w:val="28"/>
          <w:rtl/>
        </w:rPr>
        <w:t xml:space="preserve">وكيف كان فحرمة اللّبس تکلیفاً لا</w:t>
      </w:r>
      <w:r>
        <w:rPr>
          <w:rStyle w:val="FootnoteReference"/>
        </w:rPr>
        <w:footnoteReference w:id="2271"/>
      </w:r>
      <w:r>
        <w:rPr>
          <w:rFonts w:ascii="IRNazanin" w:hAnsi="IRNazanin" w:eastAsia="IRNazanin" w:cs="IRNazanin"/>
          <w:lang w:bidi="fa-IR"/>
          <w:color w:val="111111"/>
          <w:sz w:val="28"/>
          <w:szCs w:val="28"/>
          <w:rtl/>
        </w:rPr>
        <w:t xml:space="preserve">تستلزم</w:t>
      </w:r>
      <w:r>
        <w:rPr>
          <w:rStyle w:val="FootnoteReference"/>
        </w:rPr>
        <w:footnoteReference w:id="2272"/>
      </w:r>
      <w:r>
        <w:rPr>
          <w:rFonts w:ascii="Amiri" w:hAnsi="Amiri" w:eastAsia="Amiri" w:cs="Amiri"/>
          <w:lang w:bidi="ar-SA"/>
          <w:color w:val="111111"/>
          <w:sz w:val="28"/>
          <w:szCs w:val="28"/>
          <w:rtl/>
        </w:rPr>
        <w:t xml:space="preserve">البطلان لما أشار إليه في الجواهر</w:t>
      </w:r>
      <w:r>
        <w:rPr>
          <w:rStyle w:val="FootnoteReference"/>
        </w:rPr>
        <w:footnoteReference w:id="2273"/>
      </w:r>
      <w:r>
        <w:rPr>
          <w:rFonts w:ascii="Amiri" w:hAnsi="Amiri" w:eastAsia="Amiri" w:cs="Amiri"/>
          <w:lang w:bidi="ar-SA"/>
          <w:color w:val="111111"/>
          <w:sz w:val="28"/>
          <w:szCs w:val="28"/>
          <w:rtl/>
        </w:rPr>
        <w:t xml:space="preserve">من عدم الاتّحاد وليس الحرام هو التصرّف حتّى يقال بالاتّحاد عقلاً أو عرفاً.فإن قلت: ما الفرق بين اللّبس وبين الكون في المكان حيث تقول بعدم اتّحاد الأوّل مع الحركات الصّلاتيّة وقد أوردت على صاحب الفصول</w:t>
      </w:r>
      <w:r>
        <w:rPr>
          <w:rStyle w:val="FootnoteReference"/>
        </w:rPr>
        <w:footnoteReference w:id="2274"/>
      </w:r>
      <w:r>
        <w:rPr>
          <w:rFonts w:ascii="Amiri" w:hAnsi="Amiri" w:eastAsia="Amiri" w:cs="Amiri"/>
          <w:lang w:bidi="ar-SA"/>
          <w:color w:val="111111"/>
          <w:sz w:val="28"/>
          <w:szCs w:val="28"/>
          <w:rtl/>
        </w:rPr>
        <w:t xml:space="preserve">في دعوى عدم اتّحاد الكون معها وقلت بالاتّحاد، والكون في اللّباس مثل الكون في المكان فكما أنّ اللّباس محيط بالبدن كذلك المكان محيط به.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07" w:name="pg6784_51733"/>
    <w:bookmarkEnd w:id="307"/>
    <w:p>
      <w:pPr>
        <w:pStyle w:val="BookText"/>
      </w:pPr>
      <w:r>
        <w:rPr>
          <w:rFonts w:ascii="IRNazanin" w:hAnsi="IRNazanin" w:eastAsia="IRNazanin" w:cs="IRNazanin"/>
          <w:lang w:bidi="fa-IR"/>
          <w:color w:val="111111"/>
          <w:sz w:val="28"/>
          <w:szCs w:val="28"/>
          <w:rtl/>
        </w:rPr>
        <w:t xml:space="preserve">قلت: الفرق ما ظهر من کلام الجواهر من أنّ اللّبس عبارة عن كون اللّباس على البدن لا عن كون البدن في اللّباس</w:t>
      </w:r>
      <w:r>
        <w:rPr>
          <w:rStyle w:val="FootnoteReference"/>
        </w:rPr>
        <w:footnoteReference w:id="2275"/>
      </w:r>
      <w:r>
        <w:rPr>
          <w:rFonts w:ascii="Amiri" w:hAnsi="Amiri" w:eastAsia="Amiri" w:cs="Amiri"/>
          <w:lang w:bidi="ar-SA"/>
          <w:color w:val="111111"/>
          <w:sz w:val="28"/>
          <w:szCs w:val="28"/>
          <w:rtl/>
        </w:rPr>
        <w:t xml:space="preserve">فلو كان اللّبس عبارة عن كون البدن في اللّباس لكُنّا نقول بالاتّحاد.</w:t>
      </w:r>
    </w:p>
    <w:p>
      <w:pPr>
        <w:pStyle w:val="BookText"/>
      </w:pPr>
      <w:r>
        <w:rPr>
          <w:rFonts w:ascii="IRNazanin" w:hAnsi="IRNazanin" w:eastAsia="IRNazanin" w:cs="IRNazanin"/>
          <w:lang w:bidi="fa-IR"/>
          <w:color w:val="111111"/>
          <w:sz w:val="28"/>
          <w:szCs w:val="28"/>
          <w:rtl/>
        </w:rPr>
        <w:t xml:space="preserve">والفارق هو ذلك لا ما يظهر من آخر کلام صاحب الجواهر من عدم كون اللّباس من ضروريّات البدن بخلاف المكان</w:t>
      </w:r>
      <w:r>
        <w:rPr>
          <w:rStyle w:val="FootnoteReference"/>
        </w:rPr>
        <w:footnoteReference w:id="2276"/>
      </w:r>
      <w:r>
        <w:rPr>
          <w:rFonts w:ascii="Amiri" w:hAnsi="Amiri" w:eastAsia="Amiri" w:cs="Amiri"/>
          <w:lang w:bidi="ar-SA"/>
          <w:color w:val="111111"/>
          <w:sz w:val="28"/>
          <w:szCs w:val="28"/>
          <w:rtl/>
        </w:rPr>
        <w:t xml:space="preserve">فإنّه ليس ملاكاً كما هو واضح.</w:t>
      </w:r>
    </w:p>
    <w:p>
      <w:pPr>
        <w:pStyle w:val="BookText"/>
      </w:pPr>
      <w:r>
        <w:rPr>
          <w:rFonts w:ascii="IRNazanin" w:hAnsi="IRNazanin" w:eastAsia="IRNazanin" w:cs="IRNazanin"/>
          <w:lang w:bidi="fa-IR"/>
          <w:color w:val="111111"/>
          <w:sz w:val="28"/>
          <w:szCs w:val="28"/>
          <w:rtl/>
        </w:rPr>
        <w:t xml:space="preserve">ولذا نقول بالاتّحاد بالنّسبة إلى الكون على الفرش المغصوب حيث إنّ التفريش هو الكون عليه مثل الكون في المكان مع أنّ الفرش ليس من الضروريّات، ودعوى أنّه حینئذٍ هو المكان كما ترى.</w:t>
      </w:r>
    </w:p>
    <w:p>
      <w:pPr>
        <w:pStyle w:val="Heading6"/>
      </w:pPr>
      <w:bookmarkStart w:id="853" w:name="_Toc534"/>
      <w:r>
        <w:t>[الطهارة بماء مغصوب أو تراب مغصوب]</w:t>
      </w:r>
      <w:bookmarkEnd w:id="853"/>
    </w:p>
    <w:p>
      <w:pPr>
        <w:pStyle w:val="BookText"/>
      </w:pPr>
      <w:r>
        <w:rPr>
          <w:rFonts w:ascii="IRNazanin" w:hAnsi="IRNazanin" w:eastAsia="IRNazanin" w:cs="IRNazanin"/>
          <w:lang w:bidi="fa-IR"/>
          <w:color w:val="111111"/>
          <w:sz w:val="28"/>
          <w:szCs w:val="28"/>
          <w:rtl/>
        </w:rPr>
        <w:t xml:space="preserve">ومنها: الوضوء أو الغسل بماء مغصوب</w:t>
      </w:r>
      <w:r>
        <w:rPr>
          <w:rStyle w:val="FootnoteReference"/>
        </w:rPr>
        <w:footnoteReference w:id="2277"/>
      </w:r>
      <w:r>
        <w:rPr>
          <w:rFonts w:ascii="IRNazanin" w:hAnsi="IRNazanin" w:eastAsia="IRNazanin" w:cs="IRNazanin"/>
          <w:lang w:bidi="fa-IR"/>
          <w:color w:val="111111"/>
          <w:sz w:val="28"/>
          <w:szCs w:val="28"/>
          <w:rtl/>
        </w:rPr>
        <w:t xml:space="preserve">أو التيمّم بتراب مغصوب أو مباح واقععلى فرش أو مكان مغصوبين فإنّه یبطل</w:t>
      </w:r>
      <w:r>
        <w:rPr>
          <w:rStyle w:val="FootnoteReference"/>
        </w:rPr>
        <w:footnoteReference w:id="2278"/>
      </w:r>
      <w:r>
        <w:rPr>
          <w:rFonts w:ascii="Amiri" w:hAnsi="Amiri" w:eastAsia="Amiri" w:cs="Amiri"/>
          <w:lang w:bidi="ar-SA"/>
          <w:color w:val="111111"/>
          <w:sz w:val="28"/>
          <w:szCs w:val="28"/>
          <w:rtl/>
        </w:rPr>
        <w:t xml:space="preserve">بناء على مذهب المانعين؛ لأنّ أفعال الوضوء والغسل والضّرب في التيمّم تصرّفات في المغصوب فيتّحد مورد الأمر والنّهي.</w:t>
      </w:r>
      <w:r>
        <w:rPr>
          <w:rStyle w:val="FootnoteReference"/>
        </w:rPr>
        <w:footnoteReference w:id="2279"/>
      </w:r>
    </w:p>
    <w:p>
      <w:pPr>
        <w:pStyle w:val="BookText"/>
      </w:pPr>
      <w:r>
        <w:rPr>
          <w:rFonts w:ascii="IRNazanin" w:hAnsi="IRNazanin" w:eastAsia="IRNazanin" w:cs="IRNazanin"/>
          <w:lang w:bidi="fa-IR"/>
          <w:color w:val="111111"/>
          <w:sz w:val="28"/>
          <w:szCs w:val="28"/>
          <w:rtl/>
        </w:rPr>
        <w:t xml:space="preserve">أصول فقه الشیعة کتاب قیّم من تقریرات دروس آیة الله العظمى السیّد أبوالقاسم الموسوي الخوئي، ومقرّره أستاذنا آیة الله المعظّم السیّد محمّد مهدي الموسوي الخلخالي أعلى الله مقامهما.</w:t>
      </w:r>
    </w:p>
    <w:p>
      <w:pPr>
        <w:pStyle w:val="BookText"/>
      </w:pPr>
      <w:r>
        <w:rPr>
          <w:rFonts w:ascii="IRNazanin" w:hAnsi="IRNazanin" w:eastAsia="IRNazanin" w:cs="IRNazanin"/>
          <w:lang w:bidi="fa-IR"/>
          <w:color w:val="111111"/>
          <w:sz w:val="28"/>
          <w:szCs w:val="28"/>
          <w:rtl/>
        </w:rPr>
        <w:t xml:space="preserve">سیدنا الأستاذ فقیه أهل البیت علیهم السلام آیة الله المعظم السیّد محمّد مهدي الموسوي الخلخالي (رحمة الله‌علیه) علامة محقق مدرس مهذب خلیق وجیه صاحب کتب قیمة في فقه الشیعة وأصول فقه الشیعة. ولد في سنة 1344 ق - وعلى قول في 15 من شعبان من هذه السنة - في مدینة رشت ثم بعد ارتحال أبیه العالم الجلیل السیّد فاضل الموسوي الخلخالي هاجر یتیماً في صغره مع أُمّه إلى النجف الأشرف وکفیله عمّه العالم الجلیل السیّد محمّد الموسوي الخلخالي ثمّ بعد أن بلغ أشدّه حضر عند آیة الله العظمى السیّد أبوالقاسم الموسوي الخوئي وکتب تقریرات دروسه في موسوعتین باسم «فقه الشیعة» و«أصول فقه الشیعة» ودعا له أستاذه آیة الله العظمى السیّد أبوالقاسم الموسوي الخوئي في تقریظ:«أسأله تعالى شأنه أن یجعله قدوة الفضلاء الکرام وأحد مراجع الأحکام» في تاریخ 16 شهر ذي الحجة الحرام 1378 ق. ثم قال في تقریظ آخر: «وزاد ثقتي أن یکون في المستقبل القریب أحد الأعلام والمراجع في الفتیا بتوفیق الله تعالى وتأییده» في تاریخ 8 ذي الحجّة الحرام 1380 ق. ثمّ هاجر إلى إیران ساکناً في طهران في تاریخ 1385 ق وفي أواخر عمره بعد وفاة زوجته هاجر إلى المشهد في تاریخ 1427 ق واستفدت من بحر علومه وکان یحبّني وهو منّي بمنزلة الوالد الشفیق. وکتبت قسماً من تقریرات دروسه الأصولیّة. وتوفي في یوم السبت 24 ربیع الآخر 1441 ق في المشهد المقدس الرضوي. صلّى علیه شیخنا الأستاذ آیة الله الشیخ مصطفى الأشرفي الشاهرودي ودفن في دار الزهد من الحرم الشریف الرضوي في یوم الاثنین 26 ربیع الآخر. له تقریظ على کتابي المبسوط في أحکام المهر الذي طبع مختصره باسم «أحکام مهر در فقه شیعه» في طهران وفي شیکاگو. ومنحني إجازتین وتصدیقین، کما منح أخي الفقیه الأصولي حجة الإسلام والمسلمین الحاج الشیخ أحمد حلبیان إجازة روائیة. أعلى الله مقامه في الجنّة. اللهم إنّا لا نعلم منه إلّا خیراً.</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ويمكن أن يقال بالاتّحاد في غير الضّرب من أفعال التيمّم أیضاً بناء على اعتبار العلوق</w:t>
      </w:r>
      <w:r>
        <w:rPr>
          <w:rStyle w:val="FootnoteReference"/>
        </w:rPr>
        <w:footnoteReference w:id="2280"/>
      </w:r>
      <w:r>
        <w:rPr>
          <w:rFonts w:ascii="Amiri" w:hAnsi="Amiri" w:eastAsia="Amiri" w:cs="Amiri"/>
          <w:lang w:bidi="ar-SA"/>
          <w:color w:val="111111"/>
          <w:sz w:val="28"/>
          <w:szCs w:val="28"/>
          <w:rtl/>
        </w:rPr>
        <w:t xml:space="preserve">فيه.</w:t>
      </w:r>
    </w:p>
    <w:p>
      <w:pPr>
        <w:pStyle w:val="BookText"/>
      </w:pPr>
      <w:r>
        <w:rPr>
          <w:rFonts w:ascii="Amiri" w:hAnsi="Amiri" w:eastAsia="Amiri" w:cs="Amiri"/>
          <w:lang w:bidi="ar-SA"/>
          <w:color w:val="111111"/>
          <w:sz w:val="28"/>
          <w:szCs w:val="28"/>
          <w:rtl/>
        </w:rPr>
        <w:t xml:space="preserve">هذا وأمّا مع إباحة الماء والتّراب ومحلّ الضّرب وغصبيّة المكان أو الفضاء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 فيه الأفعال أو الآنية المغترف منها أو مصبّ الماء فقد يقال بعدم البطلان</w:t>
      </w:r>
      <w:r>
        <w:rPr>
          <w:rStyle w:val="FootnoteReference"/>
        </w:rPr>
        <w:footnoteReference w:id="2281"/>
      </w:r>
      <w:r>
        <w:rPr>
          <w:rFonts w:ascii="Amiri" w:hAnsi="Amiri" w:eastAsia="Amiri" w:cs="Amiri"/>
          <w:lang w:bidi="ar-SA"/>
          <w:color w:val="111111"/>
          <w:sz w:val="28"/>
          <w:szCs w:val="28"/>
          <w:rtl/>
        </w:rPr>
        <w:t xml:space="preserve">لعدمالاتّحاد كما عن المعتبر</w:t>
      </w:r>
      <w:r>
        <w:rPr>
          <w:rStyle w:val="FootnoteReference"/>
        </w:rPr>
        <w:footnoteReference w:id="2282"/>
      </w:r>
      <w:r>
        <w:rPr>
          <w:rFonts w:ascii="IRNazanin" w:hAnsi="IRNazanin" w:eastAsia="IRNazanin" w:cs="IRNazanin"/>
          <w:lang w:bidi="fa-IR"/>
          <w:color w:val="111111"/>
          <w:sz w:val="28"/>
          <w:szCs w:val="28"/>
          <w:rtl/>
        </w:rPr>
        <w:t xml:space="preserve">والمنتهی</w:t>
      </w:r>
      <w:r>
        <w:rPr>
          <w:rStyle w:val="FootnoteReference"/>
        </w:rPr>
        <w:footnoteReference w:id="2283"/>
      </w:r>
      <w:r>
        <w:rPr>
          <w:rFonts w:ascii="Amiri" w:hAnsi="Amiri" w:eastAsia="Amiri" w:cs="Amiri"/>
          <w:lang w:bidi="ar-SA"/>
          <w:color w:val="111111"/>
          <w:sz w:val="28"/>
          <w:szCs w:val="28"/>
          <w:rtl/>
        </w:rPr>
        <w:t xml:space="preserve">والمدارك</w:t>
      </w:r>
      <w:r>
        <w:rPr>
          <w:rStyle w:val="FootnoteReference"/>
        </w:rPr>
        <w:footnoteReference w:id="2284"/>
      </w:r>
      <w:r>
        <w:rPr>
          <w:rFonts w:ascii="IRNazanin" w:hAnsi="IRNazanin" w:eastAsia="IRNazanin" w:cs="IRNazanin"/>
          <w:lang w:bidi="fa-IR"/>
          <w:color w:val="111111"/>
          <w:sz w:val="28"/>
          <w:szCs w:val="28"/>
          <w:rtl/>
        </w:rPr>
        <w:t xml:space="preserve">والحبل</w:t>
      </w:r>
      <w:r>
        <w:rPr>
          <w:rStyle w:val="FootnoteReference"/>
        </w:rPr>
        <w:footnoteReference w:id="2285"/>
      </w:r>
      <w:r>
        <w:rPr>
          <w:rFonts w:ascii="Amiri" w:hAnsi="Amiri" w:eastAsia="Amiri" w:cs="Amiri"/>
          <w:lang w:bidi="ar-SA"/>
          <w:color w:val="111111"/>
          <w:sz w:val="28"/>
          <w:szCs w:val="28"/>
          <w:rtl/>
        </w:rPr>
        <w:t xml:space="preserve">المتين</w:t>
      </w:r>
      <w:r>
        <w:rPr>
          <w:rStyle w:val="FootnoteReference"/>
        </w:rPr>
        <w:footnoteReference w:id="2286"/>
      </w:r>
      <w:r>
        <w:rPr>
          <w:rFonts w:ascii="Amiri" w:hAnsi="Amiri" w:eastAsia="Amiri" w:cs="Amiri"/>
          <w:lang w:bidi="ar-SA"/>
          <w:color w:val="111111"/>
          <w:sz w:val="28"/>
          <w:szCs w:val="28"/>
          <w:rtl/>
        </w:rPr>
        <w:t xml:space="preserve">بالنّسبة إلى المكان.</w:t>
      </w:r>
    </w:p>
    <w:p>
      <w:pPr>
        <w:pStyle w:val="BookText"/>
      </w:pPr>
      <w:r>
        <w:rPr>
          <w:rFonts w:ascii="Amiri" w:hAnsi="Amiri" w:eastAsia="Amiri" w:cs="Amiri"/>
          <w:lang w:bidi="ar-SA"/>
          <w:color w:val="111111"/>
          <w:sz w:val="28"/>
          <w:szCs w:val="28"/>
          <w:rtl/>
        </w:rPr>
        <w:t xml:space="preserve">وقد يقال بالبطلان</w:t>
      </w:r>
      <w:r>
        <w:rPr>
          <w:rStyle w:val="FootnoteReference"/>
        </w:rPr>
        <w:footnoteReference w:id="2287"/>
      </w:r>
      <w:r>
        <w:rPr>
          <w:rFonts w:ascii="Amiri" w:hAnsi="Amiri" w:eastAsia="Amiri" w:cs="Amiri"/>
          <w:lang w:bidi="ar-SA"/>
          <w:color w:val="111111"/>
          <w:sz w:val="28"/>
          <w:szCs w:val="28"/>
          <w:rtl/>
        </w:rPr>
        <w:t xml:space="preserve">في الجميع أو البعض كما عن العلّامة في النّهاية</w:t>
      </w:r>
      <w:r>
        <w:rPr>
          <w:rStyle w:val="FootnoteReference"/>
        </w:rPr>
        <w:footnoteReference w:id="2288"/>
      </w:r>
      <w:r>
        <w:rPr>
          <w:rFonts w:ascii="Amiri" w:hAnsi="Amiri" w:eastAsia="Amiri" w:cs="Amiri"/>
          <w:lang w:bidi="ar-SA"/>
          <w:color w:val="111111"/>
          <w:sz w:val="28"/>
          <w:szCs w:val="28"/>
          <w:rtl/>
        </w:rPr>
        <w:t xml:space="preserve">والشّهيدين في الذّكرى</w:t>
      </w:r>
      <w:r>
        <w:rPr>
          <w:rStyle w:val="FootnoteReference"/>
        </w:rPr>
        <w:footnoteReference w:id="2289"/>
      </w:r>
      <w:r>
        <w:rPr>
          <w:rFonts w:ascii="Amiri" w:hAnsi="Amiri" w:eastAsia="Amiri" w:cs="Amiri"/>
          <w:lang w:bidi="ar-SA"/>
          <w:color w:val="111111"/>
          <w:sz w:val="28"/>
          <w:szCs w:val="28"/>
          <w:rtl/>
        </w:rPr>
        <w:t xml:space="preserve">والدّروس</w:t>
      </w:r>
      <w:r>
        <w:rPr>
          <w:rStyle w:val="FootnoteReference"/>
        </w:rPr>
        <w:footnoteReference w:id="2290"/>
      </w:r>
      <w:r>
        <w:rPr>
          <w:rFonts w:ascii="Amiri" w:hAnsi="Amiri" w:eastAsia="Amiri" w:cs="Amiri"/>
          <w:lang w:bidi="ar-SA"/>
          <w:color w:val="111111"/>
          <w:sz w:val="28"/>
          <w:szCs w:val="28"/>
          <w:rtl/>
        </w:rPr>
        <w:t xml:space="preserve">والرّوض</w:t>
      </w:r>
      <w:r>
        <w:rPr>
          <w:rStyle w:val="FootnoteReference"/>
        </w:rPr>
        <w:footnoteReference w:id="2291"/>
      </w:r>
      <w:r>
        <w:rPr>
          <w:rFonts w:ascii="Amiri" w:hAnsi="Amiri" w:eastAsia="Amiri" w:cs="Amiri"/>
          <w:lang w:bidi="ar-SA"/>
          <w:color w:val="111111"/>
          <w:sz w:val="28"/>
          <w:szCs w:val="28"/>
          <w:rtl/>
        </w:rPr>
        <w:t xml:space="preserve">والمقاصد العليّة</w:t>
      </w:r>
      <w:r>
        <w:rPr>
          <w:rStyle w:val="FootnoteReference"/>
        </w:rPr>
        <w:footnoteReference w:id="2292"/>
      </w:r>
      <w:r>
        <w:rPr>
          <w:rFonts w:ascii="Amiri" w:hAnsi="Amiri" w:eastAsia="Amiri" w:cs="Amiri"/>
          <w:lang w:bidi="ar-SA"/>
          <w:color w:val="111111"/>
          <w:sz w:val="28"/>
          <w:szCs w:val="28"/>
          <w:rtl/>
        </w:rPr>
        <w:t xml:space="preserve">والأردبيلي في مجمع البرهان</w:t>
      </w:r>
      <w:r>
        <w:rPr>
          <w:rStyle w:val="FootnoteReference"/>
        </w:rPr>
        <w:footnoteReference w:id="2293"/>
      </w:r>
      <w:r>
        <w:rPr>
          <w:rFonts w:ascii="Amiri" w:hAnsi="Amiri" w:eastAsia="Amiri" w:cs="Amiri"/>
          <w:lang w:bidi="ar-SA"/>
          <w:color w:val="111111"/>
          <w:sz w:val="28"/>
          <w:szCs w:val="28"/>
          <w:rtl/>
        </w:rPr>
        <w:t xml:space="preserve">بالنّسبة إلى المكان أو الفضاء؛ وعن صاحب الحدائق</w:t>
      </w:r>
      <w:r>
        <w:rPr>
          <w:rStyle w:val="FootnoteReference"/>
        </w:rPr>
        <w:footnoteReference w:id="2294"/>
      </w:r>
      <w:r>
        <w:rPr>
          <w:rFonts w:ascii="Amiri" w:hAnsi="Amiri" w:eastAsia="Amiri" w:cs="Amiri"/>
          <w:lang w:bidi="ar-SA"/>
          <w:color w:val="111111"/>
          <w:sz w:val="28"/>
          <w:szCs w:val="28"/>
          <w:rtl/>
        </w:rPr>
        <w:t xml:space="preserve">بالنّسبة إلى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 الفضاء؛</w:t>
      </w:r>
      <w:r>
        <w:rPr>
          <w:rStyle w:val="FootnoteReference"/>
        </w:rPr>
        <w:footnoteReference w:id="2295"/>
      </w:r>
    </w:p>
    <w:p>
      <w:pPr>
        <w:pStyle w:val="BookText"/>
      </w:pPr>
      <w:r>
        <w:rPr>
          <w:rFonts w:ascii="Amiri" w:hAnsi="Amiri" w:eastAsia="Amiri" w:cs="Amiri"/>
          <w:lang w:bidi="ar-SA"/>
          <w:color w:val="111111"/>
          <w:sz w:val="28"/>
          <w:szCs w:val="28"/>
          <w:rtl/>
        </w:rPr>
        <w:t xml:space="preserve">وعن بعضهم بالنّسبة إلى المصبّ؛</w:t>
      </w:r>
      <w:r>
        <w:rPr>
          <w:rStyle w:val="FootnoteReference"/>
        </w:rPr>
        <w:footnoteReference w:id="2296"/>
      </w:r>
    </w:p>
    <w:p>
      <w:pPr>
        <w:pStyle w:val="BookText"/>
      </w:pPr>
      <w:r>
        <w:rPr>
          <w:rFonts w:ascii="IRNazanin" w:hAnsi="IRNazanin" w:eastAsia="IRNazanin" w:cs="IRNazanin"/>
          <w:lang w:bidi="fa-IR"/>
          <w:color w:val="111111"/>
          <w:sz w:val="28"/>
          <w:szCs w:val="28"/>
          <w:rtl/>
        </w:rPr>
        <w:t xml:space="preserve">ولمزید البیان راجع: أصول الفقه، ج1، ص119 و 120، لشیخنا وأوّل من راجعنا إلیه في الأحکام الشرعیّة آیةالله العظمى الشیخ محمّدعلي الأراکي (رحمة الله‌علیه) حیث ینقل ظاهراً عن أستاذه آیةالله العظمى الحاج الشیخ عبدالکریم الحائري (رحمة الله‌علیه): «ومن هنا يظهر وجه ما ذكره سيّدنا العلّامة الميرزا الشيرازي (قدس‌سره) في حاشيته على رسالة نجاة العباد عند تفصيل الماتن في المصبّ الغصبي لماء الوضوء بين صورتي الانحصار وعدمه، فحكم ببطلان الوضوء في الأوّل وبصحّته في الثاني.</w:t>
      </w:r>
    </w:p>
    <w:p>
      <w:pPr>
        <w:pStyle w:val="BookText"/>
      </w:pPr>
      <w:r>
        <w:rPr>
          <w:rFonts w:ascii="Amiri" w:hAnsi="Amiri" w:eastAsia="Amiri" w:cs="Amiri"/>
          <w:lang w:bidi="ar-SA"/>
          <w:color w:val="111111"/>
          <w:sz w:val="28"/>
          <w:szCs w:val="28"/>
          <w:rtl/>
        </w:rPr>
        <w:t xml:space="preserve">ومحصّل ما ذكره (قدس‌سره) في تلك الحاشية هو التفصيل في صورة عدم الانحصار بين ما إذا أمكن بعد صبّ الماء على العضو إمساك الماء عن الانصباب في المحلّ الغصبي، وبين ما إذا لم يمكن ذلك بل كان الصبّ متى حصل مستلزماً للتصرّف في الغصب وعلّة تامّة له، فحكم بالصحّة في الأوّل وبالبطلان في الثاني.</w:t>
      </w:r>
    </w:p>
    <w:p>
      <w:pPr>
        <w:pStyle w:val="BookText"/>
      </w:pPr>
      <w:r>
        <w:rPr>
          <w:rFonts w:ascii="Amiri" w:hAnsi="Amiri" w:eastAsia="Amiri" w:cs="Amiri"/>
          <w:lang w:bidi="ar-SA"/>
          <w:color w:val="111111"/>
          <w:sz w:val="28"/>
          <w:szCs w:val="28"/>
          <w:rtl/>
        </w:rPr>
        <w:t xml:space="preserve">ووجه ذلك أنّه على الأوّل لا ينحصر مقدّمة الواجب أعني ترك التصرّف في المصبّ في ترك الصبّ، فيكون تركه واجباً تخييريّاً، بمعنى أنّ للمكلّف أن يفعل الصبّ ويتوصّل إلى التّرك الواجب بفعل الإمساك ويكون هو الواجب التعييني حينئذٍ، وبالجملة ففعل الصبّ خالٍ عن النّهي، فلا يمتنع أن يمتثل به الأمر الوضوئي.</w:t>
      </w:r>
    </w:p>
    <w:p>
      <w:pPr>
        <w:pStyle w:val="BookText"/>
      </w:pPr>
      <w:r>
        <w:rPr>
          <w:rFonts w:ascii="Amiri" w:hAnsi="Amiri" w:eastAsia="Amiri" w:cs="Amiri"/>
          <w:lang w:bidi="ar-SA"/>
          <w:color w:val="111111"/>
          <w:sz w:val="28"/>
          <w:szCs w:val="28"/>
          <w:rtl/>
        </w:rPr>
        <w:t xml:space="preserve">نعم لو كان حين الصبّ عازماً على ترك الإمساك بعده كان متجرّياً وبطل وضوئه، لا من جهة قبح نفس الصبّ، بل لأنّ الفاعل يصير حينئذٍ قبيحاً في نظر المولى، والعبادة لا بدّ أن يجعل فاعلها حسناً في نظره، وهذا بخلاف الصّورة الثانية؛ فإنّ ترك الصبّ هناك يكون واجباً تعيينيّاً؛ لفرض عدم وجود مقدّمة أخرى بعد فعل الصبّ حتّى تصير هي المتعيّن بعده، فلهذا يمتنع أن يكون فعل الصبّ مأموراً به ومقرّباً».</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كاشف الغطاء بالنّسبة إلى الجميع بل کلّ ما يعدّ الوضوء تصرّفاً فيه بحسب حاله حتّى اللّباس والنّعل.</w:t>
      </w:r>
      <w:r>
        <w:rPr>
          <w:rStyle w:val="FootnoteReference"/>
        </w:rPr>
        <w:footnoteReference w:id="2297"/>
      </w:r>
    </w:p>
    <w:p>
      <w:pPr>
        <w:pStyle w:val="BookText"/>
      </w:pPr>
      <w:r>
        <w:rPr>
          <w:rFonts w:ascii="Amiri" w:hAnsi="Amiri" w:eastAsia="Amiri" w:cs="Amiri"/>
          <w:lang w:bidi="ar-SA"/>
          <w:color w:val="111111"/>
          <w:sz w:val="28"/>
          <w:szCs w:val="28"/>
          <w:rtl/>
        </w:rPr>
        <w:t xml:space="preserve">ويمكن توجيه البطلان</w:t>
      </w:r>
      <w:r>
        <w:rPr>
          <w:rStyle w:val="FootnoteReference"/>
        </w:rPr>
        <w:footnoteReference w:id="2298"/>
      </w:r>
      <w:r>
        <w:rPr>
          <w:rFonts w:ascii="Amiri" w:hAnsi="Amiri" w:eastAsia="Amiri" w:cs="Amiri"/>
          <w:lang w:bidi="ar-SA"/>
          <w:color w:val="111111"/>
          <w:sz w:val="28"/>
          <w:szCs w:val="28"/>
          <w:rtl/>
        </w:rPr>
        <w:t xml:space="preserve">بالنّسبة إلى المكان بما عن الذكرى</w:t>
      </w:r>
      <w:r>
        <w:rPr>
          <w:rStyle w:val="FootnoteReference"/>
        </w:rPr>
        <w:footnoteReference w:id="2299"/>
      </w:r>
      <w:r>
        <w:rPr>
          <w:rFonts w:ascii="IRNazanin" w:hAnsi="IRNazanin" w:eastAsia="IRNazanin" w:cs="IRNazanin"/>
          <w:lang w:bidi="fa-IR"/>
          <w:color w:val="111111"/>
          <w:sz w:val="28"/>
          <w:szCs w:val="28"/>
          <w:rtl/>
        </w:rPr>
        <w:t xml:space="preserve">من أنّ أفعال الطّهارات من ضرورتها المكان فالأمر بها أمر بالكون كما في الصّلاة مع أنّه محرّم أیضاً فيلزم الاجتماع.</w:t>
      </w:r>
    </w:p>
    <w:p>
      <w:pPr>
        <w:pStyle w:val="BookText"/>
      </w:pPr>
      <w:r>
        <w:rPr>
          <w:rFonts w:ascii="IRNazanin" w:hAnsi="IRNazanin" w:eastAsia="IRNazanin" w:cs="IRNazanin"/>
          <w:lang w:bidi="fa-IR"/>
          <w:color w:val="111111"/>
          <w:sz w:val="28"/>
          <w:szCs w:val="28"/>
          <w:rtl/>
        </w:rPr>
        <w:t xml:space="preserve">ولكنّ فيه ما لا يخفی؛ إذ الكون من ضروريّات الجسم ولا دخل له بالطّهارات وفرق بينها وبين الصّلاة حيث إنّ القيام فيها مثلاً عين الكون في المكان المغصوب وهذا بخلاف غسل الأعضاء.</w:t>
      </w:r>
    </w:p>
    <w:p>
      <w:pPr>
        <w:pStyle w:val="BookText"/>
      </w:pPr>
      <w:r>
        <w:rPr>
          <w:rFonts w:ascii="Amiri" w:hAnsi="Amiri" w:eastAsia="Amiri" w:cs="Amiri"/>
          <w:lang w:bidi="ar-SA"/>
          <w:color w:val="111111"/>
          <w:sz w:val="28"/>
          <w:szCs w:val="28"/>
          <w:rtl/>
        </w:rPr>
        <w:t xml:space="preserve">ويمكن توجيهه بالنّسبة إلى الفضاء بما عن صاحب الحدائق من أنّ المكان كما يطلق على ما استقلّ عليه الإنسان كذا يطلق على الفراغ الّذي يشغله بدن الإنسان فكما أنّ القيام في الصّلاة منهي عنه باعتبار أنّه استقلال في المكان كذلك حركات اليد فيالوضوء في هذا الفراغ.</w:t>
      </w:r>
      <w:r>
        <w:rPr>
          <w:rStyle w:val="FootnoteReference"/>
        </w:rPr>
        <w:footnoteReference w:id="2300"/>
      </w:r>
    </w:p>
    <w:p>
      <w:pPr>
        <w:pStyle w:val="BookText"/>
      </w:pPr>
      <w:r>
        <w:rPr>
          <w:rFonts w:ascii="Amiri" w:hAnsi="Amiri" w:eastAsia="Amiri" w:cs="Amiri"/>
          <w:lang w:bidi="ar-SA"/>
          <w:color w:val="111111"/>
          <w:sz w:val="28"/>
          <w:szCs w:val="28"/>
          <w:rtl/>
        </w:rPr>
        <w:t xml:space="preserve">وفيه: أنّ حركات اليد ليست من أجزاء الوضوء؛ إذ هو عبارة عن الغسل الّذي هو إجراء الماء على الأعضاء وحركات اليد مقدّمة له.</w:t>
      </w:r>
    </w:p>
    <w:p>
      <w:pPr>
        <w:pStyle w:val="BookText"/>
      </w:pPr>
      <w:r>
        <w:rPr>
          <w:rFonts w:ascii="Amiri" w:hAnsi="Amiri" w:eastAsia="Amiri" w:cs="Amiri"/>
          <w:lang w:bidi="ar-SA"/>
          <w:color w:val="111111"/>
          <w:sz w:val="28"/>
          <w:szCs w:val="28"/>
          <w:rtl/>
        </w:rPr>
        <w:t xml:space="preserve">نعم يتمّ ما ذكره بالنّسبة إلى المسح حيث إنّه إمرار اليد على الممسوح.</w:t>
      </w:r>
    </w:p>
    <w:p>
      <w:pPr>
        <w:pStyle w:val="BookText"/>
      </w:pPr>
      <w:r>
        <w:rPr>
          <w:rFonts w:ascii="IRNazanin" w:hAnsi="IRNazanin" w:eastAsia="IRNazanin" w:cs="IRNazanin"/>
          <w:lang w:bidi="fa-IR"/>
          <w:color w:val="111111"/>
          <w:sz w:val="28"/>
          <w:szCs w:val="28"/>
          <w:rtl/>
        </w:rPr>
        <w:t xml:space="preserve">بل يمكن أن يقال: إنّه موجب للتصرّف في المكان أیضاً حيث إنّه يحتاج إلى نوع اعتماد على الرّجل الموجب للاعتماد على مال الغير.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ويمكن أن يقال: إنّ جريان الماء على الأعضاء نوع تصرّف أیضاً في الفضاء.</w:t>
      </w:r>
    </w:p>
    <w:p>
      <w:pPr>
        <w:pStyle w:val="BookText"/>
      </w:pPr>
      <w:r>
        <w:rPr>
          <w:rFonts w:ascii="IRNazanin" w:hAnsi="IRNazanin" w:eastAsia="IRNazanin" w:cs="IRNazanin"/>
          <w:lang w:bidi="fa-IR"/>
          <w:color w:val="111111"/>
          <w:sz w:val="28"/>
          <w:szCs w:val="28"/>
          <w:rtl/>
        </w:rPr>
        <w:t xml:space="preserve">ويمكن أن يقال: إنّ الغسل ليس عبارة عن انتقال الماء عن محلّ إلى محلّ ولا عن انغسال المحلّ بل هو عبارة عن إجراء الماء الّذي هو من فعل المکلّف وهو كما قد يكون بإرسال الماء على الأعضاء بحيث يكون جارياً عليها بنفسه كذا قد يكون بإمرار اليد فهو فرد للإجراء كما أنّ الإرسال فرد آخر، ومجرّد عدم الحاجة إلى الإمرار لا يوجب عدم فرديّته إذا فرض الغسل بهذه الكيفيّة.</w:t>
      </w:r>
    </w:p>
    <w:p>
      <w:pPr>
        <w:pStyle w:val="BookText"/>
      </w:pPr>
      <w:r>
        <w:rPr>
          <w:rFonts w:ascii="Amiri" w:hAnsi="Amiri" w:eastAsia="Amiri" w:cs="Amiri"/>
          <w:lang w:bidi="ar-SA"/>
          <w:color w:val="111111"/>
          <w:sz w:val="28"/>
          <w:szCs w:val="28"/>
          <w:rtl/>
        </w:rPr>
        <w:t xml:space="preserve">فهو نظير الضّرب الّذي قد يكون باليد وقد يكون بالآلة فيلزم الاتّحاد في نفس الغسل.</w:t>
      </w:r>
    </w:p>
    <w:p>
      <w:pPr>
        <w:pStyle w:val="BookText"/>
      </w:pPr>
      <w:r>
        <w:rPr>
          <w:rFonts w:ascii="IRNazanin" w:hAnsi="IRNazanin" w:eastAsia="IRNazanin" w:cs="IRNazanin"/>
          <w:lang w:bidi="fa-IR"/>
          <w:color w:val="111111"/>
          <w:sz w:val="28"/>
          <w:szCs w:val="28"/>
          <w:rtl/>
        </w:rPr>
        <w:t xml:space="preserve">هذا ولكنّ التّحقیق أنّ الإجراء فعل توليدي یتولّد من الإمرار</w:t>
      </w:r>
      <w:r>
        <w:rPr>
          <w:rStyle w:val="FootnoteReference"/>
        </w:rPr>
        <w:footnoteReference w:id="2301"/>
      </w:r>
      <w:r>
        <w:rPr>
          <w:rFonts w:ascii="Amiri" w:hAnsi="Amiri" w:eastAsia="Amiri" w:cs="Amiri"/>
          <w:lang w:bidi="ar-SA"/>
          <w:color w:val="111111"/>
          <w:sz w:val="28"/>
          <w:szCs w:val="28"/>
          <w:rtl/>
        </w:rPr>
        <w:t xml:space="preserve">نظير الإحراق المتولّد من الإلقاء في النّار وتحريك المفتاح المتولّد من تحريك اليد ولذا نمنع كون الأمر بالمسبّبات عين الأمر بأسبابها كما قد يتخيّل.</w:t>
      </w:r>
    </w:p>
    <w:p>
      <w:pPr>
        <w:pStyle w:val="BookText"/>
      </w:pPr>
      <w:r>
        <w:rPr>
          <w:rFonts w:ascii="IRNazanin" w:hAnsi="IRNazanin" w:eastAsia="IRNazanin" w:cs="IRNazanin"/>
          <w:lang w:bidi="fa-IR"/>
          <w:color w:val="111111"/>
          <w:sz w:val="28"/>
          <w:szCs w:val="28"/>
          <w:rtl/>
        </w:rPr>
        <w:t xml:space="preserve">فالأولى توجيه البطلان بالنّسبة إلى الفضاء بل المكان أیضاً بأنّ هذا الفرد من الغسل أو المسح الملازم للمحرّم غير مطلوب شرعاً فإنّ كونه في مكان كذا أو في الفضاء الفلاني من مشخّصاته وليس مثل النّظر إلى الأجنبيّة حال الصّلاة في كونه حراماً مقارناً لا دخل له بتشخيص</w:t>
      </w:r>
      <w:r>
        <w:rPr>
          <w:rStyle w:val="FootnoteReference"/>
        </w:rPr>
        <w:footnoteReference w:id="2302"/>
      </w:r>
      <w:r>
        <w:rPr>
          <w:rFonts w:ascii="IRNazanin" w:hAnsi="IRNazanin" w:eastAsia="IRNazanin" w:cs="IRNazanin"/>
          <w:lang w:bidi="fa-IR"/>
          <w:color w:val="111111"/>
          <w:sz w:val="28"/>
          <w:szCs w:val="28"/>
          <w:rtl/>
        </w:rPr>
        <w:t xml:space="preserve">الفرد.</w:t>
      </w:r>
    </w:p>
    <w:p>
      <w:pPr>
        <w:pStyle w:val="BookText"/>
      </w:pPr>
      <w:r>
        <w:rPr>
          <w:rFonts w:ascii="Amiri" w:hAnsi="Amiri" w:eastAsia="Amiri" w:cs="Amiri"/>
          <w:lang w:bidi="ar-SA"/>
          <w:color w:val="111111"/>
          <w:sz w:val="28"/>
          <w:szCs w:val="28"/>
          <w:rtl/>
        </w:rPr>
        <w:t xml:space="preserve">ويمكن توجيه البطلان بالنّسبة إلى الآنية</w:t>
      </w:r>
      <w:r>
        <w:rPr>
          <w:rStyle w:val="FootnoteReference"/>
        </w:rPr>
        <w:footnoteReference w:id="2303"/>
      </w:r>
      <w:r>
        <w:rPr>
          <w:rFonts w:ascii="Amiri" w:hAnsi="Amiri" w:eastAsia="Amiri" w:cs="Amiri"/>
          <w:lang w:bidi="ar-SA"/>
          <w:color w:val="111111"/>
          <w:sz w:val="28"/>
          <w:szCs w:val="28"/>
          <w:rtl/>
        </w:rPr>
        <w:t xml:space="preserve">المغترف منها بأنّ الوضوء والغسلمنها يعدّ تصرّفاً فيها واستعمالاً لها فيلزم الاتّحاد.</w:t>
      </w:r>
    </w:p>
    <w:p>
      <w:pPr>
        <w:pStyle w:val="BookText"/>
      </w:pPr>
      <w:r>
        <w:rPr>
          <w:rFonts w:ascii="Amiri" w:hAnsi="Amiri" w:eastAsia="Amiri" w:cs="Amiri"/>
          <w:lang w:bidi="ar-SA"/>
          <w:color w:val="111111"/>
          <w:sz w:val="28"/>
          <w:szCs w:val="28"/>
          <w:rtl/>
        </w:rPr>
        <w:t xml:space="preserve">هذا ولو غمس يده فيها بقصد الغسل أو ارتمس فيها بقصد الغسل فيكون تصرّفاً فيها واستعمالاً لها قطعاً.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308" w:name="pg6784_51745"/>
    <w:bookmarkEnd w:id="308"/>
    <w:p>
      <w:pPr>
        <w:pStyle w:val="BookText"/>
      </w:pPr>
      <w:r>
        <w:rPr>
          <w:rFonts w:ascii="Amiri" w:hAnsi="Amiri" w:eastAsia="Amiri" w:cs="Amiri"/>
          <w:lang w:bidi="ar-SA"/>
          <w:color w:val="111111"/>
          <w:sz w:val="28"/>
          <w:szCs w:val="28"/>
          <w:rtl/>
        </w:rPr>
        <w:t xml:space="preserve">ويمكن فيها</w:t>
      </w:r>
      <w:r>
        <w:rPr>
          <w:rStyle w:val="FootnoteReference"/>
        </w:rPr>
        <w:footnoteReference w:id="2304"/>
      </w:r>
      <w:r>
        <w:rPr>
          <w:rFonts w:ascii="IRNazanin" w:hAnsi="IRNazanin" w:eastAsia="IRNazanin" w:cs="IRNazanin"/>
          <w:lang w:bidi="fa-IR"/>
          <w:color w:val="111111"/>
          <w:sz w:val="28"/>
          <w:szCs w:val="28"/>
          <w:rtl/>
        </w:rPr>
        <w:t xml:space="preserve">توجيه البطلان بالنّسبة إلى المصبّ أیضاً بذلك أو بالتّلازم الفردي إذا فرض وضوؤه</w:t>
      </w:r>
      <w:r>
        <w:rPr>
          <w:rStyle w:val="FootnoteReference"/>
        </w:rPr>
        <w:footnoteReference w:id="2305"/>
      </w:r>
      <w:r>
        <w:rPr>
          <w:rFonts w:ascii="Amiri" w:hAnsi="Amiri" w:eastAsia="Amiri" w:cs="Amiri"/>
          <w:lang w:bidi="ar-SA"/>
          <w:color w:val="111111"/>
          <w:sz w:val="28"/>
          <w:szCs w:val="28"/>
          <w:rtl/>
        </w:rPr>
        <w:t xml:space="preserve">في مكان لا يمكنه ذلك إلّا بصبّ الماء في المكان المغصوب أو بأنّ الوضوء مثلاً علّة للمحرّم فيكون محرّماً وأمّا إذا أمكنه عدم الصبّ فيه فصبّ فلا يجري الوجهان.</w:t>
      </w:r>
    </w:p>
    <w:p>
      <w:pPr>
        <w:pStyle w:val="Heading6"/>
      </w:pPr>
      <w:bookmarkStart w:id="854" w:name="_Toc535"/>
      <w:r>
        <w:t>[إعطاء الخمس أو الزکاة في المکان المغصوب]</w:t>
      </w:r>
      <w:bookmarkEnd w:id="854"/>
    </w:p>
    <w:p>
      <w:pPr>
        <w:pStyle w:val="BookText"/>
      </w:pPr>
      <w:r>
        <w:rPr>
          <w:rFonts w:ascii="IRNazanin" w:hAnsi="IRNazanin" w:eastAsia="IRNazanin" w:cs="IRNazanin"/>
          <w:lang w:bidi="fa-IR"/>
          <w:color w:val="111111"/>
          <w:sz w:val="28"/>
          <w:szCs w:val="28"/>
          <w:rtl/>
        </w:rPr>
        <w:t xml:space="preserve">ومنها: إعطاء الخمس</w:t>
      </w:r>
      <w:r>
        <w:rPr>
          <w:rStyle w:val="FootnoteReference"/>
        </w:rPr>
        <w:footnoteReference w:id="2306"/>
      </w:r>
      <w:r>
        <w:rPr>
          <w:rFonts w:ascii="Amiri" w:hAnsi="Amiri" w:eastAsia="Amiri" w:cs="Amiri"/>
          <w:lang w:bidi="ar-SA"/>
          <w:color w:val="111111"/>
          <w:sz w:val="28"/>
          <w:szCs w:val="28"/>
          <w:rtl/>
        </w:rPr>
        <w:t xml:space="preserve">أو الزّكاة في المكان المغصوب بناء على كون الواجب هو الإعطاء لا الوصول إلى الفقير وكذا التصدّق.</w:t>
      </w:r>
      <w:r>
        <w:rPr>
          <w:rStyle w:val="FootnoteReference"/>
        </w:rPr>
        <w:footnoteReference w:id="2307"/>
      </w:r>
    </w:p>
    <w:p>
      <w:pPr>
        <w:pStyle w:val="Heading6"/>
      </w:pPr>
      <w:bookmarkStart w:id="855" w:name="_Toc536"/>
      <w:r>
        <w:t>[إعطاء مال یحرم إعطاؤه لنذر خمساً أو زکاة]</w:t>
      </w:r>
      <w:bookmarkEnd w:id="855"/>
    </w:p>
    <w:p>
      <w:pPr>
        <w:pStyle w:val="BookText"/>
      </w:pPr>
      <w:r>
        <w:rPr>
          <w:rFonts w:ascii="Amiri" w:hAnsi="Amiri" w:eastAsia="Amiri" w:cs="Amiri"/>
          <w:lang w:bidi="ar-SA"/>
          <w:color w:val="111111"/>
          <w:sz w:val="28"/>
          <w:szCs w:val="28"/>
          <w:rtl/>
        </w:rPr>
        <w:t xml:space="preserve">ومنها: إعطاء مال يحرم عليه إعطاؤه</w:t>
      </w:r>
      <w:r>
        <w:rPr>
          <w:rStyle w:val="FootnoteReference"/>
        </w:rPr>
        <w:footnoteReference w:id="2308"/>
      </w:r>
      <w:r>
        <w:rPr>
          <w:rFonts w:ascii="Amiri" w:hAnsi="Amiri" w:eastAsia="Amiri" w:cs="Amiri"/>
          <w:lang w:bidi="ar-SA"/>
          <w:color w:val="111111"/>
          <w:sz w:val="28"/>
          <w:szCs w:val="28"/>
          <w:rtl/>
        </w:rPr>
        <w:t xml:space="preserve">لنذر أو شبهه خمساً أو زكاة أو صدقة فإنّه يجتمع فيه الأمر من جهتها والنّهي من جهة النّذر ونحوه.</w:t>
      </w:r>
    </w:p>
    <w:p>
      <w:pPr>
        <w:pStyle w:val="Heading6"/>
      </w:pPr>
      <w:bookmarkStart w:id="856" w:name="_Toc537"/>
      <w:r>
        <w:t>[قضاء الدین في المکان المغصوب والمعاملة المعاطاتیة بمال یحرم التصرف فیه لنذر]</w:t>
      </w:r>
      <w:bookmarkEnd w:id="856"/>
    </w:p>
    <w:p>
      <w:pPr>
        <w:pStyle w:val="BookText"/>
      </w:pPr>
      <w:r>
        <w:rPr>
          <w:rFonts w:ascii="Amiri" w:hAnsi="Amiri" w:eastAsia="Amiri" w:cs="Amiri"/>
          <w:lang w:bidi="ar-SA"/>
          <w:color w:val="111111"/>
          <w:sz w:val="28"/>
          <w:szCs w:val="28"/>
          <w:rtl/>
        </w:rPr>
        <w:t xml:space="preserve">ومنها: قضاء الدّين أو المعاملة المعاطاتيّة في المكان المغصوب أو بمال يحرمعليه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09" w:name="pg6784_51747"/>
    <w:bookmarkEnd w:id="309"/>
    <w:p>
      <w:pPr>
        <w:pStyle w:val="BookText"/>
      </w:pPr>
      <w:r>
        <w:rPr>
          <w:rFonts w:ascii="Amiri" w:hAnsi="Amiri" w:eastAsia="Amiri" w:cs="Amiri"/>
          <w:lang w:bidi="ar-SA"/>
          <w:color w:val="111111"/>
          <w:sz w:val="28"/>
          <w:szCs w:val="28"/>
          <w:rtl/>
        </w:rPr>
        <w:t xml:space="preserve">التصرّف فيه لنذر وشبهه</w:t>
      </w:r>
      <w:r>
        <w:rPr>
          <w:rStyle w:val="FootnoteReference"/>
        </w:rPr>
        <w:footnoteReference w:id="2309"/>
      </w:r>
      <w:r>
        <w:rPr>
          <w:rFonts w:ascii="Amiri" w:hAnsi="Amiri" w:eastAsia="Amiri" w:cs="Amiri"/>
          <w:lang w:bidi="ar-SA"/>
          <w:color w:val="111111"/>
          <w:sz w:val="28"/>
          <w:szCs w:val="28"/>
          <w:rtl/>
        </w:rPr>
        <w:t xml:space="preserve">فإنّه يجتمع فيه الأمر والنّهي إلّا أنّه لا يكون باطلاً لمكان تعلّق النهي بالأمر الخارج عن المعاملة وكونها توصّليّة.</w:t>
      </w:r>
    </w:p>
    <w:p>
      <w:pPr>
        <w:pStyle w:val="Heading6"/>
      </w:pPr>
      <w:bookmarkStart w:id="857" w:name="_Toc538"/>
      <w:r>
        <w:t>[إجراء صیغة عقد أو إیقاع في مکان مغصوب]</w:t>
      </w:r>
      <w:bookmarkEnd w:id="857"/>
    </w:p>
    <w:p>
      <w:pPr>
        <w:pStyle w:val="BookText"/>
      </w:pPr>
      <w:r>
        <w:rPr>
          <w:rFonts w:ascii="IRNazanin" w:hAnsi="IRNazanin" w:eastAsia="IRNazanin" w:cs="IRNazanin"/>
          <w:lang w:bidi="fa-IR"/>
          <w:color w:val="111111"/>
          <w:sz w:val="28"/>
          <w:szCs w:val="28"/>
          <w:rtl/>
        </w:rPr>
        <w:t xml:space="preserve">ومنها: إجراء صيغة عقد أو إيقاع في مكان مغصوب بناء على كون مثل التکلّم تصرّفاً في الفضاء لكن لا يوجب البطلان لما مرّ.</w:t>
      </w:r>
    </w:p>
    <w:p>
      <w:pPr>
        <w:pStyle w:val="BookText"/>
      </w:pPr>
      <w:r>
        <w:rPr>
          <w:rFonts w:ascii="IRNazanin" w:hAnsi="IRNazanin" w:eastAsia="IRNazanin" w:cs="IRNazanin"/>
          <w:lang w:bidi="fa-IR"/>
          <w:color w:val="111111"/>
          <w:sz w:val="28"/>
          <w:szCs w:val="28"/>
          <w:rtl/>
        </w:rPr>
        <w:t xml:space="preserve">وكذا إذا نذر أن لا يتکلّم فأجرى الصّيغة.</w:t>
      </w:r>
    </w:p>
    <w:p>
      <w:pPr>
        <w:pStyle w:val="Heading6"/>
      </w:pPr>
      <w:bookmarkStart w:id="858" w:name="_Toc539"/>
      <w:r>
        <w:t>[الإتیان بالواجب المنذور ولو توصلیّاً في المکان المغصوب]</w:t>
      </w:r>
      <w:bookmarkEnd w:id="858"/>
    </w:p>
    <w:p>
      <w:pPr>
        <w:pStyle w:val="BookText"/>
      </w:pPr>
      <w:r>
        <w:rPr>
          <w:rFonts w:ascii="Amiri" w:hAnsi="Amiri" w:eastAsia="Amiri" w:cs="Amiri"/>
          <w:lang w:bidi="ar-SA"/>
          <w:color w:val="111111"/>
          <w:sz w:val="28"/>
          <w:szCs w:val="28"/>
          <w:rtl/>
        </w:rPr>
        <w:t xml:space="preserve">ومنها: إذا نذر أن يأتي بواجب ولو توصّلياً</w:t>
      </w:r>
      <w:r>
        <w:rPr>
          <w:rStyle w:val="FootnoteReference"/>
        </w:rPr>
        <w:footnoteReference w:id="2310"/>
      </w:r>
      <w:r>
        <w:rPr>
          <w:rFonts w:ascii="Amiri" w:hAnsi="Amiri" w:eastAsia="Amiri" w:cs="Amiri"/>
          <w:lang w:bidi="ar-SA"/>
          <w:color w:val="111111"/>
          <w:sz w:val="28"/>
          <w:szCs w:val="28"/>
          <w:rtl/>
        </w:rPr>
        <w:t xml:space="preserve">فأتى به في المكان المغصوب فإنّه بناءً على عدم جواز الاجتماع</w:t>
      </w:r>
      <w:r>
        <w:rPr>
          <w:rStyle w:val="FootnoteReference"/>
        </w:rPr>
        <w:footnoteReference w:id="2311"/>
      </w:r>
      <w:r>
        <w:rPr>
          <w:rFonts w:ascii="IRNazanin" w:hAnsi="IRNazanin" w:eastAsia="IRNazanin" w:cs="IRNazanin"/>
          <w:lang w:bidi="fa-IR"/>
          <w:color w:val="111111"/>
          <w:sz w:val="28"/>
          <w:szCs w:val="28"/>
          <w:rtl/>
        </w:rPr>
        <w:t xml:space="preserve">لا یکفي في الخروج عن العهدة.</w:t>
      </w:r>
    </w:p>
    <w:p>
      <w:pPr>
        <w:pStyle w:val="Heading6"/>
      </w:pPr>
      <w:bookmarkStart w:id="859" w:name="_Toc540"/>
      <w:r>
        <w:t>[حمل جنب أو نجاسة حال الطواف]</w:t>
      </w:r>
      <w:bookmarkEnd w:id="859"/>
    </w:p>
    <w:p>
      <w:pPr>
        <w:pStyle w:val="BookText"/>
      </w:pPr>
      <w:r>
        <w:rPr>
          <w:rFonts w:ascii="Amiri" w:hAnsi="Amiri" w:eastAsia="Amiri" w:cs="Amiri"/>
          <w:lang w:bidi="ar-SA"/>
          <w:color w:val="111111"/>
          <w:sz w:val="28"/>
          <w:szCs w:val="28"/>
          <w:rtl/>
        </w:rPr>
        <w:t xml:space="preserve">ومنها: إذا حمل جنباً أو نجاسة في حال الطّواف بناء على حرمة إدخال النّجاسة الغير المتعدّية في المسجد وكون المحرّم أعمّ من الإدخال والإبقاء فإنّه يكون طوافه متعلّقاً للنّهي من حيث اتّحاده مع عنوان الإدخال وكذا إذا وجب عليه دخول المسجد فدخله حاملاً لجنب</w:t>
      </w:r>
      <w:r>
        <w:rPr>
          <w:rStyle w:val="FootnoteReference"/>
        </w:rPr>
        <w:footnoteReference w:id="2312"/>
      </w:r>
      <w:r>
        <w:rPr>
          <w:rFonts w:ascii="Amiri" w:hAnsi="Amiri" w:eastAsia="Amiri" w:cs="Amiri"/>
          <w:lang w:bidi="ar-SA"/>
          <w:color w:val="111111"/>
          <w:sz w:val="28"/>
          <w:szCs w:val="28"/>
          <w:rtl/>
        </w:rPr>
        <w:t xml:space="preserve">أو لنجاسة إذا قلنا باتّحاد الدّخول والإدخال وعلى فرض عدم الاتّحاد وكون الدّخول سبباً للإدخال وكذا كون المشي سبباً للإبقاء فيكون الاجتماع من حيث كونه علّة للمحرّم.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310" w:name="pg6784_51748"/>
    <w:bookmarkEnd w:id="310"/>
    <w:p>
      <w:pPr>
        <w:pStyle w:val="Heading6"/>
      </w:pPr>
      <w:bookmarkStart w:id="860" w:name="_Toc541"/>
      <w:r>
        <w:t>[تذنيب: في لزوم عدم استحقاق الأجرة إذا أتى بالعمل على الوجه المحرّم على قول المانعين]</w:t>
      </w:r>
      <w:bookmarkEnd w:id="860"/>
    </w:p>
    <w:p>
      <w:pPr>
        <w:pStyle w:val="BookText"/>
      </w:pPr>
      <w:r>
        <w:rPr>
          <w:rFonts w:ascii="Amiri" w:hAnsi="Amiri" w:eastAsia="Amiri" w:cs="Amiri"/>
          <w:lang w:bidi="ar-SA"/>
          <w:color w:val="111111"/>
          <w:sz w:val="28"/>
          <w:szCs w:val="28"/>
          <w:rtl/>
        </w:rPr>
        <w:t xml:space="preserve">تذنيبٌ</w:t>
      </w:r>
      <w:r>
        <w:rPr>
          <w:rStyle w:val="FootnoteReference"/>
        </w:rPr>
        <w:footnoteReference w:id="2313"/>
      </w:r>
      <w:r>
        <w:rPr>
          <w:rFonts w:ascii="Amiri" w:hAnsi="Amiri" w:eastAsia="Amiri" w:cs="Amiri"/>
          <w:lang w:bidi="ar-SA"/>
          <w:color w:val="111111"/>
          <w:sz w:val="28"/>
          <w:szCs w:val="28"/>
          <w:rtl/>
        </w:rPr>
        <w:t xml:space="preserve">: لا يخفى أنّ لازم مذهب المانعين عدم استحقاق من وجب عليه عملبالإجارة الأجرة المسمّاة</w:t>
      </w:r>
      <w:r>
        <w:rPr>
          <w:rStyle w:val="FootnoteReference"/>
        </w:rPr>
        <w:footnoteReference w:id="2314"/>
      </w:r>
      <w:r>
        <w:rPr>
          <w:rFonts w:ascii="Amiri" w:hAnsi="Amiri" w:eastAsia="Amiri" w:cs="Amiri"/>
          <w:lang w:bidi="ar-SA"/>
          <w:color w:val="111111"/>
          <w:sz w:val="28"/>
          <w:szCs w:val="28"/>
          <w:rtl/>
        </w:rPr>
        <w:t xml:space="preserve">إذا أتى بالعمل على الوجه المحرّم كما إذا آجر نفسه لكنس المسجد فكنسه بآلة مغصوبة أو آجر نفسه للحجّ من البلد فركب الدابّة المغصوبة إلى الميقات وكذا</w:t>
      </w:r>
      <w:r>
        <w:rPr>
          <w:rStyle w:val="FootnoteReference"/>
        </w:rPr>
        <w:footnoteReference w:id="2315"/>
      </w:r>
      <w:r>
        <w:rPr>
          <w:rFonts w:ascii="IRNazanin" w:hAnsi="IRNazanin" w:eastAsia="IRNazanin" w:cs="IRNazanin"/>
          <w:lang w:bidi="fa-IR"/>
          <w:color w:val="111111"/>
          <w:sz w:val="28"/>
          <w:szCs w:val="28"/>
          <w:rtl/>
        </w:rPr>
        <w:t xml:space="preserve">سائر الموارد.</w:t>
      </w:r>
    </w:p>
    <w:p>
      <w:pPr>
        <w:pStyle w:val="BookText"/>
      </w:pPr>
      <w:r>
        <w:rPr>
          <w:rFonts w:ascii="Amiri" w:hAnsi="Amiri" w:eastAsia="Amiri" w:cs="Amiri"/>
          <w:lang w:bidi="ar-SA"/>
          <w:color w:val="111111"/>
          <w:sz w:val="28"/>
          <w:szCs w:val="28"/>
          <w:rtl/>
        </w:rPr>
        <w:t xml:space="preserve">وذلك لأنّ الفرد المحرّم لا يشمله الأمر الإجاري فلا يكون عمله وفاءً لما عليه ولا يجدي في ذلك كون العمل</w:t>
      </w:r>
      <w:r>
        <w:rPr>
          <w:rStyle w:val="FootnoteReference"/>
        </w:rPr>
        <w:footnoteReference w:id="2316"/>
      </w:r>
      <w:r>
        <w:rPr>
          <w:rFonts w:ascii="Amiri" w:hAnsi="Amiri" w:eastAsia="Amiri" w:cs="Amiri"/>
          <w:lang w:bidi="ar-SA"/>
          <w:color w:val="111111"/>
          <w:sz w:val="28"/>
          <w:szCs w:val="28"/>
          <w:rtl/>
        </w:rPr>
        <w:t xml:space="preserve">توصّليّاً؛ لأنّ</w:t>
      </w:r>
      <w:r>
        <w:rPr>
          <w:rStyle w:val="FootnoteReference"/>
        </w:rPr>
        <w:footnoteReference w:id="2317"/>
      </w:r>
      <w:r>
        <w:rPr>
          <w:rFonts w:ascii="IRNazanin" w:hAnsi="IRNazanin" w:eastAsia="IRNazanin" w:cs="IRNazanin"/>
          <w:lang w:bidi="fa-IR"/>
          <w:color w:val="111111"/>
          <w:sz w:val="28"/>
          <w:szCs w:val="28"/>
          <w:rtl/>
        </w:rPr>
        <w:t xml:space="preserve">المعيار في استحقاق الأجرة إتیان العمل المستأجر عليه</w:t>
      </w:r>
      <w:r>
        <w:rPr>
          <w:rStyle w:val="FootnoteReference"/>
        </w:rPr>
        <w:footnoteReference w:id="2318"/>
      </w:r>
      <w:r>
        <w:rPr>
          <w:rFonts w:ascii="IRNazanin" w:hAnsi="IRNazanin" w:eastAsia="IRNazanin" w:cs="IRNazanin"/>
          <w:lang w:bidi="fa-IR"/>
          <w:color w:val="111111"/>
          <w:sz w:val="28"/>
          <w:szCs w:val="28"/>
          <w:rtl/>
        </w:rPr>
        <w:t xml:space="preserve">والسّقوط إنّما ينفع في رفع التّکلیف لا في استحقاق الأجرة.</w:t>
      </w:r>
    </w:p>
    <w:p>
      <w:pPr>
        <w:pStyle w:val="BookText"/>
      </w:pPr>
      <w:r>
        <w:rPr>
          <w:rFonts w:ascii="IRNazanin" w:hAnsi="IRNazanin" w:eastAsia="IRNazanin" w:cs="IRNazanin"/>
          <w:lang w:bidi="fa-IR"/>
          <w:color w:val="111111"/>
          <w:sz w:val="28"/>
          <w:szCs w:val="28"/>
          <w:rtl/>
        </w:rPr>
        <w:t xml:space="preserve">ولذا لو أتى المنوب عنه بالمقدّمات على الوجه المحرّم سقط عنه التّکلیف وكذا لو أتى لا بقصد التّوصّل فإنّه ليس عليه إلّا إتیان الواجب ومع حصوله في الخارج يسقط عنه ولو كان بفعل الغير أیضاً فيما يمكن فیه ذلك أیضاً</w:t>
      </w:r>
      <w:r>
        <w:rPr>
          <w:rStyle w:val="FootnoteReference"/>
        </w:rPr>
        <w:footnoteReference w:id="2319"/>
      </w:r>
    </w:p>
    <w:p>
      <w:pPr>
        <w:pStyle w:val="BookText"/>
      </w:pPr>
      <w:r>
        <w:rPr>
          <w:rFonts w:ascii="Amiri" w:hAnsi="Amiri" w:eastAsia="Amiri" w:cs="Amiri"/>
          <w:lang w:bidi="ar-SA"/>
          <w:color w:val="111111"/>
          <w:sz w:val="28"/>
          <w:szCs w:val="28"/>
          <w:rtl/>
        </w:rPr>
        <w:t xml:space="preserve">وأمّا الأجير فلا يثمر السّقوط في حقّه بل قد لا يسقط</w:t>
      </w:r>
      <w:r>
        <w:rPr>
          <w:rStyle w:val="FootnoteReference"/>
        </w:rPr>
        <w:footnoteReference w:id="2320"/>
      </w:r>
      <w:r>
        <w:rPr>
          <w:rFonts w:ascii="IRNazanin" w:hAnsi="IRNazanin" w:eastAsia="IRNazanin" w:cs="IRNazanin"/>
          <w:lang w:bidi="fa-IR"/>
          <w:color w:val="111111"/>
          <w:sz w:val="28"/>
          <w:szCs w:val="28"/>
          <w:rtl/>
        </w:rPr>
        <w:t xml:space="preserve">عنه أیضاً إذا لم يأت على الوجه المأمور به. فلو مشى نحو الميقات لا بقصد النّيابة لا يكفيه؛ إذ المشي جزء لعمله المستأجر عليه.</w:t>
      </w:r>
    </w:p>
    <w:p>
      <w:pPr>
        <w:pStyle w:val="BookText"/>
      </w:pPr>
      <w:r>
        <w:rPr>
          <w:rFonts w:ascii="Amiri" w:hAnsi="Amiri" w:eastAsia="Amiri" w:cs="Amiri"/>
          <w:lang w:bidi="ar-SA"/>
          <w:color w:val="111111"/>
          <w:sz w:val="28"/>
          <w:szCs w:val="28"/>
          <w:rtl/>
        </w:rPr>
        <w:t xml:space="preserve">نعم لو كان أجيراً على الحجّ فقط لا على المقدّمات بحيث كان وجوبها من باب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المقدّميّة</w:t>
      </w:r>
      <w:r>
        <w:rPr>
          <w:rStyle w:val="FootnoteReference"/>
        </w:rPr>
        <w:footnoteReference w:id="2321"/>
      </w:r>
      <w:r>
        <w:rPr>
          <w:rFonts w:ascii="Amiri" w:hAnsi="Amiri" w:eastAsia="Amiri" w:cs="Amiri"/>
          <w:lang w:bidi="ar-SA"/>
          <w:color w:val="111111"/>
          <w:sz w:val="28"/>
          <w:szCs w:val="28"/>
          <w:rtl/>
        </w:rPr>
        <w:t xml:space="preserve">الصّرفة كان حاله حال المنوب عنه في سقوط المقدّمة عنه إذا أتى بها ولو لا بقصد التّوصّل إلى الحجّ ولازم ذلك عدم توزّع الأجرة على المشي لو فرض موته قبل تمام الحج وعدم استحقاقه أصلاً لو مات قبل الميقات، وهذا بخلاف ما إذا كان المستأجر</w:t>
      </w:r>
      <w:r>
        <w:rPr>
          <w:rStyle w:val="FootnoteReference"/>
        </w:rPr>
        <w:footnoteReference w:id="2322"/>
      </w:r>
      <w:r>
        <w:rPr>
          <w:rFonts w:ascii="Amiri" w:hAnsi="Amiri" w:eastAsia="Amiri" w:cs="Amiri"/>
          <w:lang w:bidi="ar-SA"/>
          <w:color w:val="111111"/>
          <w:sz w:val="28"/>
          <w:szCs w:val="28"/>
          <w:rtl/>
        </w:rPr>
        <w:t xml:space="preserve">عليه الحجّ من البلد.</w:t>
      </w:r>
    </w:p>
    <w:p>
      <w:pPr>
        <w:pStyle w:val="BookText"/>
      </w:pPr>
      <w:r>
        <w:rPr>
          <w:rFonts w:ascii="IRNazanin" w:hAnsi="IRNazanin" w:eastAsia="IRNazanin" w:cs="IRNazanin"/>
          <w:lang w:bidi="fa-IR"/>
          <w:color w:val="111111"/>
          <w:sz w:val="28"/>
          <w:szCs w:val="28"/>
          <w:rtl/>
        </w:rPr>
        <w:t xml:space="preserve">وبالجملة فحال الأجير بالنّسبة إلى استحقاق الأجرة حال المنوب عنه فياستحقاق الثواب فكما لا يستحقّ الثواب إلّا مع الإتیان على الوجه المأمور به والسّقوط لا ينفع في استحقاقه الثواب، فكذا النّائب في استحقاقه</w:t>
      </w:r>
      <w:r>
        <w:rPr>
          <w:rStyle w:val="FootnoteReference"/>
        </w:rPr>
        <w:footnoteReference w:id="2323"/>
      </w:r>
      <w:r>
        <w:rPr>
          <w:rFonts w:ascii="Amiri" w:hAnsi="Amiri" w:eastAsia="Amiri" w:cs="Amiri"/>
          <w:lang w:bidi="ar-SA"/>
          <w:color w:val="111111"/>
          <w:sz w:val="28"/>
          <w:szCs w:val="28"/>
          <w:rtl/>
        </w:rPr>
        <w:t xml:space="preserve">الأجرة.</w:t>
      </w:r>
    </w:p>
    <w:p>
      <w:pPr>
        <w:pStyle w:val="BookText"/>
      </w:pPr>
      <w:r>
        <w:rPr>
          <w:rFonts w:ascii="IRNazanin" w:hAnsi="IRNazanin" w:eastAsia="IRNazanin" w:cs="IRNazanin"/>
          <w:lang w:bidi="fa-IR"/>
          <w:color w:val="111111"/>
          <w:sz w:val="28"/>
          <w:szCs w:val="28"/>
          <w:rtl/>
        </w:rPr>
        <w:t xml:space="preserve">إلّا أن يقال: إنّ الأمر الإجاري وإن کان لا يشمل الفرد المحرّم إلّا أنّ متعلّق الإجارة هو الفعل المطلق أعمّ من المحلّل والمحرّم بمعنى أنّه الطّبيعة اللّابشرط فيكون الإتیان به بأيّ وجه كان كافياً في استحقاق الأجرة.</w:t>
      </w:r>
    </w:p>
    <w:p>
      <w:pPr>
        <w:pStyle w:val="BookText"/>
      </w:pPr>
      <w:r>
        <w:rPr>
          <w:rFonts w:ascii="IRNazanin" w:hAnsi="IRNazanin" w:eastAsia="IRNazanin" w:cs="IRNazanin"/>
          <w:lang w:bidi="fa-IR"/>
          <w:color w:val="111111"/>
          <w:sz w:val="28"/>
          <w:szCs w:val="28"/>
          <w:rtl/>
        </w:rPr>
        <w:t xml:space="preserve">نعم لو سقط عنه لا بإتیانه بل بإتیان الغير أو بغير ذلك لا يستحقّ الأجرة؛ إذ</w:t>
      </w:r>
      <w:r>
        <w:rPr>
          <w:rStyle w:val="FootnoteReference"/>
        </w:rPr>
        <w:footnoteReference w:id="2324"/>
      </w:r>
      <w:r>
        <w:rPr>
          <w:rFonts w:ascii="IRNazanin" w:hAnsi="IRNazanin" w:eastAsia="IRNazanin" w:cs="IRNazanin"/>
          <w:lang w:bidi="fa-IR"/>
          <w:color w:val="111111"/>
          <w:sz w:val="28"/>
          <w:szCs w:val="28"/>
          <w:rtl/>
        </w:rPr>
        <w:t xml:space="preserve">لم يأت بالعمل، وأمّا مع إتیانه به فلا فرق بين ما لو أتى على الوجه المحرّم أو المحلّل. والإتیان لا بقصد النّيابة أیضاً ليس إتیاناً فلا يوجب الاستحقاق.</w:t>
      </w:r>
    </w:p>
    <w:p>
      <w:pPr>
        <w:pStyle w:val="BookText"/>
      </w:pPr>
      <w:r>
        <w:rPr>
          <w:rFonts w:ascii="IRNazanin" w:hAnsi="IRNazanin" w:eastAsia="IRNazanin" w:cs="IRNazanin"/>
          <w:lang w:bidi="fa-IR"/>
          <w:color w:val="111111"/>
          <w:sz w:val="28"/>
          <w:szCs w:val="28"/>
          <w:rtl/>
        </w:rPr>
        <w:t xml:space="preserve">والحاصل: أنّ متعلّق الإجارة هو الأعمّ، وهذا نظير ما مرّ سابقاً من أوسعيّة دائرة المطلوب في التوصّليّات من دائرة الطّلب، فهنا أیضاً نقول: إنّ دائرة الإجارة أوسع من دائرة الأمر بالوفاء بها ويستكشف ذلك بملاحظة غرض المستأجر فإنّه متعلّق بحصول الفعل في</w:t>
      </w:r>
      <w:r>
        <w:rPr>
          <w:rStyle w:val="FootnoteReference"/>
        </w:rPr>
        <w:footnoteReference w:id="2325"/>
      </w:r>
      <w:r>
        <w:rPr>
          <w:rFonts w:ascii="Amiri" w:hAnsi="Amiri" w:eastAsia="Amiri" w:cs="Amiri"/>
          <w:lang w:bidi="ar-SA"/>
          <w:color w:val="111111"/>
          <w:sz w:val="28"/>
          <w:szCs w:val="28"/>
          <w:rtl/>
        </w:rPr>
        <w:t xml:space="preserve">الخارج بأيّ وجه كان.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ولكن لا يصحّ ذلك على مذاق المانعين؛ إذ على مذاقهم ينصبّ العقد على الأفراد المباحة كانصباب الأمر بالطّبيعة على الأفراد المحلّلة، ولو فرض قصد المتعاملين التعميم كان من الاستيجار على العمل المحرّم وهو غير جائز، فكما لا يصحّ إذا قال: «آجرتك نفسي على</w:t>
      </w:r>
      <w:r>
        <w:rPr>
          <w:rStyle w:val="FootnoteReference"/>
        </w:rPr>
        <w:footnoteReference w:id="2326"/>
      </w:r>
      <w:r>
        <w:rPr>
          <w:rFonts w:ascii="Amiri" w:hAnsi="Amiri" w:eastAsia="Amiri" w:cs="Amiri"/>
          <w:lang w:bidi="ar-SA"/>
          <w:color w:val="111111"/>
          <w:sz w:val="28"/>
          <w:szCs w:val="28"/>
          <w:rtl/>
        </w:rPr>
        <w:t xml:space="preserve">أن أركب الدابّة الغصبيّة إلى الميقات وأحُجّ» فكذا لا يصحّ مع التعميم.</w:t>
      </w:r>
    </w:p>
    <w:p>
      <w:pPr>
        <w:pStyle w:val="BookText"/>
      </w:pPr>
      <w:r>
        <w:rPr>
          <w:rFonts w:ascii="IRNazanin" w:hAnsi="IRNazanin" w:eastAsia="IRNazanin" w:cs="IRNazanin"/>
          <w:lang w:bidi="fa-IR"/>
          <w:color w:val="111111"/>
          <w:sz w:val="28"/>
          <w:szCs w:val="28"/>
          <w:rtl/>
        </w:rPr>
        <w:t xml:space="preserve">وأمّا على مذاق المجوّزين فلا إشکال لإمکان تعلّق الإجارة بالطّبيعة المطلقة نظير الأمر المتعلّق بها، فإتیان الأجير بالفرد</w:t>
      </w:r>
      <w:r>
        <w:rPr>
          <w:rStyle w:val="FootnoteReference"/>
        </w:rPr>
        <w:footnoteReference w:id="2327"/>
      </w:r>
      <w:r>
        <w:rPr>
          <w:rFonts w:ascii="IRNazanin" w:hAnsi="IRNazanin" w:eastAsia="IRNazanin" w:cs="IRNazanin"/>
          <w:lang w:bidi="fa-IR"/>
          <w:color w:val="111111"/>
          <w:sz w:val="28"/>
          <w:szCs w:val="28"/>
          <w:rtl/>
        </w:rPr>
        <w:t xml:space="preserve">المحرّم إتیان بمورد</w:t>
      </w:r>
      <w:r>
        <w:rPr>
          <w:rStyle w:val="FootnoteReference"/>
        </w:rPr>
        <w:footnoteReference w:id="2328"/>
      </w:r>
      <w:r>
        <w:rPr>
          <w:rFonts w:ascii="IRNazanin" w:hAnsi="IRNazanin" w:eastAsia="IRNazanin" w:cs="IRNazanin"/>
          <w:lang w:bidi="fa-IR"/>
          <w:color w:val="111111"/>
          <w:sz w:val="28"/>
          <w:szCs w:val="28"/>
          <w:rtl/>
        </w:rPr>
        <w:t xml:space="preserve">الإجارة ومتعلّق الأمر الإجاري.ولنرفع القلم عن هذه المسألة والقدم عن هذه المرحلة ونختم الکلام بحمد الله الملك العلّام والصّلاة على محمّد وآله الكرام.</w:t>
      </w:r>
    </w:p>
    <w:p>
      <w:pPr>
        <w:pStyle w:val="BookText"/>
      </w:pPr>
      <w:r>
        <w:rPr>
          <w:rFonts w:ascii="Amiri" w:hAnsi="Amiri" w:eastAsia="Amiri" w:cs="Amiri"/>
          <w:lang w:bidi="ar-SA"/>
          <w:color w:val="111111"/>
          <w:sz w:val="28"/>
          <w:szCs w:val="28"/>
          <w:rtl/>
        </w:rPr>
        <w:t xml:space="preserve">وقد وقع الفراغ على يد الفقير إلى الله الغني محمّدكاظم بن</w:t>
      </w:r>
      <w:r>
        <w:rPr>
          <w:rStyle w:val="FootnoteReference"/>
        </w:rPr>
        <w:footnoteReference w:id="2329"/>
      </w:r>
      <w:r>
        <w:rPr>
          <w:rFonts w:ascii="IRNazanin" w:hAnsi="IRNazanin" w:eastAsia="IRNazanin" w:cs="IRNazanin"/>
          <w:lang w:bidi="fa-IR"/>
          <w:color w:val="111111"/>
          <w:sz w:val="28"/>
          <w:szCs w:val="28"/>
          <w:rtl/>
        </w:rPr>
        <w:t xml:space="preserve">عبدالعظيم الطّباطبائي اليزدي عامله الله بلطفه الخفي في يوم مولد النّبي [صلى‌الله‌علیه‌و‌آله‌وسلم] من شهر ربيع الأوّل من شهور السّنة العاشرة من العشر الآخر من المائة الثالثة من الألف الثاني</w:t>
      </w:r>
      <w:r>
        <w:rPr>
          <w:rStyle w:val="FootnoteReference"/>
        </w:rPr>
        <w:footnoteReference w:id="2330"/>
      </w:r>
      <w:r>
        <w:rPr>
          <w:rFonts w:ascii="Amiri" w:hAnsi="Amiri" w:eastAsia="Amiri" w:cs="Amiri"/>
          <w:lang w:bidi="ar-SA"/>
          <w:color w:val="111111"/>
          <w:sz w:val="28"/>
          <w:szCs w:val="28"/>
          <w:rtl/>
        </w:rPr>
        <w:t xml:space="preserve">في النجف الأشرف على مشرفه آلاف التحيّة والسّلام</w:t>
      </w:r>
      <w:r>
        <w:rPr>
          <w:rStyle w:val="FootnoteReference"/>
        </w:rPr>
        <w:footnoteReference w:id="2331"/>
      </w:r>
    </w:p>
    <w:p>
      <w:pPr>
        <w:pStyle w:val="BookText"/>
      </w:pPr>
      <w:r>
        <w:rPr>
          <w:rFonts w:ascii="Amiri" w:hAnsi="Amiri" w:eastAsia="Amiri" w:cs="Amiri"/>
          <w:lang w:bidi="ar-SA"/>
          <w:color w:val="111111"/>
          <w:sz w:val="28"/>
          <w:szCs w:val="28"/>
          <w:rtl/>
        </w:rPr>
        <w:t xml:space="preserve">والمرجوّ من الله التوفيق لما يوجب الرّضوان ومن الإخوان العفو عمّا فيه من النقصان أو الزّلل والنسيان وأن ينظروا</w:t>
      </w:r>
      <w:r>
        <w:rPr>
          <w:rStyle w:val="FootnoteReference"/>
        </w:rPr>
        <w:footnoteReference w:id="2332"/>
      </w:r>
      <w:r>
        <w:rPr>
          <w:rFonts w:ascii="Amiri" w:hAnsi="Amiri" w:eastAsia="Amiri" w:cs="Amiri"/>
          <w:lang w:bidi="ar-SA"/>
          <w:color w:val="111111"/>
          <w:sz w:val="28"/>
          <w:szCs w:val="28"/>
          <w:rtl/>
        </w:rPr>
        <w:t xml:space="preserve">بعين الرضا والإحسان.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311" w:name="pg6784_51751"/>
    <w:bookmarkEnd w:id="311"/>
    <w:p>
      <w:pPr>
        <w:pStyle w:val="Heading5"/>
      </w:pPr>
      <w:bookmarkStart w:id="861" w:name="_Toc542"/>
      <w:r>
        <w:t>[خاتمة الطبعة الحجرّیة]</w:t>
      </w:r>
      <w:bookmarkEnd w:id="861"/>
    </w:p>
    <w:p>
      <w:pPr>
        <w:pStyle w:val="BookText"/>
      </w:pPr>
      <w:r>
        <w:rPr>
          <w:rFonts w:ascii="Amiri" w:hAnsi="Amiri" w:eastAsia="Amiri" w:cs="Amiri"/>
          <w:lang w:bidi="ar-SA"/>
          <w:color w:val="111111"/>
          <w:sz w:val="28"/>
          <w:szCs w:val="28"/>
          <w:rtl/>
        </w:rPr>
        <w:t xml:space="preserve">[وقد تصدّى لمقابلة هذه الرّسالة الشّريفة والنّسخة المنيفة واستكتابها الجنابان المُستطابان زُبدتا العلماء الأعلام قُدوتا الفضلاء العظام العالم العامل الصفيّ الأوحدي الآقا شيخ عليّ اليزدي والفاضل الكامل الصّمداني الآقا محمّدمهدي الكاشاني زيد أفضالهما المعالي.</w:t>
      </w:r>
    </w:p>
    <w:p>
      <w:pPr>
        <w:pStyle w:val="BookText"/>
      </w:pPr>
      <w:r>
        <w:rPr>
          <w:rFonts w:ascii="Amiri" w:hAnsi="Amiri" w:eastAsia="Amiri" w:cs="Amiri"/>
          <w:lang w:bidi="ar-SA"/>
          <w:color w:val="111111"/>
          <w:sz w:val="28"/>
          <w:szCs w:val="28"/>
          <w:rtl/>
        </w:rPr>
        <w:t xml:space="preserve">وقد وقع الفراغ من كتابتها بيد الأقلّ زين العابدين الإصفهاني في شهر رمضان المبارك من شهور سنة ستّ عشرة وثلاث مائة بعد الألف من الهجرة النّبويّة من مكّة</w:t>
      </w:r>
      <w:r>
        <w:rPr>
          <w:rStyle w:val="FootnoteReference"/>
        </w:rPr>
        <w:footnoteReference w:id="2333"/>
      </w:r>
      <w:r>
        <w:rPr>
          <w:rFonts w:ascii="Amiri" w:hAnsi="Amiri" w:eastAsia="Amiri" w:cs="Amiri"/>
          <w:lang w:bidi="ar-SA"/>
          <w:color w:val="111111"/>
          <w:sz w:val="28"/>
          <w:szCs w:val="28"/>
          <w:rtl/>
        </w:rPr>
        <w:t xml:space="preserve">إلى المدنية على مهاجرها آلاف آلاف سلام وتحيّة والحمد لله أوّلاً وآخراً وظاهراً وباطناً، والسّلام، سنة 1316].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312" w:name="pg6784_51753"/>
    <w:bookmarkEnd w:id="312"/>
    <w:p>
      <w:pPr>
        <w:pStyle w:val="Heading2"/>
      </w:pPr>
      <w:bookmarkStart w:id="862" w:name="_Toc543"/>
      <w:r>
        <w:t>الفهارس الفنيّة</w:t>
      </w:r>
      <w:bookmarkEnd w:id="862"/>
    </w:p>
    <w:p>
      <w:pPr>
        <w:pStyle w:val="Heading3"/>
      </w:pPr>
      <w:bookmarkStart w:id="863" w:name="_Toc544"/>
      <w:r>
        <w:t>اشارة</w:t>
      </w:r>
      <w:bookmarkEnd w:id="8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الأعلام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الكتب والرسائل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الأمكنة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الفرق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313" w:name="pg6784_51755"/>
    <w:bookmarkEnd w:id="313"/>
    <w:p>
      <w:pPr>
        <w:pStyle w:val="Heading3"/>
      </w:pPr>
      <w:bookmarkStart w:id="864" w:name="_Toc545"/>
      <w:r>
        <w:t>فهرس الآیات</w:t>
      </w:r>
      <w:bookmarkEnd w:id="864"/>
    </w:p>
    <w:p>
      <w:pPr>
        <w:pStyle w:val="BookText"/>
      </w:pPr>
      <w:r>
        <w:rPr>
          <w:rFonts w:ascii="Amiri" w:hAnsi="Amiri" w:eastAsia="Amiri" w:cs="Amiri"/>
          <w:lang w:bidi="ar-SA"/>
          <w:color w:val="111111"/>
          <w:sz w:val="28"/>
          <w:szCs w:val="28"/>
          <w:rtl/>
        </w:rPr>
        <w:t xml:space="preserve">وَ تَزَوَّدُوا فَإِنَّ خَيْرَ الزّٰادِ التَّقْوىٰ</w:t>
      </w:r>
      <w:r>
        <w:rPr>
          <w:rFonts w:ascii="Amiri" w:hAnsi="Amiri" w:eastAsia="Amiri" w:cs="Amiri"/>
          <w:lang w:bidi="ar-SA"/>
          <w:color w:val="111111"/>
          <w:sz w:val="28"/>
          <w:szCs w:val="28"/>
          <w:rtl/>
        </w:rPr>
        <w:t xml:space="preserve"> (سورة البقرة: 197): 4
</w:t>
      </w:r>
      <w:r>
        <w:rPr>
          <w:rFonts w:ascii="Amiri" w:hAnsi="Amiri" w:eastAsia="Amiri" w:cs="Amiri"/>
          <w:lang w:bidi="ar-SA"/>
          <w:color w:val="111111"/>
          <w:sz w:val="28"/>
          <w:szCs w:val="28"/>
          <w:rtl/>
        </w:rPr>
        <w:t xml:space="preserve">اتَّقُوا اللهَ حَقَّ تُقَاتِه</w:t>
      </w:r>
      <w:r>
        <w:rPr>
          <w:rFonts w:ascii="Amiri" w:hAnsi="Amiri" w:eastAsia="Amiri" w:cs="Amiri"/>
          <w:lang w:bidi="ar-SA"/>
          <w:color w:val="111111"/>
          <w:sz w:val="28"/>
          <w:szCs w:val="28"/>
          <w:rtl/>
        </w:rPr>
        <w:t xml:space="preserve"> (سورة آل عمران: 102): 41، 192
</w:t>
      </w:r>
      <w:r>
        <w:rPr>
          <w:rFonts w:ascii="Amiri" w:hAnsi="Amiri" w:eastAsia="Amiri" w:cs="Amiri"/>
          <w:lang w:bidi="ar-SA"/>
          <w:color w:val="111111"/>
          <w:sz w:val="28"/>
          <w:szCs w:val="28"/>
          <w:rtl/>
        </w:rPr>
        <w:t xml:space="preserve">أُحِلّ لَكُم الطّيباتُ</w:t>
      </w:r>
      <w:r>
        <w:rPr>
          <w:rFonts w:ascii="Amiri" w:hAnsi="Amiri" w:eastAsia="Amiri" w:cs="Amiri"/>
          <w:lang w:bidi="ar-SA"/>
          <w:color w:val="111111"/>
          <w:sz w:val="28"/>
          <w:szCs w:val="28"/>
          <w:rtl/>
        </w:rPr>
        <w:t xml:space="preserve"> (سورة المائدة: 4): 391
</w:t>
      </w:r>
      <w:r>
        <w:rPr>
          <w:rFonts w:ascii="Amiri" w:hAnsi="Amiri" w:eastAsia="Amiri" w:cs="Amiri"/>
          <w:lang w:bidi="ar-SA"/>
          <w:color w:val="111111"/>
          <w:sz w:val="28"/>
          <w:szCs w:val="28"/>
          <w:rtl/>
        </w:rPr>
        <w:t xml:space="preserve">فَذَرُوهُ في سُنبُلِه</w:t>
      </w:r>
      <w:r>
        <w:rPr>
          <w:rFonts w:ascii="IRNazanin" w:hAnsi="IRNazanin" w:eastAsia="IRNazanin" w:cs="IRNazanin"/>
          <w:lang w:bidi="fa-IR"/>
          <w:color w:val="111111"/>
          <w:sz w:val="28"/>
          <w:szCs w:val="28"/>
          <w:rtl/>
        </w:rPr>
        <w:t xml:space="preserve"> (سورة یوسف: 47): 208
</w:t>
      </w:r>
      <w:r>
        <w:rPr>
          <w:rFonts w:ascii="Amiri" w:hAnsi="Amiri" w:eastAsia="Amiri" w:cs="Amiri"/>
          <w:lang w:bidi="ar-SA"/>
          <w:color w:val="111111"/>
          <w:sz w:val="28"/>
          <w:szCs w:val="28"/>
          <w:rtl/>
        </w:rPr>
        <w:t xml:space="preserve">وَجَاءَ رَجُلٌ مِنْ أَقْصَى المَدِيْنَةِ</w:t>
      </w:r>
      <w:r>
        <w:rPr>
          <w:rFonts w:ascii="Amiri" w:hAnsi="Amiri" w:eastAsia="Amiri" w:cs="Amiri"/>
          <w:lang w:bidi="ar-SA"/>
          <w:color w:val="111111"/>
          <w:sz w:val="28"/>
          <w:szCs w:val="28"/>
          <w:rtl/>
        </w:rPr>
        <w:t xml:space="preserve"> (سورة القصص: 20): 172</w:t>
      </w:r>
    </w:p>
    <w:p>
      <w:pPr>
        <w:pStyle w:val="Heading3"/>
      </w:pPr>
      <w:bookmarkStart w:id="865" w:name="_Toc546"/>
      <w:r>
        <w:t>فهرس الروایات</w:t>
      </w:r>
      <w:bookmarkEnd w:id="865"/>
    </w:p>
    <w:p>
      <w:pPr>
        <w:pStyle w:val="BookText"/>
      </w:pPr>
      <w:r>
        <w:rPr>
          <w:rFonts w:ascii="IRNazanin" w:hAnsi="IRNazanin" w:eastAsia="IRNazanin" w:cs="IRNazanin"/>
          <w:lang w:bidi="fa-IR"/>
          <w:color w:val="111111"/>
          <w:sz w:val="28"/>
          <w:szCs w:val="28"/>
          <w:rtl/>
        </w:rPr>
        <w:t xml:space="preserve">اجتناب السّيئات أولی من اكتساب الحسنات: 441</w:t>
      </w:r>
    </w:p>
    <w:p>
      <w:pPr>
        <w:pStyle w:val="BookText"/>
      </w:pPr>
      <w:r>
        <w:rPr>
          <w:rFonts w:ascii="Amiri" w:hAnsi="Amiri" w:eastAsia="Amiri" w:cs="Amiri"/>
          <w:lang w:bidi="ar-SA"/>
          <w:color w:val="111111"/>
          <w:sz w:val="28"/>
          <w:szCs w:val="28"/>
          <w:rtl/>
        </w:rPr>
        <w:t xml:space="preserve">أجزأك عنها غسل واحد: 361</w:t>
      </w:r>
    </w:p>
    <w:p>
      <w:pPr>
        <w:pStyle w:val="BookText"/>
      </w:pPr>
      <w:r>
        <w:rPr>
          <w:rFonts w:ascii="Amiri" w:hAnsi="Amiri" w:eastAsia="Amiri" w:cs="Amiri"/>
          <w:lang w:bidi="ar-SA"/>
          <w:color w:val="111111"/>
          <w:sz w:val="28"/>
          <w:szCs w:val="28"/>
          <w:rtl/>
        </w:rPr>
        <w:t xml:space="preserve">إذا اجتمعت لله عليك حقوق: 361</w:t>
      </w:r>
    </w:p>
    <w:p>
      <w:pPr>
        <w:pStyle w:val="BookText"/>
      </w:pPr>
      <w:r>
        <w:rPr>
          <w:rFonts w:ascii="Amiri" w:hAnsi="Amiri" w:eastAsia="Amiri" w:cs="Amiri"/>
          <w:lang w:bidi="ar-SA"/>
          <w:color w:val="111111"/>
          <w:sz w:val="28"/>
          <w:szCs w:val="28"/>
          <w:rtl/>
        </w:rPr>
        <w:t xml:space="preserve">أفضل من اكتساب الحسنات اجتناب السّيئات: 441</w:t>
      </w:r>
    </w:p>
    <w:p>
      <w:pPr>
        <w:pStyle w:val="BookText"/>
      </w:pPr>
      <w:r>
        <w:rPr>
          <w:rFonts w:ascii="IRNazanin" w:hAnsi="IRNazanin" w:eastAsia="IRNazanin" w:cs="IRNazanin"/>
          <w:lang w:bidi="fa-IR"/>
          <w:color w:val="111111"/>
          <w:sz w:val="28"/>
          <w:szCs w:val="28"/>
          <w:rtl/>
        </w:rPr>
        <w:t xml:space="preserve">إفطارك لأخیك المؤمن أفضل من صیامك تطوعاً: 313</w:t>
      </w:r>
    </w:p>
    <w:p>
      <w:pPr>
        <w:pStyle w:val="BookText"/>
      </w:pPr>
      <w:r>
        <w:rPr>
          <w:rFonts w:ascii="IRNazanin" w:hAnsi="IRNazanin" w:eastAsia="IRNazanin" w:cs="IRNazanin"/>
          <w:lang w:bidi="fa-IR"/>
          <w:color w:val="111111"/>
          <w:sz w:val="28"/>
          <w:szCs w:val="28"/>
          <w:rtl/>
        </w:rPr>
        <w:t xml:space="preserve">أكره أن أصومه أتخوّف أن يكون يوم عرفة يوم الأضحی وليس بيوم صوم: 317</w:t>
      </w:r>
    </w:p>
    <w:p>
      <w:pPr>
        <w:pStyle w:val="BookText"/>
      </w:pPr>
      <w:r>
        <w:rPr>
          <w:rFonts w:ascii="IRNazanin" w:hAnsi="IRNazanin" w:eastAsia="IRNazanin" w:cs="IRNazanin"/>
          <w:lang w:bidi="fa-IR"/>
          <w:color w:val="111111"/>
          <w:sz w:val="28"/>
          <w:szCs w:val="28"/>
          <w:rtl/>
        </w:rPr>
        <w:t xml:space="preserve">الصلاة قربان کلّ تقي: 201</w:t>
      </w:r>
    </w:p>
    <w:p>
      <w:pPr>
        <w:pStyle w:val="BookText"/>
      </w:pPr>
      <w:r>
        <w:rPr>
          <w:rFonts w:ascii="Amiri" w:hAnsi="Amiri" w:eastAsia="Amiri" w:cs="Amiri"/>
          <w:lang w:bidi="ar-SA"/>
          <w:color w:val="111111"/>
          <w:sz w:val="28"/>
          <w:szCs w:val="28"/>
          <w:rtl/>
        </w:rPr>
        <w:t xml:space="preserve">الصّلاة معراج المؤمن: 201</w:t>
      </w:r>
    </w:p>
    <w:p>
      <w:pPr>
        <w:pStyle w:val="BookText"/>
      </w:pPr>
      <w:r>
        <w:rPr>
          <w:rFonts w:ascii="Amiri" w:hAnsi="Amiri" w:eastAsia="Amiri" w:cs="Amiri"/>
          <w:lang w:bidi="ar-SA"/>
          <w:color w:val="111111"/>
          <w:sz w:val="28"/>
          <w:szCs w:val="28"/>
          <w:rtl/>
        </w:rPr>
        <w:t xml:space="preserve">ضَعِ الجَدْيَ في قَفاك وصلِّ: 408</w:t>
      </w:r>
    </w:p>
    <w:p>
      <w:pPr>
        <w:pStyle w:val="BookText"/>
      </w:pPr>
      <w:r>
        <w:rPr>
          <w:rFonts w:ascii="IRNazanin" w:hAnsi="IRNazanin" w:eastAsia="IRNazanin" w:cs="IRNazanin"/>
          <w:lang w:bidi="fa-IR"/>
          <w:color w:val="111111"/>
          <w:sz w:val="28"/>
          <w:szCs w:val="28"/>
          <w:rtl/>
        </w:rPr>
        <w:t xml:space="preserve">کلّ غسل قبله وضوء إلّا غسل الجنابة: 361</w:t>
      </w:r>
    </w:p>
    <w:p>
      <w:pPr>
        <w:pStyle w:val="BookText"/>
      </w:pPr>
      <w:r>
        <w:rPr>
          <w:rFonts w:ascii="IRNazanin" w:hAnsi="IRNazanin" w:eastAsia="IRNazanin" w:cs="IRNazanin"/>
          <w:lang w:bidi="fa-IR"/>
          <w:color w:val="111111"/>
          <w:sz w:val="28"/>
          <w:szCs w:val="28"/>
          <w:rtl/>
        </w:rPr>
        <w:t xml:space="preserve">لا تحلّ الصّلاة في حریر محض: 570</w:t>
      </w:r>
    </w:p>
    <w:p>
      <w:pPr>
        <w:pStyle w:val="BookText"/>
      </w:pPr>
      <w:r>
        <w:rPr>
          <w:rFonts w:ascii="IRNazanin" w:hAnsi="IRNazanin" w:eastAsia="IRNazanin" w:cs="IRNazanin"/>
          <w:lang w:bidi="fa-IR"/>
          <w:color w:val="111111"/>
          <w:sz w:val="28"/>
          <w:szCs w:val="28"/>
          <w:rtl/>
        </w:rPr>
        <w:t xml:space="preserve">لا ضرر ولا ضرار: 452</w:t>
      </w:r>
    </w:p>
    <w:p>
      <w:pPr>
        <w:pStyle w:val="BookText"/>
      </w:pPr>
      <w:r>
        <w:rPr>
          <w:rFonts w:ascii="Amiri" w:hAnsi="Amiri" w:eastAsia="Amiri" w:cs="Amiri"/>
          <w:lang w:bidi="ar-SA"/>
          <w:color w:val="111111"/>
          <w:sz w:val="28"/>
          <w:szCs w:val="28"/>
          <w:rtl/>
        </w:rPr>
        <w:t xml:space="preserve">لو أنّ النّاس أخذوا ما أمرهم الله [عزوجلّ] به فأنفقوه فيما نهاهم عنه ما قبله منهم، ولو...: 41، 192</w:t>
      </w:r>
    </w:p>
    <w:p>
      <w:pPr>
        <w:pStyle w:val="BookText"/>
      </w:pPr>
      <w:r>
        <w:rPr>
          <w:rFonts w:ascii="Amiri" w:hAnsi="Amiri" w:eastAsia="Amiri" w:cs="Amiri"/>
          <w:lang w:bidi="ar-SA"/>
          <w:color w:val="111111"/>
          <w:sz w:val="28"/>
          <w:szCs w:val="28"/>
          <w:rtl/>
        </w:rPr>
        <w:t xml:space="preserve">يا كميل انظر فيما تصلّي وعلى ما تصلّي إن لم يكن من وجهه وحلّه فلا قبول: 193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314" w:name="pg6784_51756"/>
    <w:bookmarkEnd w:id="314"/>
    <w:p>
      <w:pPr>
        <w:pStyle w:val="Heading3"/>
      </w:pPr>
      <w:bookmarkStart w:id="866" w:name="_Toc547"/>
      <w:r>
        <w:t>فهرس الأعلام</w:t>
      </w:r>
      <w:bookmarkEnd w:id="866"/>
    </w:p>
    <w:p>
      <w:pPr>
        <w:pStyle w:val="BookText"/>
      </w:pPr>
      <w:r>
        <w:rPr>
          <w:rFonts w:ascii="IRNazanin" w:hAnsi="IRNazanin" w:eastAsia="IRNazanin" w:cs="IRNazanin"/>
          <w:lang w:bidi="fa-IR"/>
          <w:color w:val="111111"/>
          <w:sz w:val="28"/>
          <w:szCs w:val="28"/>
          <w:rtl/>
        </w:rPr>
        <w:t xml:space="preserve">آل البيت (علیهم‌السلام): 3، 17، 19، 28، 582</w:t>
      </w:r>
    </w:p>
    <w:p>
      <w:pPr>
        <w:pStyle w:val="BookText"/>
      </w:pPr>
      <w:r>
        <w:rPr>
          <w:rFonts w:ascii="IRNazanin" w:hAnsi="IRNazanin" w:eastAsia="IRNazanin" w:cs="IRNazanin"/>
          <w:lang w:bidi="fa-IR"/>
          <w:color w:val="111111"/>
          <w:sz w:val="28"/>
          <w:szCs w:val="28"/>
          <w:rtl/>
        </w:rPr>
        <w:t xml:space="preserve">رسول الله محمّد بن عبدالله (صلى‌الله‌علیه‌و‌آله): 3، 18، 19، 28، 201، 582</w:t>
      </w:r>
    </w:p>
    <w:p>
      <w:pPr>
        <w:pStyle w:val="BookText"/>
      </w:pPr>
      <w:r>
        <w:rPr>
          <w:rFonts w:ascii="IRNazanin" w:hAnsi="IRNazanin" w:eastAsia="IRNazanin" w:cs="IRNazanin"/>
          <w:lang w:bidi="fa-IR"/>
          <w:color w:val="111111"/>
          <w:sz w:val="28"/>
          <w:szCs w:val="28"/>
          <w:rtl/>
        </w:rPr>
        <w:t xml:space="preserve">الإمام أمیرالمؤمنین علي بن أبي طالب (علیهما‌السلام): 18، 193، 201</w:t>
      </w:r>
    </w:p>
    <w:p>
      <w:pPr>
        <w:pStyle w:val="BookText"/>
      </w:pPr>
      <w:r>
        <w:rPr>
          <w:rFonts w:ascii="IRNazanin" w:hAnsi="IRNazanin" w:eastAsia="IRNazanin" w:cs="IRNazanin"/>
          <w:lang w:bidi="fa-IR"/>
          <w:color w:val="111111"/>
          <w:sz w:val="28"/>
          <w:szCs w:val="28"/>
          <w:rtl/>
        </w:rPr>
        <w:t xml:space="preserve">الإمام الحسن بن علي بن أبي طالب (علیهما‌السلام): 7</w:t>
      </w:r>
    </w:p>
    <w:p>
      <w:pPr>
        <w:pStyle w:val="BookText"/>
      </w:pPr>
      <w:r>
        <w:rPr>
          <w:rFonts w:ascii="IRNazanin" w:hAnsi="IRNazanin" w:eastAsia="IRNazanin" w:cs="IRNazanin"/>
          <w:lang w:bidi="fa-IR"/>
          <w:color w:val="111111"/>
          <w:sz w:val="28"/>
          <w:szCs w:val="28"/>
          <w:rtl/>
        </w:rPr>
        <w:t xml:space="preserve">الإمام محمّد بن علي بن الحسین (علیهم‌السلام): 317</w:t>
      </w:r>
    </w:p>
    <w:p>
      <w:pPr>
        <w:pStyle w:val="BookText"/>
      </w:pPr>
      <w:r>
        <w:rPr>
          <w:rFonts w:ascii="IRNazanin" w:hAnsi="IRNazanin" w:eastAsia="IRNazanin" w:cs="IRNazanin"/>
          <w:lang w:bidi="fa-IR"/>
          <w:color w:val="111111"/>
          <w:sz w:val="28"/>
          <w:szCs w:val="28"/>
          <w:rtl/>
        </w:rPr>
        <w:t xml:space="preserve">الإمام جعفر بن محمّد الصادق (علیهما‌السلام): 192، 313</w:t>
      </w:r>
    </w:p>
    <w:p>
      <w:pPr>
        <w:pStyle w:val="BookText"/>
      </w:pPr>
      <w:r>
        <w:rPr>
          <w:rFonts w:ascii="IRNazanin" w:hAnsi="IRNazanin" w:eastAsia="IRNazanin" w:cs="IRNazanin"/>
          <w:lang w:bidi="fa-IR"/>
          <w:color w:val="111111"/>
          <w:sz w:val="28"/>
          <w:szCs w:val="28"/>
          <w:rtl/>
        </w:rPr>
        <w:t xml:space="preserve">الإمام علي بن موسی الرضا (علیهما‌السلام): 201</w:t>
      </w:r>
    </w:p>
    <w:p>
      <w:pPr>
        <w:pStyle w:val="BookText"/>
      </w:pPr>
      <w:r>
        <w:rPr>
          <w:rFonts w:ascii="IRNazanin" w:hAnsi="IRNazanin" w:eastAsia="IRNazanin" w:cs="IRNazanin"/>
          <w:lang w:bidi="fa-IR"/>
          <w:color w:val="111111"/>
          <w:sz w:val="28"/>
          <w:szCs w:val="28"/>
          <w:rtl/>
        </w:rPr>
        <w:t xml:space="preserve">العسکریین (علیهما‌السلام): 17</w:t>
      </w:r>
    </w:p>
    <w:p>
      <w:pPr>
        <w:pStyle w:val="BookText"/>
      </w:pPr>
      <w:r>
        <w:rPr>
          <w:rFonts w:ascii="IRNazanin" w:hAnsi="IRNazanin" w:eastAsia="IRNazanin" w:cs="IRNazanin"/>
          <w:lang w:bidi="fa-IR"/>
          <w:color w:val="111111"/>
          <w:sz w:val="28"/>
          <w:szCs w:val="28"/>
          <w:rtl/>
        </w:rPr>
        <w:t xml:space="preserve">بقیة الله الأعظم (عجّل الله تعالی فرجه الشریف): 3</w:t>
      </w:r>
    </w:p>
    <w:p>
      <w:pPr>
        <w:pStyle w:val="BookText"/>
      </w:pPr>
      <w:r>
        <w:rPr>
          <w:rFonts w:ascii="IRNazanin" w:hAnsi="IRNazanin" w:eastAsia="IRNazanin" w:cs="IRNazanin"/>
          <w:lang w:bidi="fa-IR"/>
          <w:color w:val="111111"/>
          <w:sz w:val="28"/>
          <w:szCs w:val="28"/>
          <w:rtl/>
        </w:rPr>
        <w:t xml:space="preserve">الأئمة(علیهم‌السلام): 292، 319، 335</w:t>
      </w:r>
    </w:p>
    <w:p>
      <w:pPr>
        <w:pStyle w:val="BookText"/>
      </w:pPr>
      <w:r>
        <w:rPr>
          <w:rFonts w:ascii="IRNazanin" w:hAnsi="IRNazanin" w:eastAsia="IRNazanin" w:cs="IRNazanin"/>
          <w:lang w:bidi="fa-IR"/>
          <w:color w:val="111111"/>
          <w:sz w:val="28"/>
          <w:szCs w:val="28"/>
          <w:rtl/>
        </w:rPr>
        <w:t xml:space="preserve">مسلم بن عقیل بن أبي طالب (علیه‌السلام): 17</w:t>
      </w:r>
    </w:p>
    <w:p>
      <w:pPr>
        <w:pStyle w:val="BookText"/>
      </w:pPr>
      <w:r>
        <w:rPr>
          <w:rFonts w:ascii="IRNazanin" w:hAnsi="IRNazanin" w:eastAsia="IRNazanin" w:cs="IRNazanin"/>
          <w:lang w:bidi="fa-IR"/>
          <w:color w:val="111111"/>
          <w:sz w:val="28"/>
          <w:szCs w:val="28"/>
          <w:rtl/>
        </w:rPr>
        <w:t xml:space="preserve">فاطمة المعصومة (سلام الله علیها): 17</w:t>
      </w:r>
    </w:p>
    <w:p>
      <w:pPr>
        <w:pStyle w:val="BookText"/>
      </w:pPr>
      <w:r>
        <w:rPr>
          <w:rFonts w:ascii="IRNazanin" w:hAnsi="IRNazanin" w:eastAsia="IRNazanin" w:cs="IRNazanin"/>
          <w:lang w:bidi="fa-IR"/>
          <w:color w:val="111111"/>
          <w:sz w:val="28"/>
          <w:szCs w:val="28"/>
          <w:rtl/>
        </w:rPr>
        <w:t xml:space="preserve">«ا»</w:t>
      </w:r>
    </w:p>
    <w:p>
      <w:pPr>
        <w:pStyle w:val="BookText"/>
      </w:pPr>
      <w:r>
        <w:rPr>
          <w:rFonts w:ascii="Amiri" w:hAnsi="Amiri" w:eastAsia="Amiri" w:cs="Amiri"/>
          <w:lang w:bidi="ar-SA"/>
          <w:color w:val="111111"/>
          <w:sz w:val="28"/>
          <w:szCs w:val="28"/>
          <w:rtl/>
        </w:rPr>
        <w:t xml:space="preserve">الآبادهئي، الحاج محمّدجعفر: 7، 13</w:t>
      </w:r>
    </w:p>
    <w:p>
      <w:pPr>
        <w:pStyle w:val="BookText"/>
      </w:pPr>
      <w:r>
        <w:rPr>
          <w:rFonts w:ascii="Amiri" w:hAnsi="Amiri" w:eastAsia="Amiri" w:cs="Amiri"/>
          <w:lang w:bidi="ar-SA"/>
          <w:color w:val="111111"/>
          <w:sz w:val="28"/>
          <w:szCs w:val="28"/>
          <w:rtl/>
        </w:rPr>
        <w:t xml:space="preserve">الآصفي، محمّدمهدي: 17</w:t>
      </w:r>
    </w:p>
    <w:p>
      <w:pPr>
        <w:pStyle w:val="BookText"/>
      </w:pPr>
      <w:r>
        <w:rPr>
          <w:rFonts w:ascii="IRNazanin" w:hAnsi="IRNazanin" w:eastAsia="IRNazanin" w:cs="IRNazanin"/>
          <w:lang w:bidi="fa-IR"/>
          <w:color w:val="111111"/>
          <w:sz w:val="28"/>
          <w:szCs w:val="28"/>
          <w:rtl/>
        </w:rPr>
        <w:t xml:space="preserve">أبو بصیر: 192</w:t>
      </w:r>
    </w:p>
    <w:p>
      <w:pPr>
        <w:pStyle w:val="BookText"/>
      </w:pPr>
      <w:r>
        <w:rPr>
          <w:rFonts w:ascii="IRNazanin" w:hAnsi="IRNazanin" w:eastAsia="IRNazanin" w:cs="IRNazanin"/>
          <w:lang w:bidi="fa-IR"/>
          <w:color w:val="111111"/>
          <w:sz w:val="28"/>
          <w:szCs w:val="28"/>
          <w:rtl/>
        </w:rPr>
        <w:t xml:space="preserve">إبراهيم الغمر بن الحسن بن الحسن بن علي بن أبي طالب (علیه‌السلام): 7</w:t>
      </w:r>
    </w:p>
    <w:p>
      <w:pPr>
        <w:pStyle w:val="BookText"/>
      </w:pPr>
      <w:r>
        <w:rPr>
          <w:rFonts w:ascii="Amiri" w:hAnsi="Amiri" w:eastAsia="Amiri" w:cs="Amiri"/>
          <w:lang w:bidi="ar-SA"/>
          <w:color w:val="111111"/>
          <w:sz w:val="28"/>
          <w:szCs w:val="28"/>
          <w:rtl/>
        </w:rPr>
        <w:t xml:space="preserve">الأبهري، أحمد: 131</w:t>
      </w:r>
    </w:p>
    <w:p>
      <w:pPr>
        <w:pStyle w:val="BookText"/>
      </w:pPr>
      <w:r>
        <w:rPr>
          <w:rFonts w:ascii="Amiri" w:hAnsi="Amiri" w:eastAsia="Amiri" w:cs="Amiri"/>
          <w:lang w:bidi="ar-SA"/>
          <w:color w:val="111111"/>
          <w:sz w:val="28"/>
          <w:szCs w:val="28"/>
          <w:rtl/>
        </w:rPr>
        <w:t xml:space="preserve">الأحمدي الطهراني، محسن: 16، 19</w:t>
      </w:r>
    </w:p>
    <w:p>
      <w:pPr>
        <w:pStyle w:val="BookText"/>
      </w:pPr>
      <w:r>
        <w:rPr>
          <w:rFonts w:ascii="IRNazanin" w:hAnsi="IRNazanin" w:eastAsia="IRNazanin" w:cs="IRNazanin"/>
          <w:lang w:bidi="fa-IR"/>
          <w:color w:val="111111"/>
          <w:sz w:val="28"/>
          <w:szCs w:val="28"/>
          <w:rtl/>
        </w:rPr>
        <w:t xml:space="preserve">الأراکي، محمّدعلي: 575</w:t>
      </w:r>
    </w:p>
    <w:p>
      <w:pPr>
        <w:pStyle w:val="BookText"/>
      </w:pPr>
      <w:r>
        <w:rPr>
          <w:rFonts w:ascii="Amiri" w:hAnsi="Amiri" w:eastAsia="Amiri" w:cs="Amiri"/>
          <w:lang w:bidi="ar-SA"/>
          <w:color w:val="111111"/>
          <w:sz w:val="28"/>
          <w:szCs w:val="28"/>
          <w:rtl/>
        </w:rPr>
        <w:t xml:space="preserve">الأردبيلي، أحمد: 36، 51، 216، 221، 229، 428، 555، 574</w:t>
      </w:r>
    </w:p>
    <w:p>
      <w:pPr>
        <w:pStyle w:val="BookText"/>
      </w:pPr>
      <w:r>
        <w:rPr>
          <w:rFonts w:ascii="Amiri" w:hAnsi="Amiri" w:eastAsia="Amiri" w:cs="Amiri"/>
          <w:lang w:bidi="ar-SA"/>
          <w:color w:val="111111"/>
          <w:sz w:val="28"/>
          <w:szCs w:val="28"/>
          <w:rtl/>
        </w:rPr>
        <w:t xml:space="preserve">الأردكاني اليزدي، محمّدحسن بن محمّدإبراهيم: 13</w:t>
      </w:r>
    </w:p>
    <w:p>
      <w:pPr>
        <w:pStyle w:val="BookText"/>
      </w:pPr>
      <w:r>
        <w:rPr>
          <w:rFonts w:ascii="IRNazanin" w:hAnsi="IRNazanin" w:eastAsia="IRNazanin" w:cs="IRNazanin"/>
          <w:lang w:bidi="fa-IR"/>
          <w:color w:val="111111"/>
          <w:sz w:val="28"/>
          <w:szCs w:val="28"/>
          <w:rtl/>
        </w:rPr>
        <w:t xml:space="preserve">أحمد شاه: 9</w:t>
      </w:r>
    </w:p>
    <w:p>
      <w:pPr>
        <w:pStyle w:val="BookText"/>
      </w:pPr>
      <w:r>
        <w:rPr>
          <w:rFonts w:ascii="IRNazanin" w:hAnsi="IRNazanin" w:eastAsia="IRNazanin" w:cs="IRNazanin"/>
          <w:lang w:bidi="fa-IR"/>
          <w:color w:val="111111"/>
          <w:sz w:val="28"/>
          <w:szCs w:val="28"/>
          <w:rtl/>
        </w:rPr>
        <w:t xml:space="preserve">الأشرفي الشاهرودي، مصطفی: 573</w:t>
      </w:r>
    </w:p>
    <w:p>
      <w:pPr>
        <w:pStyle w:val="BookText"/>
      </w:pPr>
      <w:r>
        <w:rPr>
          <w:rFonts w:ascii="IRNazanin" w:hAnsi="IRNazanin" w:eastAsia="IRNazanin" w:cs="IRNazanin"/>
          <w:lang w:bidi="fa-IR"/>
          <w:color w:val="111111"/>
          <w:sz w:val="28"/>
          <w:szCs w:val="28"/>
          <w:rtl/>
        </w:rPr>
        <w:t xml:space="preserve">الإصفهاني، السید أبوالحسن: 230</w:t>
      </w:r>
    </w:p>
    <w:p>
      <w:pPr>
        <w:pStyle w:val="BookText"/>
      </w:pPr>
      <w:r>
        <w:rPr>
          <w:rFonts w:ascii="IRNazanin" w:hAnsi="IRNazanin" w:eastAsia="IRNazanin" w:cs="IRNazanin"/>
          <w:lang w:bidi="fa-IR"/>
          <w:color w:val="111111"/>
          <w:sz w:val="28"/>
          <w:szCs w:val="28"/>
          <w:rtl/>
        </w:rPr>
        <w:t xml:space="preserve">الإصفهاني، السیّد أبوالقاسم: 10</w:t>
      </w:r>
    </w:p>
    <w:p>
      <w:pPr>
        <w:pStyle w:val="BookText"/>
      </w:pPr>
      <w:r>
        <w:rPr>
          <w:rFonts w:ascii="Amiri" w:hAnsi="Amiri" w:eastAsia="Amiri" w:cs="Amiri"/>
          <w:lang w:bidi="ar-SA"/>
          <w:color w:val="111111"/>
          <w:sz w:val="28"/>
          <w:szCs w:val="28"/>
          <w:rtl/>
        </w:rPr>
        <w:t xml:space="preserve">الإصفهاني، زين العابدين: 19، 583</w:t>
      </w:r>
    </w:p>
    <w:p>
      <w:pPr>
        <w:pStyle w:val="BookText"/>
      </w:pPr>
      <w:r>
        <w:rPr>
          <w:rFonts w:ascii="Amiri" w:hAnsi="Amiri" w:eastAsia="Amiri" w:cs="Amiri"/>
          <w:lang w:bidi="ar-SA"/>
          <w:color w:val="111111"/>
          <w:sz w:val="28"/>
          <w:szCs w:val="28"/>
          <w:rtl/>
        </w:rPr>
        <w:t xml:space="preserve">الإصفهاني، محمود بن عبدالرحمن: 131</w:t>
      </w:r>
    </w:p>
    <w:p>
      <w:pPr>
        <w:pStyle w:val="BookText"/>
      </w:pPr>
      <w:r>
        <w:rPr>
          <w:rFonts w:ascii="IRNazanin" w:hAnsi="IRNazanin" w:eastAsia="IRNazanin" w:cs="IRNazanin"/>
          <w:lang w:bidi="fa-IR"/>
          <w:color w:val="111111"/>
          <w:sz w:val="28"/>
          <w:szCs w:val="28"/>
          <w:rtl/>
        </w:rPr>
        <w:t xml:space="preserve">الإصفهاني، المیرزا مهدي: 572</w:t>
      </w:r>
    </w:p>
    <w:p>
      <w:pPr>
        <w:pStyle w:val="BookText"/>
      </w:pPr>
      <w:r>
        <w:rPr>
          <w:rFonts w:ascii="IRNazanin" w:hAnsi="IRNazanin" w:eastAsia="IRNazanin" w:cs="IRNazanin"/>
          <w:lang w:bidi="fa-IR"/>
          <w:color w:val="111111"/>
          <w:sz w:val="28"/>
          <w:szCs w:val="28"/>
          <w:rtl/>
        </w:rPr>
        <w:t xml:space="preserve">الأشرفي الشاهرودي، مصطفی: 17</w:t>
      </w:r>
    </w:p>
    <w:p>
      <w:pPr>
        <w:pStyle w:val="BookText"/>
      </w:pPr>
      <w:r>
        <w:rPr>
          <w:rFonts w:ascii="IRNazanin" w:hAnsi="IRNazanin" w:eastAsia="IRNazanin" w:cs="IRNazanin"/>
          <w:lang w:bidi="fa-IR"/>
          <w:color w:val="111111"/>
          <w:sz w:val="28"/>
          <w:szCs w:val="28"/>
          <w:rtl/>
        </w:rPr>
        <w:t xml:space="preserve">أمین الشیرازي، أحمد: 17</w:t>
      </w:r>
    </w:p>
    <w:p>
      <w:pPr>
        <w:pStyle w:val="BookText"/>
      </w:pPr>
      <w:r>
        <w:rPr>
          <w:rFonts w:ascii="Amiri" w:hAnsi="Amiri" w:eastAsia="Amiri" w:cs="Amiri"/>
          <w:lang w:bidi="ar-SA"/>
          <w:color w:val="111111"/>
          <w:sz w:val="28"/>
          <w:szCs w:val="28"/>
          <w:rtl/>
        </w:rPr>
        <w:t xml:space="preserve">الأمين العاملي، السيّد محسن: 7</w:t>
      </w:r>
    </w:p>
    <w:p>
      <w:pPr>
        <w:pStyle w:val="BookText"/>
      </w:pPr>
      <w:r>
        <w:rPr>
          <w:rFonts w:ascii="IRNazanin" w:hAnsi="IRNazanin" w:eastAsia="IRNazanin" w:cs="IRNazanin"/>
          <w:lang w:bidi="fa-IR"/>
          <w:color w:val="111111"/>
          <w:sz w:val="28"/>
          <w:szCs w:val="28"/>
          <w:rtl/>
        </w:rPr>
        <w:t xml:space="preserve">الأنصاري، مرتضی (المحقّق الأنصاري): 8، 37، 46، 49، 301، 314، 319، 321، 322، 324، 338، 342، 343، 346، 348، 364، 376، 377، 384، 446، 453، 460، 464، 466، 479، 480، 535</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الباقلاني، القاضي أبوبکر: 218</w:t>
      </w:r>
    </w:p>
    <w:p>
      <w:pPr>
        <w:pStyle w:val="BookText"/>
      </w:pPr>
      <w:r>
        <w:rPr>
          <w:rFonts w:ascii="IRNazanin" w:hAnsi="IRNazanin" w:eastAsia="IRNazanin" w:cs="IRNazanin"/>
          <w:lang w:bidi="fa-IR"/>
          <w:color w:val="111111"/>
          <w:sz w:val="28"/>
          <w:szCs w:val="28"/>
          <w:rtl/>
        </w:rPr>
        <w:t xml:space="preserve">بحرالعلوم الطباطبائي، السیّد مهدي: 15</w:t>
      </w:r>
    </w:p>
    <w:p>
      <w:pPr>
        <w:pStyle w:val="BookText"/>
      </w:pPr>
      <w:r>
        <w:rPr>
          <w:rFonts w:ascii="Amiri" w:hAnsi="Amiri" w:eastAsia="Amiri" w:cs="Amiri"/>
          <w:lang w:bidi="ar-SA"/>
          <w:color w:val="111111"/>
          <w:sz w:val="28"/>
          <w:szCs w:val="28"/>
          <w:rtl/>
        </w:rPr>
        <w:t xml:space="preserve">بعض أهل البحرين: 558</w:t>
      </w:r>
    </w:p>
    <w:p>
      <w:pPr>
        <w:pStyle w:val="BookText"/>
      </w:pPr>
      <w:r>
        <w:rPr>
          <w:rFonts w:ascii="IRNazanin" w:hAnsi="IRNazanin" w:eastAsia="IRNazanin" w:cs="IRNazanin"/>
          <w:lang w:bidi="fa-IR"/>
          <w:color w:val="111111"/>
          <w:sz w:val="28"/>
          <w:szCs w:val="28"/>
          <w:rtl/>
        </w:rPr>
        <w:t xml:space="preserve">«ت»</w:t>
      </w:r>
    </w:p>
    <w:p>
      <w:pPr>
        <w:pStyle w:val="BookText"/>
      </w:pPr>
      <w:r>
        <w:rPr>
          <w:rFonts w:ascii="IRNazanin" w:hAnsi="IRNazanin" w:eastAsia="IRNazanin" w:cs="IRNazanin"/>
          <w:lang w:bidi="fa-IR"/>
          <w:color w:val="111111"/>
          <w:sz w:val="28"/>
          <w:szCs w:val="28"/>
          <w:rtl/>
        </w:rPr>
        <w:t xml:space="preserve">التبریزي، جواد: 16، 411</w:t>
      </w:r>
    </w:p>
    <w:p>
      <w:pPr>
        <w:pStyle w:val="BookText"/>
      </w:pPr>
      <w:r>
        <w:rPr>
          <w:rFonts w:ascii="IRNazanin" w:hAnsi="IRNazanin" w:eastAsia="IRNazanin" w:cs="IRNazanin"/>
          <w:lang w:bidi="fa-IR"/>
          <w:color w:val="111111"/>
          <w:sz w:val="28"/>
          <w:szCs w:val="28"/>
          <w:rtl/>
        </w:rPr>
        <w:t xml:space="preserve">التبریزي، کاظم: 17، 217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الجُبّائي، أبوهاشم: 513، 516، 541</w:t>
      </w:r>
    </w:p>
    <w:p>
      <w:pPr>
        <w:pStyle w:val="BookText"/>
      </w:pPr>
      <w:r>
        <w:rPr>
          <w:rFonts w:ascii="IRNazanin" w:hAnsi="IRNazanin" w:eastAsia="IRNazanin" w:cs="IRNazanin"/>
          <w:lang w:bidi="fa-IR"/>
          <w:color w:val="111111"/>
          <w:sz w:val="28"/>
          <w:szCs w:val="28"/>
          <w:rtl/>
        </w:rPr>
        <w:t xml:space="preserve">الجبوري، کامل سلمان: 15</w:t>
      </w:r>
    </w:p>
    <w:p>
      <w:pPr>
        <w:pStyle w:val="BookText"/>
      </w:pPr>
      <w:r>
        <w:rPr>
          <w:rFonts w:ascii="Amiri" w:hAnsi="Amiri" w:eastAsia="Amiri" w:cs="Amiri"/>
          <w:lang w:bidi="ar-SA"/>
          <w:color w:val="111111"/>
          <w:sz w:val="28"/>
          <w:szCs w:val="28"/>
          <w:rtl/>
        </w:rPr>
        <w:t xml:space="preserve">جرجي زيدان: 11</w:t>
      </w:r>
    </w:p>
    <w:p>
      <w:pPr>
        <w:pStyle w:val="BookText"/>
      </w:pPr>
      <w:r>
        <w:rPr>
          <w:rFonts w:ascii="IRNazanin" w:hAnsi="IRNazanin" w:eastAsia="IRNazanin" w:cs="IRNazanin"/>
          <w:lang w:bidi="fa-IR"/>
          <w:color w:val="111111"/>
          <w:sz w:val="28"/>
          <w:szCs w:val="28"/>
          <w:rtl/>
        </w:rPr>
        <w:t xml:space="preserve">الجزائري، أحمد بن إسماعیل: 557</w:t>
      </w:r>
    </w:p>
    <w:p>
      <w:pPr>
        <w:pStyle w:val="BookText"/>
      </w:pPr>
      <w:r>
        <w:rPr>
          <w:rFonts w:ascii="IRNazanin" w:hAnsi="IRNazanin" w:eastAsia="IRNazanin" w:cs="IRNazanin"/>
          <w:lang w:bidi="fa-IR"/>
          <w:color w:val="111111"/>
          <w:sz w:val="28"/>
          <w:szCs w:val="28"/>
          <w:rtl/>
        </w:rPr>
        <w:t xml:space="preserve">الجویني: 518، 520، 538</w:t>
      </w:r>
    </w:p>
    <w:p>
      <w:pPr>
        <w:pStyle w:val="BookText"/>
      </w:pPr>
      <w:r>
        <w:rPr>
          <w:rFonts w:ascii="IRNazanin" w:hAnsi="IRNazanin" w:eastAsia="IRNazanin" w:cs="IRNazanin"/>
          <w:lang w:bidi="fa-IR"/>
          <w:color w:val="111111"/>
          <w:sz w:val="28"/>
          <w:szCs w:val="28"/>
          <w:rtl/>
        </w:rPr>
        <w:t xml:space="preserve">«چ»</w:t>
      </w:r>
    </w:p>
    <w:p>
      <w:pPr>
        <w:pStyle w:val="BookText"/>
      </w:pPr>
      <w:r>
        <w:rPr>
          <w:rFonts w:ascii="IRNazanin" w:hAnsi="IRNazanin" w:eastAsia="IRNazanin" w:cs="IRNazanin"/>
          <w:lang w:bidi="fa-IR"/>
          <w:color w:val="111111"/>
          <w:sz w:val="28"/>
          <w:szCs w:val="28"/>
          <w:rtl/>
        </w:rPr>
        <w:t xml:space="preserve">الچهارسوقي، میر سید حسن: 14</w:t>
      </w:r>
    </w:p>
    <w:p>
      <w:pPr>
        <w:pStyle w:val="BookText"/>
      </w:pPr>
      <w:r>
        <w:rPr>
          <w:rFonts w:ascii="IRNazanin" w:hAnsi="IRNazanin" w:eastAsia="IRNazanin" w:cs="IRNazanin"/>
          <w:lang w:bidi="fa-IR"/>
          <w:color w:val="111111"/>
          <w:sz w:val="28"/>
          <w:szCs w:val="28"/>
          <w:rtl/>
        </w:rPr>
        <w:t xml:space="preserve">الچهارسوقي، السیّد محمدهاشم (صاحب مباني الأصول): 11، 14، 216«ح»</w:t>
      </w:r>
    </w:p>
    <w:p>
      <w:pPr>
        <w:pStyle w:val="BookText"/>
      </w:pPr>
      <w:r>
        <w:rPr>
          <w:rFonts w:ascii="IRNazanin" w:hAnsi="IRNazanin" w:eastAsia="IRNazanin" w:cs="IRNazanin"/>
          <w:lang w:bidi="fa-IR"/>
          <w:color w:val="111111"/>
          <w:sz w:val="28"/>
          <w:szCs w:val="28"/>
          <w:rtl/>
        </w:rPr>
        <w:t xml:space="preserve">الحائري الیزدي، عبدالکریم: 575</w:t>
      </w:r>
    </w:p>
    <w:p>
      <w:pPr>
        <w:pStyle w:val="BookText"/>
      </w:pPr>
      <w:r>
        <w:rPr>
          <w:rFonts w:ascii="Amiri" w:hAnsi="Amiri" w:eastAsia="Amiri" w:cs="Amiri"/>
          <w:lang w:bidi="ar-SA"/>
          <w:color w:val="111111"/>
          <w:sz w:val="28"/>
          <w:szCs w:val="28"/>
          <w:rtl/>
        </w:rPr>
        <w:t xml:space="preserve">الحاجبي، عثمان بن عمر ابن الحاجب: 36، 131</w:t>
      </w:r>
    </w:p>
    <w:p>
      <w:pPr>
        <w:pStyle w:val="BookText"/>
      </w:pPr>
      <w:r>
        <w:rPr>
          <w:rFonts w:ascii="Amiri" w:hAnsi="Amiri" w:eastAsia="Amiri" w:cs="Amiri"/>
          <w:lang w:bidi="ar-SA"/>
          <w:color w:val="111111"/>
          <w:sz w:val="28"/>
          <w:szCs w:val="28"/>
          <w:rtl/>
        </w:rPr>
        <w:t xml:space="preserve">الحاريصي، يوسف بن علي: 13</w:t>
      </w:r>
    </w:p>
    <w:p>
      <w:pPr>
        <w:pStyle w:val="BookText"/>
      </w:pPr>
      <w:r>
        <w:rPr>
          <w:rFonts w:ascii="Amiri" w:hAnsi="Amiri" w:eastAsia="Amiri" w:cs="Amiri"/>
          <w:lang w:bidi="ar-SA"/>
          <w:color w:val="111111"/>
          <w:sz w:val="28"/>
          <w:szCs w:val="28"/>
          <w:rtl/>
        </w:rPr>
        <w:t xml:space="preserve">الحسينيّ الحلّي، السيّد مضر سلیمان: 3</w:t>
      </w:r>
    </w:p>
    <w:p>
      <w:pPr>
        <w:pStyle w:val="BookText"/>
      </w:pPr>
      <w:r>
        <w:rPr>
          <w:rFonts w:ascii="IRNazanin" w:hAnsi="IRNazanin" w:eastAsia="IRNazanin" w:cs="IRNazanin"/>
          <w:lang w:bidi="fa-IR"/>
          <w:color w:val="111111"/>
          <w:sz w:val="28"/>
          <w:szCs w:val="28"/>
          <w:rtl/>
        </w:rPr>
        <w:t xml:space="preserve">الحسیني الروحاني، السیّد محمّد: 411</w:t>
      </w:r>
    </w:p>
    <w:p>
      <w:pPr>
        <w:pStyle w:val="BookText"/>
      </w:pPr>
      <w:r>
        <w:rPr>
          <w:rFonts w:ascii="IRNazanin" w:hAnsi="IRNazanin" w:eastAsia="IRNazanin" w:cs="IRNazanin"/>
          <w:lang w:bidi="fa-IR"/>
          <w:color w:val="111111"/>
          <w:sz w:val="28"/>
          <w:szCs w:val="28"/>
          <w:rtl/>
        </w:rPr>
        <w:t xml:space="preserve">الحسیني الروحاني، السیّد محمّدصادق: 442</w:t>
      </w:r>
    </w:p>
    <w:p>
      <w:pPr>
        <w:pStyle w:val="BookText"/>
      </w:pPr>
      <w:r>
        <w:rPr>
          <w:rFonts w:ascii="IRNazanin" w:hAnsi="IRNazanin" w:eastAsia="IRNazanin" w:cs="IRNazanin"/>
          <w:lang w:bidi="fa-IR"/>
          <w:color w:val="111111"/>
          <w:sz w:val="28"/>
          <w:szCs w:val="28"/>
          <w:rtl/>
        </w:rPr>
        <w:t xml:space="preserve">الحسیني السیستاني، السیّد علي: 551</w:t>
      </w:r>
    </w:p>
    <w:p>
      <w:pPr>
        <w:pStyle w:val="BookText"/>
      </w:pPr>
      <w:r>
        <w:rPr>
          <w:rFonts w:ascii="IRNazanin" w:hAnsi="IRNazanin" w:eastAsia="IRNazanin" w:cs="IRNazanin"/>
          <w:lang w:bidi="fa-IR"/>
          <w:color w:val="111111"/>
          <w:sz w:val="28"/>
          <w:szCs w:val="28"/>
          <w:rtl/>
        </w:rPr>
        <w:t xml:space="preserve">حرز الدين، محمّدحسین: 13</w:t>
      </w:r>
    </w:p>
    <w:p>
      <w:pPr>
        <w:pStyle w:val="BookText"/>
      </w:pPr>
      <w:r>
        <w:rPr>
          <w:rFonts w:ascii="IRNazanin" w:hAnsi="IRNazanin" w:eastAsia="IRNazanin" w:cs="IRNazanin"/>
          <w:lang w:bidi="fa-IR"/>
          <w:color w:val="111111"/>
          <w:sz w:val="28"/>
          <w:szCs w:val="28"/>
          <w:rtl/>
        </w:rPr>
        <w:t xml:space="preserve">حلبیان الإصفهاني، الحاج مصطفی: 17</w:t>
      </w:r>
    </w:p>
    <w:p>
      <w:pPr>
        <w:pStyle w:val="BookText"/>
      </w:pPr>
      <w:r>
        <w:rPr>
          <w:rFonts w:ascii="IRNazanin" w:hAnsi="IRNazanin" w:eastAsia="IRNazanin" w:cs="IRNazanin"/>
          <w:lang w:bidi="fa-IR"/>
          <w:color w:val="111111"/>
          <w:sz w:val="28"/>
          <w:szCs w:val="28"/>
          <w:rtl/>
        </w:rPr>
        <w:t xml:space="preserve">حلبیان الإصفهاني، أحمد: 17، 573</w:t>
      </w:r>
    </w:p>
    <w:p>
      <w:pPr>
        <w:pStyle w:val="BookText"/>
      </w:pPr>
      <w:r>
        <w:rPr>
          <w:rFonts w:ascii="IRNazanin" w:hAnsi="IRNazanin" w:eastAsia="IRNazanin" w:cs="IRNazanin"/>
          <w:lang w:bidi="fa-IR"/>
          <w:color w:val="111111"/>
          <w:sz w:val="28"/>
          <w:szCs w:val="28"/>
          <w:rtl/>
        </w:rPr>
        <w:t xml:space="preserve">حلبیان الإصفهاني، حسین: 3، 4، 19</w:t>
      </w:r>
    </w:p>
    <w:p>
      <w:pPr>
        <w:pStyle w:val="BookText"/>
      </w:pPr>
      <w:r>
        <w:rPr>
          <w:rFonts w:ascii="IRNazanin" w:hAnsi="IRNazanin" w:eastAsia="IRNazanin" w:cs="IRNazanin"/>
          <w:lang w:bidi="fa-IR"/>
          <w:color w:val="111111"/>
          <w:sz w:val="28"/>
          <w:szCs w:val="28"/>
          <w:rtl/>
        </w:rPr>
        <w:t xml:space="preserve">حلبیان الإصفهاني، مهدي: 17</w:t>
      </w:r>
    </w:p>
    <w:p>
      <w:pPr>
        <w:pStyle w:val="BookText"/>
      </w:pPr>
      <w:r>
        <w:rPr>
          <w:rFonts w:ascii="Amiri" w:hAnsi="Amiri" w:eastAsia="Amiri" w:cs="Amiri"/>
          <w:lang w:bidi="ar-SA"/>
          <w:color w:val="111111"/>
          <w:sz w:val="28"/>
          <w:szCs w:val="28"/>
          <w:rtl/>
        </w:rPr>
        <w:t xml:space="preserve">الحلّي، السّید حیدر: 3</w:t>
      </w:r>
    </w:p>
    <w:p>
      <w:pPr>
        <w:pStyle w:val="BookText"/>
      </w:pPr>
      <w:r>
        <w:rPr>
          <w:rFonts w:ascii="IRNazanin" w:hAnsi="IRNazanin" w:eastAsia="IRNazanin" w:cs="IRNazanin"/>
          <w:lang w:bidi="fa-IR"/>
          <w:color w:val="111111"/>
          <w:sz w:val="28"/>
          <w:szCs w:val="28"/>
          <w:rtl/>
        </w:rPr>
        <w:t xml:space="preserve">الحلّي، یحیی بن سعید: 544</w:t>
      </w: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الخراساني، محمّدكاظم: 8، 9، 14، 138</w:t>
      </w:r>
    </w:p>
    <w:p>
      <w:pPr>
        <w:pStyle w:val="BookText"/>
      </w:pPr>
      <w:r>
        <w:rPr>
          <w:rFonts w:ascii="IRNazanin" w:hAnsi="IRNazanin" w:eastAsia="IRNazanin" w:cs="IRNazanin"/>
          <w:lang w:bidi="fa-IR"/>
          <w:color w:val="111111"/>
          <w:sz w:val="28"/>
          <w:szCs w:val="28"/>
          <w:rtl/>
        </w:rPr>
        <w:t xml:space="preserve">الخوانساري، آقا جمال الدین (جمال المحقّقين): 130</w:t>
      </w:r>
    </w:p>
    <w:p>
      <w:pPr>
        <w:pStyle w:val="BookText"/>
      </w:pPr>
      <w:r>
        <w:rPr>
          <w:rFonts w:ascii="IRNazanin" w:hAnsi="IRNazanin" w:eastAsia="IRNazanin" w:cs="IRNazanin"/>
          <w:lang w:bidi="fa-IR"/>
          <w:color w:val="111111"/>
          <w:sz w:val="28"/>
          <w:szCs w:val="28"/>
          <w:rtl/>
        </w:rPr>
        <w:t xml:space="preserve">الخوانساري، آقا حسین (المحقّق الخوانساري): 220</w:t>
      </w:r>
    </w:p>
    <w:p>
      <w:pPr>
        <w:pStyle w:val="BookText"/>
      </w:pPr>
      <w:r>
        <w:rPr>
          <w:rFonts w:ascii="Amiri" w:hAnsi="Amiri" w:eastAsia="Amiri" w:cs="Amiri"/>
          <w:lang w:bidi="ar-SA"/>
          <w:color w:val="111111"/>
          <w:sz w:val="28"/>
          <w:szCs w:val="28"/>
          <w:rtl/>
        </w:rPr>
        <w:t xml:space="preserve">الخوانساري، علي أكبر: 10</w:t>
      </w:r>
    </w:p>
    <w:p>
      <w:pPr>
        <w:pStyle w:val="BookText"/>
      </w:pPr>
      <w:r>
        <w:rPr>
          <w:rFonts w:ascii="IRNazanin" w:hAnsi="IRNazanin" w:eastAsia="IRNazanin" w:cs="IRNazanin"/>
          <w:lang w:bidi="fa-IR"/>
          <w:color w:val="111111"/>
          <w:sz w:val="28"/>
          <w:szCs w:val="28"/>
          <w:rtl/>
        </w:rPr>
        <w:t xml:space="preserve">«د»</w:t>
      </w:r>
    </w:p>
    <w:p>
      <w:pPr>
        <w:pStyle w:val="BookText"/>
      </w:pPr>
      <w:r>
        <w:rPr>
          <w:rFonts w:ascii="Amiri" w:hAnsi="Amiri" w:eastAsia="Amiri" w:cs="Amiri"/>
          <w:lang w:bidi="ar-SA"/>
          <w:color w:val="111111"/>
          <w:sz w:val="28"/>
          <w:szCs w:val="28"/>
          <w:rtl/>
        </w:rPr>
        <w:t xml:space="preserve">دَشَن الیزدي، هادي: 18</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الرازي، الفخر: 218، 518، 520، 537</w:t>
      </w:r>
    </w:p>
    <w:p>
      <w:pPr>
        <w:pStyle w:val="BookText"/>
      </w:pPr>
      <w:r>
        <w:rPr>
          <w:rFonts w:ascii="Amiri" w:hAnsi="Amiri" w:eastAsia="Amiri" w:cs="Amiri"/>
          <w:lang w:bidi="ar-SA"/>
          <w:color w:val="111111"/>
          <w:sz w:val="28"/>
          <w:szCs w:val="28"/>
          <w:rtl/>
        </w:rPr>
        <w:t xml:space="preserve">الرّجل الهمداني: 151، 158</w:t>
      </w:r>
    </w:p>
    <w:p>
      <w:pPr>
        <w:pStyle w:val="BookText"/>
      </w:pPr>
      <w:r>
        <w:rPr>
          <w:rFonts w:ascii="IRNazanin" w:hAnsi="IRNazanin" w:eastAsia="IRNazanin" w:cs="IRNazanin"/>
          <w:lang w:bidi="fa-IR"/>
          <w:color w:val="111111"/>
          <w:sz w:val="28"/>
          <w:szCs w:val="28"/>
          <w:rtl/>
        </w:rPr>
        <w:t xml:space="preserve">الرشتي، المیرزا حبیب الله: 508</w:t>
      </w:r>
    </w:p>
    <w:p>
      <w:pPr>
        <w:pStyle w:val="BookText"/>
      </w:pPr>
      <w:r>
        <w:rPr>
          <w:rFonts w:ascii="Amiri" w:hAnsi="Amiri" w:eastAsia="Amiri" w:cs="Amiri"/>
          <w:lang w:bidi="ar-SA"/>
          <w:color w:val="111111"/>
          <w:sz w:val="28"/>
          <w:szCs w:val="28"/>
          <w:rtl/>
        </w:rPr>
        <w:t xml:space="preserve">الروزدري، علي: 481</w:t>
      </w: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الزّركشي، محمّد بن بهادر الشافعي: 131</w:t>
      </w:r>
    </w:p>
    <w:p>
      <w:pPr>
        <w:pStyle w:val="BookText"/>
      </w:pPr>
      <w:r>
        <w:rPr>
          <w:rFonts w:ascii="IRNazanin" w:hAnsi="IRNazanin" w:eastAsia="IRNazanin" w:cs="IRNazanin"/>
          <w:lang w:bidi="fa-IR"/>
          <w:color w:val="111111"/>
          <w:sz w:val="28"/>
          <w:szCs w:val="28"/>
          <w:rtl/>
        </w:rPr>
        <w:t xml:space="preserve">الزنجاني، عبدالکریم: 15</w:t>
      </w:r>
    </w:p>
    <w:p>
      <w:pPr>
        <w:pStyle w:val="BookText"/>
      </w:pPr>
      <w:r>
        <w:rPr>
          <w:rFonts w:ascii="IRNazanin" w:hAnsi="IRNazanin" w:eastAsia="IRNazanin" w:cs="IRNazanin"/>
          <w:lang w:bidi="fa-IR"/>
          <w:color w:val="111111"/>
          <w:sz w:val="28"/>
          <w:szCs w:val="28"/>
          <w:rtl/>
        </w:rPr>
        <w:t xml:space="preserve">الزند الکرماني، محمدباقر: 11</w:t>
      </w:r>
    </w:p>
    <w:p>
      <w:pPr>
        <w:pStyle w:val="BookText"/>
      </w:pP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السبزواري، محمدباقر (المحقّق السبزواري): 373، 374، 376، 383</w:t>
      </w:r>
    </w:p>
    <w:p>
      <w:pPr>
        <w:pStyle w:val="BookText"/>
      </w:pPr>
      <w:r>
        <w:rPr>
          <w:rFonts w:ascii="IRNazanin" w:hAnsi="IRNazanin" w:eastAsia="IRNazanin" w:cs="IRNazanin"/>
          <w:lang w:bidi="fa-IR"/>
          <w:color w:val="111111"/>
          <w:sz w:val="28"/>
          <w:szCs w:val="28"/>
          <w:rtl/>
        </w:rPr>
        <w:t xml:space="preserve">السبزواري، المولی هادي: 154</w:t>
      </w:r>
    </w:p>
    <w:p>
      <w:pPr>
        <w:pStyle w:val="BookText"/>
      </w:pPr>
      <w:r>
        <w:rPr>
          <w:rFonts w:ascii="Amiri" w:hAnsi="Amiri" w:eastAsia="Amiri" w:cs="Amiri"/>
          <w:lang w:bidi="ar-SA"/>
          <w:color w:val="111111"/>
          <w:sz w:val="28"/>
          <w:szCs w:val="28"/>
          <w:rtl/>
        </w:rPr>
        <w:t xml:space="preserve">السّكّاكي، یوسف: 147</w:t>
      </w:r>
    </w:p>
    <w:p>
      <w:pPr>
        <w:pStyle w:val="BookText"/>
      </w:pPr>
      <w:r>
        <w:rPr>
          <w:rFonts w:ascii="Amiri" w:hAnsi="Amiri" w:eastAsia="Amiri" w:cs="Amiri"/>
          <w:lang w:bidi="ar-SA"/>
          <w:color w:val="111111"/>
          <w:sz w:val="28"/>
          <w:szCs w:val="28"/>
          <w:rtl/>
        </w:rPr>
        <w:t xml:space="preserve">السلطان عبدالحميد: 8</w:t>
      </w:r>
    </w:p>
    <w:p>
      <w:pPr>
        <w:pStyle w:val="BookText"/>
      </w:pPr>
      <w:r>
        <w:rPr>
          <w:rFonts w:ascii="IRNazanin" w:hAnsi="IRNazanin" w:eastAsia="IRNazanin" w:cs="IRNazanin"/>
          <w:lang w:bidi="fa-IR"/>
          <w:color w:val="111111"/>
          <w:sz w:val="28"/>
          <w:szCs w:val="28"/>
          <w:rtl/>
        </w:rPr>
        <w:t xml:space="preserve">سلطان العلماء، حسین بن محمّد الحسیني (سلطان المحقّقين): 221، 428</w:t>
      </w:r>
    </w:p>
    <w:p>
      <w:pPr>
        <w:pStyle w:val="BookText"/>
      </w:pPr>
      <w:r>
        <w:rPr>
          <w:rFonts w:ascii="IRNazanin" w:hAnsi="IRNazanin" w:eastAsia="IRNazanin" w:cs="IRNazanin"/>
          <w:lang w:bidi="fa-IR"/>
          <w:color w:val="111111"/>
          <w:sz w:val="28"/>
          <w:szCs w:val="28"/>
          <w:rtl/>
        </w:rPr>
        <w:t xml:space="preserve">السلیماني البروجردي، المیرزا علي: 18</w:t>
      </w:r>
    </w:p>
    <w:p>
      <w:pPr>
        <w:pStyle w:val="BookText"/>
      </w:pPr>
      <w:r>
        <w:rPr>
          <w:rFonts w:ascii="IRNazanin" w:hAnsi="IRNazanin" w:eastAsia="IRNazanin" w:cs="IRNazanin"/>
          <w:lang w:bidi="fa-IR"/>
          <w:color w:val="111111"/>
          <w:sz w:val="28"/>
          <w:szCs w:val="28"/>
          <w:rtl/>
        </w:rPr>
        <w:t xml:space="preserve">سهل بن زیاد: 338</w:t>
      </w:r>
    </w:p>
    <w:p>
      <w:pPr>
        <w:pStyle w:val="BookText"/>
      </w:pPr>
      <w:r>
        <w:rPr>
          <w:rFonts w:ascii="IRNazanin" w:hAnsi="IRNazanin" w:eastAsia="IRNazanin" w:cs="IRNazanin"/>
          <w:lang w:bidi="fa-IR"/>
          <w:color w:val="111111"/>
          <w:sz w:val="28"/>
          <w:szCs w:val="28"/>
          <w:rtl/>
        </w:rPr>
        <w:t xml:space="preserve">السیّد سلیمان الکبیر: 3</w:t>
      </w:r>
    </w:p>
    <w:p>
      <w:pPr>
        <w:pStyle w:val="BookText"/>
      </w:pPr>
      <w:r>
        <w:rPr>
          <w:rFonts w:ascii="IRNazanin" w:hAnsi="IRNazanin" w:eastAsia="IRNazanin" w:cs="IRNazanin"/>
          <w:lang w:bidi="fa-IR"/>
          <w:color w:val="111111"/>
          <w:sz w:val="28"/>
          <w:szCs w:val="28"/>
          <w:rtl/>
        </w:rPr>
        <w:t xml:space="preserve">السیّد ضیاء الدین: 219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السّيد عميد الدین: 219</w:t>
      </w:r>
    </w:p>
    <w:p>
      <w:pPr>
        <w:pStyle w:val="BookText"/>
      </w:pPr>
      <w:r>
        <w:rPr>
          <w:rFonts w:ascii="IRNazanin" w:hAnsi="IRNazanin" w:eastAsia="IRNazanin" w:cs="IRNazanin"/>
          <w:lang w:bidi="fa-IR"/>
          <w:color w:val="111111"/>
          <w:sz w:val="28"/>
          <w:szCs w:val="28"/>
          <w:rtl/>
        </w:rPr>
        <w:t xml:space="preserve">السيّد المرتضی، علي بن الحسین الموسوي: 3، 222، 226</w:t>
      </w:r>
    </w:p>
    <w:p>
      <w:pPr>
        <w:pStyle w:val="BookText"/>
      </w:pPr>
      <w:r>
        <w:rPr>
          <w:rFonts w:ascii="IRNazanin" w:hAnsi="IRNazanin" w:eastAsia="IRNazanin" w:cs="IRNazanin"/>
          <w:lang w:bidi="fa-IR"/>
          <w:color w:val="111111"/>
          <w:sz w:val="28"/>
          <w:szCs w:val="28"/>
          <w:rtl/>
        </w:rPr>
        <w:t xml:space="preserve">«ش»</w:t>
      </w:r>
    </w:p>
    <w:p>
      <w:pPr>
        <w:pStyle w:val="BookText"/>
      </w:pPr>
      <w:r>
        <w:rPr>
          <w:rFonts w:ascii="IRNazanin" w:hAnsi="IRNazanin" w:eastAsia="IRNazanin" w:cs="IRNazanin"/>
          <w:lang w:bidi="fa-IR"/>
          <w:color w:val="111111"/>
          <w:sz w:val="28"/>
          <w:szCs w:val="28"/>
          <w:rtl/>
        </w:rPr>
        <w:t xml:space="preserve">شریف العلماء المازندراني، محمّد شریف: 101، 126، 531</w:t>
      </w:r>
    </w:p>
    <w:p>
      <w:pPr>
        <w:pStyle w:val="BookText"/>
      </w:pPr>
      <w:r>
        <w:rPr>
          <w:rFonts w:ascii="IRNazanin" w:hAnsi="IRNazanin" w:eastAsia="IRNazanin" w:cs="IRNazanin"/>
          <w:lang w:bidi="fa-IR"/>
          <w:color w:val="111111"/>
          <w:sz w:val="28"/>
          <w:szCs w:val="28"/>
          <w:rtl/>
        </w:rPr>
        <w:t xml:space="preserve">الشفتي، زین العابدین: 15</w:t>
      </w:r>
    </w:p>
    <w:p>
      <w:pPr>
        <w:pStyle w:val="BookText"/>
      </w:pPr>
      <w:r>
        <w:rPr>
          <w:rFonts w:ascii="IRNazanin" w:hAnsi="IRNazanin" w:eastAsia="IRNazanin" w:cs="IRNazanin"/>
          <w:lang w:bidi="fa-IR"/>
          <w:color w:val="111111"/>
          <w:sz w:val="28"/>
          <w:szCs w:val="28"/>
          <w:rtl/>
        </w:rPr>
        <w:t xml:space="preserve">الشفتي، السید محمّدباقر (حجّة الإسلام): 15</w:t>
      </w:r>
    </w:p>
    <w:p>
      <w:pPr>
        <w:pStyle w:val="BookText"/>
      </w:pPr>
      <w:r>
        <w:rPr>
          <w:rFonts w:ascii="Amiri" w:hAnsi="Amiri" w:eastAsia="Amiri" w:cs="Amiri"/>
          <w:lang w:bidi="ar-SA"/>
          <w:color w:val="111111"/>
          <w:sz w:val="28"/>
          <w:szCs w:val="28"/>
          <w:rtl/>
        </w:rPr>
        <w:t xml:space="preserve">الشهيد الأوّل، محمّد بن مکّي: 78، 372، 381، 574</w:t>
      </w:r>
    </w:p>
    <w:p>
      <w:pPr>
        <w:pStyle w:val="BookText"/>
      </w:pPr>
      <w:r>
        <w:rPr>
          <w:rFonts w:ascii="IRNazanin" w:hAnsi="IRNazanin" w:eastAsia="IRNazanin" w:cs="IRNazanin"/>
          <w:lang w:bidi="fa-IR"/>
          <w:color w:val="111111"/>
          <w:sz w:val="28"/>
          <w:szCs w:val="28"/>
          <w:rtl/>
        </w:rPr>
        <w:t xml:space="preserve">الشهيد الثاني، زین الدین بن علي: 549، 574</w:t>
      </w:r>
    </w:p>
    <w:p>
      <w:pPr>
        <w:pStyle w:val="BookText"/>
      </w:pPr>
      <w:r>
        <w:rPr>
          <w:rFonts w:ascii="Amiri" w:hAnsi="Amiri" w:eastAsia="Amiri" w:cs="Amiri"/>
          <w:lang w:bidi="ar-SA"/>
          <w:color w:val="111111"/>
          <w:sz w:val="28"/>
          <w:szCs w:val="28"/>
          <w:rtl/>
        </w:rPr>
        <w:t xml:space="preserve">الشّهيدان: 555، 557</w:t>
      </w:r>
    </w:p>
    <w:p>
      <w:pPr>
        <w:pStyle w:val="BookText"/>
      </w:pPr>
      <w:r>
        <w:rPr>
          <w:rFonts w:ascii="IRNazanin" w:hAnsi="IRNazanin" w:eastAsia="IRNazanin" w:cs="IRNazanin"/>
          <w:lang w:bidi="fa-IR"/>
          <w:color w:val="111111"/>
          <w:sz w:val="28"/>
          <w:szCs w:val="28"/>
          <w:rtl/>
        </w:rPr>
        <w:t xml:space="preserve">الشیخ البهائي، محمّد بن الحسین العاملي: 36، 224، 301</w:t>
      </w:r>
    </w:p>
    <w:p>
      <w:pPr>
        <w:pStyle w:val="BookText"/>
      </w:pPr>
      <w:r>
        <w:rPr>
          <w:rFonts w:ascii="IRNazanin" w:hAnsi="IRNazanin" w:eastAsia="IRNazanin" w:cs="IRNazanin"/>
          <w:lang w:bidi="fa-IR"/>
          <w:color w:val="111111"/>
          <w:sz w:val="28"/>
          <w:szCs w:val="28"/>
          <w:rtl/>
        </w:rPr>
        <w:t xml:space="preserve">الشّيخ الرّئيس، حسین بن عبدالله بن سینا: 151</w:t>
      </w:r>
    </w:p>
    <w:p>
      <w:pPr>
        <w:pStyle w:val="BookText"/>
      </w:pPr>
      <w:r>
        <w:rPr>
          <w:rFonts w:ascii="IRNazanin" w:hAnsi="IRNazanin" w:eastAsia="IRNazanin" w:cs="IRNazanin"/>
          <w:lang w:bidi="fa-IR"/>
          <w:color w:val="111111"/>
          <w:sz w:val="28"/>
          <w:szCs w:val="28"/>
          <w:rtl/>
        </w:rPr>
        <w:t xml:space="preserve">شيخ المحقّقين، محمدتقي (صاحب هداية المسترشدين): 7، 11، 14، 80، 81، 103، 117، 147، 167، 168، 250، 254، 256، 268، 285، 358، 368، 472، 473، 476، 495، 499الشیرازي، محمّدتقي: 14</w:t>
      </w:r>
    </w:p>
    <w:p>
      <w:pPr>
        <w:pStyle w:val="BookText"/>
      </w:pPr>
      <w:r>
        <w:rPr>
          <w:rFonts w:ascii="IRNazanin" w:hAnsi="IRNazanin" w:eastAsia="IRNazanin" w:cs="IRNazanin"/>
          <w:lang w:bidi="fa-IR"/>
          <w:color w:val="111111"/>
          <w:sz w:val="28"/>
          <w:szCs w:val="28"/>
          <w:rtl/>
        </w:rPr>
        <w:t xml:space="preserve">الشّيرازي، حبیب الله الباغنوي الشافعي: 130</w:t>
      </w:r>
    </w:p>
    <w:p>
      <w:pPr>
        <w:pStyle w:val="BookText"/>
      </w:pPr>
      <w:r>
        <w:rPr>
          <w:rFonts w:ascii="IRNazanin" w:hAnsi="IRNazanin" w:eastAsia="IRNazanin" w:cs="IRNazanin"/>
          <w:lang w:bidi="fa-IR"/>
          <w:color w:val="111111"/>
          <w:sz w:val="28"/>
          <w:szCs w:val="28"/>
          <w:rtl/>
        </w:rPr>
        <w:t xml:space="preserve">الشیرازي، المیرزا محمّدحسن (المحقّق الأستاد): 6، 8، 9، 12، 13، 14، 34، 481</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الصافي الگلپایگاني، لطف الله: 16، 238</w:t>
      </w:r>
    </w:p>
    <w:p>
      <w:pPr>
        <w:pStyle w:val="BookText"/>
      </w:pPr>
      <w:r>
        <w:rPr>
          <w:rFonts w:ascii="IRNazanin" w:hAnsi="IRNazanin" w:eastAsia="IRNazanin" w:cs="IRNazanin"/>
          <w:lang w:bidi="fa-IR"/>
          <w:color w:val="111111"/>
          <w:sz w:val="28"/>
          <w:szCs w:val="28"/>
          <w:rtl/>
        </w:rPr>
        <w:t xml:space="preserve">صاحب الإشارات (محمّدإبراهیم الکلباسي الإصفهاني): 15، 54، 446، 519، 520، 549</w:t>
      </w:r>
    </w:p>
    <w:p>
      <w:pPr>
        <w:pStyle w:val="BookText"/>
      </w:pPr>
      <w:r>
        <w:rPr>
          <w:rFonts w:ascii="Amiri" w:hAnsi="Amiri" w:eastAsia="Amiri" w:cs="Amiri"/>
          <w:lang w:bidi="ar-SA"/>
          <w:color w:val="111111"/>
          <w:sz w:val="28"/>
          <w:szCs w:val="28"/>
          <w:rtl/>
        </w:rPr>
        <w:t xml:space="preserve">صاحب الجواهر (محمّدحسن النجفي الإصفهاني): 376، 377، 446، 565، 567</w:t>
      </w:r>
    </w:p>
    <w:p>
      <w:pPr>
        <w:pStyle w:val="BookText"/>
      </w:pPr>
      <w:r>
        <w:rPr>
          <w:rFonts w:ascii="IRNazanin" w:hAnsi="IRNazanin" w:eastAsia="IRNazanin" w:cs="IRNazanin"/>
          <w:lang w:bidi="fa-IR"/>
          <w:color w:val="111111"/>
          <w:sz w:val="28"/>
          <w:szCs w:val="28"/>
          <w:rtl/>
        </w:rPr>
        <w:t xml:space="preserve">صاحب الحدائق (یوسف البَحراني): 574، 576</w:t>
      </w:r>
    </w:p>
    <w:p>
      <w:pPr>
        <w:pStyle w:val="BookText"/>
      </w:pPr>
      <w:r>
        <w:rPr>
          <w:rFonts w:ascii="IRNazanin" w:hAnsi="IRNazanin" w:eastAsia="IRNazanin" w:cs="IRNazanin"/>
          <w:lang w:bidi="fa-IR"/>
          <w:color w:val="111111"/>
          <w:sz w:val="28"/>
          <w:szCs w:val="28"/>
          <w:rtl/>
        </w:rPr>
        <w:t xml:space="preserve">صاحب الروضات (السید محمّدباقر الخوانساري): 11، 14</w:t>
      </w:r>
    </w:p>
    <w:p>
      <w:pPr>
        <w:pStyle w:val="BookText"/>
      </w:pPr>
      <w:r>
        <w:rPr>
          <w:rFonts w:ascii="IRNazanin" w:hAnsi="IRNazanin" w:eastAsia="IRNazanin" w:cs="IRNazanin"/>
          <w:lang w:bidi="fa-IR"/>
          <w:color w:val="111111"/>
          <w:sz w:val="28"/>
          <w:szCs w:val="28"/>
          <w:rtl/>
        </w:rPr>
        <w:t xml:space="preserve">صاحب الفصول (محمّدحسین الإصفهاني الحائري): 98، 132، 145، 170، 175، 180، 182، 184، 186، 188، 284، 286، 290، 307، 312، 322، 325، 334، 349، 351، 379، 401، 415، 472، 486، 489، 495، 509، 519، 521، 526، 528، 537، 553، 559، 561</w:t>
      </w:r>
    </w:p>
    <w:p>
      <w:pPr>
        <w:pStyle w:val="BookText"/>
      </w:pPr>
      <w:r>
        <w:rPr>
          <w:rFonts w:ascii="IRNazanin" w:hAnsi="IRNazanin" w:eastAsia="IRNazanin" w:cs="IRNazanin"/>
          <w:lang w:bidi="fa-IR"/>
          <w:color w:val="111111"/>
          <w:sz w:val="28"/>
          <w:szCs w:val="28"/>
          <w:rtl/>
        </w:rPr>
        <w:t xml:space="preserve">صاحب المدارك (السیّد محمّد العاملي): 219، 220، 563</w:t>
      </w:r>
    </w:p>
    <w:p>
      <w:pPr>
        <w:pStyle w:val="BookText"/>
      </w:pPr>
      <w:r>
        <w:rPr>
          <w:rFonts w:ascii="IRNazanin" w:hAnsi="IRNazanin" w:eastAsia="IRNazanin" w:cs="IRNazanin"/>
          <w:lang w:bidi="fa-IR"/>
          <w:color w:val="111111"/>
          <w:sz w:val="28"/>
          <w:szCs w:val="28"/>
          <w:rtl/>
        </w:rPr>
        <w:t xml:space="preserve">صاحب المعالم (حسن بن زین الدین): 36، 75، 109، 219، 455، 472</w:t>
      </w:r>
    </w:p>
    <w:p>
      <w:pPr>
        <w:pStyle w:val="BookText"/>
      </w:pPr>
      <w:r>
        <w:rPr>
          <w:rFonts w:ascii="IRNazanin" w:hAnsi="IRNazanin" w:eastAsia="IRNazanin" w:cs="IRNazanin"/>
          <w:lang w:bidi="fa-IR"/>
          <w:color w:val="111111"/>
          <w:sz w:val="28"/>
          <w:szCs w:val="28"/>
          <w:rtl/>
        </w:rPr>
        <w:t xml:space="preserve">الصدر، السیّد حسن: 5</w:t>
      </w:r>
    </w:p>
    <w:p>
      <w:pPr>
        <w:pStyle w:val="BookText"/>
      </w:pPr>
      <w:r>
        <w:rPr>
          <w:rFonts w:ascii="IRNazanin" w:hAnsi="IRNazanin" w:eastAsia="IRNazanin" w:cs="IRNazanin"/>
          <w:lang w:bidi="fa-IR"/>
          <w:color w:val="111111"/>
          <w:sz w:val="28"/>
          <w:szCs w:val="28"/>
          <w:rtl/>
        </w:rPr>
        <w:t xml:space="preserve">الصدر، السیّد محمّدباقر: 17، 412</w:t>
      </w:r>
    </w:p>
    <w:p>
      <w:pPr>
        <w:pStyle w:val="BookText"/>
      </w:pPr>
      <w:r>
        <w:rPr>
          <w:rFonts w:ascii="IRNazanin" w:hAnsi="IRNazanin" w:eastAsia="IRNazanin" w:cs="IRNazanin"/>
          <w:lang w:bidi="fa-IR"/>
          <w:color w:val="111111"/>
          <w:sz w:val="28"/>
          <w:szCs w:val="28"/>
          <w:rtl/>
        </w:rPr>
        <w:t xml:space="preserve">«ط»</w:t>
      </w:r>
    </w:p>
    <w:p>
      <w:pPr>
        <w:pStyle w:val="BookText"/>
      </w:pPr>
      <w:r>
        <w:rPr>
          <w:rFonts w:ascii="IRNazanin" w:hAnsi="IRNazanin" w:eastAsia="IRNazanin" w:cs="IRNazanin"/>
          <w:lang w:bidi="fa-IR"/>
          <w:color w:val="111111"/>
          <w:sz w:val="28"/>
          <w:szCs w:val="28"/>
          <w:rtl/>
        </w:rPr>
        <w:t xml:space="preserve">الطباطبائي، السیّد علي (سیّد الریاض): 36، 51، 216، 229، 428، 549، 565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الطباطبائي البروجردي، السیّد حسین: 217</w:t>
      </w:r>
    </w:p>
    <w:p>
      <w:pPr>
        <w:pStyle w:val="BookText"/>
      </w:pPr>
      <w:r>
        <w:rPr>
          <w:rFonts w:ascii="IRNazanin" w:hAnsi="IRNazanin" w:eastAsia="IRNazanin" w:cs="IRNazanin"/>
          <w:lang w:bidi="fa-IR"/>
          <w:color w:val="111111"/>
          <w:sz w:val="28"/>
          <w:szCs w:val="28"/>
          <w:rtl/>
        </w:rPr>
        <w:t xml:space="preserve">الطباطبائي الیزدي، السيّد رضا ابن السيّد محمّد ابن السيد محمّد كاظم: 11</w:t>
      </w:r>
    </w:p>
    <w:p>
      <w:pPr>
        <w:pStyle w:val="BookText"/>
      </w:pPr>
      <w:r>
        <w:rPr>
          <w:rFonts w:ascii="IRNazanin" w:hAnsi="IRNazanin" w:eastAsia="IRNazanin" w:cs="IRNazanin"/>
          <w:lang w:bidi="fa-IR"/>
          <w:color w:val="111111"/>
          <w:sz w:val="28"/>
          <w:szCs w:val="28"/>
          <w:rtl/>
        </w:rPr>
        <w:t xml:space="preserve">الطباطبائي الیزدي، السيد عبدالعظيم: 7، 9، 11، 16، 32، 582</w:t>
      </w:r>
    </w:p>
    <w:p>
      <w:pPr>
        <w:pStyle w:val="BookText"/>
      </w:pPr>
      <w:r>
        <w:rPr>
          <w:rFonts w:ascii="IRNazanin" w:hAnsi="IRNazanin" w:eastAsia="IRNazanin" w:cs="IRNazanin"/>
          <w:lang w:bidi="fa-IR"/>
          <w:color w:val="111111"/>
          <w:sz w:val="28"/>
          <w:szCs w:val="28"/>
          <w:rtl/>
        </w:rPr>
        <w:t xml:space="preserve">الطباطبائي الیزدي، السید عبدالعزیز: 5</w:t>
      </w:r>
    </w:p>
    <w:p>
      <w:pPr>
        <w:pStyle w:val="BookText"/>
      </w:pPr>
      <w:r>
        <w:rPr>
          <w:rFonts w:ascii="IRNazanin" w:hAnsi="IRNazanin" w:eastAsia="IRNazanin" w:cs="IRNazanin"/>
          <w:lang w:bidi="fa-IR"/>
          <w:color w:val="111111"/>
          <w:sz w:val="28"/>
          <w:szCs w:val="28"/>
          <w:rtl/>
        </w:rPr>
        <w:t xml:space="preserve">الطباطبائي الیزدي، السید علي: 5</w:t>
      </w:r>
    </w:p>
    <w:p>
      <w:pPr>
        <w:pStyle w:val="BookText"/>
      </w:pPr>
      <w:r>
        <w:rPr>
          <w:rFonts w:ascii="IRNazanin" w:hAnsi="IRNazanin" w:eastAsia="IRNazanin" w:cs="IRNazanin"/>
          <w:lang w:bidi="fa-IR"/>
          <w:color w:val="111111"/>
          <w:sz w:val="28"/>
          <w:szCs w:val="28"/>
          <w:rtl/>
        </w:rPr>
        <w:t xml:space="preserve">الباطبائي الیزدي، السید محمّد: 5</w:t>
      </w:r>
    </w:p>
    <w:p>
      <w:pPr>
        <w:pStyle w:val="BookText"/>
      </w:pPr>
      <w:r>
        <w:rPr>
          <w:rFonts w:ascii="Amiri" w:hAnsi="Amiri" w:eastAsia="Amiri" w:cs="Amiri"/>
          <w:lang w:bidi="ar-SA"/>
          <w:color w:val="111111"/>
          <w:sz w:val="28"/>
          <w:szCs w:val="28"/>
          <w:rtl/>
        </w:rPr>
        <w:t xml:space="preserve">الطباطبائي اليزدي، السيد محمد كاظم: 3، 4، 5، 9، 10، 11، 13، 14، 15، 27، 29، 32، 582</w:t>
      </w:r>
    </w:p>
    <w:p>
      <w:pPr>
        <w:pStyle w:val="BookText"/>
      </w:pPr>
      <w:r>
        <w:rPr>
          <w:rFonts w:ascii="IRNazanin" w:hAnsi="IRNazanin" w:eastAsia="IRNazanin" w:cs="IRNazanin"/>
          <w:lang w:bidi="fa-IR"/>
          <w:color w:val="111111"/>
          <w:sz w:val="28"/>
          <w:szCs w:val="28"/>
          <w:rtl/>
        </w:rPr>
        <w:t xml:space="preserve">الطهراني، محمّدمحسن (آقا بزرگ): 9، 16</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العراقي، ضیاء الدین (المحقّق العراقي): 405</w:t>
      </w:r>
    </w:p>
    <w:p>
      <w:pPr>
        <w:pStyle w:val="BookText"/>
      </w:pPr>
      <w:r>
        <w:rPr>
          <w:rFonts w:ascii="Amiri" w:hAnsi="Amiri" w:eastAsia="Amiri" w:cs="Amiri"/>
          <w:lang w:bidi="ar-SA"/>
          <w:color w:val="111111"/>
          <w:sz w:val="28"/>
          <w:szCs w:val="28"/>
          <w:rtl/>
        </w:rPr>
        <w:t xml:space="preserve">العضدي، عبدالرحمن بن أحمد الشافعي: 36، 70، 130، 131</w:t>
      </w:r>
    </w:p>
    <w:p>
      <w:pPr>
        <w:pStyle w:val="BookText"/>
      </w:pPr>
      <w:r>
        <w:rPr>
          <w:rFonts w:ascii="IRNazanin" w:hAnsi="IRNazanin" w:eastAsia="IRNazanin" w:cs="IRNazanin"/>
          <w:lang w:bidi="fa-IR"/>
          <w:color w:val="111111"/>
          <w:sz w:val="28"/>
          <w:szCs w:val="28"/>
          <w:rtl/>
        </w:rPr>
        <w:t xml:space="preserve">العلّامة الحلّي، حسن بن یوسف: 219، 372، 516، 541، 542، 555، 574</w:t>
      </w:r>
    </w:p>
    <w:p>
      <w:pPr>
        <w:pStyle w:val="BookText"/>
      </w:pPr>
      <w:r>
        <w:rPr>
          <w:rFonts w:ascii="IRNazanin" w:hAnsi="IRNazanin" w:eastAsia="IRNazanin" w:cs="IRNazanin"/>
          <w:lang w:bidi="fa-IR"/>
          <w:color w:val="111111"/>
          <w:sz w:val="28"/>
          <w:szCs w:val="28"/>
          <w:rtl/>
        </w:rPr>
        <w:t xml:space="preserve">العلّامة الفاني، السیّد علي: 17</w:t>
      </w:r>
    </w:p>
    <w:p>
      <w:pPr>
        <w:pStyle w:val="BookText"/>
      </w:pPr>
      <w:r>
        <w:rPr>
          <w:rFonts w:ascii="Amiri" w:hAnsi="Amiri" w:eastAsia="Amiri" w:cs="Amiri"/>
          <w:lang w:bidi="ar-SA"/>
          <w:color w:val="111111"/>
          <w:sz w:val="28"/>
          <w:szCs w:val="28"/>
          <w:rtl/>
        </w:rPr>
        <w:t xml:space="preserve">العّلامة المجلسي، محمّدباقر بن محمّدتقي: 222، 226، 557</w:t>
      </w: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الغراوي، رافد: 18</w:t>
      </w:r>
    </w:p>
    <w:p>
      <w:pPr>
        <w:pStyle w:val="BookText"/>
      </w:pPr>
      <w:r>
        <w:rPr>
          <w:rFonts w:ascii="Amiri" w:hAnsi="Amiri" w:eastAsia="Amiri" w:cs="Amiri"/>
          <w:lang w:bidi="ar-SA"/>
          <w:color w:val="111111"/>
          <w:sz w:val="28"/>
          <w:szCs w:val="28"/>
          <w:rtl/>
        </w:rPr>
        <w:t xml:space="preserve">الغراوي، محمّدرضا: 18</w:t>
      </w:r>
    </w:p>
    <w:p>
      <w:pPr>
        <w:pStyle w:val="BookText"/>
      </w:pPr>
      <w:r>
        <w:rPr>
          <w:rFonts w:ascii="Amiri" w:hAnsi="Amiri" w:eastAsia="Amiri" w:cs="Amiri"/>
          <w:lang w:bidi="ar-SA"/>
          <w:color w:val="111111"/>
          <w:sz w:val="28"/>
          <w:szCs w:val="28"/>
          <w:rtl/>
        </w:rPr>
        <w:t xml:space="preserve">الغزالي: 517</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الفضل بن شاذان: 222، 223، 225</w:t>
      </w: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القائیني، محمّدعلي: 15</w:t>
      </w:r>
    </w:p>
    <w:p>
      <w:pPr>
        <w:pStyle w:val="BookText"/>
      </w:pPr>
      <w:r>
        <w:rPr>
          <w:rFonts w:ascii="Amiri" w:hAnsi="Amiri" w:eastAsia="Amiri" w:cs="Amiri"/>
          <w:lang w:bidi="ar-SA"/>
          <w:color w:val="111111"/>
          <w:sz w:val="28"/>
          <w:szCs w:val="28"/>
          <w:rtl/>
        </w:rPr>
        <w:t xml:space="preserve">القاضي نور الله الشوشتري: 219</w:t>
      </w:r>
    </w:p>
    <w:p>
      <w:pPr>
        <w:pStyle w:val="BookText"/>
      </w:pPr>
      <w:r>
        <w:rPr>
          <w:rFonts w:ascii="IRNazanin" w:hAnsi="IRNazanin" w:eastAsia="IRNazanin" w:cs="IRNazanin"/>
          <w:lang w:bidi="fa-IR"/>
          <w:color w:val="111111"/>
          <w:sz w:val="28"/>
          <w:szCs w:val="28"/>
          <w:rtl/>
        </w:rPr>
        <w:t xml:space="preserve">القزویني، محمّدحسن: 16</w:t>
      </w:r>
    </w:p>
    <w:p>
      <w:pPr>
        <w:pStyle w:val="BookText"/>
      </w:pPr>
      <w:r>
        <w:rPr>
          <w:rFonts w:ascii="Amiri" w:hAnsi="Amiri" w:eastAsia="Amiri" w:cs="Amiri"/>
          <w:lang w:bidi="ar-SA"/>
          <w:color w:val="111111"/>
          <w:sz w:val="28"/>
          <w:szCs w:val="28"/>
          <w:rtl/>
        </w:rPr>
        <w:t xml:space="preserve">القمي، عباس: 13</w:t>
      </w:r>
    </w:p>
    <w:p>
      <w:pPr>
        <w:pStyle w:val="BookText"/>
      </w:pPr>
      <w:r>
        <w:rPr>
          <w:rFonts w:ascii="Amiri" w:hAnsi="Amiri" w:eastAsia="Amiri" w:cs="Amiri"/>
          <w:lang w:bidi="ar-SA"/>
          <w:color w:val="111111"/>
          <w:sz w:val="28"/>
          <w:szCs w:val="28"/>
          <w:rtl/>
        </w:rPr>
        <w:t xml:space="preserve">القمشئي الإصفهاني، محمّدتقي: 14</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الكاشاني، محمّدمهدي: 18، 583</w:t>
      </w:r>
    </w:p>
    <w:p>
      <w:pPr>
        <w:pStyle w:val="BookText"/>
      </w:pPr>
      <w:r>
        <w:rPr>
          <w:rFonts w:ascii="IRNazanin" w:hAnsi="IRNazanin" w:eastAsia="IRNazanin" w:cs="IRNazanin"/>
          <w:lang w:bidi="fa-IR"/>
          <w:color w:val="111111"/>
          <w:sz w:val="28"/>
          <w:szCs w:val="28"/>
          <w:rtl/>
        </w:rPr>
        <w:t xml:space="preserve">کاشف الغطاء، أحمد: 15کاشف الغطاء، جعفر بن خضر النجفي (الأستاد الأكبر): 15، 576</w:t>
      </w:r>
    </w:p>
    <w:p>
      <w:pPr>
        <w:pStyle w:val="BookText"/>
      </w:pPr>
      <w:r>
        <w:rPr>
          <w:rFonts w:ascii="IRNazanin" w:hAnsi="IRNazanin" w:eastAsia="IRNazanin" w:cs="IRNazanin"/>
          <w:lang w:bidi="fa-IR"/>
          <w:color w:val="111111"/>
          <w:sz w:val="28"/>
          <w:szCs w:val="28"/>
          <w:rtl/>
        </w:rPr>
        <w:t xml:space="preserve">كاشف الغطاء، مهدي بن علي بن جعفر کاشف الغطاء (مهدي الجعفري): 8، 12، 13، 15</w:t>
      </w:r>
    </w:p>
    <w:p>
      <w:pPr>
        <w:pStyle w:val="BookText"/>
      </w:pPr>
      <w:r>
        <w:rPr>
          <w:rFonts w:ascii="IRNazanin" w:hAnsi="IRNazanin" w:eastAsia="IRNazanin" w:cs="IRNazanin"/>
          <w:lang w:bidi="fa-IR"/>
          <w:color w:val="111111"/>
          <w:sz w:val="28"/>
          <w:szCs w:val="28"/>
          <w:rtl/>
        </w:rPr>
        <w:t xml:space="preserve">کاشف الغطاء، محمّدحسین: 15</w:t>
      </w:r>
    </w:p>
    <w:p>
      <w:pPr>
        <w:pStyle w:val="BookText"/>
      </w:pPr>
      <w:r>
        <w:rPr>
          <w:rFonts w:ascii="Amiri" w:hAnsi="Amiri" w:eastAsia="Amiri" w:cs="Amiri"/>
          <w:lang w:bidi="ar-SA"/>
          <w:color w:val="111111"/>
          <w:sz w:val="28"/>
          <w:szCs w:val="28"/>
          <w:rtl/>
        </w:rPr>
        <w:t xml:space="preserve">كاشف اللثام، محمّد بن الحسن الإصفهاني (الفاضل الهندي): 563، 565</w:t>
      </w:r>
    </w:p>
    <w:p>
      <w:pPr>
        <w:pStyle w:val="BookText"/>
      </w:pPr>
      <w:r>
        <w:rPr>
          <w:rFonts w:ascii="IRNazanin" w:hAnsi="IRNazanin" w:eastAsia="IRNazanin" w:cs="IRNazanin"/>
          <w:lang w:bidi="fa-IR"/>
          <w:color w:val="111111"/>
          <w:sz w:val="28"/>
          <w:szCs w:val="28"/>
          <w:rtl/>
        </w:rPr>
        <w:t xml:space="preserve">الکشفي، السیّد جعفر الحجة: 17</w:t>
      </w:r>
    </w:p>
    <w:p>
      <w:pPr>
        <w:pStyle w:val="BookText"/>
      </w:pPr>
      <w:r>
        <w:rPr>
          <w:rFonts w:ascii="IRNazanin" w:hAnsi="IRNazanin" w:eastAsia="IRNazanin" w:cs="IRNazanin"/>
          <w:lang w:bidi="fa-IR"/>
          <w:color w:val="111111"/>
          <w:sz w:val="28"/>
          <w:szCs w:val="28"/>
          <w:rtl/>
        </w:rPr>
        <w:t xml:space="preserve">الکعبي: 487</w:t>
      </w:r>
    </w:p>
    <w:p>
      <w:pPr>
        <w:pStyle w:val="BookText"/>
      </w:pPr>
      <w:r>
        <w:rPr>
          <w:rFonts w:ascii="IRNazanin" w:hAnsi="IRNazanin" w:eastAsia="IRNazanin" w:cs="IRNazanin"/>
          <w:lang w:bidi="fa-IR"/>
          <w:color w:val="111111"/>
          <w:sz w:val="28"/>
          <w:szCs w:val="28"/>
          <w:rtl/>
        </w:rPr>
        <w:t xml:space="preserve">کمیل: 193</w:t>
      </w:r>
    </w:p>
    <w:p>
      <w:pPr>
        <w:pStyle w:val="BookText"/>
      </w:pPr>
      <w:r>
        <w:rPr>
          <w:rFonts w:ascii="IRNazanin" w:hAnsi="IRNazanin" w:eastAsia="IRNazanin" w:cs="IRNazanin"/>
          <w:lang w:bidi="fa-IR"/>
          <w:color w:val="111111"/>
          <w:sz w:val="28"/>
          <w:szCs w:val="28"/>
          <w:rtl/>
        </w:rPr>
        <w:t xml:space="preserve">الکلباسي، المیرزا أبوالهدی: 15</w:t>
      </w:r>
    </w:p>
    <w:p>
      <w:pPr>
        <w:pStyle w:val="BookText"/>
      </w:pPr>
      <w:r>
        <w:rPr>
          <w:rFonts w:ascii="IRNazanin" w:hAnsi="IRNazanin" w:eastAsia="IRNazanin" w:cs="IRNazanin"/>
          <w:lang w:bidi="fa-IR"/>
          <w:color w:val="111111"/>
          <w:sz w:val="28"/>
          <w:szCs w:val="28"/>
          <w:rtl/>
        </w:rPr>
        <w:t xml:space="preserve">الکليني، محمّد بن یعقوب: 222</w:t>
      </w:r>
    </w:p>
    <w:p>
      <w:pPr>
        <w:pStyle w:val="BookText"/>
      </w:pPr>
      <w:r>
        <w:rPr>
          <w:rFonts w:ascii="IRNazanin" w:hAnsi="IRNazanin" w:eastAsia="IRNazanin" w:cs="IRNazanin"/>
          <w:lang w:bidi="fa-IR"/>
          <w:color w:val="111111"/>
          <w:sz w:val="28"/>
          <w:szCs w:val="28"/>
          <w:rtl/>
        </w:rPr>
        <w:t xml:space="preserve">الکوکبي، السیّد أبوالقاسم: 17</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اللاري، السیّد عبدالحسین: 138</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المامقاني، عبدالله: 10</w:t>
      </w:r>
    </w:p>
    <w:p>
      <w:pPr>
        <w:pStyle w:val="BookText"/>
      </w:pPr>
      <w:r>
        <w:rPr>
          <w:rFonts w:ascii="Amiri" w:hAnsi="Amiri" w:eastAsia="Amiri" w:cs="Amiri"/>
          <w:lang w:bidi="ar-SA"/>
          <w:color w:val="111111"/>
          <w:sz w:val="28"/>
          <w:szCs w:val="28"/>
          <w:rtl/>
        </w:rPr>
        <w:t xml:space="preserve">المجتهدي، أحمد: 16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المحقّق الإصفهاني، محمدحسین: 411</w:t>
      </w:r>
    </w:p>
    <w:p>
      <w:pPr>
        <w:pStyle w:val="BookText"/>
      </w:pPr>
      <w:r>
        <w:rPr>
          <w:rFonts w:ascii="IRNazanin" w:hAnsi="IRNazanin" w:eastAsia="IRNazanin" w:cs="IRNazanin"/>
          <w:lang w:bidi="fa-IR"/>
          <w:color w:val="111111"/>
          <w:sz w:val="28"/>
          <w:szCs w:val="28"/>
          <w:rtl/>
        </w:rPr>
        <w:t xml:space="preserve">المحقّق الثاني، علي بن الحسین الکرکي: 549</w:t>
      </w:r>
    </w:p>
    <w:p>
      <w:pPr>
        <w:pStyle w:val="BookText"/>
      </w:pPr>
      <w:r>
        <w:rPr>
          <w:rFonts w:ascii="Amiri" w:hAnsi="Amiri" w:eastAsia="Amiri" w:cs="Amiri"/>
          <w:lang w:bidi="ar-SA"/>
          <w:color w:val="111111"/>
          <w:sz w:val="28"/>
          <w:szCs w:val="28"/>
          <w:rtl/>
        </w:rPr>
        <w:t xml:space="preserve">المحقّق الحلّي، جعفر بن الحسن: 224، 563</w:t>
      </w:r>
    </w:p>
    <w:p>
      <w:pPr>
        <w:pStyle w:val="BookText"/>
      </w:pPr>
      <w:r>
        <w:rPr>
          <w:rFonts w:ascii="Amiri" w:hAnsi="Amiri" w:eastAsia="Amiri" w:cs="Amiri"/>
          <w:lang w:bidi="ar-SA"/>
          <w:color w:val="111111"/>
          <w:sz w:val="28"/>
          <w:szCs w:val="28"/>
          <w:rtl/>
        </w:rPr>
        <w:t xml:space="preserve">المحقّق الداماد، السیّد محمّدباقر: 301</w:t>
      </w:r>
    </w:p>
    <w:p>
      <w:pPr>
        <w:pStyle w:val="BookText"/>
      </w:pPr>
      <w:r>
        <w:rPr>
          <w:rFonts w:ascii="IRNazanin" w:hAnsi="IRNazanin" w:eastAsia="IRNazanin" w:cs="IRNazanin"/>
          <w:lang w:bidi="fa-IR"/>
          <w:color w:val="111111"/>
          <w:sz w:val="28"/>
          <w:szCs w:val="28"/>
          <w:rtl/>
        </w:rPr>
        <w:t xml:space="preserve">المحقّق الشیرواني، محمّد بن الحسن (ملّامیرزا): 48</w:t>
      </w:r>
    </w:p>
    <w:p>
      <w:pPr>
        <w:pStyle w:val="BookText"/>
      </w:pPr>
      <w:r>
        <w:rPr>
          <w:rFonts w:ascii="IRNazanin" w:hAnsi="IRNazanin" w:eastAsia="IRNazanin" w:cs="IRNazanin"/>
          <w:lang w:bidi="fa-IR"/>
          <w:color w:val="111111"/>
          <w:sz w:val="28"/>
          <w:szCs w:val="28"/>
          <w:rtl/>
        </w:rPr>
        <w:t xml:space="preserve">المحقّق القمي، المیرزا أبوالقاسم (صاحب القوانین): 35، 60، 130، 131، 159، 162، 163، 164، 172، 221، 232، 233، 294، 296، 298، 332، 334، 335، 447، 514، 515</w:t>
      </w:r>
    </w:p>
    <w:p>
      <w:pPr>
        <w:pStyle w:val="BookText"/>
      </w:pPr>
      <w:r>
        <w:rPr>
          <w:rFonts w:ascii="Amiri" w:hAnsi="Amiri" w:eastAsia="Amiri" w:cs="Amiri"/>
          <w:lang w:bidi="ar-SA"/>
          <w:color w:val="111111"/>
          <w:sz w:val="28"/>
          <w:szCs w:val="28"/>
          <w:rtl/>
        </w:rPr>
        <w:t xml:space="preserve">المختاري، رضا: 19</w:t>
      </w:r>
    </w:p>
    <w:p>
      <w:pPr>
        <w:pStyle w:val="BookText"/>
      </w:pPr>
      <w:r>
        <w:rPr>
          <w:rFonts w:ascii="Amiri" w:hAnsi="Amiri" w:eastAsia="Amiri" w:cs="Amiri"/>
          <w:lang w:bidi="ar-SA"/>
          <w:color w:val="111111"/>
          <w:sz w:val="28"/>
          <w:szCs w:val="28"/>
          <w:rtl/>
        </w:rPr>
        <w:t xml:space="preserve">مستجاب الدعواتي، السيّد مرتضى: 17</w:t>
      </w:r>
    </w:p>
    <w:p>
      <w:pPr>
        <w:pStyle w:val="BookText"/>
      </w:pPr>
      <w:r>
        <w:rPr>
          <w:rFonts w:ascii="Amiri" w:hAnsi="Amiri" w:eastAsia="Amiri" w:cs="Amiri"/>
          <w:lang w:bidi="ar-SA"/>
          <w:color w:val="111111"/>
          <w:sz w:val="28"/>
          <w:szCs w:val="28"/>
          <w:rtl/>
        </w:rPr>
        <w:t xml:space="preserve">معرفت، محمّدهادي: 17</w:t>
      </w:r>
    </w:p>
    <w:p>
      <w:pPr>
        <w:pStyle w:val="BookText"/>
      </w:pPr>
      <w:r>
        <w:rPr>
          <w:rFonts w:ascii="IRNazanin" w:hAnsi="IRNazanin" w:eastAsia="IRNazanin" w:cs="IRNazanin"/>
          <w:lang w:bidi="fa-IR"/>
          <w:color w:val="111111"/>
          <w:sz w:val="28"/>
          <w:szCs w:val="28"/>
          <w:rtl/>
        </w:rPr>
        <w:t xml:space="preserve">المعموري النجفي، نبیل: 17، 18</w:t>
      </w:r>
    </w:p>
    <w:p>
      <w:pPr>
        <w:pStyle w:val="BookText"/>
      </w:pPr>
      <w:r>
        <w:rPr>
          <w:rFonts w:ascii="IRNazanin" w:hAnsi="IRNazanin" w:eastAsia="IRNazanin" w:cs="IRNazanin"/>
          <w:lang w:bidi="fa-IR"/>
          <w:color w:val="111111"/>
          <w:sz w:val="28"/>
          <w:szCs w:val="28"/>
          <w:rtl/>
        </w:rPr>
        <w:t xml:space="preserve">المکارم الشیرازي، ناصر: 17</w:t>
      </w:r>
    </w:p>
    <w:p>
      <w:pPr>
        <w:pStyle w:val="BookText"/>
      </w:pPr>
      <w:r>
        <w:rPr>
          <w:rFonts w:ascii="IRNazanin" w:hAnsi="IRNazanin" w:eastAsia="IRNazanin" w:cs="IRNazanin"/>
          <w:lang w:bidi="fa-IR"/>
          <w:color w:val="111111"/>
          <w:sz w:val="28"/>
          <w:szCs w:val="28"/>
          <w:rtl/>
        </w:rPr>
        <w:t xml:space="preserve">الموسوي البهبهاني، السیّد علي: 15</w:t>
      </w:r>
    </w:p>
    <w:p>
      <w:pPr>
        <w:pStyle w:val="BookText"/>
      </w:pPr>
      <w:r>
        <w:rPr>
          <w:rFonts w:ascii="IRNazanin" w:hAnsi="IRNazanin" w:eastAsia="IRNazanin" w:cs="IRNazanin"/>
          <w:lang w:bidi="fa-IR"/>
          <w:color w:val="111111"/>
          <w:sz w:val="28"/>
          <w:szCs w:val="28"/>
          <w:rtl/>
        </w:rPr>
        <w:t xml:space="preserve">الموسوي الخمیني، السید روح الله: 230</w:t>
      </w:r>
    </w:p>
    <w:p>
      <w:pPr>
        <w:pStyle w:val="BookText"/>
      </w:pPr>
      <w:r>
        <w:rPr>
          <w:rFonts w:ascii="IRNazanin" w:hAnsi="IRNazanin" w:eastAsia="IRNazanin" w:cs="IRNazanin"/>
          <w:lang w:bidi="fa-IR"/>
          <w:color w:val="111111"/>
          <w:sz w:val="28"/>
          <w:szCs w:val="28"/>
          <w:rtl/>
        </w:rPr>
        <w:t xml:space="preserve">الموسوي الخلخالي، السیّد فاضل: 573</w:t>
      </w:r>
    </w:p>
    <w:p>
      <w:pPr>
        <w:pStyle w:val="BookText"/>
      </w:pPr>
      <w:r>
        <w:rPr>
          <w:rFonts w:ascii="IRNazanin" w:hAnsi="IRNazanin" w:eastAsia="IRNazanin" w:cs="IRNazanin"/>
          <w:lang w:bidi="fa-IR"/>
          <w:color w:val="111111"/>
          <w:sz w:val="28"/>
          <w:szCs w:val="28"/>
          <w:rtl/>
        </w:rPr>
        <w:t xml:space="preserve">الموسوي الخلخالي، السیّد محمّد: 573</w:t>
      </w:r>
    </w:p>
    <w:p>
      <w:pPr>
        <w:pStyle w:val="BookText"/>
      </w:pPr>
      <w:r>
        <w:rPr>
          <w:rFonts w:ascii="IRNazanin" w:hAnsi="IRNazanin" w:eastAsia="IRNazanin" w:cs="IRNazanin"/>
          <w:lang w:bidi="fa-IR"/>
          <w:color w:val="111111"/>
          <w:sz w:val="28"/>
          <w:szCs w:val="28"/>
          <w:rtl/>
        </w:rPr>
        <w:t xml:space="preserve">الموسوي الخلخالي، السیّد محمّد مهدي: 573</w:t>
      </w:r>
    </w:p>
    <w:p>
      <w:pPr>
        <w:pStyle w:val="BookText"/>
      </w:pPr>
      <w:r>
        <w:rPr>
          <w:rFonts w:ascii="IRNazanin" w:hAnsi="IRNazanin" w:eastAsia="IRNazanin" w:cs="IRNazanin"/>
          <w:lang w:bidi="fa-IR"/>
          <w:color w:val="111111"/>
          <w:sz w:val="28"/>
          <w:szCs w:val="28"/>
          <w:rtl/>
        </w:rPr>
        <w:t xml:space="preserve">الموسوي الخوئي، السّید أبوالقاسم: 17، 573</w:t>
      </w:r>
    </w:p>
    <w:p>
      <w:pPr>
        <w:pStyle w:val="BookText"/>
      </w:pPr>
      <w:r>
        <w:rPr>
          <w:rFonts w:ascii="IRNazanin" w:hAnsi="IRNazanin" w:eastAsia="IRNazanin" w:cs="IRNazanin"/>
          <w:lang w:bidi="fa-IR"/>
          <w:color w:val="111111"/>
          <w:sz w:val="28"/>
          <w:szCs w:val="28"/>
          <w:rtl/>
        </w:rPr>
        <w:t xml:space="preserve">الموسوي الطهراني، السیّد رسول: 16</w:t>
      </w: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النائیني، محمّدحسین: 238</w:t>
      </w:r>
    </w:p>
    <w:p>
      <w:pPr>
        <w:pStyle w:val="BookText"/>
      </w:pPr>
      <w:r>
        <w:rPr>
          <w:rFonts w:ascii="IRNazanin" w:hAnsi="IRNazanin" w:eastAsia="IRNazanin" w:cs="IRNazanin"/>
          <w:lang w:bidi="fa-IR"/>
          <w:color w:val="111111"/>
          <w:sz w:val="28"/>
          <w:szCs w:val="28"/>
          <w:rtl/>
        </w:rPr>
        <w:t xml:space="preserve">النجف آبادي، السیّد علي: 15</w:t>
      </w:r>
    </w:p>
    <w:p>
      <w:pPr>
        <w:pStyle w:val="BookText"/>
      </w:pPr>
      <w:r>
        <w:rPr>
          <w:rFonts w:ascii="Amiri" w:hAnsi="Amiri" w:eastAsia="Amiri" w:cs="Amiri"/>
          <w:lang w:bidi="ar-SA"/>
          <w:color w:val="111111"/>
          <w:sz w:val="28"/>
          <w:szCs w:val="28"/>
          <w:rtl/>
        </w:rPr>
        <w:t xml:space="preserve">النجفي، راضي: 6، 10، 12، 13، 14النجفي الإصفهاني، محمّدباقر بن محمّدتقي: 6، 7، 9، 11، 13، 14</w:t>
      </w:r>
    </w:p>
    <w:p>
      <w:pPr>
        <w:pStyle w:val="BookText"/>
      </w:pPr>
      <w:r>
        <w:rPr>
          <w:rFonts w:ascii="Amiri" w:hAnsi="Amiri" w:eastAsia="Amiri" w:cs="Amiri"/>
          <w:lang w:bidi="ar-SA"/>
          <w:color w:val="111111"/>
          <w:sz w:val="28"/>
          <w:szCs w:val="28"/>
          <w:rtl/>
        </w:rPr>
        <w:t xml:space="preserve">النجفي الإصفهاني، محمّدتقي (آقانجفي): 7، 9</w:t>
      </w:r>
    </w:p>
    <w:p>
      <w:pPr>
        <w:pStyle w:val="BookText"/>
      </w:pPr>
      <w:r>
        <w:rPr>
          <w:rFonts w:ascii="IRNazanin" w:hAnsi="IRNazanin" w:eastAsia="IRNazanin" w:cs="IRNazanin"/>
          <w:lang w:bidi="fa-IR"/>
          <w:color w:val="111111"/>
          <w:sz w:val="28"/>
          <w:szCs w:val="28"/>
          <w:rtl/>
        </w:rPr>
        <w:t xml:space="preserve">النجفي الإصفهاني، محمدحسين (صاحب التفسیر): 7</w:t>
      </w:r>
    </w:p>
    <w:p>
      <w:pPr>
        <w:pStyle w:val="BookText"/>
      </w:pPr>
      <w:r>
        <w:rPr>
          <w:rFonts w:ascii="Amiri" w:hAnsi="Amiri" w:eastAsia="Amiri" w:cs="Amiri"/>
          <w:lang w:bidi="ar-SA"/>
          <w:color w:val="111111"/>
          <w:sz w:val="28"/>
          <w:szCs w:val="28"/>
          <w:rtl/>
        </w:rPr>
        <w:t xml:space="preserve">النجفي الإصفهاني، محمّدرضا: 15</w:t>
      </w:r>
    </w:p>
    <w:p>
      <w:pPr>
        <w:pStyle w:val="BookText"/>
      </w:pPr>
      <w:r>
        <w:rPr>
          <w:rFonts w:ascii="Amiri" w:hAnsi="Amiri" w:eastAsia="Amiri" w:cs="Amiri"/>
          <w:lang w:bidi="ar-SA"/>
          <w:color w:val="111111"/>
          <w:sz w:val="28"/>
          <w:szCs w:val="28"/>
          <w:rtl/>
        </w:rPr>
        <w:t xml:space="preserve">النجفي الإصفهاني، محمّدعلي: 7</w:t>
      </w:r>
    </w:p>
    <w:p>
      <w:pPr>
        <w:pStyle w:val="BookText"/>
      </w:pPr>
      <w:r>
        <w:rPr>
          <w:rFonts w:ascii="Amiri" w:hAnsi="Amiri" w:eastAsia="Amiri" w:cs="Amiri"/>
          <w:lang w:bidi="ar-SA"/>
          <w:color w:val="111111"/>
          <w:sz w:val="28"/>
          <w:szCs w:val="28"/>
          <w:rtl/>
        </w:rPr>
        <w:t xml:space="preserve">النجفي الإصفهاني، مهدي: 15</w:t>
      </w:r>
    </w:p>
    <w:p>
      <w:pPr>
        <w:pStyle w:val="BookText"/>
      </w:pPr>
      <w:r>
        <w:rPr>
          <w:rFonts w:ascii="Amiri" w:hAnsi="Amiri" w:eastAsia="Amiri" w:cs="Amiri"/>
          <w:lang w:bidi="ar-SA"/>
          <w:color w:val="111111"/>
          <w:sz w:val="28"/>
          <w:szCs w:val="28"/>
          <w:rtl/>
        </w:rPr>
        <w:t xml:space="preserve">النجفي، هادي: 594</w:t>
      </w:r>
    </w:p>
    <w:p>
      <w:pPr>
        <w:pStyle w:val="BookText"/>
      </w:pPr>
      <w:r>
        <w:rPr>
          <w:rFonts w:ascii="IRNazanin" w:hAnsi="IRNazanin" w:eastAsia="IRNazanin" w:cs="IRNazanin"/>
          <w:lang w:bidi="fa-IR"/>
          <w:color w:val="111111"/>
          <w:sz w:val="28"/>
          <w:szCs w:val="28"/>
          <w:rtl/>
        </w:rPr>
        <w:t xml:space="preserve">نصر آزاداني، تهمینه: 18</w:t>
      </w:r>
    </w:p>
    <w:p>
      <w:pPr>
        <w:pStyle w:val="BookText"/>
      </w:pPr>
      <w:r>
        <w:rPr>
          <w:rFonts w:ascii="Amiri" w:hAnsi="Amiri" w:eastAsia="Amiri" w:cs="Amiri"/>
          <w:lang w:bidi="ar-SA"/>
          <w:color w:val="111111"/>
          <w:sz w:val="28"/>
          <w:szCs w:val="28"/>
          <w:rtl/>
        </w:rPr>
        <w:t xml:space="preserve">النراقي، أبوالقاسم: 16</w:t>
      </w:r>
    </w:p>
    <w:p>
      <w:pPr>
        <w:pStyle w:val="BookText"/>
      </w:pPr>
      <w:r>
        <w:rPr>
          <w:rFonts w:ascii="Amiri" w:hAnsi="Amiri" w:eastAsia="Amiri" w:cs="Amiri"/>
          <w:lang w:bidi="ar-SA"/>
          <w:color w:val="111111"/>
          <w:sz w:val="28"/>
          <w:szCs w:val="28"/>
          <w:rtl/>
        </w:rPr>
        <w:t xml:space="preserve">النراقي، أحمد: 71، 106، 147، 165، 170، 236، 370</w:t>
      </w:r>
    </w:p>
    <w:p>
      <w:pPr>
        <w:pStyle w:val="BookText"/>
      </w:pPr>
      <w:r>
        <w:rPr>
          <w:rFonts w:ascii="Amiri" w:hAnsi="Amiri" w:eastAsia="Amiri" w:cs="Amiri"/>
          <w:lang w:bidi="ar-SA"/>
          <w:color w:val="111111"/>
          <w:sz w:val="28"/>
          <w:szCs w:val="28"/>
          <w:rtl/>
        </w:rPr>
        <w:t xml:space="preserve">النراقي، مهدي: 34، 219</w:t>
      </w:r>
    </w:p>
    <w:p>
      <w:pPr>
        <w:pStyle w:val="BookText"/>
      </w:pPr>
      <w:r>
        <w:rPr>
          <w:rFonts w:ascii="IRNazanin" w:hAnsi="IRNazanin" w:eastAsia="IRNazanin" w:cs="IRNazanin"/>
          <w:lang w:bidi="fa-IR"/>
          <w:color w:val="111111"/>
          <w:sz w:val="28"/>
          <w:szCs w:val="28"/>
          <w:rtl/>
        </w:rPr>
        <w:t xml:space="preserve">نوّاب رامپور، السيّد محمّدحامد خان: 11</w:t>
      </w:r>
    </w:p>
    <w:p>
      <w:pPr>
        <w:pStyle w:val="BookText"/>
      </w:pPr>
      <w:r>
        <w:rPr>
          <w:rFonts w:ascii="Amiri" w:hAnsi="Amiri" w:eastAsia="Amiri" w:cs="Amiri"/>
          <w:lang w:bidi="ar-SA"/>
          <w:color w:val="111111"/>
          <w:sz w:val="28"/>
          <w:szCs w:val="28"/>
          <w:rtl/>
        </w:rPr>
        <w:t xml:space="preserve">النوّاب عبدالكريم خان: 11</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الوحيد البهبهاني، محمّدباقر: 15، 293</w:t>
      </w:r>
    </w:p>
    <w:p>
      <w:pPr>
        <w:pStyle w:val="BookText"/>
      </w:pPr>
      <w:r>
        <w:rPr>
          <w:rFonts w:ascii="IRNazanin" w:hAnsi="IRNazanin" w:eastAsia="IRNazanin" w:cs="IRNazanin"/>
          <w:lang w:bidi="fa-IR"/>
          <w:color w:val="111111"/>
          <w:sz w:val="28"/>
          <w:szCs w:val="28"/>
          <w:rtl/>
        </w:rPr>
        <w:t xml:space="preserve">الوحید الخراساني، حسین: 17</w:t>
      </w:r>
    </w:p>
    <w:p>
      <w:pPr>
        <w:pStyle w:val="BookText"/>
      </w:pPr>
      <w:r>
        <w:rPr>
          <w:rFonts w:ascii="IRNazanin" w:hAnsi="IRNazanin" w:eastAsia="IRNazanin" w:cs="IRNazanin"/>
          <w:lang w:bidi="fa-IR"/>
          <w:color w:val="111111"/>
          <w:sz w:val="28"/>
          <w:szCs w:val="28"/>
          <w:rtl/>
        </w:rPr>
        <w:t xml:space="preserve">الوزیري الکردستاني الیزدي، محمّد: 18</w:t>
      </w:r>
    </w:p>
    <w:p>
      <w:pPr>
        <w:pStyle w:val="BookText"/>
      </w:pPr>
      <w:r>
        <w:rPr>
          <w:rFonts w:ascii="Amiri" w:hAnsi="Amiri" w:eastAsia="Amiri" w:cs="Amiri"/>
          <w:lang w:bidi="ar-SA"/>
          <w:color w:val="111111"/>
          <w:sz w:val="28"/>
          <w:szCs w:val="28"/>
          <w:rtl/>
        </w:rPr>
        <w:t xml:space="preserve">«ي»</w:t>
      </w:r>
    </w:p>
    <w:p>
      <w:pPr>
        <w:pStyle w:val="BookText"/>
      </w:pPr>
      <w:r>
        <w:rPr>
          <w:rFonts w:ascii="Amiri" w:hAnsi="Amiri" w:eastAsia="Amiri" w:cs="Amiri"/>
          <w:lang w:bidi="ar-SA"/>
          <w:color w:val="111111"/>
          <w:sz w:val="28"/>
          <w:szCs w:val="28"/>
          <w:rtl/>
        </w:rPr>
        <w:t xml:space="preserve">يزدجرد: 7</w:t>
      </w:r>
    </w:p>
    <w:p>
      <w:pPr>
        <w:pStyle w:val="BookText"/>
      </w:pPr>
      <w:r>
        <w:rPr>
          <w:rFonts w:ascii="Amiri" w:hAnsi="Amiri" w:eastAsia="Amiri" w:cs="Amiri"/>
          <w:lang w:bidi="ar-SA"/>
          <w:color w:val="111111"/>
          <w:sz w:val="28"/>
          <w:szCs w:val="28"/>
          <w:rtl/>
        </w:rPr>
        <w:t xml:space="preserve">اليزدي، عليّ: 18، 583</w:t>
      </w:r>
    </w:p>
    <w:p>
      <w:pPr>
        <w:pStyle w:val="BookText"/>
      </w:pPr>
      <w:r>
        <w:rPr>
          <w:rFonts w:ascii="IRNazanin" w:hAnsi="IRNazanin" w:eastAsia="IRNazanin" w:cs="IRNazanin"/>
          <w:lang w:bidi="fa-IR"/>
          <w:color w:val="111111"/>
          <w:sz w:val="28"/>
          <w:szCs w:val="28"/>
          <w:rtl/>
        </w:rPr>
        <w:t xml:space="preserve">الیزدي، محمّدحسین ابن الحاجي عبدالغفور: 18</w:t>
      </w:r>
    </w:p>
    <w:p>
      <w:pPr>
        <w:pStyle w:val="BookText"/>
      </w:pPr>
      <w:r>
        <w:rPr>
          <w:rFonts w:ascii="Amiri" w:hAnsi="Amiri" w:eastAsia="Amiri" w:cs="Amiri"/>
          <w:lang w:bidi="ar-SA"/>
          <w:color w:val="111111"/>
          <w:sz w:val="28"/>
          <w:szCs w:val="28"/>
          <w:rtl/>
        </w:rPr>
        <w:t xml:space="preserve">اليزدي، ملّا حسن ابن الحاج محمّد إبراهيم ابن الحاج عبد الغفور: 11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315" w:name="pg6784_51761"/>
    <w:bookmarkEnd w:id="315"/>
    <w:p>
      <w:pPr>
        <w:pStyle w:val="Heading3"/>
      </w:pPr>
      <w:bookmarkStart w:id="867" w:name="_Toc548"/>
      <w:r>
        <w:t>فهرس الکتب والرسائل</w:t>
      </w:r>
      <w:bookmarkEnd w:id="867"/>
    </w:p>
    <w:p>
      <w:pPr>
        <w:pStyle w:val="BookText"/>
      </w:pPr>
      <w:r>
        <w:rPr>
          <w:rFonts w:ascii="IRNazanin" w:hAnsi="IRNazanin" w:eastAsia="IRNazanin" w:cs="IRNazanin"/>
          <w:lang w:bidi="fa-IR"/>
          <w:color w:val="111111"/>
          <w:sz w:val="28"/>
          <w:szCs w:val="28"/>
          <w:rtl/>
        </w:rPr>
        <w:t xml:space="preserve">القرآن الکریم: 290، 555</w:t>
      </w:r>
    </w:p>
    <w:p>
      <w:pPr>
        <w:pStyle w:val="BookText"/>
      </w:pPr>
      <w:r>
        <w:rPr>
          <w:rFonts w:ascii="IRNazanin" w:hAnsi="IRNazanin" w:eastAsia="IRNazanin" w:cs="IRNazanin"/>
          <w:lang w:bidi="fa-IR"/>
          <w:color w:val="111111"/>
          <w:sz w:val="28"/>
          <w:szCs w:val="28"/>
          <w:rtl/>
        </w:rPr>
        <w:t xml:space="preserve">«ا»</w:t>
      </w:r>
    </w:p>
    <w:p>
      <w:pPr>
        <w:pStyle w:val="BookText"/>
      </w:pPr>
      <w:r>
        <w:rPr>
          <w:rFonts w:ascii="Amiri" w:hAnsi="Amiri" w:eastAsia="Amiri" w:cs="Amiri"/>
          <w:lang w:bidi="ar-SA"/>
          <w:color w:val="111111"/>
          <w:sz w:val="28"/>
          <w:szCs w:val="28"/>
          <w:rtl/>
        </w:rPr>
        <w:t xml:space="preserve">اجتماع الأمر والنهي: 3، 5، 8، 10، 12، 29</w:t>
      </w:r>
    </w:p>
    <w:p>
      <w:pPr>
        <w:pStyle w:val="BookText"/>
      </w:pPr>
      <w:r>
        <w:rPr>
          <w:rFonts w:ascii="IRNazanin" w:hAnsi="IRNazanin" w:eastAsia="IRNazanin" w:cs="IRNazanin"/>
          <w:lang w:bidi="fa-IR"/>
          <w:color w:val="111111"/>
          <w:sz w:val="28"/>
          <w:szCs w:val="28"/>
          <w:rtl/>
        </w:rPr>
        <w:t xml:space="preserve">أحسن الودیعة: 11، 12</w:t>
      </w:r>
    </w:p>
    <w:p>
      <w:pPr>
        <w:pStyle w:val="BookText"/>
      </w:pPr>
      <w:r>
        <w:rPr>
          <w:rFonts w:ascii="IRNazanin" w:hAnsi="IRNazanin" w:eastAsia="IRNazanin" w:cs="IRNazanin"/>
          <w:lang w:bidi="fa-IR"/>
          <w:color w:val="111111"/>
          <w:sz w:val="28"/>
          <w:szCs w:val="28"/>
          <w:rtl/>
        </w:rPr>
        <w:t xml:space="preserve">إحقاق الحقّ وإزهاق الباطل: 219</w:t>
      </w:r>
    </w:p>
    <w:p>
      <w:pPr>
        <w:pStyle w:val="BookText"/>
      </w:pPr>
      <w:r>
        <w:rPr>
          <w:rFonts w:ascii="IRNazanin" w:hAnsi="IRNazanin" w:eastAsia="IRNazanin" w:cs="IRNazanin"/>
          <w:lang w:bidi="fa-IR"/>
          <w:color w:val="111111"/>
          <w:sz w:val="28"/>
          <w:szCs w:val="28"/>
          <w:rtl/>
        </w:rPr>
        <w:t xml:space="preserve">أحکام مهر در فقه شیعه: 573</w:t>
      </w:r>
    </w:p>
    <w:p>
      <w:pPr>
        <w:pStyle w:val="BookText"/>
      </w:pPr>
      <w:r>
        <w:rPr>
          <w:rFonts w:ascii="Amiri" w:hAnsi="Amiri" w:eastAsia="Amiri" w:cs="Amiri"/>
          <w:lang w:bidi="ar-SA"/>
          <w:color w:val="111111"/>
          <w:sz w:val="28"/>
          <w:szCs w:val="28"/>
          <w:rtl/>
        </w:rPr>
        <w:t xml:space="preserve">أختران تابناك: 12</w:t>
      </w:r>
    </w:p>
    <w:p>
      <w:pPr>
        <w:pStyle w:val="BookText"/>
      </w:pPr>
      <w:r>
        <w:rPr>
          <w:rFonts w:ascii="IRNazanin" w:hAnsi="IRNazanin" w:eastAsia="IRNazanin" w:cs="IRNazanin"/>
          <w:lang w:bidi="fa-IR"/>
          <w:color w:val="111111"/>
          <w:sz w:val="28"/>
          <w:szCs w:val="28"/>
          <w:rtl/>
        </w:rPr>
        <w:t xml:space="preserve">إشارات إلی مفاتیح الأحکام: 35، 54، 74، 144، 446، 519</w:t>
      </w:r>
    </w:p>
    <w:p>
      <w:pPr>
        <w:pStyle w:val="BookText"/>
      </w:pPr>
      <w:r>
        <w:rPr>
          <w:rFonts w:ascii="IRNazanin" w:hAnsi="IRNazanin" w:eastAsia="IRNazanin" w:cs="IRNazanin"/>
          <w:lang w:bidi="fa-IR"/>
          <w:color w:val="111111"/>
          <w:sz w:val="28"/>
          <w:szCs w:val="28"/>
          <w:rtl/>
        </w:rPr>
        <w:t xml:space="preserve">أصول فقه الشیعة: 573</w:t>
      </w:r>
    </w:p>
    <w:p>
      <w:pPr>
        <w:pStyle w:val="BookText"/>
      </w:pPr>
      <w:r>
        <w:rPr>
          <w:rFonts w:ascii="IRNazanin" w:hAnsi="IRNazanin" w:eastAsia="IRNazanin" w:cs="IRNazanin"/>
          <w:lang w:bidi="fa-IR"/>
          <w:color w:val="111111"/>
          <w:sz w:val="28"/>
          <w:szCs w:val="28"/>
          <w:rtl/>
        </w:rPr>
        <w:t xml:space="preserve">الأعلام: 12</w:t>
      </w:r>
    </w:p>
    <w:p>
      <w:pPr>
        <w:pStyle w:val="BookText"/>
      </w:pPr>
      <w:r>
        <w:rPr>
          <w:rFonts w:ascii="Amiri" w:hAnsi="Amiri" w:eastAsia="Amiri" w:cs="Amiri"/>
          <w:lang w:bidi="ar-SA"/>
          <w:color w:val="111111"/>
          <w:sz w:val="28"/>
          <w:szCs w:val="28"/>
          <w:rtl/>
        </w:rPr>
        <w:t xml:space="preserve">أعيان الشيعة: 12</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بحار الأنوار: 222، 557</w:t>
      </w:r>
    </w:p>
    <w:p>
      <w:pPr>
        <w:pStyle w:val="BookText"/>
      </w:pPr>
      <w:r>
        <w:rPr>
          <w:rFonts w:ascii="IRNazanin" w:hAnsi="IRNazanin" w:eastAsia="IRNazanin" w:cs="IRNazanin"/>
          <w:lang w:bidi="fa-IR"/>
          <w:color w:val="111111"/>
          <w:sz w:val="28"/>
          <w:szCs w:val="28"/>
          <w:rtl/>
        </w:rPr>
        <w:t xml:space="preserve">بستان نياز و گلستان راز: 10، 12</w:t>
      </w:r>
    </w:p>
    <w:p>
      <w:pPr>
        <w:pStyle w:val="BookText"/>
      </w:pPr>
      <w:r>
        <w:rPr>
          <w:rFonts w:ascii="Amiri" w:hAnsi="Amiri" w:eastAsia="Amiri" w:cs="Amiri"/>
          <w:lang w:bidi="ar-SA"/>
          <w:color w:val="111111"/>
          <w:sz w:val="28"/>
          <w:szCs w:val="28"/>
          <w:rtl/>
        </w:rPr>
        <w:t xml:space="preserve">البيان: 557</w:t>
      </w:r>
    </w:p>
    <w:p>
      <w:pPr>
        <w:pStyle w:val="BookText"/>
      </w:pPr>
      <w:r>
        <w:rPr>
          <w:rFonts w:ascii="IRNazanin" w:hAnsi="IRNazanin" w:eastAsia="IRNazanin" w:cs="IRNazanin"/>
          <w:lang w:bidi="fa-IR"/>
          <w:color w:val="111111"/>
          <w:sz w:val="28"/>
          <w:szCs w:val="28"/>
          <w:rtl/>
        </w:rPr>
        <w:t xml:space="preserve">«ت»</w:t>
      </w:r>
    </w:p>
    <w:p>
      <w:pPr>
        <w:pStyle w:val="BookText"/>
      </w:pPr>
      <w:r>
        <w:rPr>
          <w:rFonts w:ascii="Amiri" w:hAnsi="Amiri" w:eastAsia="Amiri" w:cs="Amiri"/>
          <w:lang w:bidi="ar-SA"/>
          <w:color w:val="111111"/>
          <w:sz w:val="28"/>
          <w:szCs w:val="28"/>
          <w:rtl/>
        </w:rPr>
        <w:t xml:space="preserve">تجريد الأصول: 219</w:t>
      </w:r>
    </w:p>
    <w:p>
      <w:pPr>
        <w:pStyle w:val="BookText"/>
      </w:pPr>
      <w:r>
        <w:rPr>
          <w:rFonts w:ascii="Amiri" w:hAnsi="Amiri" w:eastAsia="Amiri" w:cs="Amiri"/>
          <w:lang w:bidi="ar-SA"/>
          <w:color w:val="111111"/>
          <w:sz w:val="28"/>
          <w:szCs w:val="28"/>
          <w:rtl/>
        </w:rPr>
        <w:t xml:space="preserve">تذكرة الفقهاء: 373</w:t>
      </w:r>
    </w:p>
    <w:p>
      <w:pPr>
        <w:pStyle w:val="BookText"/>
      </w:pPr>
      <w:r>
        <w:rPr>
          <w:rFonts w:ascii="IRNazanin" w:hAnsi="IRNazanin" w:eastAsia="IRNazanin" w:cs="IRNazanin"/>
          <w:lang w:bidi="fa-IR"/>
          <w:color w:val="111111"/>
          <w:sz w:val="28"/>
          <w:szCs w:val="28"/>
          <w:rtl/>
        </w:rPr>
        <w:t xml:space="preserve">تنزیه المعبود في الردّ علی وحدة الوجود: 186</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جامع المقاصد: 372</w:t>
      </w:r>
    </w:p>
    <w:p>
      <w:pPr>
        <w:pStyle w:val="BookText"/>
      </w:pPr>
      <w:r>
        <w:rPr>
          <w:rFonts w:ascii="IRNazanin" w:hAnsi="IRNazanin" w:eastAsia="IRNazanin" w:cs="IRNazanin"/>
          <w:lang w:bidi="fa-IR"/>
          <w:color w:val="111111"/>
          <w:sz w:val="28"/>
          <w:szCs w:val="28"/>
          <w:rtl/>
        </w:rPr>
        <w:t xml:space="preserve">جستارهایي فقهي وأصولي: 452</w:t>
      </w:r>
    </w:p>
    <w:p>
      <w:pPr>
        <w:pStyle w:val="BookText"/>
      </w:pPr>
      <w:r>
        <w:rPr>
          <w:rFonts w:ascii="IRNazanin" w:hAnsi="IRNazanin" w:eastAsia="IRNazanin" w:cs="IRNazanin"/>
          <w:lang w:bidi="fa-IR"/>
          <w:color w:val="111111"/>
          <w:sz w:val="28"/>
          <w:szCs w:val="28"/>
          <w:rtl/>
        </w:rPr>
        <w:t xml:space="preserve">جواهر الکلام: 14، 376، 541</w:t>
      </w:r>
    </w:p>
    <w:p>
      <w:pPr>
        <w:pStyle w:val="BookText"/>
      </w:pPr>
      <w:r>
        <w:rPr>
          <w:rFonts w:ascii="IRNazanin" w:hAnsi="IRNazanin" w:eastAsia="IRNazanin" w:cs="IRNazanin"/>
          <w:lang w:bidi="fa-IR"/>
          <w:color w:val="111111"/>
          <w:sz w:val="28"/>
          <w:szCs w:val="28"/>
          <w:rtl/>
        </w:rPr>
        <w:t xml:space="preserve">الجوهر الفرید في مهامّ الأسانید: 15</w:t>
      </w:r>
    </w:p>
    <w:p>
      <w:pPr>
        <w:pStyle w:val="BookText"/>
      </w:pPr>
      <w:r>
        <w:rPr>
          <w:rFonts w:ascii="IRNazanin" w:hAnsi="IRNazanin" w:eastAsia="IRNazanin" w:cs="IRNazanin"/>
          <w:lang w:bidi="fa-IR"/>
          <w:color w:val="111111"/>
          <w:sz w:val="28"/>
          <w:szCs w:val="28"/>
          <w:rtl/>
        </w:rPr>
        <w:t xml:space="preserve">«ح»</w:t>
      </w:r>
    </w:p>
    <w:p>
      <w:pPr>
        <w:pStyle w:val="BookText"/>
      </w:pPr>
      <w:r>
        <w:rPr>
          <w:rFonts w:ascii="IRNazanin" w:hAnsi="IRNazanin" w:eastAsia="IRNazanin" w:cs="IRNazanin"/>
          <w:lang w:bidi="fa-IR"/>
          <w:color w:val="111111"/>
          <w:sz w:val="28"/>
          <w:szCs w:val="28"/>
          <w:rtl/>
        </w:rPr>
        <w:t xml:space="preserve">الحبل المتین: 224، 574</w:t>
      </w:r>
    </w:p>
    <w:p>
      <w:pPr>
        <w:pStyle w:val="BookText"/>
      </w:pPr>
      <w:r>
        <w:rPr>
          <w:rFonts w:ascii="Amiri" w:hAnsi="Amiri" w:eastAsia="Amiri" w:cs="Amiri"/>
          <w:lang w:bidi="ar-SA"/>
          <w:color w:val="111111"/>
          <w:sz w:val="28"/>
          <w:szCs w:val="28"/>
          <w:rtl/>
        </w:rPr>
        <w:t xml:space="preserve">حاشية فرائد الأصول: 12</w:t>
      </w:r>
    </w:p>
    <w:p>
      <w:pPr>
        <w:pStyle w:val="BookText"/>
      </w:pPr>
      <w:r>
        <w:rPr>
          <w:rFonts w:ascii="IRNazanin" w:hAnsi="IRNazanin" w:eastAsia="IRNazanin" w:cs="IRNazanin"/>
          <w:lang w:bidi="fa-IR"/>
          <w:color w:val="111111"/>
          <w:sz w:val="28"/>
          <w:szCs w:val="28"/>
          <w:rtl/>
        </w:rPr>
        <w:t xml:space="preserve">حاشیة المعالم: 428</w:t>
      </w:r>
    </w:p>
    <w:p>
      <w:pPr>
        <w:pStyle w:val="BookText"/>
      </w:pPr>
      <w:r>
        <w:rPr>
          <w:rFonts w:ascii="Amiri" w:hAnsi="Amiri" w:eastAsia="Amiri" w:cs="Amiri"/>
          <w:lang w:bidi="ar-SA"/>
          <w:color w:val="111111"/>
          <w:sz w:val="28"/>
          <w:szCs w:val="28"/>
          <w:rtl/>
        </w:rPr>
        <w:t xml:space="preserve">حاشية المكاسب: 6، 8، 10، 12</w:t>
      </w:r>
    </w:p>
    <w:p>
      <w:pPr>
        <w:pStyle w:val="BookText"/>
      </w:pPr>
      <w:r>
        <w:rPr>
          <w:rFonts w:ascii="IRNazanin" w:hAnsi="IRNazanin" w:eastAsia="IRNazanin" w:cs="IRNazanin"/>
          <w:lang w:bidi="fa-IR"/>
          <w:color w:val="111111"/>
          <w:sz w:val="28"/>
          <w:szCs w:val="28"/>
          <w:rtl/>
        </w:rPr>
        <w:t xml:space="preserve">«د»</w:t>
      </w:r>
    </w:p>
    <w:p>
      <w:pPr>
        <w:pStyle w:val="BookText"/>
      </w:pPr>
      <w:r>
        <w:rPr>
          <w:rFonts w:ascii="Amiri" w:hAnsi="Amiri" w:eastAsia="Amiri" w:cs="Amiri"/>
          <w:lang w:bidi="ar-SA"/>
          <w:color w:val="111111"/>
          <w:sz w:val="28"/>
          <w:szCs w:val="28"/>
          <w:rtl/>
        </w:rPr>
        <w:t xml:space="preserve">الدّروس الشرعیّة: 555، 574</w:t>
      </w:r>
    </w:p>
    <w:p>
      <w:pPr>
        <w:pStyle w:val="BookText"/>
      </w:pPr>
      <w:r>
        <w:rPr>
          <w:rFonts w:ascii="IRNazanin" w:hAnsi="IRNazanin" w:eastAsia="IRNazanin" w:cs="IRNazanin"/>
          <w:lang w:bidi="fa-IR"/>
          <w:color w:val="111111"/>
          <w:sz w:val="28"/>
          <w:szCs w:val="28"/>
          <w:rtl/>
        </w:rPr>
        <w:t xml:space="preserve">دیوان الشریف المرتضی: 3</w:t>
      </w:r>
    </w:p>
    <w:p>
      <w:pPr>
        <w:pStyle w:val="BookText"/>
      </w:pPr>
      <w:r>
        <w:rPr>
          <w:rFonts w:ascii="IRNazanin" w:hAnsi="IRNazanin" w:eastAsia="IRNazanin" w:cs="IRNazanin"/>
          <w:lang w:bidi="fa-IR"/>
          <w:color w:val="111111"/>
          <w:sz w:val="28"/>
          <w:szCs w:val="28"/>
          <w:rtl/>
        </w:rPr>
        <w:t xml:space="preserve">دیوان السیّد حیدر الحلّي: 3</w:t>
      </w:r>
    </w:p>
    <w:p>
      <w:pPr>
        <w:pStyle w:val="BookText"/>
      </w:pPr>
      <w:r>
        <w:rPr>
          <w:rFonts w:ascii="IRNazanin" w:hAnsi="IRNazanin" w:eastAsia="IRNazanin" w:cs="IRNazanin"/>
          <w:lang w:bidi="fa-IR"/>
          <w:color w:val="111111"/>
          <w:sz w:val="28"/>
          <w:szCs w:val="28"/>
          <w:rtl/>
        </w:rPr>
        <w:t xml:space="preserve">دیوان السیّد سلیمان الکبیر: 3</w:t>
      </w:r>
    </w:p>
    <w:p>
      <w:pPr>
        <w:pStyle w:val="BookText"/>
      </w:pPr>
      <w:r>
        <w:rPr>
          <w:rFonts w:ascii="IRNazanin" w:hAnsi="IRNazanin" w:eastAsia="IRNazanin" w:cs="IRNazanin"/>
          <w:lang w:bidi="fa-IR"/>
          <w:color w:val="111111"/>
          <w:sz w:val="28"/>
          <w:szCs w:val="28"/>
          <w:rtl/>
        </w:rPr>
        <w:t xml:space="preserve">«ذ»</w:t>
      </w:r>
    </w:p>
    <w:p>
      <w:pPr>
        <w:pStyle w:val="BookText"/>
      </w:pPr>
      <w:r>
        <w:rPr>
          <w:rFonts w:ascii="Amiri" w:hAnsi="Amiri" w:eastAsia="Amiri" w:cs="Amiri"/>
          <w:lang w:bidi="ar-SA"/>
          <w:color w:val="111111"/>
          <w:sz w:val="28"/>
          <w:szCs w:val="28"/>
          <w:rtl/>
        </w:rPr>
        <w:t xml:space="preserve">ذخيرة الصالحين: 10</w:t>
      </w:r>
    </w:p>
    <w:p>
      <w:pPr>
        <w:pStyle w:val="BookText"/>
      </w:pPr>
      <w:r>
        <w:rPr>
          <w:rFonts w:ascii="IRNazanin" w:hAnsi="IRNazanin" w:eastAsia="IRNazanin" w:cs="IRNazanin"/>
          <w:lang w:bidi="fa-IR"/>
          <w:color w:val="111111"/>
          <w:sz w:val="28"/>
          <w:szCs w:val="28"/>
          <w:rtl/>
        </w:rPr>
        <w:t xml:space="preserve">ذخیرة المعاد في شرح الإرشاد: 373</w:t>
      </w:r>
    </w:p>
    <w:p>
      <w:pPr>
        <w:pStyle w:val="BookText"/>
      </w:pPr>
      <w:r>
        <w:rPr>
          <w:rFonts w:ascii="IRNazanin" w:hAnsi="IRNazanin" w:eastAsia="IRNazanin" w:cs="IRNazanin"/>
          <w:lang w:bidi="fa-IR"/>
          <w:color w:val="111111"/>
          <w:sz w:val="28"/>
          <w:szCs w:val="28"/>
          <w:rtl/>
        </w:rPr>
        <w:t xml:space="preserve">الذريعة إلی أصول الشریعة: 222</w:t>
      </w:r>
    </w:p>
    <w:p>
      <w:pPr>
        <w:pStyle w:val="BookText"/>
      </w:pPr>
      <w:r>
        <w:rPr>
          <w:rFonts w:ascii="IRNazanin" w:hAnsi="IRNazanin" w:eastAsia="IRNazanin" w:cs="IRNazanin"/>
          <w:lang w:bidi="fa-IR"/>
          <w:color w:val="111111"/>
          <w:sz w:val="28"/>
          <w:szCs w:val="28"/>
          <w:rtl/>
        </w:rPr>
        <w:t xml:space="preserve">الذریعة إلی تصانیف الشیعة: 12</w:t>
      </w:r>
    </w:p>
    <w:p>
      <w:pPr>
        <w:pStyle w:val="BookText"/>
      </w:pPr>
      <w:r>
        <w:rPr>
          <w:rFonts w:ascii="Amiri" w:hAnsi="Amiri" w:eastAsia="Amiri" w:cs="Amiri"/>
          <w:lang w:bidi="ar-SA"/>
          <w:color w:val="111111"/>
          <w:sz w:val="28"/>
          <w:szCs w:val="28"/>
          <w:rtl/>
        </w:rPr>
        <w:t xml:space="preserve">الذريعة من تراث المرتضى: 226</w:t>
      </w:r>
    </w:p>
    <w:p>
      <w:pPr>
        <w:pStyle w:val="BookText"/>
      </w:pPr>
      <w:r>
        <w:rPr>
          <w:rFonts w:ascii="IRNazanin" w:hAnsi="IRNazanin" w:eastAsia="IRNazanin" w:cs="IRNazanin"/>
          <w:lang w:bidi="fa-IR"/>
          <w:color w:val="111111"/>
          <w:sz w:val="28"/>
          <w:szCs w:val="28"/>
          <w:rtl/>
        </w:rPr>
        <w:t xml:space="preserve">ذكرى الشیعة في أحکام الشریعة: 372، 381، 574، 576</w:t>
      </w:r>
    </w:p>
    <w:p>
      <w:pPr>
        <w:pStyle w:val="BookText"/>
      </w:pPr>
      <w:r>
        <w:rPr>
          <w:rFonts w:ascii="IRNazanin" w:hAnsi="IRNazanin" w:eastAsia="IRNazanin" w:cs="IRNazanin"/>
          <w:lang w:bidi="fa-IR"/>
          <w:color w:val="111111"/>
          <w:sz w:val="28"/>
          <w:szCs w:val="28"/>
          <w:rtl/>
        </w:rPr>
        <w:t xml:space="preserve">«ر»</w:t>
      </w:r>
    </w:p>
    <w:p>
      <w:pPr>
        <w:pStyle w:val="BookText"/>
      </w:pPr>
      <w:r>
        <w:rPr>
          <w:rFonts w:ascii="IRNazanin" w:hAnsi="IRNazanin" w:eastAsia="IRNazanin" w:cs="IRNazanin"/>
          <w:lang w:bidi="fa-IR"/>
          <w:color w:val="111111"/>
          <w:sz w:val="28"/>
          <w:szCs w:val="28"/>
          <w:rtl/>
        </w:rPr>
        <w:t xml:space="preserve">رجال الشیخ الانصاری: 338</w:t>
      </w:r>
    </w:p>
    <w:p>
      <w:pPr>
        <w:pStyle w:val="BookText"/>
      </w:pPr>
      <w:r>
        <w:rPr>
          <w:rFonts w:ascii="Amiri" w:hAnsi="Amiri" w:eastAsia="Amiri" w:cs="Amiri"/>
          <w:lang w:bidi="ar-SA"/>
          <w:color w:val="111111"/>
          <w:sz w:val="28"/>
          <w:szCs w:val="28"/>
          <w:rtl/>
        </w:rPr>
        <w:t xml:space="preserve">ردّ المقدّمة الثالثة من مقدّمات الانسداد: 10</w:t>
      </w:r>
    </w:p>
    <w:p>
      <w:pPr>
        <w:pStyle w:val="BookText"/>
      </w:pPr>
      <w:r>
        <w:rPr>
          <w:rFonts w:ascii="Amiri" w:hAnsi="Amiri" w:eastAsia="Amiri" w:cs="Amiri"/>
          <w:lang w:bidi="ar-SA"/>
          <w:color w:val="111111"/>
          <w:sz w:val="28"/>
          <w:szCs w:val="28"/>
          <w:rtl/>
        </w:rPr>
        <w:t xml:space="preserve">رسائل الشيخ الأنصاري (فرائد الأصول): 10</w:t>
      </w:r>
    </w:p>
    <w:p>
      <w:pPr>
        <w:pStyle w:val="BookText"/>
      </w:pPr>
      <w:r>
        <w:rPr>
          <w:rFonts w:ascii="Amiri" w:hAnsi="Amiri" w:eastAsia="Amiri" w:cs="Amiri"/>
          <w:lang w:bidi="ar-SA"/>
          <w:color w:val="111111"/>
          <w:sz w:val="28"/>
          <w:szCs w:val="28"/>
          <w:rtl/>
        </w:rPr>
        <w:t xml:space="preserve">رسالة في إرث الزوجة من الثمن والعقار: 12</w:t>
      </w:r>
    </w:p>
    <w:p>
      <w:pPr>
        <w:pStyle w:val="BookText"/>
      </w:pPr>
      <w:r>
        <w:rPr>
          <w:rFonts w:ascii="Amiri" w:hAnsi="Amiri" w:eastAsia="Amiri" w:cs="Amiri"/>
          <w:lang w:bidi="ar-SA"/>
          <w:color w:val="111111"/>
          <w:sz w:val="28"/>
          <w:szCs w:val="28"/>
          <w:rtl/>
        </w:rPr>
        <w:t xml:space="preserve">رسالة في استحالة اجتماع الأمر والنهي: 37، 429، 302، 307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الاستصحاب: 10، 12،</w:t>
      </w:r>
    </w:p>
    <w:p>
      <w:pPr>
        <w:pStyle w:val="BookText"/>
      </w:pPr>
      <w:r>
        <w:rPr>
          <w:rFonts w:ascii="IRNazanin" w:hAnsi="IRNazanin" w:eastAsia="IRNazanin" w:cs="IRNazanin"/>
          <w:lang w:bidi="fa-IR"/>
          <w:color w:val="111111"/>
          <w:sz w:val="28"/>
          <w:szCs w:val="28"/>
          <w:rtl/>
        </w:rPr>
        <w:t xml:space="preserve">رسالة في بیان جواز النسخ: 126</w:t>
      </w:r>
    </w:p>
    <w:p>
      <w:pPr>
        <w:pStyle w:val="BookText"/>
      </w:pPr>
      <w:r>
        <w:rPr>
          <w:rFonts w:ascii="Amiri" w:hAnsi="Amiri" w:eastAsia="Amiri" w:cs="Amiri"/>
          <w:lang w:bidi="ar-SA"/>
          <w:color w:val="111111"/>
          <w:sz w:val="28"/>
          <w:szCs w:val="28"/>
          <w:rtl/>
        </w:rPr>
        <w:t xml:space="preserve">رسالة في حرمة الربا: 15</w:t>
      </w:r>
    </w:p>
    <w:p>
      <w:pPr>
        <w:pStyle w:val="BookText"/>
      </w:pPr>
      <w:r>
        <w:rPr>
          <w:rFonts w:ascii="Amiri" w:hAnsi="Amiri" w:eastAsia="Amiri" w:cs="Amiri"/>
          <w:lang w:bidi="ar-SA"/>
          <w:color w:val="111111"/>
          <w:sz w:val="28"/>
          <w:szCs w:val="28"/>
          <w:rtl/>
        </w:rPr>
        <w:t xml:space="preserve">رسالة في الظنّ المتعلق بأعداد الصلاة وكيفية الاحتياط: 8، 10، 12</w:t>
      </w:r>
    </w:p>
    <w:p>
      <w:pPr>
        <w:pStyle w:val="BookText"/>
      </w:pPr>
      <w:r>
        <w:rPr>
          <w:rFonts w:ascii="Amiri" w:hAnsi="Amiri" w:eastAsia="Amiri" w:cs="Amiri"/>
          <w:lang w:bidi="ar-SA"/>
          <w:color w:val="111111"/>
          <w:sz w:val="28"/>
          <w:szCs w:val="28"/>
          <w:rtl/>
        </w:rPr>
        <w:t xml:space="preserve">رسالة في منجزات المريض: 12</w:t>
      </w:r>
    </w:p>
    <w:p>
      <w:pPr>
        <w:pStyle w:val="BookText"/>
      </w:pPr>
      <w:r>
        <w:rPr>
          <w:rFonts w:ascii="IRNazanin" w:hAnsi="IRNazanin" w:eastAsia="IRNazanin" w:cs="IRNazanin"/>
          <w:lang w:bidi="fa-IR"/>
          <w:color w:val="111111"/>
          <w:sz w:val="28"/>
          <w:szCs w:val="28"/>
          <w:rtl/>
        </w:rPr>
        <w:t xml:space="preserve">رفع النزاع من البین في الصلح المقصود منه الفرار عن الدین: 11</w:t>
      </w:r>
    </w:p>
    <w:p>
      <w:pPr>
        <w:pStyle w:val="BookText"/>
      </w:pPr>
      <w:r>
        <w:rPr>
          <w:rFonts w:ascii="Amiri" w:hAnsi="Amiri" w:eastAsia="Amiri" w:cs="Amiri"/>
          <w:lang w:bidi="ar-SA"/>
          <w:color w:val="111111"/>
          <w:sz w:val="28"/>
          <w:szCs w:val="28"/>
          <w:rtl/>
        </w:rPr>
        <w:t xml:space="preserve">روض الجنان في شرح إرشاد الأذهان: 555، 557، 574</w:t>
      </w:r>
    </w:p>
    <w:p>
      <w:pPr>
        <w:pStyle w:val="BookText"/>
      </w:pPr>
      <w:r>
        <w:rPr>
          <w:rFonts w:ascii="IRNazanin" w:hAnsi="IRNazanin" w:eastAsia="IRNazanin" w:cs="IRNazanin"/>
          <w:lang w:bidi="fa-IR"/>
          <w:color w:val="111111"/>
          <w:sz w:val="28"/>
          <w:szCs w:val="28"/>
          <w:rtl/>
        </w:rPr>
        <w:t xml:space="preserve">ریاض المسائل: 229، 230، 549ريحانة الأدب: 12</w:t>
      </w: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الزبدة (زبدة الأصول): 301</w:t>
      </w:r>
    </w:p>
    <w:p>
      <w:pPr>
        <w:pStyle w:val="BookText"/>
      </w:pPr>
      <w:r>
        <w:rPr>
          <w:rFonts w:ascii="IRNazanin" w:hAnsi="IRNazanin" w:eastAsia="IRNazanin" w:cs="IRNazanin"/>
          <w:lang w:bidi="fa-IR"/>
          <w:color w:val="111111"/>
          <w:sz w:val="28"/>
          <w:szCs w:val="28"/>
          <w:rtl/>
        </w:rPr>
        <w:t xml:space="preserve">زندگانی حضرت آیة الله چهارسوقی: 14</w:t>
      </w:r>
    </w:p>
    <w:p>
      <w:pPr>
        <w:pStyle w:val="BookText"/>
      </w:pPr>
      <w:r>
        <w:rPr>
          <w:rFonts w:ascii="IRNazanin" w:hAnsi="IRNazanin" w:eastAsia="IRNazanin" w:cs="IRNazanin"/>
          <w:lang w:bidi="fa-IR"/>
          <w:color w:val="111111"/>
          <w:sz w:val="28"/>
          <w:szCs w:val="28"/>
          <w:rtl/>
        </w:rPr>
        <w:t xml:space="preserve">زندگانی و شخصيت شیخ انصاری: 12</w:t>
      </w:r>
    </w:p>
    <w:p>
      <w:pPr>
        <w:pStyle w:val="BookText"/>
      </w:pP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السؤال والجواب (أجوبة المسائل): 8، 10</w:t>
      </w:r>
    </w:p>
    <w:p>
      <w:pPr>
        <w:pStyle w:val="BookText"/>
      </w:pPr>
      <w:r>
        <w:rPr>
          <w:rFonts w:ascii="IRNazanin" w:hAnsi="IRNazanin" w:eastAsia="IRNazanin" w:cs="IRNazanin"/>
          <w:lang w:bidi="fa-IR"/>
          <w:color w:val="111111"/>
          <w:sz w:val="28"/>
          <w:szCs w:val="28"/>
          <w:rtl/>
        </w:rPr>
        <w:t xml:space="preserve">السّبع الشداد: 301</w:t>
      </w:r>
    </w:p>
    <w:p>
      <w:pPr>
        <w:pStyle w:val="BookText"/>
      </w:pPr>
      <w:r>
        <w:rPr>
          <w:rFonts w:ascii="IRNazanin" w:hAnsi="IRNazanin" w:eastAsia="IRNazanin" w:cs="IRNazanin"/>
          <w:lang w:bidi="fa-IR"/>
          <w:color w:val="111111"/>
          <w:sz w:val="28"/>
          <w:szCs w:val="28"/>
          <w:rtl/>
        </w:rPr>
        <w:t xml:space="preserve">«ش»</w:t>
      </w:r>
    </w:p>
    <w:p>
      <w:pPr>
        <w:pStyle w:val="BookText"/>
      </w:pPr>
      <w:r>
        <w:rPr>
          <w:rFonts w:ascii="IRNazanin" w:hAnsi="IRNazanin" w:eastAsia="IRNazanin" w:cs="IRNazanin"/>
          <w:lang w:bidi="fa-IR"/>
          <w:color w:val="111111"/>
          <w:sz w:val="28"/>
          <w:szCs w:val="28"/>
          <w:rtl/>
        </w:rPr>
        <w:t xml:space="preserve">الشافية في الصلاة (الشافیة الصلاتیة): 557</w:t>
      </w:r>
    </w:p>
    <w:p>
      <w:pPr>
        <w:pStyle w:val="BookText"/>
      </w:pPr>
      <w:r>
        <w:rPr>
          <w:rFonts w:ascii="IRNazanin" w:hAnsi="IRNazanin" w:eastAsia="IRNazanin" w:cs="IRNazanin"/>
          <w:lang w:bidi="fa-IR"/>
          <w:color w:val="111111"/>
          <w:sz w:val="28"/>
          <w:szCs w:val="28"/>
          <w:rtl/>
        </w:rPr>
        <w:t xml:space="preserve">شرح الدّروس (مشارق الشموس): 221</w:t>
      </w:r>
    </w:p>
    <w:p>
      <w:pPr>
        <w:pStyle w:val="BookText"/>
      </w:pPr>
      <w:r>
        <w:rPr>
          <w:rFonts w:ascii="Amiri" w:hAnsi="Amiri" w:eastAsia="Amiri" w:cs="Amiri"/>
          <w:lang w:bidi="ar-SA"/>
          <w:color w:val="111111"/>
          <w:sz w:val="28"/>
          <w:szCs w:val="28"/>
          <w:rtl/>
        </w:rPr>
        <w:t xml:space="preserve">شعب المقال في درجات الرجال: 16</w:t>
      </w:r>
    </w:p>
    <w:p>
      <w:pPr>
        <w:pStyle w:val="BookText"/>
      </w:pPr>
      <w:r>
        <w:rPr>
          <w:rFonts w:ascii="Amiri" w:hAnsi="Amiri" w:eastAsia="Amiri" w:cs="Amiri"/>
          <w:lang w:bidi="ar-SA"/>
          <w:color w:val="111111"/>
          <w:sz w:val="28"/>
          <w:szCs w:val="28"/>
          <w:rtl/>
        </w:rPr>
        <w:t xml:space="preserve">شهداء الفضيلة: 12</w:t>
      </w: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الصحيفة الكاظميّة: 10، 12</w:t>
      </w:r>
    </w:p>
    <w:p>
      <w:pPr>
        <w:pStyle w:val="BookText"/>
      </w:pPr>
      <w:r>
        <w:rPr>
          <w:rFonts w:ascii="IRNazanin" w:hAnsi="IRNazanin" w:eastAsia="IRNazanin" w:cs="IRNazanin"/>
          <w:lang w:bidi="fa-IR"/>
          <w:color w:val="111111"/>
          <w:sz w:val="28"/>
          <w:szCs w:val="28"/>
          <w:rtl/>
        </w:rPr>
        <w:t xml:space="preserve">صدی الأیام: 3</w:t>
      </w: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طريق النجاة: 10</w:t>
      </w:r>
    </w:p>
    <w:p>
      <w:pPr>
        <w:pStyle w:val="BookText"/>
      </w:pPr>
      <w:r>
        <w:rPr>
          <w:rFonts w:ascii="IRNazanin" w:hAnsi="IRNazanin" w:eastAsia="IRNazanin" w:cs="IRNazanin"/>
          <w:lang w:bidi="fa-IR"/>
          <w:color w:val="111111"/>
          <w:sz w:val="28"/>
          <w:szCs w:val="28"/>
          <w:rtl/>
        </w:rPr>
        <w:t xml:space="preserve">طریق الوصول: 15</w:t>
      </w:r>
    </w:p>
    <w:p>
      <w:pPr>
        <w:pStyle w:val="BookText"/>
      </w:pPr>
      <w:r>
        <w:rPr>
          <w:rFonts w:ascii="IRNazanin" w:hAnsi="IRNazanin" w:eastAsia="IRNazanin" w:cs="IRNazanin"/>
          <w:lang w:bidi="fa-IR"/>
          <w:color w:val="111111"/>
          <w:sz w:val="28"/>
          <w:szCs w:val="28"/>
          <w:rtl/>
        </w:rPr>
        <w:t xml:space="preserve">«ع»</w:t>
      </w:r>
    </w:p>
    <w:p>
      <w:pPr>
        <w:pStyle w:val="BookText"/>
      </w:pPr>
      <w:r>
        <w:rPr>
          <w:rFonts w:ascii="Amiri" w:hAnsi="Amiri" w:eastAsia="Amiri" w:cs="Amiri"/>
          <w:lang w:bidi="ar-SA"/>
          <w:color w:val="111111"/>
          <w:sz w:val="28"/>
          <w:szCs w:val="28"/>
          <w:rtl/>
        </w:rPr>
        <w:t xml:space="preserve">العروة الوثقى: 6، 8، 10، 12، 14، 327</w:t>
      </w:r>
    </w:p>
    <w:p>
      <w:pPr>
        <w:pStyle w:val="BookText"/>
      </w:pPr>
      <w:r>
        <w:rPr>
          <w:rFonts w:ascii="Amiri" w:hAnsi="Amiri" w:eastAsia="Amiri" w:cs="Amiri"/>
          <w:lang w:bidi="ar-SA"/>
          <w:color w:val="111111"/>
          <w:sz w:val="28"/>
          <w:szCs w:val="28"/>
          <w:rtl/>
        </w:rPr>
        <w:t xml:space="preserve">علماء معاصرين: 12</w:t>
      </w: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الغاية القصوى: 8</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الفصول الغرویّة: 74، 98، 145، 170، 284، 298، 307، 356، 379، 401، 472، 519، 524</w:t>
      </w:r>
    </w:p>
    <w:p>
      <w:pPr>
        <w:pStyle w:val="BookText"/>
      </w:pPr>
      <w:r>
        <w:rPr>
          <w:rFonts w:ascii="IRNazanin" w:hAnsi="IRNazanin" w:eastAsia="IRNazanin" w:cs="IRNazanin"/>
          <w:lang w:bidi="fa-IR"/>
          <w:color w:val="111111"/>
          <w:sz w:val="28"/>
          <w:szCs w:val="28"/>
          <w:rtl/>
        </w:rPr>
        <w:t xml:space="preserve">فقه الشیعة: 573</w:t>
      </w:r>
    </w:p>
    <w:p>
      <w:pPr>
        <w:pStyle w:val="BookText"/>
      </w:pPr>
      <w:r>
        <w:rPr>
          <w:rFonts w:ascii="Amiri" w:hAnsi="Amiri" w:eastAsia="Amiri" w:cs="Amiri"/>
          <w:lang w:bidi="ar-SA"/>
          <w:color w:val="111111"/>
          <w:sz w:val="28"/>
          <w:szCs w:val="28"/>
          <w:rtl/>
        </w:rPr>
        <w:t xml:space="preserve">الفوائد الرضوية: 12</w:t>
      </w: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القواعد والفوائد: 372، 373، 381</w:t>
      </w:r>
    </w:p>
    <w:p>
      <w:pPr>
        <w:pStyle w:val="BookText"/>
      </w:pPr>
      <w:r>
        <w:rPr>
          <w:rFonts w:ascii="IRNazanin" w:hAnsi="IRNazanin" w:eastAsia="IRNazanin" w:cs="IRNazanin"/>
          <w:lang w:bidi="fa-IR"/>
          <w:color w:val="111111"/>
          <w:sz w:val="28"/>
          <w:szCs w:val="28"/>
          <w:rtl/>
        </w:rPr>
        <w:t xml:space="preserve">القوانین المحکمة في أصول الفقه: 172، 221</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كتاب التعادل والتراجيح (التعارض): 8، 10، 12</w:t>
      </w:r>
    </w:p>
    <w:p>
      <w:pPr>
        <w:pStyle w:val="BookText"/>
      </w:pPr>
      <w:r>
        <w:rPr>
          <w:rFonts w:ascii="IRNazanin" w:hAnsi="IRNazanin" w:eastAsia="IRNazanin" w:cs="IRNazanin"/>
          <w:lang w:bidi="fa-IR"/>
          <w:color w:val="111111"/>
          <w:sz w:val="28"/>
          <w:szCs w:val="28"/>
          <w:rtl/>
        </w:rPr>
        <w:t xml:space="preserve">کتب الطهارة: 376</w:t>
      </w:r>
    </w:p>
    <w:p>
      <w:pPr>
        <w:pStyle w:val="BookText"/>
      </w:pPr>
      <w:r>
        <w:rPr>
          <w:rFonts w:ascii="IRNazanin" w:hAnsi="IRNazanin" w:eastAsia="IRNazanin" w:cs="IRNazanin"/>
          <w:lang w:bidi="fa-IR"/>
          <w:color w:val="111111"/>
          <w:sz w:val="28"/>
          <w:szCs w:val="28"/>
          <w:rtl/>
        </w:rPr>
        <w:t xml:space="preserve">کرّاسات في الاقتصاد الإسلامي: 17</w:t>
      </w:r>
    </w:p>
    <w:p>
      <w:pPr>
        <w:pStyle w:val="BookText"/>
      </w:pPr>
      <w:r>
        <w:rPr>
          <w:rFonts w:ascii="Amiri" w:hAnsi="Amiri" w:eastAsia="Amiri" w:cs="Amiri"/>
          <w:lang w:bidi="ar-SA"/>
          <w:color w:val="111111"/>
          <w:sz w:val="28"/>
          <w:szCs w:val="28"/>
          <w:rtl/>
        </w:rPr>
        <w:t xml:space="preserve">الكلم الجامعة والحكم النافعة: 12</w:t>
      </w:r>
    </w:p>
    <w:p>
      <w:pPr>
        <w:pStyle w:val="BookText"/>
      </w:pPr>
      <w:r>
        <w:rPr>
          <w:rFonts w:ascii="IRNazanin" w:hAnsi="IRNazanin" w:eastAsia="IRNazanin" w:cs="IRNazanin"/>
          <w:lang w:bidi="fa-IR"/>
          <w:color w:val="111111"/>
          <w:sz w:val="28"/>
          <w:szCs w:val="28"/>
          <w:rtl/>
        </w:rPr>
        <w:t xml:space="preserve">كشف الغطاء عن مبهمات الشریعة الغراء: 558</w:t>
      </w:r>
    </w:p>
    <w:p>
      <w:pPr>
        <w:pStyle w:val="BookText"/>
      </w:pPr>
      <w:r>
        <w:rPr>
          <w:rFonts w:ascii="IRNazanin" w:hAnsi="IRNazanin" w:eastAsia="IRNazanin" w:cs="IRNazanin"/>
          <w:lang w:bidi="fa-IR"/>
          <w:color w:val="111111"/>
          <w:sz w:val="28"/>
          <w:szCs w:val="28"/>
          <w:rtl/>
        </w:rPr>
        <w:t xml:space="preserve">کشف الغطاء عن وجوه مراسم الاهتداء: 16</w:t>
      </w:r>
    </w:p>
    <w:p>
      <w:pPr>
        <w:pStyle w:val="BookText"/>
      </w:pPr>
      <w:r>
        <w:rPr>
          <w:rFonts w:ascii="IRNazanin" w:hAnsi="IRNazanin" w:eastAsia="IRNazanin" w:cs="IRNazanin"/>
          <w:lang w:bidi="fa-IR"/>
          <w:color w:val="111111"/>
          <w:sz w:val="28"/>
          <w:szCs w:val="28"/>
          <w:rtl/>
        </w:rPr>
        <w:t xml:space="preserve">کفایة الأصول: 138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لغت‌نامه: 13</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ماضي النجف: 13</w:t>
      </w:r>
    </w:p>
    <w:p>
      <w:pPr>
        <w:pStyle w:val="BookText"/>
      </w:pPr>
      <w:r>
        <w:rPr>
          <w:rFonts w:ascii="Amiri" w:hAnsi="Amiri" w:eastAsia="Amiri" w:cs="Amiri"/>
          <w:lang w:bidi="ar-SA"/>
          <w:color w:val="111111"/>
          <w:sz w:val="28"/>
          <w:szCs w:val="28"/>
          <w:rtl/>
        </w:rPr>
        <w:t xml:space="preserve">مجلّة تراثنا: 15</w:t>
      </w:r>
    </w:p>
    <w:p>
      <w:pPr>
        <w:pStyle w:val="BookText"/>
      </w:pPr>
      <w:r>
        <w:rPr>
          <w:rFonts w:ascii="IRNazanin" w:hAnsi="IRNazanin" w:eastAsia="IRNazanin" w:cs="IRNazanin"/>
          <w:lang w:bidi="fa-IR"/>
          <w:color w:val="111111"/>
          <w:sz w:val="28"/>
          <w:szCs w:val="28"/>
          <w:rtl/>
        </w:rPr>
        <w:t xml:space="preserve">مجلّة فقه أهل البیت:: 452</w:t>
      </w:r>
    </w:p>
    <w:p>
      <w:pPr>
        <w:pStyle w:val="BookText"/>
      </w:pPr>
      <w:r>
        <w:rPr>
          <w:rFonts w:ascii="Amiri" w:hAnsi="Amiri" w:eastAsia="Amiri" w:cs="Amiri"/>
          <w:lang w:bidi="ar-SA"/>
          <w:color w:val="111111"/>
          <w:sz w:val="28"/>
          <w:szCs w:val="28"/>
          <w:rtl/>
        </w:rPr>
        <w:t xml:space="preserve">مجلّة الهلال: 11</w:t>
      </w:r>
    </w:p>
    <w:p>
      <w:pPr>
        <w:pStyle w:val="BookText"/>
      </w:pPr>
      <w:r>
        <w:rPr>
          <w:rFonts w:ascii="Amiri" w:hAnsi="Amiri" w:eastAsia="Amiri" w:cs="Amiri"/>
          <w:lang w:bidi="ar-SA"/>
          <w:color w:val="111111"/>
          <w:sz w:val="28"/>
          <w:szCs w:val="28"/>
          <w:rtl/>
        </w:rPr>
        <w:t xml:space="preserve">مجمع الفائدة والبرهان (شرح الإرشاد): 227، 574</w:t>
      </w:r>
    </w:p>
    <w:p>
      <w:pPr>
        <w:pStyle w:val="BookText"/>
      </w:pPr>
      <w:r>
        <w:rPr>
          <w:rFonts w:ascii="IRNazanin" w:hAnsi="IRNazanin" w:eastAsia="IRNazanin" w:cs="IRNazanin"/>
          <w:lang w:bidi="fa-IR"/>
          <w:color w:val="111111"/>
          <w:sz w:val="28"/>
          <w:szCs w:val="28"/>
          <w:rtl/>
        </w:rPr>
        <w:t xml:space="preserve">مختلف الشیعة 372</w:t>
      </w:r>
    </w:p>
    <w:p>
      <w:pPr>
        <w:pStyle w:val="BookText"/>
      </w:pPr>
      <w:r>
        <w:rPr>
          <w:rFonts w:ascii="IRNazanin" w:hAnsi="IRNazanin" w:eastAsia="IRNazanin" w:cs="IRNazanin"/>
          <w:lang w:bidi="fa-IR"/>
          <w:color w:val="111111"/>
          <w:sz w:val="28"/>
          <w:szCs w:val="28"/>
          <w:rtl/>
        </w:rPr>
        <w:t xml:space="preserve">مدارك الأحکام: 219، 574</w:t>
      </w:r>
    </w:p>
    <w:p>
      <w:pPr>
        <w:pStyle w:val="BookText"/>
      </w:pPr>
      <w:r>
        <w:rPr>
          <w:rFonts w:ascii="IRNazanin" w:hAnsi="IRNazanin" w:eastAsia="IRNazanin" w:cs="IRNazanin"/>
          <w:lang w:bidi="fa-IR"/>
          <w:color w:val="111111"/>
          <w:sz w:val="28"/>
          <w:szCs w:val="28"/>
          <w:rtl/>
        </w:rPr>
        <w:t xml:space="preserve">المسؤولیّة المدنیّة للطبیب بین الفقه والقانون: 452</w:t>
      </w:r>
    </w:p>
    <w:p>
      <w:pPr>
        <w:pStyle w:val="BookText"/>
      </w:pPr>
      <w:r>
        <w:rPr>
          <w:rFonts w:ascii="IRNazanin" w:hAnsi="IRNazanin" w:eastAsia="IRNazanin" w:cs="IRNazanin"/>
          <w:lang w:bidi="fa-IR"/>
          <w:color w:val="111111"/>
          <w:sz w:val="28"/>
          <w:szCs w:val="28"/>
          <w:rtl/>
        </w:rPr>
        <w:t xml:space="preserve">معارف الرجال: 13</w:t>
      </w:r>
    </w:p>
    <w:p>
      <w:pPr>
        <w:pStyle w:val="BookText"/>
      </w:pPr>
      <w:r>
        <w:rPr>
          <w:rFonts w:ascii="IRNazanin" w:hAnsi="IRNazanin" w:eastAsia="IRNazanin" w:cs="IRNazanin"/>
          <w:lang w:bidi="fa-IR"/>
          <w:color w:val="111111"/>
          <w:sz w:val="28"/>
          <w:szCs w:val="28"/>
          <w:rtl/>
        </w:rPr>
        <w:t xml:space="preserve">معالم الدین وملاذ المجتهدین: 36، 74، 75، 109، 114، 193، 219</w:t>
      </w:r>
    </w:p>
    <w:p>
      <w:pPr>
        <w:pStyle w:val="BookText"/>
      </w:pPr>
      <w:r>
        <w:rPr>
          <w:rFonts w:ascii="Amiri" w:hAnsi="Amiri" w:eastAsia="Amiri" w:cs="Amiri"/>
          <w:lang w:bidi="ar-SA"/>
          <w:color w:val="111111"/>
          <w:sz w:val="28"/>
          <w:szCs w:val="28"/>
          <w:rtl/>
        </w:rPr>
        <w:t xml:space="preserve">المعتبر في شرح المختصر: 224، 563، 574</w:t>
      </w:r>
    </w:p>
    <w:p>
      <w:pPr>
        <w:pStyle w:val="BookText"/>
      </w:pPr>
      <w:r>
        <w:rPr>
          <w:rFonts w:ascii="Amiri" w:hAnsi="Amiri" w:eastAsia="Amiri" w:cs="Amiri"/>
          <w:lang w:bidi="ar-SA"/>
          <w:color w:val="111111"/>
          <w:sz w:val="28"/>
          <w:szCs w:val="28"/>
          <w:rtl/>
        </w:rPr>
        <w:t xml:space="preserve">معجم رجال الفكر والأدب: 13</w:t>
      </w:r>
    </w:p>
    <w:p>
      <w:pPr>
        <w:pStyle w:val="BookText"/>
      </w:pPr>
      <w:r>
        <w:rPr>
          <w:rFonts w:ascii="Amiri" w:hAnsi="Amiri" w:eastAsia="Amiri" w:cs="Amiri"/>
          <w:lang w:bidi="ar-SA"/>
          <w:color w:val="111111"/>
          <w:sz w:val="28"/>
          <w:szCs w:val="28"/>
          <w:rtl/>
        </w:rPr>
        <w:t xml:space="preserve">معجم المؤلفين: 13</w:t>
      </w:r>
    </w:p>
    <w:p>
      <w:pPr>
        <w:pStyle w:val="BookText"/>
      </w:pPr>
      <w:r>
        <w:rPr>
          <w:rFonts w:ascii="Amiri" w:hAnsi="Amiri" w:eastAsia="Amiri" w:cs="Amiri"/>
          <w:lang w:bidi="ar-SA"/>
          <w:color w:val="111111"/>
          <w:sz w:val="28"/>
          <w:szCs w:val="28"/>
          <w:rtl/>
        </w:rPr>
        <w:t xml:space="preserve">معجم المؤلفين العراقيين: 13</w:t>
      </w:r>
    </w:p>
    <w:p>
      <w:pPr>
        <w:pStyle w:val="BookText"/>
      </w:pPr>
      <w:r>
        <w:rPr>
          <w:rFonts w:ascii="Amiri" w:hAnsi="Amiri" w:eastAsia="Amiri" w:cs="Amiri"/>
          <w:lang w:bidi="ar-SA"/>
          <w:color w:val="111111"/>
          <w:sz w:val="28"/>
          <w:szCs w:val="28"/>
          <w:rtl/>
        </w:rPr>
        <w:t xml:space="preserve">المقاصد العليّة: 555، 574</w:t>
      </w:r>
    </w:p>
    <w:p>
      <w:pPr>
        <w:pStyle w:val="BookText"/>
      </w:pPr>
      <w:r>
        <w:rPr>
          <w:rFonts w:ascii="Amiri" w:hAnsi="Amiri" w:eastAsia="Amiri" w:cs="Amiri"/>
          <w:lang w:bidi="ar-SA"/>
          <w:color w:val="111111"/>
          <w:sz w:val="28"/>
          <w:szCs w:val="28"/>
          <w:rtl/>
        </w:rPr>
        <w:t xml:space="preserve">مقالة حول أصل البراءة ومسلك منجزيةالاحتمال: 209</w:t>
      </w:r>
    </w:p>
    <w:p>
      <w:pPr>
        <w:pStyle w:val="BookText"/>
      </w:pPr>
      <w:r>
        <w:rPr>
          <w:rFonts w:ascii="Amiri" w:hAnsi="Amiri" w:eastAsia="Amiri" w:cs="Amiri"/>
          <w:lang w:bidi="ar-SA"/>
          <w:color w:val="111111"/>
          <w:sz w:val="28"/>
          <w:szCs w:val="28"/>
          <w:rtl/>
        </w:rPr>
        <w:t xml:space="preserve">مكارم الآثار: 13</w:t>
      </w:r>
    </w:p>
    <w:p>
      <w:pPr>
        <w:pStyle w:val="BookText"/>
      </w:pPr>
      <w:r>
        <w:rPr>
          <w:rFonts w:ascii="IRNazanin" w:hAnsi="IRNazanin" w:eastAsia="IRNazanin" w:cs="IRNazanin"/>
          <w:lang w:bidi="fa-IR"/>
          <w:color w:val="111111"/>
          <w:sz w:val="28"/>
          <w:szCs w:val="28"/>
          <w:rtl/>
        </w:rPr>
        <w:t xml:space="preserve">منار الهدی: 14</w:t>
      </w:r>
    </w:p>
    <w:p>
      <w:pPr>
        <w:pStyle w:val="BookText"/>
      </w:pPr>
      <w:r>
        <w:rPr>
          <w:rFonts w:ascii="IRNazanin" w:hAnsi="IRNazanin" w:eastAsia="IRNazanin" w:cs="IRNazanin"/>
          <w:lang w:bidi="fa-IR"/>
          <w:color w:val="111111"/>
          <w:sz w:val="28"/>
          <w:szCs w:val="28"/>
          <w:rtl/>
        </w:rPr>
        <w:t xml:space="preserve">مناهج الأحکام: 35، 53، 68، 71، 106، 144، 165، 170، 236، 259، 370</w:t>
      </w:r>
    </w:p>
    <w:p>
      <w:pPr>
        <w:pStyle w:val="BookText"/>
      </w:pPr>
      <w:r>
        <w:rPr>
          <w:rFonts w:ascii="IRNazanin" w:hAnsi="IRNazanin" w:eastAsia="IRNazanin" w:cs="IRNazanin"/>
          <w:lang w:bidi="fa-IR"/>
          <w:color w:val="111111"/>
          <w:sz w:val="28"/>
          <w:szCs w:val="28"/>
          <w:rtl/>
        </w:rPr>
        <w:t xml:space="preserve">منتخب الرسائل: 10</w:t>
      </w:r>
    </w:p>
    <w:p>
      <w:pPr>
        <w:pStyle w:val="BookText"/>
      </w:pPr>
      <w:r>
        <w:rPr>
          <w:rFonts w:ascii="IRNazanin" w:hAnsi="IRNazanin" w:eastAsia="IRNazanin" w:cs="IRNazanin"/>
          <w:lang w:bidi="fa-IR"/>
          <w:color w:val="111111"/>
          <w:sz w:val="28"/>
          <w:szCs w:val="28"/>
          <w:rtl/>
        </w:rPr>
        <w:t xml:space="preserve">منتهى المطلب في تحقیق المذهب: 219، 541، 574</w:t>
      </w:r>
    </w:p>
    <w:p>
      <w:pPr>
        <w:pStyle w:val="BookText"/>
      </w:pPr>
      <w:r>
        <w:rPr>
          <w:rFonts w:ascii="Amiri" w:hAnsi="Amiri" w:eastAsia="Amiri" w:cs="Amiri"/>
          <w:lang w:bidi="ar-SA"/>
          <w:color w:val="111111"/>
          <w:sz w:val="28"/>
          <w:szCs w:val="28"/>
          <w:rtl/>
        </w:rPr>
        <w:t xml:space="preserve">المنظومة: 155</w:t>
      </w:r>
    </w:p>
    <w:p>
      <w:pPr>
        <w:pStyle w:val="BookText"/>
      </w:pPr>
      <w:r>
        <w:rPr>
          <w:rFonts w:ascii="IRNazanin" w:hAnsi="IRNazanin" w:eastAsia="IRNazanin" w:cs="IRNazanin"/>
          <w:lang w:bidi="fa-IR"/>
          <w:color w:val="111111"/>
          <w:sz w:val="28"/>
          <w:szCs w:val="28"/>
          <w:rtl/>
        </w:rPr>
        <w:t xml:space="preserve">میزان الفقاهة: 15</w:t>
      </w: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نجاة العباد: 8</w:t>
      </w:r>
    </w:p>
    <w:p>
      <w:pPr>
        <w:pStyle w:val="BookText"/>
      </w:pPr>
      <w:r>
        <w:rPr>
          <w:rFonts w:ascii="IRNazanin" w:hAnsi="IRNazanin" w:eastAsia="IRNazanin" w:cs="IRNazanin"/>
          <w:lang w:bidi="fa-IR"/>
          <w:color w:val="111111"/>
          <w:sz w:val="28"/>
          <w:szCs w:val="28"/>
          <w:rtl/>
        </w:rPr>
        <w:t xml:space="preserve">نجوم السماء: 13</w:t>
      </w:r>
    </w:p>
    <w:p>
      <w:pPr>
        <w:pStyle w:val="BookText"/>
      </w:pPr>
      <w:r>
        <w:rPr>
          <w:rFonts w:ascii="IRNazanin" w:hAnsi="IRNazanin" w:eastAsia="IRNazanin" w:cs="IRNazanin"/>
          <w:lang w:bidi="fa-IR"/>
          <w:color w:val="111111"/>
          <w:sz w:val="28"/>
          <w:szCs w:val="28"/>
          <w:rtl/>
        </w:rPr>
        <w:t xml:space="preserve">نماز طواف: 266، 327</w:t>
      </w:r>
    </w:p>
    <w:p>
      <w:pPr>
        <w:pStyle w:val="BookText"/>
      </w:pPr>
      <w:r>
        <w:rPr>
          <w:rFonts w:ascii="IRNazanin" w:hAnsi="IRNazanin" w:eastAsia="IRNazanin" w:cs="IRNazanin"/>
          <w:lang w:bidi="fa-IR"/>
          <w:color w:val="111111"/>
          <w:sz w:val="28"/>
          <w:szCs w:val="28"/>
          <w:rtl/>
        </w:rPr>
        <w:t xml:space="preserve">نهاية الإحکام في معرفة الأحکام: 516، 542، 574</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وجیزة عزیزة: 216</w:t>
      </w:r>
    </w:p>
    <w:p>
      <w:pPr>
        <w:pStyle w:val="BookText"/>
      </w:pPr>
      <w:r>
        <w:rPr>
          <w:rFonts w:ascii="IRNazanin" w:hAnsi="IRNazanin" w:eastAsia="IRNazanin" w:cs="IRNazanin"/>
          <w:lang w:bidi="fa-IR"/>
          <w:color w:val="111111"/>
          <w:sz w:val="28"/>
          <w:szCs w:val="28"/>
          <w:rtl/>
        </w:rPr>
        <w:t xml:space="preserve">«ه»</w:t>
      </w:r>
    </w:p>
    <w:p>
      <w:pPr>
        <w:pStyle w:val="BookText"/>
      </w:pPr>
      <w:r>
        <w:rPr>
          <w:rFonts w:ascii="IRNazanin" w:hAnsi="IRNazanin" w:eastAsia="IRNazanin" w:cs="IRNazanin"/>
          <w:lang w:bidi="fa-IR"/>
          <w:color w:val="111111"/>
          <w:sz w:val="28"/>
          <w:szCs w:val="28"/>
          <w:rtl/>
        </w:rPr>
        <w:t xml:space="preserve">هدایة المسترشدین (الحاشية): 13، 35، 103، 117، 147، 167، 250، 254، 256، 268، 285، 358، 368، 472، 499، 501</w:t>
      </w:r>
    </w:p>
    <w:p>
      <w:pPr>
        <w:pStyle w:val="BookText"/>
      </w:pPr>
      <w:r>
        <w:rPr>
          <w:rFonts w:ascii="Amiri" w:hAnsi="Amiri" w:eastAsia="Amiri" w:cs="Amiri"/>
          <w:lang w:bidi="ar-SA"/>
          <w:color w:val="111111"/>
          <w:sz w:val="28"/>
          <w:szCs w:val="28"/>
          <w:rtl/>
        </w:rPr>
        <w:t xml:space="preserve">هدية الرازي: 13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316" w:name="pg6784_51764"/>
    <w:bookmarkEnd w:id="316"/>
    <w:p>
      <w:pPr>
        <w:pStyle w:val="Heading3"/>
      </w:pPr>
      <w:bookmarkStart w:id="868" w:name="_Toc549"/>
      <w:r>
        <w:t>فهرس الأمکنة</w:t>
      </w:r>
      <w:bookmarkEnd w:id="868"/>
    </w:p>
    <w:p>
      <w:pPr>
        <w:pStyle w:val="BookText"/>
      </w:pPr>
      <w:r>
        <w:rPr>
          <w:rFonts w:ascii="IRNazanin" w:hAnsi="IRNazanin" w:eastAsia="IRNazanin" w:cs="IRNazanin"/>
          <w:lang w:bidi="fa-IR"/>
          <w:color w:val="111111"/>
          <w:sz w:val="28"/>
          <w:szCs w:val="28"/>
          <w:rtl/>
        </w:rPr>
        <w:t xml:space="preserve">«ا»</w:t>
      </w:r>
    </w:p>
    <w:p>
      <w:pPr>
        <w:pStyle w:val="BookText"/>
      </w:pPr>
      <w:r>
        <w:rPr>
          <w:rFonts w:ascii="IRNazanin" w:hAnsi="IRNazanin" w:eastAsia="IRNazanin" w:cs="IRNazanin"/>
          <w:lang w:bidi="fa-IR"/>
          <w:color w:val="111111"/>
          <w:sz w:val="28"/>
          <w:szCs w:val="28"/>
          <w:rtl/>
        </w:rPr>
        <w:t xml:space="preserve">إستهبان: 17</w:t>
      </w:r>
    </w:p>
    <w:p>
      <w:pPr>
        <w:pStyle w:val="BookText"/>
      </w:pPr>
      <w:r>
        <w:rPr>
          <w:rFonts w:ascii="IRNazanin" w:hAnsi="IRNazanin" w:eastAsia="IRNazanin" w:cs="IRNazanin"/>
          <w:lang w:bidi="fa-IR"/>
          <w:color w:val="111111"/>
          <w:sz w:val="28"/>
          <w:szCs w:val="28"/>
          <w:rtl/>
        </w:rPr>
        <w:t xml:space="preserve">إصفهان: 6، 9، 10، 11، 13، 14، 17</w:t>
      </w:r>
    </w:p>
    <w:p>
      <w:pPr>
        <w:pStyle w:val="BookText"/>
      </w:pPr>
      <w:r>
        <w:rPr>
          <w:rFonts w:ascii="Amiri" w:hAnsi="Amiri" w:eastAsia="Amiri" w:cs="Amiri"/>
          <w:lang w:bidi="ar-SA"/>
          <w:color w:val="111111"/>
          <w:sz w:val="28"/>
          <w:szCs w:val="28"/>
          <w:rtl/>
        </w:rPr>
        <w:t xml:space="preserve">إيران: 6، 9، 573</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باب الطوسي: 7</w:t>
      </w:r>
    </w:p>
    <w:p>
      <w:pPr>
        <w:pStyle w:val="BookText"/>
      </w:pPr>
      <w:r>
        <w:rPr>
          <w:rFonts w:ascii="IRNazanin" w:hAnsi="IRNazanin" w:eastAsia="IRNazanin" w:cs="IRNazanin"/>
          <w:lang w:bidi="fa-IR"/>
          <w:color w:val="111111"/>
          <w:sz w:val="28"/>
          <w:szCs w:val="28"/>
          <w:rtl/>
        </w:rPr>
        <w:t xml:space="preserve">بغداد: 7، 10</w:t>
      </w:r>
    </w:p>
    <w:p>
      <w:pPr>
        <w:pStyle w:val="BookText"/>
      </w:pPr>
      <w:r>
        <w:rPr>
          <w:rFonts w:ascii="IRNazanin" w:hAnsi="IRNazanin" w:eastAsia="IRNazanin" w:cs="IRNazanin"/>
          <w:lang w:bidi="fa-IR"/>
          <w:color w:val="111111"/>
          <w:sz w:val="28"/>
          <w:szCs w:val="28"/>
          <w:rtl/>
        </w:rPr>
        <w:t xml:space="preserve">«ت»</w:t>
      </w:r>
    </w:p>
    <w:p>
      <w:pPr>
        <w:pStyle w:val="BookText"/>
      </w:pPr>
      <w:r>
        <w:rPr>
          <w:rFonts w:ascii="Amiri" w:hAnsi="Amiri" w:eastAsia="Amiri" w:cs="Amiri"/>
          <w:lang w:bidi="ar-SA"/>
          <w:color w:val="111111"/>
          <w:sz w:val="28"/>
          <w:szCs w:val="28"/>
          <w:rtl/>
        </w:rPr>
        <w:t xml:space="preserve">تركيا: 8</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سامراء: 6، 10</w:t>
      </w:r>
    </w:p>
    <w:p>
      <w:pPr>
        <w:pStyle w:val="BookText"/>
      </w:pPr>
      <w:r>
        <w:rPr>
          <w:rFonts w:ascii="IRNazanin" w:hAnsi="IRNazanin" w:eastAsia="IRNazanin" w:cs="IRNazanin"/>
          <w:lang w:bidi="fa-IR"/>
          <w:color w:val="111111"/>
          <w:sz w:val="28"/>
          <w:szCs w:val="28"/>
          <w:rtl/>
        </w:rPr>
        <w:t xml:space="preserve">«ش»</w:t>
      </w:r>
    </w:p>
    <w:p>
      <w:pPr>
        <w:pStyle w:val="BookText"/>
      </w:pPr>
      <w:r>
        <w:rPr>
          <w:rFonts w:ascii="IRNazanin" w:hAnsi="IRNazanin" w:eastAsia="IRNazanin" w:cs="IRNazanin"/>
          <w:lang w:bidi="fa-IR"/>
          <w:color w:val="111111"/>
          <w:sz w:val="28"/>
          <w:szCs w:val="28"/>
          <w:rtl/>
        </w:rPr>
        <w:t xml:space="preserve">شیکاگو: 573</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جامع عمران: 7</w:t>
      </w:r>
    </w:p>
    <w:p>
      <w:pPr>
        <w:pStyle w:val="BookText"/>
      </w:pPr>
      <w:r>
        <w:rPr>
          <w:rFonts w:ascii="IRNazanin" w:hAnsi="IRNazanin" w:eastAsia="IRNazanin" w:cs="IRNazanin"/>
          <w:lang w:bidi="fa-IR"/>
          <w:color w:val="111111"/>
          <w:sz w:val="28"/>
          <w:szCs w:val="28"/>
          <w:rtl/>
        </w:rPr>
        <w:t xml:space="preserve">«ط»</w:t>
      </w:r>
    </w:p>
    <w:p>
      <w:pPr>
        <w:pStyle w:val="BookText"/>
      </w:pPr>
      <w:r>
        <w:rPr>
          <w:rFonts w:ascii="IRNazanin" w:hAnsi="IRNazanin" w:eastAsia="IRNazanin" w:cs="IRNazanin"/>
          <w:lang w:bidi="fa-IR"/>
          <w:color w:val="111111"/>
          <w:sz w:val="28"/>
          <w:szCs w:val="28"/>
          <w:rtl/>
        </w:rPr>
        <w:t xml:space="preserve">طهران: 16، 573</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العتبة العباسیة المقدّسة: 338</w:t>
      </w:r>
    </w:p>
    <w:p>
      <w:pPr>
        <w:pStyle w:val="BookText"/>
      </w:pPr>
      <w:r>
        <w:rPr>
          <w:rFonts w:ascii="IRNazanin" w:hAnsi="IRNazanin" w:eastAsia="IRNazanin" w:cs="IRNazanin"/>
          <w:lang w:bidi="fa-IR"/>
          <w:color w:val="111111"/>
          <w:sz w:val="28"/>
          <w:szCs w:val="28"/>
          <w:rtl/>
        </w:rPr>
        <w:t xml:space="preserve">العراق: 9</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فارس: 17</w:t>
      </w: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قم المشرّفة: 17</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كِسْنَویّه (كسنو): 7، 9، 13</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مدرسة المیرزا جعفر: 18</w:t>
      </w:r>
    </w:p>
    <w:p>
      <w:pPr>
        <w:pStyle w:val="BookText"/>
      </w:pPr>
      <w:r>
        <w:rPr>
          <w:rFonts w:ascii="Amiri" w:hAnsi="Amiri" w:eastAsia="Amiri" w:cs="Amiri"/>
          <w:lang w:bidi="ar-SA"/>
          <w:color w:val="111111"/>
          <w:sz w:val="28"/>
          <w:szCs w:val="28"/>
          <w:rtl/>
        </w:rPr>
        <w:t xml:space="preserve">المدنية المنوّرة: 583</w:t>
      </w:r>
    </w:p>
    <w:p>
      <w:pPr>
        <w:pStyle w:val="BookText"/>
      </w:pPr>
      <w:r>
        <w:rPr>
          <w:rFonts w:ascii="IRNazanin" w:hAnsi="IRNazanin" w:eastAsia="IRNazanin" w:cs="IRNazanin"/>
          <w:lang w:bidi="fa-IR"/>
          <w:color w:val="111111"/>
          <w:sz w:val="28"/>
          <w:szCs w:val="28"/>
          <w:rtl/>
        </w:rPr>
        <w:t xml:space="preserve">مسجد الأتابکي: 18</w:t>
      </w:r>
    </w:p>
    <w:p>
      <w:pPr>
        <w:pStyle w:val="BookText"/>
      </w:pPr>
      <w:r>
        <w:rPr>
          <w:rFonts w:ascii="Amiri" w:hAnsi="Amiri" w:eastAsia="Amiri" w:cs="Amiri"/>
          <w:lang w:bidi="ar-SA"/>
          <w:color w:val="111111"/>
          <w:sz w:val="28"/>
          <w:szCs w:val="28"/>
          <w:rtl/>
        </w:rPr>
        <w:t xml:space="preserve">مسجد السهلة: 9</w:t>
      </w:r>
    </w:p>
    <w:p>
      <w:pPr>
        <w:pStyle w:val="BookText"/>
      </w:pPr>
      <w:r>
        <w:rPr>
          <w:rFonts w:ascii="Amiri" w:hAnsi="Amiri" w:eastAsia="Amiri" w:cs="Amiri"/>
          <w:lang w:bidi="ar-SA"/>
          <w:color w:val="111111"/>
          <w:sz w:val="28"/>
          <w:szCs w:val="28"/>
          <w:rtl/>
        </w:rPr>
        <w:t xml:space="preserve">المشهد العلوي: 7</w:t>
      </w:r>
    </w:p>
    <w:p>
      <w:pPr>
        <w:pStyle w:val="BookText"/>
      </w:pPr>
      <w:r>
        <w:rPr>
          <w:rFonts w:ascii="Amiri" w:hAnsi="Amiri" w:eastAsia="Amiri" w:cs="Amiri"/>
          <w:lang w:bidi="ar-SA"/>
          <w:color w:val="111111"/>
          <w:sz w:val="28"/>
          <w:szCs w:val="28"/>
          <w:rtl/>
        </w:rPr>
        <w:t xml:space="preserve">المشهد المقدس الرضوي: 18، 573</w:t>
      </w:r>
    </w:p>
    <w:p>
      <w:pPr>
        <w:pStyle w:val="BookText"/>
      </w:pPr>
      <w:r>
        <w:rPr>
          <w:rFonts w:ascii="IRNazanin" w:hAnsi="IRNazanin" w:eastAsia="IRNazanin" w:cs="IRNazanin"/>
          <w:lang w:bidi="fa-IR"/>
          <w:color w:val="111111"/>
          <w:sz w:val="28"/>
          <w:szCs w:val="28"/>
          <w:rtl/>
        </w:rPr>
        <w:t xml:space="preserve">مکتبة المسجد الأعظم: 18</w:t>
      </w:r>
    </w:p>
    <w:p>
      <w:pPr>
        <w:pStyle w:val="BookText"/>
      </w:pPr>
      <w:r>
        <w:rPr>
          <w:rFonts w:ascii="IRNazanin" w:hAnsi="IRNazanin" w:eastAsia="IRNazanin" w:cs="IRNazanin"/>
          <w:lang w:bidi="fa-IR"/>
          <w:color w:val="111111"/>
          <w:sz w:val="28"/>
          <w:szCs w:val="28"/>
          <w:rtl/>
        </w:rPr>
        <w:t xml:space="preserve">مکتبة الوزیري: 18</w:t>
      </w:r>
    </w:p>
    <w:p>
      <w:pPr>
        <w:pStyle w:val="BookText"/>
      </w:pPr>
      <w:r>
        <w:rPr>
          <w:rFonts w:ascii="Amiri" w:hAnsi="Amiri" w:eastAsia="Amiri" w:cs="Amiri"/>
          <w:lang w:bidi="ar-SA"/>
          <w:color w:val="111111"/>
          <w:sz w:val="28"/>
          <w:szCs w:val="28"/>
          <w:rtl/>
        </w:rPr>
        <w:t xml:space="preserve">مكّة المکرّمة: 583</w:t>
      </w: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النجف الأشرف: 5، 6، 7، 12، 13، 14، 17، 573، 582</w:t>
      </w:r>
    </w:p>
    <w:p>
      <w:pPr>
        <w:pStyle w:val="BookText"/>
      </w:pPr>
      <w:r>
        <w:rPr>
          <w:rFonts w:ascii="IRNazanin" w:hAnsi="IRNazanin" w:eastAsia="IRNazanin" w:cs="IRNazanin"/>
          <w:lang w:bidi="fa-IR"/>
          <w:color w:val="111111"/>
          <w:sz w:val="28"/>
          <w:szCs w:val="28"/>
          <w:rtl/>
        </w:rPr>
        <w:t xml:space="preserve">نیریز: 17</w:t>
      </w:r>
    </w:p>
    <w:p>
      <w:pPr>
        <w:pStyle w:val="BookText"/>
      </w:pPr>
      <w:r>
        <w:rPr>
          <w:rFonts w:ascii="Amiri" w:hAnsi="Amiri" w:eastAsia="Amiri" w:cs="Amiri"/>
          <w:lang w:bidi="ar-SA"/>
          <w:color w:val="111111"/>
          <w:sz w:val="28"/>
          <w:szCs w:val="28"/>
          <w:rtl/>
        </w:rPr>
        <w:t xml:space="preserve">«ي»</w:t>
      </w:r>
    </w:p>
    <w:p>
      <w:pPr>
        <w:pStyle w:val="BookText"/>
      </w:pPr>
      <w:r>
        <w:rPr>
          <w:rFonts w:ascii="Amiri" w:hAnsi="Amiri" w:eastAsia="Amiri" w:cs="Amiri"/>
          <w:lang w:bidi="ar-SA"/>
          <w:color w:val="111111"/>
          <w:sz w:val="28"/>
          <w:szCs w:val="28"/>
          <w:rtl/>
        </w:rPr>
        <w:t xml:space="preserve">يزد: 6، 7، 9، 10، 13، 17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317" w:name="pg6784_51765"/>
    <w:bookmarkEnd w:id="317"/>
    <w:p>
      <w:pPr>
        <w:pStyle w:val="Heading3"/>
      </w:pPr>
      <w:bookmarkStart w:id="869" w:name="_Toc550"/>
      <w:r>
        <w:t>فهرس الفرق</w:t>
      </w:r>
      <w:bookmarkEnd w:id="869"/>
    </w:p>
    <w:p>
      <w:pPr>
        <w:pStyle w:val="BookText"/>
      </w:pPr>
      <w:r>
        <w:rPr>
          <w:rFonts w:ascii="Amiri" w:hAnsi="Amiri" w:eastAsia="Amiri" w:cs="Amiri"/>
          <w:lang w:bidi="ar-SA"/>
          <w:color w:val="111111"/>
          <w:sz w:val="28"/>
          <w:szCs w:val="28"/>
          <w:rtl/>
        </w:rPr>
        <w:t xml:space="preserve">الأشاعرة: 78، 82، 117، 122، 123، 218، 271، 340، 343، 357</w:t>
      </w:r>
    </w:p>
    <w:p>
      <w:pPr>
        <w:pStyle w:val="BookText"/>
      </w:pPr>
      <w:r>
        <w:rPr>
          <w:rFonts w:ascii="Amiri" w:hAnsi="Amiri" w:eastAsia="Amiri" w:cs="Amiri"/>
          <w:lang w:bidi="ar-SA"/>
          <w:color w:val="111111"/>
          <w:sz w:val="28"/>
          <w:szCs w:val="28"/>
          <w:rtl/>
        </w:rPr>
        <w:t xml:space="preserve">الإماميّة: 5، 6، 14، 217</w:t>
      </w:r>
    </w:p>
    <w:p>
      <w:pPr>
        <w:pStyle w:val="BookText"/>
      </w:pPr>
      <w:r>
        <w:rPr>
          <w:rFonts w:ascii="Amiri" w:hAnsi="Amiri" w:eastAsia="Amiri" w:cs="Amiri"/>
          <w:lang w:bidi="ar-SA"/>
          <w:color w:val="111111"/>
          <w:sz w:val="28"/>
          <w:szCs w:val="28"/>
          <w:rtl/>
        </w:rPr>
        <w:t xml:space="preserve">الشيعة: 5، 13، 223، 573</w:t>
      </w:r>
    </w:p>
    <w:p>
      <w:pPr>
        <w:pStyle w:val="BookText"/>
      </w:pPr>
      <w:r>
        <w:rPr>
          <w:rFonts w:ascii="Amiri" w:hAnsi="Amiri" w:eastAsia="Amiri" w:cs="Amiri"/>
          <w:lang w:bidi="ar-SA"/>
          <w:color w:val="111111"/>
          <w:sz w:val="28"/>
          <w:szCs w:val="28"/>
          <w:rtl/>
        </w:rPr>
        <w:t xml:space="preserve">العدلية: 117، 340، 357</w:t>
      </w:r>
    </w:p>
    <w:p>
      <w:pPr>
        <w:pStyle w:val="BookText"/>
      </w:pPr>
      <w:r>
        <w:rPr>
          <w:rFonts w:ascii="Amiri" w:hAnsi="Amiri" w:eastAsia="Amiri" w:cs="Amiri"/>
          <w:lang w:bidi="ar-SA"/>
          <w:color w:val="111111"/>
          <w:sz w:val="28"/>
          <w:szCs w:val="28"/>
          <w:rtl/>
        </w:rPr>
        <w:t xml:space="preserve">المشّاؤون: 186</w:t>
      </w:r>
    </w:p>
    <w:p>
      <w:pPr>
        <w:pStyle w:val="BookText"/>
      </w:pPr>
      <w:r>
        <w:rPr>
          <w:rFonts w:ascii="Amiri" w:hAnsi="Amiri" w:eastAsia="Amiri" w:cs="Amiri"/>
          <w:lang w:bidi="ar-SA"/>
          <w:color w:val="111111"/>
          <w:sz w:val="28"/>
          <w:szCs w:val="28"/>
          <w:rtl/>
        </w:rPr>
        <w:t xml:space="preserve">المعتزلة: 78، 81، 217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318" w:name="pg6784_51766"/>
    <w:bookmarkEnd w:id="318"/>
    <w:p>
      <w:pPr>
        <w:pStyle w:val="Heading2"/>
      </w:pPr>
      <w:bookmarkStart w:id="870" w:name="_Toc551"/>
      <w:r>
        <w:t>مصادر التحقیق</w:t>
      </w:r>
      <w:bookmarkEnd w:id="870"/>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1- أحسن الودیعة في تراجم مشاهیر مجتهدي الشیعة: السیّد محمّد مهدي الموسوي الإصفهاني الکاظمي، تعلیق: السیّد عبدالستّار الحسني البغدادي، مؤسسة تراث الشیعة، قم، الطبعة الأولى، 1437 ق.</w:t>
      </w:r>
    </w:p>
    <w:p>
      <w:pPr>
        <w:pStyle w:val="BookText"/>
      </w:pPr>
      <w:r>
        <w:rPr>
          <w:rFonts w:ascii="IRNazanin" w:hAnsi="IRNazanin" w:eastAsia="IRNazanin" w:cs="IRNazanin"/>
          <w:lang w:bidi="fa-IR"/>
          <w:color w:val="111111"/>
          <w:sz w:val="28"/>
          <w:szCs w:val="28"/>
          <w:rtl/>
        </w:rPr>
        <w:t xml:space="preserve">2- إحقاق الحقّ وإزهاق الباطل: السیّد نورالله الحسیني المرعشي التستري، تعلیق: السیّد شهاب‌الدین المرعشي النجفي، مکتبة آیةالله العظمى النجفي المرعشي، قم.</w:t>
      </w:r>
    </w:p>
    <w:p>
      <w:pPr>
        <w:pStyle w:val="BookText"/>
      </w:pPr>
      <w:r>
        <w:rPr>
          <w:rFonts w:ascii="IRNazanin" w:hAnsi="IRNazanin" w:eastAsia="IRNazanin" w:cs="IRNazanin"/>
          <w:lang w:bidi="fa-IR"/>
          <w:color w:val="111111"/>
          <w:sz w:val="28"/>
          <w:szCs w:val="28"/>
          <w:rtl/>
        </w:rPr>
        <w:t xml:space="preserve">3- الإحکام في أصول الأحکام: علي بن محمّد الآمدي، تحقیق: عبدالرزّاق عفیفي، المکتب الإسلامي، بیروت، الطبعة الثانیة، 1407ق.</w:t>
      </w:r>
    </w:p>
    <w:p>
      <w:pPr>
        <w:pStyle w:val="BookText"/>
      </w:pPr>
      <w:r>
        <w:rPr>
          <w:rFonts w:ascii="IRNazanin" w:hAnsi="IRNazanin" w:eastAsia="IRNazanin" w:cs="IRNazanin"/>
          <w:lang w:bidi="fa-IR"/>
          <w:color w:val="111111"/>
          <w:sz w:val="28"/>
          <w:szCs w:val="28"/>
          <w:rtl/>
        </w:rPr>
        <w:t xml:space="preserve">4- استحالة اجتماع الأمر والنهي: السیّد علي الطباطبائي الحائري، تحقیق: حسین حلبیان، مجلة تراثنا (نشرة فصلیة تصدرها مؤسسة آل البیت (علیهم‌السلام) لإحیاء التراث)، قم، العدد 147.</w:t>
      </w:r>
    </w:p>
    <w:p>
      <w:pPr>
        <w:pStyle w:val="BookText"/>
      </w:pPr>
      <w:r>
        <w:rPr>
          <w:rFonts w:ascii="IRNazanin" w:hAnsi="IRNazanin" w:eastAsia="IRNazanin" w:cs="IRNazanin"/>
          <w:lang w:bidi="fa-IR"/>
          <w:color w:val="111111"/>
          <w:sz w:val="28"/>
          <w:szCs w:val="28"/>
          <w:rtl/>
        </w:rPr>
        <w:t xml:space="preserve">5- إشارات إلى مفاتیح الأحکام: الحاج محمّدإبراهیم الکلباسي، طهران، الطبعة الأولى، 1245ق.</w:t>
      </w:r>
    </w:p>
    <w:p>
      <w:pPr>
        <w:pStyle w:val="BookText"/>
      </w:pPr>
      <w:r>
        <w:rPr>
          <w:rFonts w:ascii="IRNazanin" w:hAnsi="IRNazanin" w:eastAsia="IRNazanin" w:cs="IRNazanin"/>
          <w:lang w:bidi="fa-IR"/>
          <w:color w:val="111111"/>
          <w:sz w:val="28"/>
          <w:szCs w:val="28"/>
          <w:rtl/>
        </w:rPr>
        <w:t xml:space="preserve">6- الإشارات والتنبیهات: حسین بن عبدالله بن سینا، تحقیق: کریم فیضي، مؤسسة مطبوعات دیني، قم، 1384 ش.</w:t>
      </w:r>
    </w:p>
    <w:p>
      <w:pPr>
        <w:pStyle w:val="BookText"/>
      </w:pPr>
      <w:r>
        <w:rPr>
          <w:rFonts w:ascii="IRNazanin" w:hAnsi="IRNazanin" w:eastAsia="IRNazanin" w:cs="IRNazanin"/>
          <w:lang w:bidi="fa-IR"/>
          <w:color w:val="111111"/>
          <w:sz w:val="28"/>
          <w:szCs w:val="28"/>
          <w:rtl/>
        </w:rPr>
        <w:t xml:space="preserve">7- أُصول الفقه: محمّدعلي الأراکي، مؤسسة در راه حق، قم، الطبعة الأولى، 1375ش.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الأُصول الوسیط، مصباح الهدي: المیرزا مهدي الإصفهاني، تحقیق: مؤسسة معارف أهل البیت (علیهم‌السلام)، قم، الطبعة الثانیة، 1440ق.</w:t>
      </w:r>
    </w:p>
    <w:p>
      <w:pPr>
        <w:pStyle w:val="BookText"/>
      </w:pPr>
      <w:r>
        <w:rPr>
          <w:rFonts w:ascii="IRNazanin" w:hAnsi="IRNazanin" w:eastAsia="IRNazanin" w:cs="IRNazanin"/>
          <w:lang w:bidi="fa-IR"/>
          <w:color w:val="111111"/>
          <w:sz w:val="28"/>
          <w:szCs w:val="28"/>
          <w:rtl/>
        </w:rPr>
        <w:t xml:space="preserve">9- أُصول فقه الشیعة: السیّد أبوالقاسم الموسوي الخوئي، تقریر: السیّد محمّدمهديالموسوي الخلخالي، فقیه أهل البیت (علیهم‌السلام)، قم، الطبعة الأولى، 1436 ق.</w:t>
      </w:r>
    </w:p>
    <w:p>
      <w:pPr>
        <w:pStyle w:val="BookText"/>
      </w:pPr>
      <w:r>
        <w:rPr>
          <w:rFonts w:ascii="IRNazanin" w:hAnsi="IRNazanin" w:eastAsia="IRNazanin" w:cs="IRNazanin"/>
          <w:lang w:bidi="fa-IR"/>
          <w:color w:val="111111"/>
          <w:sz w:val="28"/>
          <w:szCs w:val="28"/>
          <w:rtl/>
        </w:rPr>
        <w:t xml:space="preserve">10- أعیان الشیعة: السیّد محسن الأمین، تحقیق: السیّد حسن الأمین، دار التعارف للمطبوعات، بیروت، الطبعة الأولى، 1403ق.</w:t>
      </w:r>
    </w:p>
    <w:p>
      <w:pPr>
        <w:pStyle w:val="BookText"/>
      </w:pPr>
      <w:r>
        <w:rPr>
          <w:rFonts w:ascii="IRNazanin" w:hAnsi="IRNazanin" w:eastAsia="IRNazanin" w:cs="IRNazanin"/>
          <w:lang w:bidi="fa-IR"/>
          <w:color w:val="111111"/>
          <w:sz w:val="28"/>
          <w:szCs w:val="28"/>
          <w:rtl/>
        </w:rPr>
        <w:t xml:space="preserve">11- أقرب المجازات إلى مشایخ الإجازات: السیّد علي نقي النقوي اللکهنوي، تقدیم: السیّد محمّدرضا الحسیني الجلالي، مرکز إحیاء التراث التابع لدار المخطوطات للعتبة العبّاسیة المقدّسة، کربلاء، الطبعة الأولى، 1347 ق.</w:t>
      </w:r>
    </w:p>
    <w:p>
      <w:pPr>
        <w:pStyle w:val="BookText"/>
      </w:pPr>
      <w:r>
        <w:rPr>
          <w:rFonts w:ascii="IRNazanin" w:hAnsi="IRNazanin" w:eastAsia="IRNazanin" w:cs="IRNazanin"/>
          <w:lang w:bidi="fa-IR"/>
          <w:color w:val="111111"/>
          <w:sz w:val="28"/>
          <w:szCs w:val="28"/>
          <w:rtl/>
        </w:rPr>
        <w:t xml:space="preserve">12- الانتصار: السیّد على بن الحسین (السيّد المرتضی)، تحقیق: علي الدباغ، مؤسسة النشر الإسلامي التابعة لجماعة المدرّسین بقم المشرّفة، الطبعة الأولى، 1415 ق.</w:t>
      </w:r>
    </w:p>
    <w:p>
      <w:pPr>
        <w:pStyle w:val="BookText"/>
      </w:pPr>
      <w:r>
        <w:rPr>
          <w:rFonts w:ascii="IRNazanin" w:hAnsi="IRNazanin" w:eastAsia="IRNazanin" w:cs="IRNazanin"/>
          <w:lang w:bidi="fa-IR"/>
          <w:color w:val="111111"/>
          <w:sz w:val="28"/>
          <w:szCs w:val="28"/>
          <w:rtl/>
        </w:rPr>
        <w:t xml:space="preserve">13- أنیس المجتهدین: محمّدمهدي النراقي، تحقیق: نعمت‌الله الجلیلي، غلامرضا النقي، ولي‌الله القرباني، محسن النوروزي، بوستان کتاب، قم، 1388ش.</w:t>
      </w:r>
    </w:p>
    <w:p>
      <w:pPr>
        <w:pStyle w:val="BookText"/>
      </w:pPr>
      <w:r>
        <w:rPr>
          <w:rFonts w:ascii="IRNazanin" w:hAnsi="IRNazanin" w:eastAsia="IRNazanin" w:cs="IRNazanin"/>
          <w:lang w:bidi="fa-IR"/>
          <w:color w:val="111111"/>
          <w:sz w:val="28"/>
          <w:szCs w:val="28"/>
          <w:rtl/>
        </w:rPr>
        <w:t xml:space="preserve">14- أوثق الوسائل في شرح الرسائل: المیرزا موسى التبریزي، تصحیح: زین العابدین بن علي بن لطفعلي، 1343ق، نشر الکتبي النجفي، قم.</w:t>
      </w:r>
    </w:p>
    <w:p>
      <w:pPr>
        <w:pStyle w:val="BookText"/>
      </w:pPr>
      <w:r>
        <w:rPr>
          <w:rFonts w:ascii="IRNazanin" w:hAnsi="IRNazanin" w:eastAsia="IRNazanin" w:cs="IRNazanin"/>
          <w:lang w:bidi="fa-IR"/>
          <w:color w:val="111111"/>
          <w:sz w:val="28"/>
          <w:szCs w:val="28"/>
          <w:rtl/>
        </w:rPr>
        <w:t xml:space="preserve">15- إیضاح الفرائد: السیّد محمّد الحسیني التنکابني، مقابلة: السیّد مهدي بن محمّد الحسیني التنکابني، المطبعة الإسلامیة (اخوان کتابچي)، طهران، الطبعة الأولى، 1359ق.</w:t>
      </w:r>
    </w:p>
    <w:p>
      <w:pPr>
        <w:pStyle w:val="BookText"/>
      </w:pPr>
      <w:r>
        <w:rPr>
          <w:rFonts w:ascii="IRNazanin" w:hAnsi="IRNazanin" w:eastAsia="IRNazanin" w:cs="IRNazanin"/>
          <w:lang w:bidi="fa-IR"/>
          <w:color w:val="111111"/>
          <w:sz w:val="28"/>
          <w:szCs w:val="28"/>
          <w:rtl/>
        </w:rPr>
        <w:t xml:space="preserve">16- إیضاح الفوائد في شرح مشکلات القواعد: محمّد بن حسن فخر المحقّقین، تحقیق: السیّد حسین الموسوي الکرماني، علي‌پناه الإشتهاردي، عبدالرحیم البروجردي، مؤسسة إسماعیلیان، قم، الطبعة الأولى، 1387ق.</w:t>
      </w:r>
    </w:p>
    <w:p>
      <w:pPr>
        <w:pStyle w:val="BookText"/>
      </w:pPr>
      <w:r>
        <w:rPr>
          <w:rFonts w:ascii="IRNazanin" w:hAnsi="IRNazanin" w:eastAsia="IRNazanin" w:cs="IRNazanin"/>
          <w:lang w:bidi="fa-IR"/>
          <w:color w:val="111111"/>
          <w:sz w:val="28"/>
          <w:szCs w:val="28"/>
          <w:rtl/>
        </w:rPr>
        <w:t xml:space="preserve">17- بحار الأنوار الجامعة لدرر أخبار الأئمة الأطهار (علیهم‌السلام): العلّامة محمّدباقر بن محمّدتقي المجلسي، دار إحیاء التراث العربي، بیروت، الطبعة الثانیة، 1403ق.</w:t>
      </w:r>
    </w:p>
    <w:p>
      <w:pPr>
        <w:pStyle w:val="BookText"/>
      </w:pPr>
      <w:r>
        <w:rPr>
          <w:rFonts w:ascii="IRNazanin" w:hAnsi="IRNazanin" w:eastAsia="IRNazanin" w:cs="IRNazanin"/>
          <w:lang w:bidi="fa-IR"/>
          <w:color w:val="111111"/>
          <w:sz w:val="28"/>
          <w:szCs w:val="28"/>
          <w:rtl/>
        </w:rPr>
        <w:t xml:space="preserve">18- البحر المحیط في أصول الفقه: محمّد بن بهادر بن عبدالله الزرکشي الشافعي، تحقیق: محمّد محمّد تامر، دار الکتب العلمیّة، بیروت، 1421ق.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بحوث في علم الأصول: الشهید السیّد محمّدباقر الصدر، تقریر: السیّد محمود الهاشمي الشاهرودي، مؤسسة دائرة المعارف الفقه الإسلامي، قم، الطبعة الثالثة، 1417ق.</w:t>
      </w:r>
    </w:p>
    <w:p>
      <w:pPr>
        <w:pStyle w:val="BookText"/>
      </w:pPr>
      <w:r>
        <w:rPr>
          <w:rFonts w:ascii="IRNazanin" w:hAnsi="IRNazanin" w:eastAsia="IRNazanin" w:cs="IRNazanin"/>
          <w:lang w:bidi="fa-IR"/>
          <w:color w:val="111111"/>
          <w:sz w:val="28"/>
          <w:szCs w:val="28"/>
          <w:rtl/>
        </w:rPr>
        <w:t xml:space="preserve">20- بدائع الأفکار: المیرزا حبیب الله الرشتي، مقابلة: أبوالقاسم بن محمّدرضا النوري، 1313ق.</w:t>
      </w:r>
    </w:p>
    <w:p>
      <w:pPr>
        <w:pStyle w:val="BookText"/>
      </w:pPr>
      <w:r>
        <w:rPr>
          <w:rFonts w:ascii="IRNazanin" w:hAnsi="IRNazanin" w:eastAsia="IRNazanin" w:cs="IRNazanin"/>
          <w:lang w:bidi="fa-IR"/>
          <w:color w:val="111111"/>
          <w:sz w:val="28"/>
          <w:szCs w:val="28"/>
          <w:rtl/>
        </w:rPr>
        <w:t xml:space="preserve">21- بدائع الأفکار في الأصول: ضیاء الدین العراقي، تقریر: هاشم الآملي، المطبعة العلمیة، النجف الأشرف، الطبعة الأولى، 1370ق.</w:t>
      </w:r>
    </w:p>
    <w:p>
      <w:pPr>
        <w:pStyle w:val="BookText"/>
      </w:pPr>
      <w:r>
        <w:rPr>
          <w:rFonts w:ascii="IRNazanin" w:hAnsi="IRNazanin" w:eastAsia="IRNazanin" w:cs="IRNazanin"/>
          <w:lang w:bidi="fa-IR"/>
          <w:color w:val="111111"/>
          <w:sz w:val="28"/>
          <w:szCs w:val="28"/>
          <w:rtl/>
        </w:rPr>
        <w:t xml:space="preserve">22- البرهان في أصول الفقه: عبدالملك بن عبدالله الجویني الشافعي، تحقیق: عبدالعظیم الدیب، مطابع الدوحة الحدیثة، الطبعة الأولى، 1399ق.</w:t>
      </w:r>
    </w:p>
    <w:p>
      <w:pPr>
        <w:pStyle w:val="BookText"/>
      </w:pPr>
      <w:r>
        <w:rPr>
          <w:rFonts w:ascii="IRNazanin" w:hAnsi="IRNazanin" w:eastAsia="IRNazanin" w:cs="IRNazanin"/>
          <w:lang w:bidi="fa-IR"/>
          <w:color w:val="111111"/>
          <w:sz w:val="28"/>
          <w:szCs w:val="28"/>
          <w:rtl/>
        </w:rPr>
        <w:t xml:space="preserve">23- البیان: محمّد بن مکّي الشهید الأوّل، تحقیق: محمّد حسّون، بنیاد فرهنگي إمام مهدي (عجل‌الله‌تعالی‌فرجه)، قم، الطبعة الأولى، 1412ق.</w:t>
      </w:r>
    </w:p>
    <w:p>
      <w:pPr>
        <w:pStyle w:val="BookText"/>
      </w:pPr>
      <w:r>
        <w:rPr>
          <w:rFonts w:ascii="IRNazanin" w:hAnsi="IRNazanin" w:eastAsia="IRNazanin" w:cs="IRNazanin"/>
          <w:lang w:bidi="fa-IR"/>
          <w:color w:val="111111"/>
          <w:sz w:val="28"/>
          <w:szCs w:val="28"/>
          <w:rtl/>
        </w:rPr>
        <w:t xml:space="preserve">24- البیان: السیّد محمّدحسین الحسیني الجلالي، تحقیق: حسین حلبیان، مجمع الذخائر الإسلامیّة، قم، 1436 ق.</w:t>
      </w:r>
    </w:p>
    <w:p>
      <w:pPr>
        <w:pStyle w:val="BookText"/>
      </w:pPr>
      <w:r>
        <w:rPr>
          <w:rFonts w:ascii="IRNazanin" w:hAnsi="IRNazanin" w:eastAsia="IRNazanin" w:cs="IRNazanin"/>
          <w:lang w:bidi="fa-IR"/>
          <w:color w:val="111111"/>
          <w:sz w:val="28"/>
          <w:szCs w:val="28"/>
          <w:rtl/>
        </w:rPr>
        <w:t xml:space="preserve">25- بیان الأصول: السیّد حسین الطباطبائي البروجردي، لطف الله الصافي الگلپایگاني، مطبعة ثامن الحجج (علیه‌السلام)، قم، الطبعة الأولى، 1428ق.</w:t>
      </w:r>
    </w:p>
    <w:p>
      <w:pPr>
        <w:pStyle w:val="BookText"/>
      </w:pPr>
      <w:r>
        <w:rPr>
          <w:rFonts w:ascii="IRNazanin" w:hAnsi="IRNazanin" w:eastAsia="IRNazanin" w:cs="IRNazanin"/>
          <w:lang w:bidi="fa-IR"/>
          <w:color w:val="111111"/>
          <w:sz w:val="28"/>
          <w:szCs w:val="28"/>
          <w:rtl/>
        </w:rPr>
        <w:t xml:space="preserve">26- بیان المختصر: محمود بن عبدالرحمن بن أحمد الإصفهاني، تحقیق: محمد مظهر بقا، جامعة أمّ القرى، مکّة المکرّمة، الطبعة الأولى، 1406ق.</w:t>
      </w:r>
    </w:p>
    <w:p>
      <w:pPr>
        <w:pStyle w:val="BookText"/>
      </w:pPr>
      <w:r>
        <w:rPr>
          <w:rFonts w:ascii="IRNazanin" w:hAnsi="IRNazanin" w:eastAsia="IRNazanin" w:cs="IRNazanin"/>
          <w:lang w:bidi="fa-IR"/>
          <w:color w:val="111111"/>
          <w:sz w:val="28"/>
          <w:szCs w:val="28"/>
          <w:rtl/>
        </w:rPr>
        <w:t xml:space="preserve">27- تبصرة الفقهاء: محمّدتقي النجفي الإصفهاني، تحقیق: السیّد صادق الحسیني الإشکوري، مجمع الذخائر الإسلامیّة، قم، الطبعة الأولى، 1427ق.</w:t>
      </w:r>
    </w:p>
    <w:p>
      <w:pPr>
        <w:pStyle w:val="BookText"/>
      </w:pPr>
      <w:r>
        <w:rPr>
          <w:rFonts w:ascii="IRNazanin" w:hAnsi="IRNazanin" w:eastAsia="IRNazanin" w:cs="IRNazanin"/>
          <w:lang w:bidi="fa-IR"/>
          <w:color w:val="111111"/>
          <w:sz w:val="28"/>
          <w:szCs w:val="28"/>
          <w:rtl/>
        </w:rPr>
        <w:t xml:space="preserve">28- تجرید الأصول: المولى محمّدمهدي بن أبي‌ذر النراقي، تصحیح: الشیخ علي الیزدي، مطبعة السیّد مرتضى، 1317ق.</w:t>
      </w:r>
    </w:p>
    <w:p>
      <w:pPr>
        <w:pStyle w:val="BookText"/>
      </w:pPr>
      <w:r>
        <w:rPr>
          <w:rFonts w:ascii="IRNazanin" w:hAnsi="IRNazanin" w:eastAsia="IRNazanin" w:cs="IRNazanin"/>
          <w:lang w:bidi="fa-IR"/>
          <w:color w:val="111111"/>
          <w:sz w:val="28"/>
          <w:szCs w:val="28"/>
          <w:rtl/>
        </w:rPr>
        <w:t xml:space="preserve">29- تحریر الأحکام الشرعیّة على مذهب الإمامیّة: حسن بن یوسف العلّامة الحلّي، مؤسسة آل البیت (علیهم‌السلام) لإحیاء التراث، مشهد الرضا (علیه‌السلام)، الطبعة الأولى.</w:t>
      </w:r>
    </w:p>
    <w:p>
      <w:pPr>
        <w:pStyle w:val="BookText"/>
      </w:pPr>
      <w:r>
        <w:rPr>
          <w:rFonts w:ascii="IRNazanin" w:hAnsi="IRNazanin" w:eastAsia="IRNazanin" w:cs="IRNazanin"/>
          <w:lang w:bidi="fa-IR"/>
          <w:color w:val="111111"/>
          <w:sz w:val="28"/>
          <w:szCs w:val="28"/>
          <w:rtl/>
        </w:rPr>
        <w:t xml:space="preserve">30- تحریر الأصول: ضیاء الدین العراقي، تقریر: مرتضى المظاهري الإصفهاني، تحقیق: حمزة حمزوي، نشر مهر، قم، الطبعة الأولى، 1363ش.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تحف العقول عن آل الرسول (صلى‌الله‌علیه‌و‌آله‌وسلم): الحسن بن علي بن الحسین بن شعبة الحرّاني الحلبي، تحقیق: علي‌أکبر الغفّاري، مؤسسة النشر الإسلامي التابعة لجماعة المدرّسین بقم المشرّفة، الطبعة الثانیة، 1404ق.</w:t>
      </w:r>
    </w:p>
    <w:p>
      <w:pPr>
        <w:pStyle w:val="BookText"/>
      </w:pPr>
      <w:r>
        <w:rPr>
          <w:rFonts w:ascii="IRNazanin" w:hAnsi="IRNazanin" w:eastAsia="IRNazanin" w:cs="IRNazanin"/>
          <w:lang w:bidi="fa-IR"/>
          <w:color w:val="111111"/>
          <w:sz w:val="28"/>
          <w:szCs w:val="28"/>
          <w:rtl/>
        </w:rPr>
        <w:t xml:space="preserve">32- تحقیق الأصول: السیّد علي الحسیني المیلاني (على ضوء أبحاث آیة الله العظمى الشیخ حسین الوحید الخراساني)، نشر الحقائق، الطبعة الثانیة، 1428ق.</w:t>
      </w:r>
    </w:p>
    <w:p>
      <w:pPr>
        <w:pStyle w:val="BookText"/>
      </w:pPr>
      <w:r>
        <w:rPr>
          <w:rFonts w:ascii="IRNazanin" w:hAnsi="IRNazanin" w:eastAsia="IRNazanin" w:cs="IRNazanin"/>
          <w:lang w:bidi="fa-IR"/>
          <w:color w:val="111111"/>
          <w:sz w:val="28"/>
          <w:szCs w:val="28"/>
          <w:rtl/>
        </w:rPr>
        <w:t xml:space="preserve">33- تذکرة الفقهاء: حسن بن یوسف العلّامة الحلّي، مؤسسة آل البیت (علیهم‌السلام)لإحیاء التراث، قم، الطبعة الأولى، 1414ق.</w:t>
      </w:r>
    </w:p>
    <w:p>
      <w:pPr>
        <w:pStyle w:val="BookText"/>
      </w:pPr>
      <w:r>
        <w:rPr>
          <w:rFonts w:ascii="IRNazanin" w:hAnsi="IRNazanin" w:eastAsia="IRNazanin" w:cs="IRNazanin"/>
          <w:lang w:bidi="fa-IR"/>
          <w:color w:val="111111"/>
          <w:sz w:val="28"/>
          <w:szCs w:val="28"/>
          <w:rtl/>
        </w:rPr>
        <w:t xml:space="preserve">34- التراث المتبقى من شریف العلماء: حسین حلبیان، مجلة تراثنا (نشرة فصلیة تصدرها مؤسسة آل البیت (علیهم‌السلام) لإحیاء التراث)، قم، العدد 137، 1440ق.</w:t>
      </w:r>
    </w:p>
    <w:p>
      <w:pPr>
        <w:pStyle w:val="BookText"/>
      </w:pPr>
      <w:r>
        <w:rPr>
          <w:rFonts w:ascii="IRNazanin" w:hAnsi="IRNazanin" w:eastAsia="IRNazanin" w:cs="IRNazanin"/>
          <w:lang w:bidi="fa-IR"/>
          <w:color w:val="111111"/>
          <w:sz w:val="28"/>
          <w:szCs w:val="28"/>
          <w:rtl/>
        </w:rPr>
        <w:t xml:space="preserve">35- تعلیقات الفصول في الأصول: أحمد الشیرازي، مطبعة الآداب، النجف الأشرف، 1386ق.</w:t>
      </w:r>
    </w:p>
    <w:p>
      <w:pPr>
        <w:pStyle w:val="BookText"/>
      </w:pPr>
      <w:r>
        <w:rPr>
          <w:rFonts w:ascii="IRNazanin" w:hAnsi="IRNazanin" w:eastAsia="IRNazanin" w:cs="IRNazanin"/>
          <w:lang w:bidi="fa-IR"/>
          <w:color w:val="111111"/>
          <w:sz w:val="28"/>
          <w:szCs w:val="28"/>
          <w:rtl/>
        </w:rPr>
        <w:t xml:space="preserve">36- التفسیر الکبیر: محمّد بن عمر الرازي، الطبعة الثالثة.</w:t>
      </w:r>
    </w:p>
    <w:p>
      <w:pPr>
        <w:pStyle w:val="BookText"/>
      </w:pPr>
      <w:r>
        <w:rPr>
          <w:rFonts w:ascii="IRNazanin" w:hAnsi="IRNazanin" w:eastAsia="IRNazanin" w:cs="IRNazanin"/>
          <w:lang w:bidi="fa-IR"/>
          <w:color w:val="111111"/>
          <w:sz w:val="28"/>
          <w:szCs w:val="28"/>
          <w:rtl/>
        </w:rPr>
        <w:t xml:space="preserve">37- التقریب والإرشاد: أبوبکر محمّد بن الطیّب الباقلاني، تحقیق: عبدالحمید بن علي أبورنید، مؤسسة الرسالة، بیروت، الطبعة الأولى، 1418ق.</w:t>
      </w:r>
    </w:p>
    <w:p>
      <w:pPr>
        <w:pStyle w:val="BookText"/>
      </w:pPr>
      <w:r>
        <w:rPr>
          <w:rFonts w:ascii="IRNazanin" w:hAnsi="IRNazanin" w:eastAsia="IRNazanin" w:cs="IRNazanin"/>
          <w:lang w:bidi="fa-IR"/>
          <w:color w:val="111111"/>
          <w:sz w:val="28"/>
          <w:szCs w:val="28"/>
          <w:rtl/>
        </w:rPr>
        <w:t xml:space="preserve">38- تقریرات آیةالله المجدّد الشیرازي: السیّد محمّدحسن الشیرازي، تقریر: علي الروزدري، مؤسسة آل البیت (علیهم‌السلام) لإحیاء التراث، قم، الطبعة الأولى، 1409ق.</w:t>
      </w:r>
    </w:p>
    <w:p>
      <w:pPr>
        <w:pStyle w:val="BookText"/>
      </w:pPr>
      <w:r>
        <w:rPr>
          <w:rFonts w:ascii="IRNazanin" w:hAnsi="IRNazanin" w:eastAsia="IRNazanin" w:cs="IRNazanin"/>
          <w:lang w:bidi="fa-IR"/>
          <w:color w:val="111111"/>
          <w:sz w:val="28"/>
          <w:szCs w:val="28"/>
          <w:rtl/>
        </w:rPr>
        <w:t xml:space="preserve">39- تقريرات دروس خارج الأصول: حسین حلبیان، تقریر: محمّدرضا پناهي، مخطوط.</w:t>
      </w:r>
    </w:p>
    <w:p>
      <w:pPr>
        <w:pStyle w:val="BookText"/>
      </w:pPr>
      <w:r>
        <w:rPr>
          <w:rFonts w:ascii="IRNazanin" w:hAnsi="IRNazanin" w:eastAsia="IRNazanin" w:cs="IRNazanin"/>
          <w:lang w:bidi="fa-IR"/>
          <w:color w:val="111111"/>
          <w:sz w:val="28"/>
          <w:szCs w:val="28"/>
          <w:rtl/>
        </w:rPr>
        <w:t xml:space="preserve">40- تقریرات في أصول الفقه: السیّد عبدالحسین اللاري، مؤتمر آیة الله السیّد عبدالحسین اللاري، قم، الطبعة الأولى، 1418ق.</w:t>
      </w:r>
    </w:p>
    <w:p>
      <w:pPr>
        <w:pStyle w:val="BookText"/>
      </w:pPr>
      <w:r>
        <w:rPr>
          <w:rFonts w:ascii="IRNazanin" w:hAnsi="IRNazanin" w:eastAsia="IRNazanin" w:cs="IRNazanin"/>
          <w:lang w:bidi="fa-IR"/>
          <w:color w:val="111111"/>
          <w:sz w:val="28"/>
          <w:szCs w:val="28"/>
          <w:rtl/>
        </w:rPr>
        <w:t xml:space="preserve">41- تقویم الإیمان (وشرحه کشف الحقائق): السیّد محمّدباقر المیرداماد، الشارح: السید أحمد العلوي، مؤسسة مطالعات إسلامي، طهران، الطبعة الأولى، 1376 ش.</w:t>
      </w:r>
    </w:p>
    <w:p>
      <w:pPr>
        <w:pStyle w:val="BookText"/>
      </w:pPr>
      <w:r>
        <w:rPr>
          <w:rFonts w:ascii="IRNazanin" w:hAnsi="IRNazanin" w:eastAsia="IRNazanin" w:cs="IRNazanin"/>
          <w:lang w:bidi="fa-IR"/>
          <w:color w:val="111111"/>
          <w:sz w:val="28"/>
          <w:szCs w:val="28"/>
          <w:rtl/>
        </w:rPr>
        <w:t xml:space="preserve">42- تکملة أمل الآمل: السیّد حسن الصدر، تحقیق: حسین علي محفوظ، عبدالکریم الدباغ، عدنان الدباغ، دار المؤرخ العربي، بیروت، الطبعة الأولى، 1429ق.</w:t>
      </w:r>
    </w:p>
    <w:p>
      <w:pPr>
        <w:pStyle w:val="BookText"/>
      </w:pPr>
      <w:r>
        <w:rPr>
          <w:rFonts w:ascii="IRNazanin" w:hAnsi="IRNazanin" w:eastAsia="IRNazanin" w:cs="IRNazanin"/>
          <w:lang w:bidi="fa-IR"/>
          <w:color w:val="111111"/>
          <w:sz w:val="28"/>
          <w:szCs w:val="28"/>
          <w:rtl/>
        </w:rPr>
        <w:t xml:space="preserve">43- تهذیب الأحکام: محمّد بن الحسن الطوسي، تحقیق: السیّد حسن الموسوي الخرسان،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دارالکتب الإسلامیّة، طهران، الطبعة الرابعة، 1407ق.</w:t>
      </w:r>
    </w:p>
    <w:p>
      <w:pPr>
        <w:pStyle w:val="BookText"/>
      </w:pPr>
      <w:r>
        <w:rPr>
          <w:rFonts w:ascii="IRNazanin" w:hAnsi="IRNazanin" w:eastAsia="IRNazanin" w:cs="IRNazanin"/>
          <w:lang w:bidi="fa-IR"/>
          <w:color w:val="111111"/>
          <w:sz w:val="28"/>
          <w:szCs w:val="28"/>
          <w:rtl/>
        </w:rPr>
        <w:t xml:space="preserve">44- تهذیب الأصول: السیّد روح الله الموسوي الخمیني، تقریر: جعفر السبحاني، مؤسسة إسماعیلیان، قم.</w:t>
      </w:r>
    </w:p>
    <w:p>
      <w:pPr>
        <w:pStyle w:val="BookText"/>
      </w:pPr>
      <w:r>
        <w:rPr>
          <w:rFonts w:ascii="IRNazanin" w:hAnsi="IRNazanin" w:eastAsia="IRNazanin" w:cs="IRNazanin"/>
          <w:lang w:bidi="fa-IR"/>
          <w:color w:val="111111"/>
          <w:sz w:val="28"/>
          <w:szCs w:val="28"/>
          <w:rtl/>
        </w:rPr>
        <w:t xml:space="preserve">45- جامع الشتات في أجوبة السؤالات: المیرزا أبوالقاسم القمي، تحقیق: مرتضى الرضوي، نشر کیهان، طهران، الطبعة الأولى، 1413ق.</w:t>
      </w:r>
    </w:p>
    <w:p>
      <w:pPr>
        <w:pStyle w:val="BookText"/>
      </w:pPr>
      <w:r>
        <w:rPr>
          <w:rFonts w:ascii="IRNazanin" w:hAnsi="IRNazanin" w:eastAsia="IRNazanin" w:cs="IRNazanin"/>
          <w:lang w:bidi="fa-IR"/>
          <w:color w:val="111111"/>
          <w:sz w:val="28"/>
          <w:szCs w:val="28"/>
          <w:rtl/>
        </w:rPr>
        <w:t xml:space="preserve">46- الجامع للشرایع: یحیى بن سعید الحلّي، تحقیق: جمع من العلماء بإشراف آیةاللهالشیخ جعفر السبحاني، مؤسسة سید الشهداء (علیه‌السلام)، قم، الطبعة الأولى، 1405ق.</w:t>
      </w:r>
    </w:p>
    <w:p>
      <w:pPr>
        <w:pStyle w:val="BookText"/>
      </w:pPr>
      <w:r>
        <w:rPr>
          <w:rFonts w:ascii="IRNazanin" w:hAnsi="IRNazanin" w:eastAsia="IRNazanin" w:cs="IRNazanin"/>
          <w:lang w:bidi="fa-IR"/>
          <w:color w:val="111111"/>
          <w:sz w:val="28"/>
          <w:szCs w:val="28"/>
          <w:rtl/>
        </w:rPr>
        <w:t xml:space="preserve">47- جامع المدارك في شرح المختصر النافع: السیّد أحمد الخوانساري، مکتبة الصدوق، طهران، 1355ش.</w:t>
      </w:r>
    </w:p>
    <w:p>
      <w:pPr>
        <w:pStyle w:val="BookText"/>
      </w:pPr>
      <w:r>
        <w:rPr>
          <w:rFonts w:ascii="IRNazanin" w:hAnsi="IRNazanin" w:eastAsia="IRNazanin" w:cs="IRNazanin"/>
          <w:lang w:bidi="fa-IR"/>
          <w:color w:val="111111"/>
          <w:sz w:val="28"/>
          <w:szCs w:val="28"/>
          <w:rtl/>
        </w:rPr>
        <w:t xml:space="preserve">48- جامع المقاصد في شرح القواعد: علي بن الحسین الکرکي، مؤسسة آل البيت (علیهم‌السلام)، قم، 1414ق.</w:t>
      </w:r>
    </w:p>
    <w:p>
      <w:pPr>
        <w:pStyle w:val="BookText"/>
      </w:pPr>
      <w:r>
        <w:rPr>
          <w:rFonts w:ascii="IRNazanin" w:hAnsi="IRNazanin" w:eastAsia="IRNazanin" w:cs="IRNazanin"/>
          <w:lang w:bidi="fa-IR"/>
          <w:color w:val="111111"/>
          <w:sz w:val="28"/>
          <w:szCs w:val="28"/>
          <w:rtl/>
        </w:rPr>
        <w:t xml:space="preserve">49- جستارهایی فقهی و اصولی با نگرشی بر آراء فقهای ایران و عراق: حسین حلبیان، مجمع الذخائر الإسلامیّة، قم، الطبعة الأولى، 1393 ش.</w:t>
      </w:r>
    </w:p>
    <w:p>
      <w:pPr>
        <w:pStyle w:val="BookText"/>
      </w:pPr>
      <w:r>
        <w:rPr>
          <w:rFonts w:ascii="IRNazanin" w:hAnsi="IRNazanin" w:eastAsia="IRNazanin" w:cs="IRNazanin"/>
          <w:lang w:bidi="fa-IR"/>
          <w:color w:val="111111"/>
          <w:sz w:val="28"/>
          <w:szCs w:val="28"/>
          <w:rtl/>
        </w:rPr>
        <w:t xml:space="preserve">50- جواهر الأصول: السیّد محمّدباقر الصدر، تقریر: محمّدإبراهیم الأنصاري الأراکي، دارالتعارف للمطبوعات، بیروت، الطبعة الأولى، 1415ق.</w:t>
      </w:r>
    </w:p>
    <w:p>
      <w:pPr>
        <w:pStyle w:val="BookText"/>
      </w:pPr>
      <w:r>
        <w:rPr>
          <w:rFonts w:ascii="IRNazanin" w:hAnsi="IRNazanin" w:eastAsia="IRNazanin" w:cs="IRNazanin"/>
          <w:lang w:bidi="fa-IR"/>
          <w:color w:val="111111"/>
          <w:sz w:val="28"/>
          <w:szCs w:val="28"/>
          <w:rtl/>
        </w:rPr>
        <w:t xml:space="preserve">51- جواهر الکلام في شرح شرایع الإسلام: محمّدحسن النجفي الإصفهاني، تصحیح: عباس القوچاني، عليّ الآخوندي، بیروت، الطبعة السابعة، 1404ق.</w:t>
      </w:r>
    </w:p>
    <w:p>
      <w:pPr>
        <w:pStyle w:val="BookText"/>
      </w:pPr>
      <w:r>
        <w:rPr>
          <w:rFonts w:ascii="IRNazanin" w:hAnsi="IRNazanin" w:eastAsia="IRNazanin" w:cs="IRNazanin"/>
          <w:lang w:bidi="fa-IR"/>
          <w:color w:val="111111"/>
          <w:sz w:val="28"/>
          <w:szCs w:val="28"/>
          <w:rtl/>
        </w:rPr>
        <w:t xml:space="preserve">52- الجوهر الفرید في مهامّ الأسانید: السیّد محمّد حسین الحسیني الجلالي، تحقیق: حسین حلبیان، مجمع الذخائر الإسلامیّة، قم، الطبعة الأولى، 1436 ق.</w:t>
      </w:r>
    </w:p>
    <w:p>
      <w:pPr>
        <w:pStyle w:val="BookText"/>
      </w:pPr>
      <w:r>
        <w:rPr>
          <w:rFonts w:ascii="IRNazanin" w:hAnsi="IRNazanin" w:eastAsia="IRNazanin" w:cs="IRNazanin"/>
          <w:lang w:bidi="fa-IR"/>
          <w:color w:val="111111"/>
          <w:sz w:val="28"/>
          <w:szCs w:val="28"/>
          <w:rtl/>
        </w:rPr>
        <w:t xml:space="preserve">53- حاشیة المکاسب: السیّد محمّدکاظم الطباطبائي الیزدي، تحقیق: عبّاس بن محمّد آل سباع القطیفي، مؤسسة طیبة لإحیاء التراث، قم، الطبعة الثانیة، 1429ق.</w:t>
      </w:r>
    </w:p>
    <w:p>
      <w:pPr>
        <w:pStyle w:val="BookText"/>
      </w:pPr>
      <w:r>
        <w:rPr>
          <w:rFonts w:ascii="IRNazanin" w:hAnsi="IRNazanin" w:eastAsia="IRNazanin" w:cs="IRNazanin"/>
          <w:lang w:bidi="fa-IR"/>
          <w:color w:val="111111"/>
          <w:sz w:val="28"/>
          <w:szCs w:val="28"/>
          <w:rtl/>
        </w:rPr>
        <w:t xml:space="preserve">54- الحاشیة على شرح التجرید: المیر السیّد شریف الجرجاني، مخطوطة في مکتبة مجلس الشورى، رقم 10350.</w:t>
      </w:r>
    </w:p>
    <w:p>
      <w:pPr>
        <w:pStyle w:val="BookText"/>
      </w:pPr>
      <w:r>
        <w:rPr>
          <w:rFonts w:ascii="IRNazanin" w:hAnsi="IRNazanin" w:eastAsia="IRNazanin" w:cs="IRNazanin"/>
          <w:lang w:bidi="fa-IR"/>
          <w:color w:val="111111"/>
          <w:sz w:val="28"/>
          <w:szCs w:val="28"/>
          <w:rtl/>
        </w:rPr>
        <w:t xml:space="preserve">55- الحاشیة على شرح العضد على مختصر المنتهی: حبیب‌الله الشیرازي الباغنوي الشافعي،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مخطوطة في مرکز إحیاء التراث الإسلامي، قم، رقم 3043.</w:t>
      </w:r>
    </w:p>
    <w:p>
      <w:pPr>
        <w:pStyle w:val="BookText"/>
      </w:pPr>
      <w:r>
        <w:rPr>
          <w:rFonts w:ascii="IRNazanin" w:hAnsi="IRNazanin" w:eastAsia="IRNazanin" w:cs="IRNazanin"/>
          <w:lang w:bidi="fa-IR"/>
          <w:color w:val="111111"/>
          <w:sz w:val="28"/>
          <w:szCs w:val="28"/>
          <w:rtl/>
        </w:rPr>
        <w:t xml:space="preserve">56- الحاشیة على شرح العضد على مختصر المنتهی: أحمد الأبهري، مخطوطة في مکتبة مؤسسة آیةالله العظمى السیّد حسین الطباطبائي البروجردي في مسجد الأعظم، قم، رقم353.</w:t>
      </w:r>
    </w:p>
    <w:p>
      <w:pPr>
        <w:pStyle w:val="BookText"/>
      </w:pPr>
      <w:r>
        <w:rPr>
          <w:rFonts w:ascii="IRNazanin" w:hAnsi="IRNazanin" w:eastAsia="IRNazanin" w:cs="IRNazanin"/>
          <w:lang w:bidi="fa-IR"/>
          <w:color w:val="111111"/>
          <w:sz w:val="28"/>
          <w:szCs w:val="28"/>
          <w:rtl/>
        </w:rPr>
        <w:t xml:space="preserve">57- الحاشیة على حاشیة الشیرازي الباغنوي: آقا جمال‌الدین الخوانساري، مخطوطة في مرکز إحیاء التراث الإسلامي، رقم 2148، الاستنساخ 1189ق.</w:t>
      </w:r>
    </w:p>
    <w:p>
      <w:pPr>
        <w:pStyle w:val="BookText"/>
      </w:pPr>
      <w:r>
        <w:rPr>
          <w:rFonts w:ascii="IRNazanin" w:hAnsi="IRNazanin" w:eastAsia="IRNazanin" w:cs="IRNazanin"/>
          <w:lang w:bidi="fa-IR"/>
          <w:color w:val="111111"/>
          <w:sz w:val="28"/>
          <w:szCs w:val="28"/>
          <w:rtl/>
        </w:rPr>
        <w:t xml:space="preserve">58- الحاشیة على العروة الوثقی: حسین حلبیان، مخطوطة.</w:t>
      </w:r>
    </w:p>
    <w:p>
      <w:pPr>
        <w:pStyle w:val="BookText"/>
      </w:pPr>
      <w:r>
        <w:rPr>
          <w:rFonts w:ascii="IRNazanin" w:hAnsi="IRNazanin" w:eastAsia="IRNazanin" w:cs="IRNazanin"/>
          <w:lang w:bidi="fa-IR"/>
          <w:color w:val="111111"/>
          <w:sz w:val="28"/>
          <w:szCs w:val="28"/>
          <w:rtl/>
        </w:rPr>
        <w:t xml:space="preserve">59- الحاشیة على القوانین: محمد شریف (شریف العلماء) المازندراني، تحقیق: حسین حلبیان، نسخة في مکتبة بیت الحاج مصطفى حلبیان في إصفهان.</w:t>
      </w:r>
    </w:p>
    <w:p>
      <w:pPr>
        <w:pStyle w:val="BookText"/>
      </w:pPr>
      <w:r>
        <w:rPr>
          <w:rFonts w:ascii="IRNazanin" w:hAnsi="IRNazanin" w:eastAsia="IRNazanin" w:cs="IRNazanin"/>
          <w:lang w:bidi="fa-IR"/>
          <w:color w:val="111111"/>
          <w:sz w:val="28"/>
          <w:szCs w:val="28"/>
          <w:rtl/>
        </w:rPr>
        <w:t xml:space="preserve">60- الحاشیة على کفایة الأصول: حسین حلبیان، مخطوطة.</w:t>
      </w:r>
    </w:p>
    <w:p>
      <w:pPr>
        <w:pStyle w:val="BookText"/>
      </w:pPr>
      <w:r>
        <w:rPr>
          <w:rFonts w:ascii="IRNazanin" w:hAnsi="IRNazanin" w:eastAsia="IRNazanin" w:cs="IRNazanin"/>
          <w:lang w:bidi="fa-IR"/>
          <w:color w:val="111111"/>
          <w:sz w:val="28"/>
          <w:szCs w:val="28"/>
          <w:rtl/>
        </w:rPr>
        <w:t xml:space="preserve">61- الحاشیة على معالم الدین: حسین بن محمّد الحسیني المرعشي (سلطان العلماء)، انتشارات الداوري، قم، الطبعة الأولى.</w:t>
      </w:r>
    </w:p>
    <w:p>
      <w:pPr>
        <w:pStyle w:val="BookText"/>
      </w:pPr>
      <w:r>
        <w:rPr>
          <w:rFonts w:ascii="IRNazanin" w:hAnsi="IRNazanin" w:eastAsia="IRNazanin" w:cs="IRNazanin"/>
          <w:lang w:bidi="fa-IR"/>
          <w:color w:val="111111"/>
          <w:sz w:val="28"/>
          <w:szCs w:val="28"/>
          <w:rtl/>
        </w:rPr>
        <w:t xml:space="preserve">62- حاشیة معالم الدین: محمّدصالح بن أحمد المازندراني، منشورات مکتبة الداوري، قم، الطبعة الأولى.</w:t>
      </w:r>
    </w:p>
    <w:p>
      <w:pPr>
        <w:pStyle w:val="BookText"/>
      </w:pPr>
      <w:r>
        <w:rPr>
          <w:rFonts w:ascii="IRNazanin" w:hAnsi="IRNazanin" w:eastAsia="IRNazanin" w:cs="IRNazanin"/>
          <w:lang w:bidi="fa-IR"/>
          <w:color w:val="111111"/>
          <w:sz w:val="28"/>
          <w:szCs w:val="28"/>
          <w:rtl/>
        </w:rPr>
        <w:t xml:space="preserve">63- حاشية معالم الدین: المولى الميرزا محمّد الشيرواني، اسم الکاتب: محمّدکاظم بن محمّدجعفر، مخطوطة في مکتبة مجلس الشورىٰ الإسلامي برقم 90156، تاريخ تمام الکتابة: یوم الاثنین 26 صفر 1246ق.</w:t>
      </w:r>
    </w:p>
    <w:p>
      <w:pPr>
        <w:pStyle w:val="BookText"/>
      </w:pPr>
      <w:r>
        <w:rPr>
          <w:rFonts w:ascii="IRNazanin" w:hAnsi="IRNazanin" w:eastAsia="IRNazanin" w:cs="IRNazanin"/>
          <w:lang w:bidi="fa-IR"/>
          <w:color w:val="111111"/>
          <w:sz w:val="28"/>
          <w:szCs w:val="28"/>
          <w:rtl/>
        </w:rPr>
        <w:t xml:space="preserve">64- الحبل المتین في أحکام الدین: محمّد بن الحسین العاملي، تصحیح: مرتضى أحمدیان، مکتبة بصیرتي، قم، الطبعة الأولى، 1390ق.</w:t>
      </w:r>
    </w:p>
    <w:p>
      <w:pPr>
        <w:pStyle w:val="BookText"/>
      </w:pPr>
      <w:r>
        <w:rPr>
          <w:rFonts w:ascii="IRNazanin" w:hAnsi="IRNazanin" w:eastAsia="IRNazanin" w:cs="IRNazanin"/>
          <w:lang w:bidi="fa-IR"/>
          <w:color w:val="111111"/>
          <w:sz w:val="28"/>
          <w:szCs w:val="28"/>
          <w:rtl/>
        </w:rPr>
        <w:t xml:space="preserve">65- الحدائق الناضرة في أحکام العترة الطاهرة: یوسف بن أحمد البحراني، تحقیق: محمّدتقي الإیرواني، السیّد عبدالرزّاق المقرّم، مکتب الإعلام الإسلامي، قم، الطبعة الأولى، 1405 ق.</w:t>
      </w:r>
    </w:p>
    <w:p>
      <w:pPr>
        <w:pStyle w:val="BookText"/>
      </w:pPr>
      <w:r>
        <w:rPr>
          <w:rFonts w:ascii="IRNazanin" w:hAnsi="IRNazanin" w:eastAsia="IRNazanin" w:cs="IRNazanin"/>
          <w:lang w:bidi="fa-IR"/>
          <w:color w:val="111111"/>
          <w:sz w:val="28"/>
          <w:szCs w:val="28"/>
          <w:rtl/>
        </w:rPr>
        <w:t xml:space="preserve">66- حقائق الأصول: السیّد محسن الطباطبائي الحکیم، مکتبة بصیرتي، قم، الطبعة الخامسة، 1408ق.</w:t>
      </w:r>
    </w:p>
    <w:p>
      <w:pPr>
        <w:pStyle w:val="BookText"/>
      </w:pPr>
      <w:r>
        <w:rPr>
          <w:rFonts w:ascii="IRNazanin" w:hAnsi="IRNazanin" w:eastAsia="IRNazanin" w:cs="IRNazanin"/>
          <w:lang w:bidi="fa-IR"/>
          <w:color w:val="111111"/>
          <w:sz w:val="28"/>
          <w:szCs w:val="28"/>
          <w:rtl/>
        </w:rPr>
        <w:t xml:space="preserve">67- الحکمة المتعالیة في الأسفار العقلیة الأربعة: صدرالدین محمّد الشیرازي، دار إحیاء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التراث العربي، بیروت، الطبعة الثالثة، 1981 م.</w:t>
      </w:r>
    </w:p>
    <w:p>
      <w:pPr>
        <w:pStyle w:val="BookText"/>
      </w:pPr>
      <w:r>
        <w:rPr>
          <w:rFonts w:ascii="IRNazanin" w:hAnsi="IRNazanin" w:eastAsia="IRNazanin" w:cs="IRNazanin"/>
          <w:lang w:bidi="fa-IR"/>
          <w:color w:val="111111"/>
          <w:sz w:val="28"/>
          <w:szCs w:val="28"/>
          <w:rtl/>
        </w:rPr>
        <w:t xml:space="preserve">68- درر الفوائد: عبدالکریم الحائري الیزدي، مع تعالیق: محمّدعلي الأراکي، باهتمام: محمّد المؤمن القمي، مؤسسة النشر الإسلامي التابعة لجماعة المدرّسین بقم المشرّفة، الطبعة السادسة، 1418ق.</w:t>
      </w:r>
    </w:p>
    <w:p>
      <w:pPr>
        <w:pStyle w:val="BookText"/>
      </w:pPr>
      <w:r>
        <w:rPr>
          <w:rFonts w:ascii="IRNazanin" w:hAnsi="IRNazanin" w:eastAsia="IRNazanin" w:cs="IRNazanin"/>
          <w:lang w:bidi="fa-IR"/>
          <w:color w:val="111111"/>
          <w:sz w:val="28"/>
          <w:szCs w:val="28"/>
          <w:rtl/>
        </w:rPr>
        <w:t xml:space="preserve">69- الدروس الشرعیّة في فقه الإمامیّة: محمّد بن مکّي الشهید الأوّل، مؤسسة النشر الإسلامي التابعة لجماعة المدرّسین بقم المشرّفة، الطبعة الثانیة، 1417ق.</w:t>
      </w:r>
    </w:p>
    <w:p>
      <w:pPr>
        <w:pStyle w:val="BookText"/>
      </w:pPr>
      <w:r>
        <w:rPr>
          <w:rFonts w:ascii="IRNazanin" w:hAnsi="IRNazanin" w:eastAsia="IRNazanin" w:cs="IRNazanin"/>
          <w:lang w:bidi="fa-IR"/>
          <w:color w:val="111111"/>
          <w:sz w:val="28"/>
          <w:szCs w:val="28"/>
          <w:rtl/>
        </w:rPr>
        <w:t xml:space="preserve">70- دروس في علم الأصول: السیّد محمّدباقر الصدر، دار الهدى، قم، الطبعة الأولى، 1422ق.</w:t>
      </w:r>
    </w:p>
    <w:p>
      <w:pPr>
        <w:pStyle w:val="BookText"/>
      </w:pPr>
      <w:r>
        <w:rPr>
          <w:rFonts w:ascii="IRNazanin" w:hAnsi="IRNazanin" w:eastAsia="IRNazanin" w:cs="IRNazanin"/>
          <w:lang w:bidi="fa-IR"/>
          <w:color w:val="111111"/>
          <w:sz w:val="28"/>
          <w:szCs w:val="28"/>
          <w:rtl/>
        </w:rPr>
        <w:t xml:space="preserve">71- دروس في مسائل علم الأصول: المیرزا جواد التبریزي، دار الصدیقة الشهیدة سلام الله علیها، قم، الطبعة الثانیة، 1387ش.</w:t>
      </w:r>
    </w:p>
    <w:p>
      <w:pPr>
        <w:pStyle w:val="BookText"/>
      </w:pPr>
      <w:r>
        <w:rPr>
          <w:rFonts w:ascii="IRNazanin" w:hAnsi="IRNazanin" w:eastAsia="IRNazanin" w:cs="IRNazanin"/>
          <w:lang w:bidi="fa-IR"/>
          <w:color w:val="111111"/>
          <w:sz w:val="28"/>
          <w:szCs w:val="28"/>
          <w:rtl/>
        </w:rPr>
        <w:t xml:space="preserve">72- ذخیرة المعاد في شرح الإرشاد: محمّدباقر بن محمّدمؤمن السبزواري، مؤسسةآل البیت (علیهم‌السلام) لإحیاء التراث، قم، الطبعة الأولى، 1247ق.</w:t>
      </w:r>
    </w:p>
    <w:p>
      <w:pPr>
        <w:pStyle w:val="BookText"/>
      </w:pPr>
      <w:r>
        <w:rPr>
          <w:rFonts w:ascii="IRNazanin" w:hAnsi="IRNazanin" w:eastAsia="IRNazanin" w:cs="IRNazanin"/>
          <w:lang w:bidi="fa-IR"/>
          <w:color w:val="111111"/>
          <w:sz w:val="28"/>
          <w:szCs w:val="28"/>
          <w:rtl/>
        </w:rPr>
        <w:t xml:space="preserve">73- الذريعة إلى أُصول الشريعة: السیّد على بن الحسین (السيّد المرتضی)، تحقيق: الدكتور أبو القاسم گرجي، منشورات جامعة طهران، 1346ش.</w:t>
      </w:r>
    </w:p>
    <w:p>
      <w:pPr>
        <w:pStyle w:val="BookText"/>
      </w:pPr>
      <w:r>
        <w:rPr>
          <w:rFonts w:ascii="IRNazanin" w:hAnsi="IRNazanin" w:eastAsia="IRNazanin" w:cs="IRNazanin"/>
          <w:lang w:bidi="fa-IR"/>
          <w:color w:val="111111"/>
          <w:sz w:val="28"/>
          <w:szCs w:val="28"/>
          <w:rtl/>
        </w:rPr>
        <w:t xml:space="preserve">74- الذریعة إلى تصانیف الشیعة: محمّدمحسن آقابزرگ الطهراني، دار الأضواء، بیروت، الطبعة الثالثة، 1403ق.</w:t>
      </w:r>
    </w:p>
    <w:p>
      <w:pPr>
        <w:pStyle w:val="BookText"/>
      </w:pPr>
      <w:r>
        <w:rPr>
          <w:rFonts w:ascii="IRNazanin" w:hAnsi="IRNazanin" w:eastAsia="IRNazanin" w:cs="IRNazanin"/>
          <w:lang w:bidi="fa-IR"/>
          <w:color w:val="111111"/>
          <w:sz w:val="28"/>
          <w:szCs w:val="28"/>
          <w:rtl/>
        </w:rPr>
        <w:t xml:space="preserve">75- ذکرى الشیعة في أحکام الشریعة: محمّد بن مکي الشهید الأوّل، مؤسسة آل البیت (علیهم‌السلام) لإحیاء التراث، قم، الطبعة الأولى، 1419ق.</w:t>
      </w:r>
    </w:p>
    <w:p>
      <w:pPr>
        <w:pStyle w:val="BookText"/>
      </w:pPr>
      <w:r>
        <w:rPr>
          <w:rFonts w:ascii="IRNazanin" w:hAnsi="IRNazanin" w:eastAsia="IRNazanin" w:cs="IRNazanin"/>
          <w:lang w:bidi="fa-IR"/>
          <w:color w:val="111111"/>
          <w:sz w:val="28"/>
          <w:szCs w:val="28"/>
          <w:rtl/>
        </w:rPr>
        <w:t xml:space="preserve">76- رجال الشیخ الأنصاري: مرتضى بن محمّدأمین الأنصاري، تحقیق: حسین حلبیان، العتبة العبّاسیة المقدّسة، کربلاء، الطبعة الأولى، 1442ق.</w:t>
      </w:r>
    </w:p>
    <w:p>
      <w:pPr>
        <w:pStyle w:val="BookText"/>
      </w:pPr>
      <w:r>
        <w:rPr>
          <w:rFonts w:ascii="IRNazanin" w:hAnsi="IRNazanin" w:eastAsia="IRNazanin" w:cs="IRNazanin"/>
          <w:lang w:bidi="fa-IR"/>
          <w:color w:val="111111"/>
          <w:sz w:val="28"/>
          <w:szCs w:val="28"/>
          <w:rtl/>
        </w:rPr>
        <w:t xml:space="preserve">77- رسائل آقا جمال خوانساري: آغا جمال‌الدین الخوانساري، کنگره بزرگداشت آقا حسین خوانساري، قم، الطبعة الأولى، 1378ش.</w:t>
      </w:r>
    </w:p>
    <w:p>
      <w:pPr>
        <w:pStyle w:val="BookText"/>
      </w:pPr>
      <w:r>
        <w:rPr>
          <w:rFonts w:ascii="IRNazanin" w:hAnsi="IRNazanin" w:eastAsia="IRNazanin" w:cs="IRNazanin"/>
          <w:lang w:bidi="fa-IR"/>
          <w:color w:val="111111"/>
          <w:sz w:val="28"/>
          <w:szCs w:val="28"/>
          <w:rtl/>
        </w:rPr>
        <w:t xml:space="preserve">78- الرسائل الأصولیّة: محمّدباقر الوحید البهبهاني، تحقیق ونشر: مؤسسة العلّامة المجدّد الوحید البهبهاني، قم، الطبعة الأولى، 1416ق.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 الرسائل التسع: محمّدحسن الآشتیاني، مؤتمر العلّامة الآشتیاني، قم، الطبعة الأولى، 1383ش.</w:t>
      </w:r>
    </w:p>
    <w:p>
      <w:pPr>
        <w:pStyle w:val="BookText"/>
      </w:pPr>
      <w:r>
        <w:rPr>
          <w:rFonts w:ascii="IRNazanin" w:hAnsi="IRNazanin" w:eastAsia="IRNazanin" w:cs="IRNazanin"/>
          <w:lang w:bidi="fa-IR"/>
          <w:color w:val="111111"/>
          <w:sz w:val="28"/>
          <w:szCs w:val="28"/>
          <w:rtl/>
        </w:rPr>
        <w:t xml:space="preserve">80- رسائل الشريف المرتضى: السیّد على بن الحسین (السيّد المرتضی)، تحقیق: السیّد مهدي الرجائي، السیّد أحمد الحسیني الإشکِوَري، دارالقرآن الکریم مدرسة آیة الله العظمى الگلپایگاني، قم، الطبعة الأولى، 1405ق.</w:t>
      </w:r>
    </w:p>
    <w:p>
      <w:pPr>
        <w:pStyle w:val="BookText"/>
      </w:pPr>
      <w:r>
        <w:rPr>
          <w:rFonts w:ascii="IRNazanin" w:hAnsi="IRNazanin" w:eastAsia="IRNazanin" w:cs="IRNazanin"/>
          <w:lang w:bidi="fa-IR"/>
          <w:color w:val="111111"/>
          <w:sz w:val="28"/>
          <w:szCs w:val="28"/>
          <w:rtl/>
        </w:rPr>
        <w:t xml:space="preserve">81- الرسائل الفقهیّة: محمّدباقر الوحید البهبهاني، تحقیق ونشر: مؤسسة العلّامة المجدّد الوحید البهبهاني، قم، الطبعة الأولى، 1419ق.</w:t>
      </w:r>
    </w:p>
    <w:p>
      <w:pPr>
        <w:pStyle w:val="BookText"/>
      </w:pPr>
      <w:r>
        <w:rPr>
          <w:rFonts w:ascii="IRNazanin" w:hAnsi="IRNazanin" w:eastAsia="IRNazanin" w:cs="IRNazanin"/>
          <w:lang w:bidi="fa-IR"/>
          <w:color w:val="111111"/>
          <w:sz w:val="28"/>
          <w:szCs w:val="28"/>
          <w:rtl/>
        </w:rPr>
        <w:t xml:space="preserve">82- رسائل فقهیّة: مرتضى بن محمّدأمین الأنصاري، المؤتمر العالمي للشیخ الأنصاري، قم، الطبعة الأولى، 1414ق.</w:t>
      </w:r>
    </w:p>
    <w:p>
      <w:pPr>
        <w:pStyle w:val="BookText"/>
      </w:pPr>
      <w:r>
        <w:rPr>
          <w:rFonts w:ascii="IRNazanin" w:hAnsi="IRNazanin" w:eastAsia="IRNazanin" w:cs="IRNazanin"/>
          <w:lang w:bidi="fa-IR"/>
          <w:color w:val="111111"/>
          <w:sz w:val="28"/>
          <w:szCs w:val="28"/>
          <w:rtl/>
        </w:rPr>
        <w:t xml:space="preserve">83- رسائل المحقّق الکلباسي: أبوالمعالي محمّد بن محمّد إبراهیم الکلباسي.</w:t>
      </w:r>
    </w:p>
    <w:p>
      <w:pPr>
        <w:pStyle w:val="BookText"/>
      </w:pPr>
      <w:r>
        <w:rPr>
          <w:rFonts w:ascii="IRNazanin" w:hAnsi="IRNazanin" w:eastAsia="IRNazanin" w:cs="IRNazanin"/>
          <w:lang w:bidi="fa-IR"/>
          <w:color w:val="111111"/>
          <w:sz w:val="28"/>
          <w:szCs w:val="28"/>
          <w:rtl/>
        </w:rPr>
        <w:t xml:space="preserve">84- رسالة بعض الأفاضل إلى علماء مدینة السلام: حسین بن عبدالله بن سینا، مخطوطة في مجلس الشورى الإسلامي في مجلد باسم «بحیرة نفیسة»، 23/1255س، تاریخ الکتابة 1091 ق.</w:t>
      </w:r>
    </w:p>
    <w:p>
      <w:pPr>
        <w:pStyle w:val="BookText"/>
      </w:pPr>
      <w:r>
        <w:rPr>
          <w:rFonts w:ascii="IRNazanin" w:hAnsi="IRNazanin" w:eastAsia="IRNazanin" w:cs="IRNazanin"/>
          <w:lang w:bidi="fa-IR"/>
          <w:color w:val="111111"/>
          <w:sz w:val="28"/>
          <w:szCs w:val="28"/>
          <w:rtl/>
        </w:rPr>
        <w:t xml:space="preserve">85- رسالة في بیان جواز النسخ: محمّدشریف بن حسنعلي شریف العلماء المازندراني، تحقیق: حسین حلبیان وأحمد حلبیان، چتر دانش، الطبعة الأولى، 1441 ق.</w:t>
      </w:r>
    </w:p>
    <w:p>
      <w:pPr>
        <w:pStyle w:val="BookText"/>
      </w:pPr>
      <w:r>
        <w:rPr>
          <w:rFonts w:ascii="IRNazanin" w:hAnsi="IRNazanin" w:eastAsia="IRNazanin" w:cs="IRNazanin"/>
          <w:lang w:bidi="fa-IR"/>
          <w:color w:val="111111"/>
          <w:sz w:val="28"/>
          <w:szCs w:val="28"/>
          <w:rtl/>
        </w:rPr>
        <w:t xml:space="preserve">86- رسالة في حجیّة الظنّ: أبوالمعالي محمّد بن محمّدإبراهیم الکلباسي، الطبعة الأولى، 1317ق.</w:t>
      </w:r>
    </w:p>
    <w:p>
      <w:pPr>
        <w:pStyle w:val="BookText"/>
      </w:pPr>
      <w:r>
        <w:rPr>
          <w:rFonts w:ascii="IRNazanin" w:hAnsi="IRNazanin" w:eastAsia="IRNazanin" w:cs="IRNazanin"/>
          <w:lang w:bidi="fa-IR"/>
          <w:color w:val="111111"/>
          <w:sz w:val="28"/>
          <w:szCs w:val="28"/>
          <w:rtl/>
        </w:rPr>
        <w:t xml:space="preserve">87- رسالة في حرمة الربا: أبوالهدى الکلباسي، تحقیق: حسین حلبیان، مجلة تراثنا (نشرة فصلیة تصدرها مؤسسة آل البیت (علیهم‌السلام) لإحیاء التراث)، قم، العدد143، 1441 ق.</w:t>
      </w:r>
    </w:p>
    <w:p>
      <w:pPr>
        <w:pStyle w:val="BookText"/>
      </w:pPr>
      <w:r>
        <w:rPr>
          <w:rFonts w:ascii="IRNazanin" w:hAnsi="IRNazanin" w:eastAsia="IRNazanin" w:cs="IRNazanin"/>
          <w:lang w:bidi="fa-IR"/>
          <w:color w:val="111111"/>
          <w:sz w:val="28"/>
          <w:szCs w:val="28"/>
          <w:rtl/>
        </w:rPr>
        <w:t xml:space="preserve">88- رفع النزاع من البین في الصلح المقصود منه الفرار عن الدین: محمّدباقر الزند الکرماني، تحقیق وترجمة: حسین حلبیان، چتر دانش، طهران، الطبعة الأولى، 1441 ق.</w:t>
      </w:r>
    </w:p>
    <w:p>
      <w:pPr>
        <w:pStyle w:val="BookText"/>
      </w:pPr>
      <w:r>
        <w:rPr>
          <w:rFonts w:ascii="IRNazanin" w:hAnsi="IRNazanin" w:eastAsia="IRNazanin" w:cs="IRNazanin"/>
          <w:lang w:bidi="fa-IR"/>
          <w:color w:val="111111"/>
          <w:sz w:val="28"/>
          <w:szCs w:val="28"/>
          <w:rtl/>
        </w:rPr>
        <w:t xml:space="preserve">89- روض الجنان في شرح إرشاد الأذهان: زین‌الدین بن علي الشهید الثاني، مؤسسة آل البیت (علیهم‌السلام) لإحیاء التراث، قم، الطبعة الأولى.</w:t>
      </w:r>
    </w:p>
    <w:p>
      <w:pPr>
        <w:pStyle w:val="BookText"/>
      </w:pPr>
      <w:r>
        <w:rPr>
          <w:rFonts w:ascii="IRNazanin" w:hAnsi="IRNazanin" w:eastAsia="IRNazanin" w:cs="IRNazanin"/>
          <w:lang w:bidi="fa-IR"/>
          <w:color w:val="111111"/>
          <w:sz w:val="28"/>
          <w:szCs w:val="28"/>
          <w:rtl/>
        </w:rPr>
        <w:t xml:space="preserve">90- روضات الجنات في أحوال العلماء والسادات: السیّد محمّدباقر بن زین‌العابدین الموسوي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الخوانساري، تحقیق: أسدالله إسماعیلیان، مؤسسة إسماعیلیان، قم، 1390ق.</w:t>
      </w:r>
    </w:p>
    <w:p>
      <w:pPr>
        <w:pStyle w:val="BookText"/>
      </w:pPr>
      <w:r>
        <w:rPr>
          <w:rFonts w:ascii="IRNazanin" w:hAnsi="IRNazanin" w:eastAsia="IRNazanin" w:cs="IRNazanin"/>
          <w:lang w:bidi="fa-IR"/>
          <w:color w:val="111111"/>
          <w:sz w:val="28"/>
          <w:szCs w:val="28"/>
          <w:rtl/>
        </w:rPr>
        <w:t xml:space="preserve">91- الروضة البهیة في شرح اللمعة الدمشقیّة: زین‌الدین بن علي الشهید الثاني، تصحیح وتعلیق: السیّد محمد کلانتر، منشورات جامعة النجف الدینیّة، الطبعة الأولى، 1386ق.</w:t>
      </w:r>
    </w:p>
    <w:p>
      <w:pPr>
        <w:pStyle w:val="BookText"/>
      </w:pPr>
      <w:r>
        <w:rPr>
          <w:rFonts w:ascii="IRNazanin" w:hAnsi="IRNazanin" w:eastAsia="IRNazanin" w:cs="IRNazanin"/>
          <w:lang w:bidi="fa-IR"/>
          <w:color w:val="111111"/>
          <w:sz w:val="28"/>
          <w:szCs w:val="28"/>
          <w:rtl/>
        </w:rPr>
        <w:t xml:space="preserve">92- ریاض المسائل في تحقیق الأحکام بالدلائل: السیّد علي الطباطبائي الحائري، مؤسّسة آل البیت (علیهم‌السلام) لإحیاء التراث، مشهد، الطبعة الأولى، 1421ق.</w:t>
      </w:r>
    </w:p>
    <w:p>
      <w:pPr>
        <w:pStyle w:val="BookText"/>
      </w:pPr>
      <w:r>
        <w:rPr>
          <w:rFonts w:ascii="IRNazanin" w:hAnsi="IRNazanin" w:eastAsia="IRNazanin" w:cs="IRNazanin"/>
          <w:lang w:bidi="fa-IR"/>
          <w:color w:val="111111"/>
          <w:sz w:val="28"/>
          <w:szCs w:val="28"/>
          <w:rtl/>
        </w:rPr>
        <w:t xml:space="preserve">93- زبدة الأصول: محمّد بن الحسین العاملي، تحقیق: السیّد علي جبّار گلباغي ماسوله، نشر شریعت، قم، الطبعة الأولى، 1383ش.</w:t>
      </w:r>
    </w:p>
    <w:p>
      <w:pPr>
        <w:pStyle w:val="BookText"/>
      </w:pPr>
      <w:r>
        <w:rPr>
          <w:rFonts w:ascii="IRNazanin" w:hAnsi="IRNazanin" w:eastAsia="IRNazanin" w:cs="IRNazanin"/>
          <w:lang w:bidi="fa-IR"/>
          <w:color w:val="111111"/>
          <w:sz w:val="28"/>
          <w:szCs w:val="28"/>
          <w:rtl/>
        </w:rPr>
        <w:t xml:space="preserve">94- زبدة الأصول: السیّد محمّدصادق الحسیني الروحاني، حدیث دل، طهران، الطبعة الثانیة، 1382ش.</w:t>
      </w:r>
    </w:p>
    <w:p>
      <w:pPr>
        <w:pStyle w:val="BookText"/>
      </w:pPr>
      <w:r>
        <w:rPr>
          <w:rFonts w:ascii="IRNazanin" w:hAnsi="IRNazanin" w:eastAsia="IRNazanin" w:cs="IRNazanin"/>
          <w:lang w:bidi="fa-IR"/>
          <w:color w:val="111111"/>
          <w:sz w:val="28"/>
          <w:szCs w:val="28"/>
          <w:rtl/>
        </w:rPr>
        <w:t xml:space="preserve">95- زندگاني آیة الله چهارسوقي: السیّد محمّد علي الروضاتي، مؤسسة تراث الشیعة، قم، الطبعة الأولى، 1396ش.</w:t>
      </w:r>
    </w:p>
    <w:p>
      <w:pPr>
        <w:pStyle w:val="BookText"/>
      </w:pPr>
      <w:r>
        <w:rPr>
          <w:rFonts w:ascii="IRNazanin" w:hAnsi="IRNazanin" w:eastAsia="IRNazanin" w:cs="IRNazanin"/>
          <w:lang w:bidi="fa-IR"/>
          <w:color w:val="111111"/>
          <w:sz w:val="28"/>
          <w:szCs w:val="28"/>
          <w:rtl/>
        </w:rPr>
        <w:t xml:space="preserve">96- السبع الشداد: السیّد محمّدباقر المیرداماد، طهران، الطبعة الأولى، 1397ق.</w:t>
      </w:r>
    </w:p>
    <w:p>
      <w:pPr>
        <w:pStyle w:val="BookText"/>
      </w:pPr>
      <w:r>
        <w:rPr>
          <w:rFonts w:ascii="IRNazanin" w:hAnsi="IRNazanin" w:eastAsia="IRNazanin" w:cs="IRNazanin"/>
          <w:lang w:bidi="fa-IR"/>
          <w:color w:val="111111"/>
          <w:sz w:val="28"/>
          <w:szCs w:val="28"/>
          <w:rtl/>
        </w:rPr>
        <w:t xml:space="preserve">97- سفینة النجاة: محمّدمحسن الفیض الکاشاني، الطبعة الأولى.</w:t>
      </w:r>
    </w:p>
    <w:p>
      <w:pPr>
        <w:pStyle w:val="BookText"/>
      </w:pPr>
      <w:r>
        <w:rPr>
          <w:rFonts w:ascii="IRNazanin" w:hAnsi="IRNazanin" w:eastAsia="IRNazanin" w:cs="IRNazanin"/>
          <w:lang w:bidi="fa-IR"/>
          <w:color w:val="111111"/>
          <w:sz w:val="28"/>
          <w:szCs w:val="28"/>
          <w:rtl/>
        </w:rPr>
        <w:t xml:space="preserve">98- سنن الترمذي: محمّد بن عیسى الترمذي، تحقیق: عبد الوهّاب عبد اللطیف، دارالفكر، بیروت، الطبعة الثانیة، 1403ق.</w:t>
      </w:r>
    </w:p>
    <w:p>
      <w:pPr>
        <w:pStyle w:val="BookText"/>
      </w:pPr>
      <w:r>
        <w:rPr>
          <w:rFonts w:ascii="IRNazanin" w:hAnsi="IRNazanin" w:eastAsia="IRNazanin" w:cs="IRNazanin"/>
          <w:lang w:bidi="fa-IR"/>
          <w:color w:val="111111"/>
          <w:sz w:val="28"/>
          <w:szCs w:val="28"/>
          <w:rtl/>
        </w:rPr>
        <w:t xml:space="preserve">99- السیّد محمّدکاظم الیزدي سیرته وأضواء على مرجعیته ومواقفه ووثائقه السیاسیّة: کامل سلمان الجبوري، منشورات ذوي القربى، قم، الطبعة الأولى، 1427 ق.</w:t>
      </w:r>
    </w:p>
    <w:p>
      <w:pPr>
        <w:pStyle w:val="BookText"/>
      </w:pPr>
      <w:r>
        <w:rPr>
          <w:rFonts w:ascii="IRNazanin" w:hAnsi="IRNazanin" w:eastAsia="IRNazanin" w:cs="IRNazanin"/>
          <w:lang w:bidi="fa-IR"/>
          <w:color w:val="111111"/>
          <w:sz w:val="28"/>
          <w:szCs w:val="28"/>
          <w:rtl/>
        </w:rPr>
        <w:t xml:space="preserve">100- شرائع الإسلام في مسائل الحلال والحرام: جعفر بن الحسن المحقّق الحلّي، تحقیق: عبدالحسین محمّدعلي بقّال، مؤسسة إسماعیلیان، قم، الطبعة الثانیة، 1408ق.</w:t>
      </w:r>
    </w:p>
    <w:p>
      <w:pPr>
        <w:pStyle w:val="BookText"/>
      </w:pPr>
      <w:r>
        <w:rPr>
          <w:rFonts w:ascii="IRNazanin" w:hAnsi="IRNazanin" w:eastAsia="IRNazanin" w:cs="IRNazanin"/>
          <w:lang w:bidi="fa-IR"/>
          <w:color w:val="111111"/>
          <w:sz w:val="28"/>
          <w:szCs w:val="28"/>
          <w:rtl/>
        </w:rPr>
        <w:t xml:space="preserve">101- شرح الأسماء الحسنی: المولى هادي السبزواري، الطبعة الحجریّة، مکتبة بصیرتي، قم.</w:t>
      </w:r>
    </w:p>
    <w:p>
      <w:pPr>
        <w:pStyle w:val="BookText"/>
      </w:pPr>
      <w:r>
        <w:rPr>
          <w:rFonts w:ascii="IRNazanin" w:hAnsi="IRNazanin" w:eastAsia="IRNazanin" w:cs="IRNazanin"/>
          <w:lang w:bidi="fa-IR"/>
          <w:color w:val="111111"/>
          <w:sz w:val="28"/>
          <w:szCs w:val="28"/>
          <w:rtl/>
        </w:rPr>
        <w:t xml:space="preserve">102- شرح العروة الوثقی: حسین حلبیان، مخطوط.</w:t>
      </w:r>
    </w:p>
    <w:p>
      <w:pPr>
        <w:pStyle w:val="BookText"/>
      </w:pPr>
      <w:r>
        <w:rPr>
          <w:rFonts w:ascii="IRNazanin" w:hAnsi="IRNazanin" w:eastAsia="IRNazanin" w:cs="IRNazanin"/>
          <w:lang w:bidi="fa-IR"/>
          <w:color w:val="111111"/>
          <w:sz w:val="28"/>
          <w:szCs w:val="28"/>
          <w:rtl/>
        </w:rPr>
        <w:t xml:space="preserve">103- شرح العضد على مختصر المنتهى لابن حاجب المالکي: عضدالدین عبدالرحمن بن أحمد الشافعي الإیجي، تصحیح: فادي نصیف وطارق یحیى، دار الکتب العلمیّة، بیروت،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الأولى، 1421ق.</w:t>
      </w:r>
    </w:p>
    <w:p>
      <w:pPr>
        <w:pStyle w:val="BookText"/>
      </w:pPr>
      <w:r>
        <w:rPr>
          <w:rFonts w:ascii="IRNazanin" w:hAnsi="IRNazanin" w:eastAsia="IRNazanin" w:cs="IRNazanin"/>
          <w:lang w:bidi="fa-IR"/>
          <w:color w:val="111111"/>
          <w:sz w:val="28"/>
          <w:szCs w:val="28"/>
          <w:rtl/>
        </w:rPr>
        <w:t xml:space="preserve">104- شرح کفایة الأصول: حسین حلبیان، مخطوط.</w:t>
      </w:r>
    </w:p>
    <w:p>
      <w:pPr>
        <w:pStyle w:val="BookText"/>
      </w:pPr>
      <w:r>
        <w:rPr>
          <w:rFonts w:ascii="IRNazanin" w:hAnsi="IRNazanin" w:eastAsia="IRNazanin" w:cs="IRNazanin"/>
          <w:lang w:bidi="fa-IR"/>
          <w:color w:val="111111"/>
          <w:sz w:val="28"/>
          <w:szCs w:val="28"/>
          <w:rtl/>
        </w:rPr>
        <w:t xml:space="preserve">105- شرح المنظومة: المولى هادي السبزواري، تصحیح وتعلیق: حسن حسن‌زاده الآملي، تحقیق: مسعود الطالبي، نشر ناب، طهران، الطبعة الأولى، 1369ق.</w:t>
      </w:r>
    </w:p>
    <w:p>
      <w:pPr>
        <w:pStyle w:val="BookText"/>
      </w:pPr>
      <w:r>
        <w:rPr>
          <w:rFonts w:ascii="IRNazanin" w:hAnsi="IRNazanin" w:eastAsia="IRNazanin" w:cs="IRNazanin"/>
          <w:lang w:bidi="fa-IR"/>
          <w:color w:val="111111"/>
          <w:sz w:val="28"/>
          <w:szCs w:val="28"/>
          <w:rtl/>
        </w:rPr>
        <w:t xml:space="preserve">106- شرح نجاة العباد: أبوطالب الأراکي، مؤسسة النشر الإسلامي التابعة لجماعة المدرّسین بقم المشرّفة، الطبعة الأولى، 1420ق.</w:t>
      </w:r>
    </w:p>
    <w:p>
      <w:pPr>
        <w:pStyle w:val="BookText"/>
      </w:pPr>
      <w:r>
        <w:rPr>
          <w:rFonts w:ascii="IRNazanin" w:hAnsi="IRNazanin" w:eastAsia="IRNazanin" w:cs="IRNazanin"/>
          <w:lang w:bidi="fa-IR"/>
          <w:color w:val="111111"/>
          <w:sz w:val="28"/>
          <w:szCs w:val="28"/>
          <w:rtl/>
        </w:rPr>
        <w:t xml:space="preserve">107- شناخت­نامه آیةالله العظمى السیّد محمّدکاظم الطباطبائي الیزدي: باهتمام: علي أکبر زماني نژاد، نشر دانش حوزه، قم، الطبعة الأولى، 1391 ش.</w:t>
      </w:r>
    </w:p>
    <w:p>
      <w:pPr>
        <w:pStyle w:val="BookText"/>
      </w:pPr>
      <w:r>
        <w:rPr>
          <w:rFonts w:ascii="IRNazanin" w:hAnsi="IRNazanin" w:eastAsia="IRNazanin" w:cs="IRNazanin"/>
          <w:lang w:bidi="fa-IR"/>
          <w:color w:val="111111"/>
          <w:sz w:val="28"/>
          <w:szCs w:val="28"/>
          <w:rtl/>
        </w:rPr>
        <w:t xml:space="preserve">108- شروط صحة الشرط: السیّد محمّدکاظم الطباطبائي الیزدي، تقریر: السیّد محمّدباقر الموسوي الدرچهئي، تحقیق: حسین حلبیان.</w:t>
      </w:r>
    </w:p>
    <w:p>
      <w:pPr>
        <w:pStyle w:val="BookText"/>
      </w:pPr>
      <w:r>
        <w:rPr>
          <w:rFonts w:ascii="IRNazanin" w:hAnsi="IRNazanin" w:eastAsia="IRNazanin" w:cs="IRNazanin"/>
          <w:lang w:bidi="fa-IR"/>
          <w:color w:val="111111"/>
          <w:sz w:val="28"/>
          <w:szCs w:val="28"/>
          <w:rtl/>
        </w:rPr>
        <w:t xml:space="preserve">109- ضوابط الأصول: السیّد إبراهیم الموسوي القزویني، 1371ق.</w:t>
      </w:r>
    </w:p>
    <w:p>
      <w:pPr>
        <w:pStyle w:val="BookText"/>
      </w:pPr>
      <w:r>
        <w:rPr>
          <w:rFonts w:ascii="IRNazanin" w:hAnsi="IRNazanin" w:eastAsia="IRNazanin" w:cs="IRNazanin"/>
          <w:lang w:bidi="fa-IR"/>
          <w:color w:val="111111"/>
          <w:sz w:val="28"/>
          <w:szCs w:val="28"/>
          <w:rtl/>
        </w:rPr>
        <w:t xml:space="preserve">110- طبقات أعلام الشیعة: محمّدمحسن الطهراني آقابزرگ، دار إحیاء التراث العربي، بیروت، الطبعة الأولى، 1430ق.</w:t>
      </w:r>
    </w:p>
    <w:p>
      <w:pPr>
        <w:pStyle w:val="BookText"/>
      </w:pPr>
      <w:r>
        <w:rPr>
          <w:rFonts w:ascii="IRNazanin" w:hAnsi="IRNazanin" w:eastAsia="IRNazanin" w:cs="IRNazanin"/>
          <w:lang w:bidi="fa-IR"/>
          <w:color w:val="111111"/>
          <w:sz w:val="28"/>
          <w:szCs w:val="28"/>
          <w:rtl/>
        </w:rPr>
        <w:t xml:space="preserve">111- طریق الوصول إلى أخبار آل الرسول (علیهم‌السلام): هادي النجفي، دارالتفسیر، قم، الطبعة الأولى، 1437ق.</w:t>
      </w:r>
    </w:p>
    <w:p>
      <w:pPr>
        <w:pStyle w:val="BookText"/>
      </w:pPr>
      <w:r>
        <w:rPr>
          <w:rFonts w:ascii="IRNazanin" w:hAnsi="IRNazanin" w:eastAsia="IRNazanin" w:cs="IRNazanin"/>
          <w:lang w:bidi="fa-IR"/>
          <w:color w:val="111111"/>
          <w:sz w:val="28"/>
          <w:szCs w:val="28"/>
          <w:rtl/>
        </w:rPr>
        <w:t xml:space="preserve">112- عمدة الأصول: السیّد محسن الخرّازي، مؤسسة در راه حق، قم، الطبعة الأولى، 1422ق.</w:t>
      </w:r>
    </w:p>
    <w:p>
      <w:pPr>
        <w:pStyle w:val="BookText"/>
      </w:pPr>
      <w:r>
        <w:rPr>
          <w:rFonts w:ascii="IRNazanin" w:hAnsi="IRNazanin" w:eastAsia="IRNazanin" w:cs="IRNazanin"/>
          <w:lang w:bidi="fa-IR"/>
          <w:color w:val="111111"/>
          <w:sz w:val="28"/>
          <w:szCs w:val="28"/>
          <w:rtl/>
        </w:rPr>
        <w:t xml:space="preserve">113- العروة الوثقی: السیّد محمّدکاظم الطباطبائي الیزدي، تصحیح: أحمد المحسني السبزواري، مؤسسة النشر الإسلامي التابعة لجماعة المدرّسین بقم المشرّفة، الطبعة الأولى، 1419 ق.</w:t>
      </w:r>
    </w:p>
    <w:p>
      <w:pPr>
        <w:pStyle w:val="BookText"/>
      </w:pPr>
      <w:r>
        <w:rPr>
          <w:rFonts w:ascii="IRNazanin" w:hAnsi="IRNazanin" w:eastAsia="IRNazanin" w:cs="IRNazanin"/>
          <w:lang w:bidi="fa-IR"/>
          <w:color w:val="111111"/>
          <w:sz w:val="28"/>
          <w:szCs w:val="28"/>
          <w:rtl/>
        </w:rPr>
        <w:t xml:space="preserve">114- العروة الوثقی: السیّد محمّدکاظم الطباطبائي الیزدي، مع تعالیق: السیّد علي الحسیني السیستاني، دارالمؤرخ العربي، بیروت، الطبعة الثانیة، 1431ق.</w:t>
      </w:r>
    </w:p>
    <w:p>
      <w:pPr>
        <w:pStyle w:val="BookText"/>
      </w:pPr>
      <w:r>
        <w:rPr>
          <w:rFonts w:ascii="IRNazanin" w:hAnsi="IRNazanin" w:eastAsia="IRNazanin" w:cs="IRNazanin"/>
          <w:lang w:bidi="fa-IR"/>
          <w:color w:val="111111"/>
          <w:sz w:val="28"/>
          <w:szCs w:val="28"/>
          <w:rtl/>
        </w:rPr>
        <w:t xml:space="preserve">115- عقود حیاتي: السیّد محمّدحسین کاشف الغطاء، تحقیق: أمیر کاشف الغطاء، منشورات مدرسة ومکتبة الإمام کاشف الغطاء العامّة، النجف الأشرف، 1433 ق.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116- علل الشرایع: محمّد بن علي الصدوق، تحقیق: السیّد محمّدصادق بحرالعلوم، مکتبة الداوري، قم، 1385ق.</w:t>
      </w:r>
    </w:p>
    <w:p>
      <w:pPr>
        <w:pStyle w:val="BookText"/>
      </w:pPr>
      <w:r>
        <w:rPr>
          <w:rFonts w:ascii="IRNazanin" w:hAnsi="IRNazanin" w:eastAsia="IRNazanin" w:cs="IRNazanin"/>
          <w:lang w:bidi="fa-IR"/>
          <w:color w:val="111111"/>
          <w:sz w:val="28"/>
          <w:szCs w:val="28"/>
          <w:rtl/>
        </w:rPr>
        <w:t xml:space="preserve">117- العین: خلیل بن أحمد الفراهیدي، تحقیق: مهدي المخزومي وإبراهیم السامرائي، نشر الهجرة، قم، الطبعة الثانیة، 1410ق.</w:t>
      </w:r>
    </w:p>
    <w:p>
      <w:pPr>
        <w:pStyle w:val="BookText"/>
      </w:pPr>
      <w:r>
        <w:rPr>
          <w:rFonts w:ascii="IRNazanin" w:hAnsi="IRNazanin" w:eastAsia="IRNazanin" w:cs="IRNazanin"/>
          <w:lang w:bidi="fa-IR"/>
          <w:color w:val="111111"/>
          <w:sz w:val="28"/>
          <w:szCs w:val="28"/>
          <w:rtl/>
        </w:rPr>
        <w:t xml:space="preserve">118- غایة المأمول من علم الأصول: السیّد أبوالقاسم الموسوي الخوئي، تقریر: محمّدتقي الجواهري، مجمع الفکر الإسلامي، قم، الطبعة الأولى، 1428ق.</w:t>
      </w:r>
    </w:p>
    <w:p>
      <w:pPr>
        <w:pStyle w:val="BookText"/>
      </w:pPr>
      <w:r>
        <w:rPr>
          <w:rFonts w:ascii="IRNazanin" w:hAnsi="IRNazanin" w:eastAsia="IRNazanin" w:cs="IRNazanin"/>
          <w:lang w:bidi="fa-IR"/>
          <w:color w:val="111111"/>
          <w:sz w:val="28"/>
          <w:szCs w:val="28"/>
          <w:rtl/>
        </w:rPr>
        <w:t xml:space="preserve">119- غایة المسؤول في علم الأصول: السیّد محمّد حسین الحسیني الشهرستاني، مؤسسة آل البیت (علیهم‌السلام) لإحیاء التراث، قم، الطبعة الأولى.</w:t>
      </w:r>
    </w:p>
    <w:p>
      <w:pPr>
        <w:pStyle w:val="BookText"/>
      </w:pPr>
      <w:r>
        <w:rPr>
          <w:rFonts w:ascii="IRNazanin" w:hAnsi="IRNazanin" w:eastAsia="IRNazanin" w:cs="IRNazanin"/>
          <w:lang w:bidi="fa-IR"/>
          <w:color w:val="111111"/>
          <w:sz w:val="28"/>
          <w:szCs w:val="28"/>
          <w:rtl/>
        </w:rPr>
        <w:t xml:space="preserve">120- غرر الحکم ودرر الکلم: عبدالواحد بن محمّد التمیمي الآمدي، تحقیق: السیّد مهدي الرجائي، دارالکتاب الإسلامي، قم، الطبعة الثانیة، 1410ق.</w:t>
      </w:r>
    </w:p>
    <w:p>
      <w:pPr>
        <w:pStyle w:val="BookText"/>
      </w:pPr>
      <w:r>
        <w:rPr>
          <w:rFonts w:ascii="IRNazanin" w:hAnsi="IRNazanin" w:eastAsia="IRNazanin" w:cs="IRNazanin"/>
          <w:lang w:bidi="fa-IR"/>
          <w:color w:val="111111"/>
          <w:sz w:val="28"/>
          <w:szCs w:val="28"/>
          <w:rtl/>
        </w:rPr>
        <w:t xml:space="preserve">121- فرائد الأصول: مرتضى بن محمّدأمین الأنصاري، تحقیق: لجنة تحقیق تراث الشیخ الأعظم، مجمع الفکر الإسلامي، قم، الطبعة التاسعة، 1428ق.</w:t>
      </w:r>
    </w:p>
    <w:p>
      <w:pPr>
        <w:pStyle w:val="BookText"/>
      </w:pPr>
      <w:r>
        <w:rPr>
          <w:rFonts w:ascii="IRNazanin" w:hAnsi="IRNazanin" w:eastAsia="IRNazanin" w:cs="IRNazanin"/>
          <w:lang w:bidi="fa-IR"/>
          <w:color w:val="111111"/>
          <w:sz w:val="28"/>
          <w:szCs w:val="28"/>
          <w:rtl/>
        </w:rPr>
        <w:t xml:space="preserve">122- الفردوس الأعلی: محمّدحسین کاشف الغطاء، شرح: السیّد محمّدعلي القاضي الطباطبائي، دار أنوار الهدى، قم، الطبعة الأولى، 1426ق.</w:t>
      </w:r>
    </w:p>
    <w:p>
      <w:pPr>
        <w:pStyle w:val="BookText"/>
      </w:pPr>
      <w:r>
        <w:rPr>
          <w:rFonts w:ascii="IRNazanin" w:hAnsi="IRNazanin" w:eastAsia="IRNazanin" w:cs="IRNazanin"/>
          <w:lang w:bidi="fa-IR"/>
          <w:color w:val="111111"/>
          <w:sz w:val="28"/>
          <w:szCs w:val="28"/>
          <w:rtl/>
        </w:rPr>
        <w:t xml:space="preserve">123- الفصول الغرویّة في الأصول الفقهیّة: محمّدحسین الحائري الإصفهاني، دار إحیاء العلوم الإسلامیّة، قم، الطبعة الأولى، 1404ق.</w:t>
      </w:r>
    </w:p>
    <w:p>
      <w:pPr>
        <w:pStyle w:val="BookText"/>
      </w:pPr>
      <w:r>
        <w:rPr>
          <w:rFonts w:ascii="IRNazanin" w:hAnsi="IRNazanin" w:eastAsia="IRNazanin" w:cs="IRNazanin"/>
          <w:lang w:bidi="fa-IR"/>
          <w:color w:val="111111"/>
          <w:sz w:val="28"/>
          <w:szCs w:val="28"/>
          <w:rtl/>
        </w:rPr>
        <w:t xml:space="preserve">124- فقه فتوائي: محمدکاظم الخراساني، باهتمام: مهدي المهریزي، مؤتمر الآخوند الخراساني، قم، 1390ش.</w:t>
      </w:r>
    </w:p>
    <w:p>
      <w:pPr>
        <w:pStyle w:val="BookText"/>
      </w:pPr>
      <w:r>
        <w:rPr>
          <w:rFonts w:ascii="IRNazanin" w:hAnsi="IRNazanin" w:eastAsia="IRNazanin" w:cs="IRNazanin"/>
          <w:lang w:bidi="fa-IR"/>
          <w:color w:val="111111"/>
          <w:sz w:val="28"/>
          <w:szCs w:val="28"/>
          <w:rtl/>
        </w:rPr>
        <w:t xml:space="preserve">125- الفوائد الحائریّة: محمّدباقر الوحید البهبهاني، مجمع الفکر الإسلامي، قم، الطبعة الأولى، 1415ق.</w:t>
      </w:r>
    </w:p>
    <w:p>
      <w:pPr>
        <w:pStyle w:val="BookText"/>
      </w:pPr>
      <w:r>
        <w:rPr>
          <w:rFonts w:ascii="IRNazanin" w:hAnsi="IRNazanin" w:eastAsia="IRNazanin" w:cs="IRNazanin"/>
          <w:lang w:bidi="fa-IR"/>
          <w:color w:val="111111"/>
          <w:sz w:val="28"/>
          <w:szCs w:val="28"/>
          <w:rtl/>
        </w:rPr>
        <w:t xml:space="preserve">126- فوائد الأصول: محمّدحسین النائیني، مؤسسة النشر الإسلامي التابعة لجماعة المدرّسین بقم المشرّفة، الطبعة الأولى، 1376ش.</w:t>
      </w:r>
    </w:p>
    <w:p>
      <w:pPr>
        <w:pStyle w:val="BookText"/>
      </w:pPr>
      <w:r>
        <w:rPr>
          <w:rFonts w:ascii="IRNazanin" w:hAnsi="IRNazanin" w:eastAsia="IRNazanin" w:cs="IRNazanin"/>
          <w:lang w:bidi="fa-IR"/>
          <w:color w:val="111111"/>
          <w:sz w:val="28"/>
          <w:szCs w:val="28"/>
          <w:rtl/>
        </w:rPr>
        <w:t xml:space="preserve">127- الفوائد الأصولیة: مرتضى الأنصاري، تحقیق: حسن المراغي، نشر شمس تبریزي، طهران، الطبعة الأولى، 1426ق.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128- فهرست نسخه‌های خطّی کتابخانه مؤسسه‌ی حضرت آیةالله العظمی بروجردی: السیّد أحمد الحسیني الإشکِوَري، مجمع الذخائر الإسلامیّة، قم، 1426ق.</w:t>
      </w:r>
    </w:p>
    <w:p>
      <w:pPr>
        <w:pStyle w:val="BookText"/>
      </w:pPr>
      <w:r>
        <w:rPr>
          <w:rFonts w:ascii="IRNazanin" w:hAnsi="IRNazanin" w:eastAsia="IRNazanin" w:cs="IRNazanin"/>
          <w:lang w:bidi="fa-IR"/>
          <w:color w:val="111111"/>
          <w:sz w:val="28"/>
          <w:szCs w:val="28"/>
          <w:rtl/>
        </w:rPr>
        <w:t xml:space="preserve">129- فهرست نسخه‌های خطی کتابخانه عمومی آیةالله العظمی مرعشی نجفی: السیّد أحمد الحسیني الإشکِوَري، مکتبة آیةالله العظمی النجفي المرعشي، قم، 1362ق.</w:t>
      </w:r>
    </w:p>
    <w:p>
      <w:pPr>
        <w:pStyle w:val="BookText"/>
      </w:pPr>
      <w:r>
        <w:rPr>
          <w:rFonts w:ascii="IRNazanin" w:hAnsi="IRNazanin" w:eastAsia="IRNazanin" w:cs="IRNazanin"/>
          <w:lang w:bidi="fa-IR"/>
          <w:color w:val="111111"/>
          <w:sz w:val="28"/>
          <w:szCs w:val="28"/>
          <w:rtl/>
        </w:rPr>
        <w:t xml:space="preserve">130- فهرست نسخه‌های خطی مرکز إحیاء میراث اسلامی: السیّد أحمد الحسیني الإشکِوَري، قم، الطبعة الأولى.</w:t>
      </w:r>
    </w:p>
    <w:p>
      <w:pPr>
        <w:pStyle w:val="BookText"/>
      </w:pPr>
      <w:r>
        <w:rPr>
          <w:rFonts w:ascii="IRNazanin" w:hAnsi="IRNazanin" w:eastAsia="IRNazanin" w:cs="IRNazanin"/>
          <w:lang w:bidi="fa-IR"/>
          <w:color w:val="111111"/>
          <w:sz w:val="28"/>
          <w:szCs w:val="28"/>
          <w:rtl/>
        </w:rPr>
        <w:t xml:space="preserve">131- فهرستگان نسخه‌های خطّی ایران (فنخا): مصطفی الدرایتي، سازمان أسناد وکتابخانه ملّي إیران، طهران، 1391ش.</w:t>
      </w:r>
    </w:p>
    <w:p>
      <w:pPr>
        <w:pStyle w:val="BookText"/>
      </w:pPr>
      <w:r>
        <w:rPr>
          <w:rFonts w:ascii="IRNazanin" w:hAnsi="IRNazanin" w:eastAsia="IRNazanin" w:cs="IRNazanin"/>
          <w:lang w:bidi="fa-IR"/>
          <w:color w:val="111111"/>
          <w:sz w:val="28"/>
          <w:szCs w:val="28"/>
          <w:rtl/>
        </w:rPr>
        <w:t xml:space="preserve">132- قواعد الأحکام في معرفة الحلال والحرام: حسن بن يوسف العلّامة الحلّي، مؤسسة النشر الإسلامي التابعة لجماعة المدرّسین بقم المشرّفة، الطبعة الأولى، 1413ق.</w:t>
      </w:r>
    </w:p>
    <w:p>
      <w:pPr>
        <w:pStyle w:val="BookText"/>
      </w:pPr>
      <w:r>
        <w:rPr>
          <w:rFonts w:ascii="IRNazanin" w:hAnsi="IRNazanin" w:eastAsia="IRNazanin" w:cs="IRNazanin"/>
          <w:lang w:bidi="fa-IR"/>
          <w:color w:val="111111"/>
          <w:sz w:val="28"/>
          <w:szCs w:val="28"/>
          <w:rtl/>
        </w:rPr>
        <w:t xml:space="preserve">133- القواعد الشریفة: محمّدشفیع بن علي­أکبر الجاپَلَقي، الطبعة الأولى، قم.</w:t>
      </w:r>
    </w:p>
    <w:p>
      <w:pPr>
        <w:pStyle w:val="BookText"/>
      </w:pPr>
      <w:r>
        <w:rPr>
          <w:rFonts w:ascii="IRNazanin" w:hAnsi="IRNazanin" w:eastAsia="IRNazanin" w:cs="IRNazanin"/>
          <w:lang w:bidi="fa-IR"/>
          <w:color w:val="111111"/>
          <w:sz w:val="28"/>
          <w:szCs w:val="28"/>
          <w:rtl/>
        </w:rPr>
        <w:t xml:space="preserve">134- القواعد والفوائد: محمّد بن مکّي الشهید الأوّل، تحقیق: السیّد عبدالهادي الحکیم، مؤسسة البلاغ، بیروت، 1433ق.</w:t>
      </w:r>
    </w:p>
    <w:p>
      <w:pPr>
        <w:pStyle w:val="BookText"/>
      </w:pPr>
      <w:r>
        <w:rPr>
          <w:rFonts w:ascii="IRNazanin" w:hAnsi="IRNazanin" w:eastAsia="IRNazanin" w:cs="IRNazanin"/>
          <w:lang w:bidi="fa-IR"/>
          <w:color w:val="111111"/>
          <w:sz w:val="28"/>
          <w:szCs w:val="28"/>
          <w:rtl/>
        </w:rPr>
        <w:t xml:space="preserve">135- القوانین المحکمة في أصول الفقه: المیرزا أبوالقاسم القمي، 1303ق.</w:t>
      </w:r>
    </w:p>
    <w:p>
      <w:pPr>
        <w:pStyle w:val="BookText"/>
      </w:pPr>
      <w:r>
        <w:rPr>
          <w:rFonts w:ascii="IRNazanin" w:hAnsi="IRNazanin" w:eastAsia="IRNazanin" w:cs="IRNazanin"/>
          <w:lang w:bidi="fa-IR"/>
          <w:color w:val="111111"/>
          <w:sz w:val="28"/>
          <w:szCs w:val="28"/>
          <w:rtl/>
        </w:rPr>
        <w:t xml:space="preserve">136- الکافي: محمّد بن یعقوب الکلیني، تحقیق:علي‌أکبر الغفّاري، محمّد الآخوندي، دارالکتب الإسلامیّة، طهران، الطبعة الرابعة، 1407ق.</w:t>
      </w:r>
    </w:p>
    <w:p>
      <w:pPr>
        <w:pStyle w:val="BookText"/>
      </w:pPr>
      <w:r>
        <w:rPr>
          <w:rFonts w:ascii="IRNazanin" w:hAnsi="IRNazanin" w:eastAsia="IRNazanin" w:cs="IRNazanin"/>
          <w:lang w:bidi="fa-IR"/>
          <w:color w:val="111111"/>
          <w:sz w:val="28"/>
          <w:szCs w:val="28"/>
          <w:rtl/>
        </w:rPr>
        <w:t xml:space="preserve">137- الکافي في الفقه: أبوالصلاح تقي‌الدین بن نجم‌الدین الحلبي، تحقیق: رضا الأستادي، مکتبة أمیرالمؤمنین (علیه‌السلام)، أصفهان، الطبعة الأولى، 1403ق.</w:t>
      </w:r>
    </w:p>
    <w:p>
      <w:pPr>
        <w:pStyle w:val="BookText"/>
      </w:pPr>
      <w:r>
        <w:rPr>
          <w:rFonts w:ascii="IRNazanin" w:hAnsi="IRNazanin" w:eastAsia="IRNazanin" w:cs="IRNazanin"/>
          <w:lang w:bidi="fa-IR"/>
          <w:color w:val="111111"/>
          <w:sz w:val="28"/>
          <w:szCs w:val="28"/>
          <w:rtl/>
        </w:rPr>
        <w:t xml:space="preserve">138- کتاب الزهد: حسین بن سعید الأهوازي، تحقیق: غلامرضا عرفانیان الیزدي، المطبعة العلمیة، قم، الطبعة الثانیة، 1402ق.</w:t>
      </w:r>
    </w:p>
    <w:p>
      <w:pPr>
        <w:pStyle w:val="BookText"/>
      </w:pPr>
      <w:r>
        <w:rPr>
          <w:rFonts w:ascii="IRNazanin" w:hAnsi="IRNazanin" w:eastAsia="IRNazanin" w:cs="IRNazanin"/>
          <w:lang w:bidi="fa-IR"/>
          <w:color w:val="111111"/>
          <w:sz w:val="28"/>
          <w:szCs w:val="28"/>
          <w:rtl/>
        </w:rPr>
        <w:t xml:space="preserve">139- کتاب التعارض: السیّد محمّدکاظم الطباطبائي الیزدي، تحقیق: حلمي عبدالرؤوف السنان، منشورات دار مدین، قم، الطبعة الثانیة، 1433ق.</w:t>
      </w:r>
    </w:p>
    <w:p>
      <w:pPr>
        <w:pStyle w:val="BookText"/>
      </w:pPr>
      <w:r>
        <w:rPr>
          <w:rFonts w:ascii="IRNazanin" w:hAnsi="IRNazanin" w:eastAsia="IRNazanin" w:cs="IRNazanin"/>
          <w:lang w:bidi="fa-IR"/>
          <w:color w:val="111111"/>
          <w:sz w:val="28"/>
          <w:szCs w:val="28"/>
          <w:rtl/>
        </w:rPr>
        <w:t xml:space="preserve">140- کتاب التقریرات المسمى بالمحاکمات بین الأعلام: عبد النبي النجفي، تقریر: مسلم السرابي التبریزي، چاپخانه قم، الطبعة الأولى.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141- کتاب الصلاة: مرتضى بن محمّدأمین الأنصاري، تحقیق: لجنة تحقیق تراث الشیخ الأعظم، المؤتمر العالمي بمناسبة ذکرى المئویة الثانیة لمیلاد الشیخ الأعظم الأنصاري، قم، الطبعة الأولى، 1415ق.</w:t>
      </w:r>
    </w:p>
    <w:p>
      <w:pPr>
        <w:pStyle w:val="BookText"/>
      </w:pPr>
      <w:r>
        <w:rPr>
          <w:rFonts w:ascii="IRNazanin" w:hAnsi="IRNazanin" w:eastAsia="IRNazanin" w:cs="IRNazanin"/>
          <w:lang w:bidi="fa-IR"/>
          <w:color w:val="111111"/>
          <w:sz w:val="28"/>
          <w:szCs w:val="28"/>
          <w:rtl/>
        </w:rPr>
        <w:t xml:space="preserve">142- کتاب الطهارة: مرتضى بن محمّدأمین الأنصاري، تحقیق: لجنة تحقیق تراث الشیخ الأعظم، المؤتمر العالمي بمناسبة ذکرى المئویة الثانیة لمیلاد الشیخ الأعظم الأنصاري، قم، الطبعة الأولى، 1415ق.</w:t>
      </w:r>
    </w:p>
    <w:p>
      <w:pPr>
        <w:pStyle w:val="BookText"/>
      </w:pPr>
      <w:r>
        <w:rPr>
          <w:rFonts w:ascii="IRNazanin" w:hAnsi="IRNazanin" w:eastAsia="IRNazanin" w:cs="IRNazanin"/>
          <w:lang w:bidi="fa-IR"/>
          <w:color w:val="111111"/>
          <w:sz w:val="28"/>
          <w:szCs w:val="28"/>
          <w:rtl/>
        </w:rPr>
        <w:t xml:space="preserve">143- کتاب من لا یحضره الفقیه: محمّد بن علي الصدوق، تحقیق: علي‌أکبر الغفّاري، مؤسسة النشر الإسلامي التابعة لجماعة المدرّسین بقم المشرّفة، الطبعة الثانیة، 1413ق.</w:t>
      </w:r>
    </w:p>
    <w:p>
      <w:pPr>
        <w:pStyle w:val="BookText"/>
      </w:pPr>
      <w:r>
        <w:rPr>
          <w:rFonts w:ascii="IRNazanin" w:hAnsi="IRNazanin" w:eastAsia="IRNazanin" w:cs="IRNazanin"/>
          <w:lang w:bidi="fa-IR"/>
          <w:color w:val="111111"/>
          <w:sz w:val="28"/>
          <w:szCs w:val="28"/>
          <w:rtl/>
        </w:rPr>
        <w:t xml:space="preserve">144- کشف الالتباس عن موجز أبي العبّاس: مفلح بن الحسن الصیمري، مخطوطة في مکتبة مجلس الشورى الإسلامي برقم 22498.</w:t>
      </w:r>
    </w:p>
    <w:p>
      <w:pPr>
        <w:pStyle w:val="BookText"/>
      </w:pPr>
      <w:r>
        <w:rPr>
          <w:rFonts w:ascii="IRNazanin" w:hAnsi="IRNazanin" w:eastAsia="IRNazanin" w:cs="IRNazanin"/>
          <w:lang w:bidi="fa-IR"/>
          <w:color w:val="111111"/>
          <w:sz w:val="28"/>
          <w:szCs w:val="28"/>
          <w:rtl/>
        </w:rPr>
        <w:t xml:space="preserve">145- کشف الظنون عن أسامي الکتب والفنون: مصطفى بن عبدالله حاجي خلیفه، بیروت، دار إحیاء التراث العربي.</w:t>
      </w:r>
    </w:p>
    <w:p>
      <w:pPr>
        <w:pStyle w:val="BookText"/>
      </w:pPr>
      <w:r>
        <w:rPr>
          <w:rFonts w:ascii="IRNazanin" w:hAnsi="IRNazanin" w:eastAsia="IRNazanin" w:cs="IRNazanin"/>
          <w:lang w:bidi="fa-IR"/>
          <w:color w:val="111111"/>
          <w:sz w:val="28"/>
          <w:szCs w:val="28"/>
          <w:rtl/>
        </w:rPr>
        <w:t xml:space="preserve">146- کشف الغطاء عن مبهمات الشریعة الغرّاء: جعفر بن خضر النجفي، تحقیق: عبّاس تبریزیان وعبدالحکیم ضیاء ومحمّدرضا طاهریان الذاکري، مکتب الإعلام الإسلامي، فرع خراسان، الطبعة الأولى، 1422ق.</w:t>
      </w:r>
    </w:p>
    <w:p>
      <w:pPr>
        <w:pStyle w:val="BookText"/>
      </w:pPr>
      <w:r>
        <w:rPr>
          <w:rFonts w:ascii="IRNazanin" w:hAnsi="IRNazanin" w:eastAsia="IRNazanin" w:cs="IRNazanin"/>
          <w:lang w:bidi="fa-IR"/>
          <w:color w:val="111111"/>
          <w:sz w:val="28"/>
          <w:szCs w:val="28"/>
          <w:rtl/>
        </w:rPr>
        <w:t xml:space="preserve">147- کشف اللثام والإبهام عن قواعد الأحکام: محمّد بن الحسن الإصفهاني الهندي، مؤسسة النشر الإسلامي التابعة لجماعة المدرّسین بقم المشرّفة، الطبعة الأولى، 1416ق.</w:t>
      </w:r>
    </w:p>
    <w:p>
      <w:pPr>
        <w:pStyle w:val="BookText"/>
      </w:pPr>
      <w:r>
        <w:rPr>
          <w:rFonts w:ascii="IRNazanin" w:hAnsi="IRNazanin" w:eastAsia="IRNazanin" w:cs="IRNazanin"/>
          <w:lang w:bidi="fa-IR"/>
          <w:color w:val="111111"/>
          <w:sz w:val="28"/>
          <w:szCs w:val="28"/>
          <w:rtl/>
        </w:rPr>
        <w:t xml:space="preserve">148- کفایة الأصول: محمّدکاظم الخراساني، مؤسسة آل البیت (علیهم‌السلام) لإحیاء التراث، قم، الطبعة السادسة، 1430ق.</w:t>
      </w:r>
    </w:p>
    <w:p>
      <w:pPr>
        <w:pStyle w:val="BookText"/>
      </w:pPr>
      <w:r>
        <w:rPr>
          <w:rFonts w:ascii="IRNazanin" w:hAnsi="IRNazanin" w:eastAsia="IRNazanin" w:cs="IRNazanin"/>
          <w:lang w:bidi="fa-IR"/>
          <w:color w:val="111111"/>
          <w:sz w:val="28"/>
          <w:szCs w:val="28"/>
          <w:rtl/>
        </w:rPr>
        <w:t xml:space="preserve">149- الکنى والألقاب: عبّاس القمي، مؤسسة النشر الإسلامي التابعة لجماعة المدرّسین بقم المشرّفة، الطبعة الثانیة، 1429ق.</w:t>
      </w:r>
    </w:p>
    <w:p>
      <w:pPr>
        <w:pStyle w:val="BookText"/>
      </w:pPr>
      <w:r>
        <w:rPr>
          <w:rFonts w:ascii="IRNazanin" w:hAnsi="IRNazanin" w:eastAsia="IRNazanin" w:cs="IRNazanin"/>
          <w:lang w:bidi="fa-IR"/>
          <w:color w:val="111111"/>
          <w:sz w:val="28"/>
          <w:szCs w:val="28"/>
          <w:rtl/>
        </w:rPr>
        <w:t xml:space="preserve">150- لوامع الأحکام في فقه شریعة الإسلام: المولى محمّدمهدي بن أبي‌ذر النراقي،الطبعة الأولى، قم.</w:t>
      </w:r>
    </w:p>
    <w:p>
      <w:pPr>
        <w:pStyle w:val="BookText"/>
      </w:pPr>
      <w:r>
        <w:rPr>
          <w:rFonts w:ascii="IRNazanin" w:hAnsi="IRNazanin" w:eastAsia="IRNazanin" w:cs="IRNazanin"/>
          <w:lang w:bidi="fa-IR"/>
          <w:color w:val="111111"/>
          <w:sz w:val="28"/>
          <w:szCs w:val="28"/>
          <w:rtl/>
        </w:rPr>
        <w:t xml:space="preserve">151- مباني الأحکام في أصول شرائع الإسلام: مرتضى الحائري الیزدي، تحقیق: محمّدحسین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أمراللّهي الیزدي، مؤسسة النشر الإسلامي التابعة لجماعة المدرّسین بقم المشرّفة، الطبعة الثانیة، 1432ق.</w:t>
      </w:r>
    </w:p>
    <w:p>
      <w:pPr>
        <w:pStyle w:val="BookText"/>
      </w:pPr>
      <w:r>
        <w:rPr>
          <w:rFonts w:ascii="IRNazanin" w:hAnsi="IRNazanin" w:eastAsia="IRNazanin" w:cs="IRNazanin"/>
          <w:lang w:bidi="fa-IR"/>
          <w:color w:val="111111"/>
          <w:sz w:val="28"/>
          <w:szCs w:val="28"/>
          <w:rtl/>
        </w:rPr>
        <w:t xml:space="preserve">152- المباني الأصولیّة لآیةالله السیّد محمّدکاظم الطباطبائي الیزدي: حسین حلبیان، مخطوط.</w:t>
      </w:r>
    </w:p>
    <w:p>
      <w:pPr>
        <w:pStyle w:val="BookText"/>
      </w:pPr>
      <w:r>
        <w:rPr>
          <w:rFonts w:ascii="IRNazanin" w:hAnsi="IRNazanin" w:eastAsia="IRNazanin" w:cs="IRNazanin"/>
          <w:lang w:bidi="fa-IR"/>
          <w:color w:val="111111"/>
          <w:sz w:val="28"/>
          <w:szCs w:val="28"/>
          <w:rtl/>
        </w:rPr>
        <w:t xml:space="preserve">153- مجمع الفائدة والبرهان في شرح إرشاد الأذهان: أحمد بن محمّد الأردبیلي، تحقیق: مجتبى العراقي وعلي‌پناه الإشتهاردي وآقا حسين اليزدي الإصفهاني، مؤسسة النشر الإسلامي التابعة لجماعة المدرّسین بقم المشرّفة، الطبعة الأولى، 1403ق.</w:t>
      </w:r>
    </w:p>
    <w:p>
      <w:pPr>
        <w:pStyle w:val="BookText"/>
      </w:pPr>
      <w:r>
        <w:rPr>
          <w:rFonts w:ascii="IRNazanin" w:hAnsi="IRNazanin" w:eastAsia="IRNazanin" w:cs="IRNazanin"/>
          <w:lang w:bidi="fa-IR"/>
          <w:color w:val="111111"/>
          <w:sz w:val="28"/>
          <w:szCs w:val="28"/>
          <w:rtl/>
        </w:rPr>
        <w:t xml:space="preserve">154- مجمع الفرائد في الأصول: علي فریدة الإسلام الکاشاني، چاپخانه أمیر، قم، الطبعة الأولى، 1368ق.</w:t>
      </w:r>
    </w:p>
    <w:p>
      <w:pPr>
        <w:pStyle w:val="BookText"/>
      </w:pPr>
      <w:r>
        <w:rPr>
          <w:rFonts w:ascii="IRNazanin" w:hAnsi="IRNazanin" w:eastAsia="IRNazanin" w:cs="IRNazanin"/>
          <w:lang w:bidi="fa-IR"/>
          <w:color w:val="111111"/>
          <w:sz w:val="28"/>
          <w:szCs w:val="28"/>
          <w:rtl/>
        </w:rPr>
        <w:t xml:space="preserve">155- محجة العلماء: محمدهادي الطهراني، باهتمام: عبدالحسین بن محمدعلي الخوشنویس الإصفهاني.</w:t>
      </w:r>
    </w:p>
    <w:p>
      <w:pPr>
        <w:pStyle w:val="BookText"/>
      </w:pPr>
      <w:r>
        <w:rPr>
          <w:rFonts w:ascii="IRNazanin" w:hAnsi="IRNazanin" w:eastAsia="IRNazanin" w:cs="IRNazanin"/>
          <w:lang w:bidi="fa-IR"/>
          <w:color w:val="111111"/>
          <w:sz w:val="28"/>
          <w:szCs w:val="28"/>
          <w:rtl/>
        </w:rPr>
        <w:t xml:space="preserve">156- المحصول في علم الأصول: السیّد محسن بن الحسن الأعرجي الکاظمي، تحقیق: هادي الشیخ طه، مرکز المرتضى لإحیاء التراث والبحوث الإسلامیّة، النجف الأشرف، الطبعة الأولى، 1437ق.</w:t>
      </w:r>
    </w:p>
    <w:p>
      <w:pPr>
        <w:pStyle w:val="BookText"/>
      </w:pPr>
      <w:r>
        <w:rPr>
          <w:rFonts w:ascii="IRNazanin" w:hAnsi="IRNazanin" w:eastAsia="IRNazanin" w:cs="IRNazanin"/>
          <w:lang w:bidi="fa-IR"/>
          <w:color w:val="111111"/>
          <w:sz w:val="28"/>
          <w:szCs w:val="28"/>
          <w:rtl/>
        </w:rPr>
        <w:t xml:space="preserve">157- المحصول في علم أصول الفقه: محمّد بن عمر الرازي، تحقیق: طه جابر فیاض العلواني، مؤسسة الرسالة، بیروت، الطبعة الثانیة، 1412ق.</w:t>
      </w:r>
    </w:p>
    <w:p>
      <w:pPr>
        <w:pStyle w:val="BookText"/>
      </w:pPr>
      <w:r>
        <w:rPr>
          <w:rFonts w:ascii="IRNazanin" w:hAnsi="IRNazanin" w:eastAsia="IRNazanin" w:cs="IRNazanin"/>
          <w:lang w:bidi="fa-IR"/>
          <w:color w:val="111111"/>
          <w:sz w:val="28"/>
          <w:szCs w:val="28"/>
          <w:rtl/>
        </w:rPr>
        <w:t xml:space="preserve">158- مختصر منتهي السؤل والأمل في علمي الأصول والجدل: عثمان بن عمر ابن الحاجب المالكي، تحقیق: نذیر حمادو، دار ابن حزم، بیروت، الطبعة الأولى، 1427ق.</w:t>
      </w:r>
    </w:p>
    <w:p>
      <w:pPr>
        <w:pStyle w:val="BookText"/>
      </w:pPr>
      <w:r>
        <w:rPr>
          <w:rFonts w:ascii="IRNazanin" w:hAnsi="IRNazanin" w:eastAsia="IRNazanin" w:cs="IRNazanin"/>
          <w:lang w:bidi="fa-IR"/>
          <w:color w:val="111111"/>
          <w:sz w:val="28"/>
          <w:szCs w:val="28"/>
          <w:rtl/>
        </w:rPr>
        <w:t xml:space="preserve">159- مختلف الشیعة في أحکام الشریعة: حسن بن یوسف العلّامة الحلّي، مؤسسة النشر الإسلامي التابعة لجماعة المدرّسین بقم المشرّفة، الطبعة الثانیة، 1413ق.</w:t>
      </w:r>
    </w:p>
    <w:p>
      <w:pPr>
        <w:pStyle w:val="BookText"/>
      </w:pPr>
      <w:r>
        <w:rPr>
          <w:rFonts w:ascii="IRNazanin" w:hAnsi="IRNazanin" w:eastAsia="IRNazanin" w:cs="IRNazanin"/>
          <w:lang w:bidi="fa-IR"/>
          <w:color w:val="111111"/>
          <w:sz w:val="28"/>
          <w:szCs w:val="28"/>
          <w:rtl/>
        </w:rPr>
        <w:t xml:space="preserve">160- مدارك الأحکام في شرح عبادات شرائع الإسلام: محمّد بن علي الموسوي العاملي، مؤسسة آل البیت (علیهم‌السلام) لإحیاء التراث، بیروت، الطبعة الأولى، 1411ق.</w:t>
      </w:r>
    </w:p>
    <w:p>
      <w:pPr>
        <w:pStyle w:val="BookText"/>
      </w:pPr>
      <w:r>
        <w:rPr>
          <w:rFonts w:ascii="IRNazanin" w:hAnsi="IRNazanin" w:eastAsia="IRNazanin" w:cs="IRNazanin"/>
          <w:lang w:bidi="fa-IR"/>
          <w:color w:val="111111"/>
          <w:sz w:val="28"/>
          <w:szCs w:val="28"/>
          <w:rtl/>
        </w:rPr>
        <w:t xml:space="preserve">161- مرآة العقول: محمّدباقر المجلسي، باهتمام: محمّد الآخوندي، دار الکتبالإسلامیة، طهران، 1363ش.</w:t>
      </w:r>
    </w:p>
    <w:p>
      <w:pPr>
        <w:pStyle w:val="BookText"/>
      </w:pPr>
      <w:r>
        <w:rPr>
          <w:rFonts w:ascii="IRNazanin" w:hAnsi="IRNazanin" w:eastAsia="IRNazanin" w:cs="IRNazanin"/>
          <w:lang w:bidi="fa-IR"/>
          <w:color w:val="111111"/>
          <w:sz w:val="28"/>
          <w:szCs w:val="28"/>
          <w:rtl/>
        </w:rPr>
        <w:t xml:space="preserve">162- مسالك الأفهام إلى تنقیح شرایع الإسلام: زین‌الدین بن علي الشهید الثاني، مؤسسة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المعارف الإسلامیّة، قم، الطبعة الأولى، 1413ق.</w:t>
      </w:r>
    </w:p>
    <w:p>
      <w:pPr>
        <w:pStyle w:val="BookText"/>
      </w:pPr>
      <w:r>
        <w:rPr>
          <w:rFonts w:ascii="IRNazanin" w:hAnsi="IRNazanin" w:eastAsia="IRNazanin" w:cs="IRNazanin"/>
          <w:lang w:bidi="fa-IR"/>
          <w:color w:val="111111"/>
          <w:sz w:val="28"/>
          <w:szCs w:val="28"/>
          <w:rtl/>
        </w:rPr>
        <w:t xml:space="preserve">163- المسؤولیة المدنیّة للطبیب بین الفقه والقانون: حسین حلبیان، مجلّة فقه أهل البیت (علیهم‌السلام)، قم، الأعداد 70 إلى 72، 1434 ق.</w:t>
      </w:r>
    </w:p>
    <w:p>
      <w:pPr>
        <w:pStyle w:val="BookText"/>
      </w:pPr>
      <w:r>
        <w:rPr>
          <w:rFonts w:ascii="IRNazanin" w:hAnsi="IRNazanin" w:eastAsia="IRNazanin" w:cs="IRNazanin"/>
          <w:lang w:bidi="fa-IR"/>
          <w:color w:val="111111"/>
          <w:sz w:val="28"/>
          <w:szCs w:val="28"/>
          <w:rtl/>
        </w:rPr>
        <w:t xml:space="preserve">164- مستدرك سفینة البحار: علي النمازي الشاهرودي، تحقیق: حسن بن علي النمازي، مؤسسة النشر الإسلامي التابعة لجماعة المدرّسین بقم المشرّفة، 1419ق.</w:t>
      </w:r>
    </w:p>
    <w:p>
      <w:pPr>
        <w:pStyle w:val="BookText"/>
      </w:pPr>
      <w:r>
        <w:rPr>
          <w:rFonts w:ascii="IRNazanin" w:hAnsi="IRNazanin" w:eastAsia="IRNazanin" w:cs="IRNazanin"/>
          <w:lang w:bidi="fa-IR"/>
          <w:color w:val="111111"/>
          <w:sz w:val="28"/>
          <w:szCs w:val="28"/>
          <w:rtl/>
        </w:rPr>
        <w:t xml:space="preserve">165- المستصفى في علم الأصول: محمّد الغزالي، تصحیح: محمّد عبدالسلام عبدالشافي، دارالکتب العلمیّة، بیروت، 1417ق.</w:t>
      </w:r>
    </w:p>
    <w:p>
      <w:pPr>
        <w:pStyle w:val="BookText"/>
      </w:pPr>
      <w:r>
        <w:rPr>
          <w:rFonts w:ascii="IRNazanin" w:hAnsi="IRNazanin" w:eastAsia="IRNazanin" w:cs="IRNazanin"/>
          <w:lang w:bidi="fa-IR"/>
          <w:color w:val="111111"/>
          <w:sz w:val="28"/>
          <w:szCs w:val="28"/>
          <w:rtl/>
        </w:rPr>
        <w:t xml:space="preserve">166- مستند الشیعة في أحکام الشریعة: أحمد بن محمّدمهدي النراقي، مؤسسة آل البیت (علیهم‌السلام) لإحیاء التراث، قم، الطبعة الأولى، 1415ق.</w:t>
      </w:r>
    </w:p>
    <w:p>
      <w:pPr>
        <w:pStyle w:val="BookText"/>
      </w:pPr>
      <w:r>
        <w:rPr>
          <w:rFonts w:ascii="IRNazanin" w:hAnsi="IRNazanin" w:eastAsia="IRNazanin" w:cs="IRNazanin"/>
          <w:lang w:bidi="fa-IR"/>
          <w:color w:val="111111"/>
          <w:sz w:val="28"/>
          <w:szCs w:val="28"/>
          <w:rtl/>
        </w:rPr>
        <w:t xml:space="preserve">167- مشارق الشموس في شرح الدروس: آقا حسین بن محمّد الخوانساري، تحقیق: السیّد جواد ابن الرضا، 1430ق.</w:t>
      </w:r>
    </w:p>
    <w:p>
      <w:pPr>
        <w:pStyle w:val="BookText"/>
      </w:pPr>
      <w:r>
        <w:rPr>
          <w:rFonts w:ascii="IRNazanin" w:hAnsi="IRNazanin" w:eastAsia="IRNazanin" w:cs="IRNazanin"/>
          <w:lang w:bidi="fa-IR"/>
          <w:color w:val="111111"/>
          <w:sz w:val="28"/>
          <w:szCs w:val="28"/>
          <w:rtl/>
        </w:rPr>
        <w:t xml:space="preserve">168- مطارح الأنظار: مرتضى الأنصاري، تقریر: المیرزا أبوالقاسم الکلانتري الطهراني، مجمع الفکر الإسلامي، قم، الطبعة الثانیة، 1383ش.</w:t>
      </w:r>
    </w:p>
    <w:p>
      <w:pPr>
        <w:pStyle w:val="BookText"/>
      </w:pPr>
      <w:r>
        <w:rPr>
          <w:rFonts w:ascii="IRNazanin" w:hAnsi="IRNazanin" w:eastAsia="IRNazanin" w:cs="IRNazanin"/>
          <w:lang w:bidi="fa-IR"/>
          <w:color w:val="111111"/>
          <w:sz w:val="28"/>
          <w:szCs w:val="28"/>
          <w:rtl/>
        </w:rPr>
        <w:t xml:space="preserve">169- مع علماء النجف الأشرف: السیّد محمّد الغروي، بیروت، دارالثقلین، الطبعة الأولى، 1420ق.</w:t>
      </w:r>
    </w:p>
    <w:p>
      <w:pPr>
        <w:pStyle w:val="BookText"/>
      </w:pPr>
      <w:r>
        <w:rPr>
          <w:rFonts w:ascii="IRNazanin" w:hAnsi="IRNazanin" w:eastAsia="IRNazanin" w:cs="IRNazanin"/>
          <w:lang w:bidi="fa-IR"/>
          <w:color w:val="111111"/>
          <w:sz w:val="28"/>
          <w:szCs w:val="28"/>
          <w:rtl/>
        </w:rPr>
        <w:t xml:space="preserve">170- معارف الرجال: محمّد حرزالدین، تعلیق: محمّدحسین حرزالدین، مکتبة آیة الله العظمى النجفي المرعشي، قم، 1405 ق.</w:t>
      </w:r>
    </w:p>
    <w:p>
      <w:pPr>
        <w:pStyle w:val="BookText"/>
      </w:pPr>
      <w:r>
        <w:rPr>
          <w:rFonts w:ascii="IRNazanin" w:hAnsi="IRNazanin" w:eastAsia="IRNazanin" w:cs="IRNazanin"/>
          <w:lang w:bidi="fa-IR"/>
          <w:color w:val="111111"/>
          <w:sz w:val="28"/>
          <w:szCs w:val="28"/>
          <w:rtl/>
        </w:rPr>
        <w:t xml:space="preserve">171- معالم الدین وملاذ المجتهدین: جمال‌الدین حسن بن زین‌الدین، مؤسسة النشر الإسلامي التابعة لجماعة المدرّسین بقم المشرّفة، 1406ق.</w:t>
      </w:r>
    </w:p>
    <w:p>
      <w:pPr>
        <w:pStyle w:val="BookText"/>
      </w:pPr>
      <w:r>
        <w:rPr>
          <w:rFonts w:ascii="IRNazanin" w:hAnsi="IRNazanin" w:eastAsia="IRNazanin" w:cs="IRNazanin"/>
          <w:lang w:bidi="fa-IR"/>
          <w:color w:val="111111"/>
          <w:sz w:val="28"/>
          <w:szCs w:val="28"/>
          <w:rtl/>
        </w:rPr>
        <w:t xml:space="preserve">172- المعالم في علم أصول الفقه: محمّد بن عمر الرازي، تحقیق وتعلیق: عادل أحمد عبدالموجود وعلي محمّد معوض، دار المعرفة، القاهرة، 1414ق.</w:t>
      </w:r>
    </w:p>
    <w:p>
      <w:pPr>
        <w:pStyle w:val="BookText"/>
      </w:pPr>
      <w:r>
        <w:rPr>
          <w:rFonts w:ascii="IRNazanin" w:hAnsi="IRNazanin" w:eastAsia="IRNazanin" w:cs="IRNazanin"/>
          <w:lang w:bidi="fa-IR"/>
          <w:color w:val="111111"/>
          <w:sz w:val="28"/>
          <w:szCs w:val="28"/>
          <w:rtl/>
        </w:rPr>
        <w:t xml:space="preserve">173- المعتبر في شرح المختصر: جعفر بن الحسن المحقّق الحلّي، تحقیق: محمّدعلي الحيدري والسيد مهدي شمس‌الدين والسيد أبو محمد المرتضوي والسيّد علي الموسوي، مؤسسة سیّد الشهداء (علیه‌السلام)، قم، الطبعة الأولى، 1407ق.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174- معتصم الشیعة في أحکام الشریعة: محمّدمحسن الفیض الکاشاني، تحقیق: مسیح التوحیدي، المدرسة العالیة للشهید المطهري، طهران، 1387ش.</w:t>
      </w:r>
    </w:p>
    <w:p>
      <w:pPr>
        <w:pStyle w:val="BookText"/>
      </w:pPr>
      <w:r>
        <w:rPr>
          <w:rFonts w:ascii="IRNazanin" w:hAnsi="IRNazanin" w:eastAsia="IRNazanin" w:cs="IRNazanin"/>
          <w:lang w:bidi="fa-IR"/>
          <w:color w:val="111111"/>
          <w:sz w:val="28"/>
          <w:szCs w:val="28"/>
          <w:rtl/>
        </w:rPr>
        <w:t xml:space="preserve">175- معجم المخطوطات العراقیّة: مصطفى الدرایتي، دیوان الوقف الشیعي، بغداد، الطبعة الأولى، 1439ق.</w:t>
      </w:r>
    </w:p>
    <w:p>
      <w:pPr>
        <w:pStyle w:val="BookText"/>
      </w:pPr>
      <w:r>
        <w:rPr>
          <w:rFonts w:ascii="IRNazanin" w:hAnsi="IRNazanin" w:eastAsia="IRNazanin" w:cs="IRNazanin"/>
          <w:lang w:bidi="fa-IR"/>
          <w:color w:val="111111"/>
          <w:sz w:val="28"/>
          <w:szCs w:val="28"/>
          <w:rtl/>
        </w:rPr>
        <w:t xml:space="preserve">176- مفتاح الأحکام: أحمد بن محمّدمهدي النراقي، تحقیق: السيّد مهدي الطباطبائي والشيخ عليّ الحميداوي الأنصاري والشيخ محسن النوروزي والسيّد حسين بني هاشمي، بوستان کتاب، قم، الطبعة الأولى، 1430ق.</w:t>
      </w:r>
    </w:p>
    <w:p>
      <w:pPr>
        <w:pStyle w:val="BookText"/>
      </w:pPr>
      <w:r>
        <w:rPr>
          <w:rFonts w:ascii="IRNazanin" w:hAnsi="IRNazanin" w:eastAsia="IRNazanin" w:cs="IRNazanin"/>
          <w:lang w:bidi="fa-IR"/>
          <w:color w:val="111111"/>
          <w:sz w:val="28"/>
          <w:szCs w:val="28"/>
          <w:rtl/>
        </w:rPr>
        <w:t xml:space="preserve">177- مفتاح العلوم: یوسف السکّاکي، تحقیق: نعیم زرزور، دارالکتب العلمیّة، بیروت، الطبعة الثانیة، 1407ق.</w:t>
      </w:r>
    </w:p>
    <w:p>
      <w:pPr>
        <w:pStyle w:val="BookText"/>
      </w:pPr>
      <w:r>
        <w:rPr>
          <w:rFonts w:ascii="IRNazanin" w:hAnsi="IRNazanin" w:eastAsia="IRNazanin" w:cs="IRNazanin"/>
          <w:lang w:bidi="fa-IR"/>
          <w:color w:val="111111"/>
          <w:sz w:val="28"/>
          <w:szCs w:val="28"/>
          <w:rtl/>
        </w:rPr>
        <w:t xml:space="preserve">178- مفتاح الکرامة في شرح قواعد العلّامة: السیّد محمّدجواد بن محمّد الحسیني العاملي، تحقیق: محمّدباقر الخالصي، مؤسّسة النشر الإسلامي التابعة لجماعة المدرّسین بقم المشرّفة، الطبعة الأولى، 1419ق.</w:t>
      </w:r>
    </w:p>
    <w:p>
      <w:pPr>
        <w:pStyle w:val="BookText"/>
      </w:pPr>
      <w:r>
        <w:rPr>
          <w:rFonts w:ascii="IRNazanin" w:hAnsi="IRNazanin" w:eastAsia="IRNazanin" w:cs="IRNazanin"/>
          <w:lang w:bidi="fa-IR"/>
          <w:color w:val="111111"/>
          <w:sz w:val="28"/>
          <w:szCs w:val="28"/>
          <w:rtl/>
        </w:rPr>
        <w:t xml:space="preserve">179- المفصّل في تاریخ النجف الأشرف: السيّد حسن عیسى الحکیم، المکتبة الحیدریّة، قم، الطبعة الأولى، 1427ق.</w:t>
      </w:r>
    </w:p>
    <w:p>
      <w:pPr>
        <w:pStyle w:val="BookText"/>
      </w:pPr>
      <w:r>
        <w:rPr>
          <w:rFonts w:ascii="IRNazanin" w:hAnsi="IRNazanin" w:eastAsia="IRNazanin" w:cs="IRNazanin"/>
          <w:lang w:bidi="fa-IR"/>
          <w:color w:val="111111"/>
          <w:sz w:val="28"/>
          <w:szCs w:val="28"/>
          <w:rtl/>
        </w:rPr>
        <w:t xml:space="preserve">180- المقاصد العلیّة في شرح الرسالة الألفیّة: زین‌الدین بن علي الشهید الثاني، نشر مکتب الإعلام الإسلامي، قم، الطبعة الأولى، 1420ق.</w:t>
      </w:r>
    </w:p>
    <w:p>
      <w:pPr>
        <w:pStyle w:val="BookText"/>
      </w:pPr>
      <w:r>
        <w:rPr>
          <w:rFonts w:ascii="IRNazanin" w:hAnsi="IRNazanin" w:eastAsia="IRNazanin" w:cs="IRNazanin"/>
          <w:lang w:bidi="fa-IR"/>
          <w:color w:val="111111"/>
          <w:sz w:val="28"/>
          <w:szCs w:val="28"/>
          <w:rtl/>
        </w:rPr>
        <w:t xml:space="preserve">181- مقامع الفضل: محمّدعلي الکرمانشاهي، مؤسسة العلّامة المجدّد الوحید البهبهاني، قم، الطبعة الأولى، 1421 ق.</w:t>
      </w:r>
    </w:p>
    <w:p>
      <w:pPr>
        <w:pStyle w:val="BookText"/>
      </w:pPr>
      <w:r>
        <w:rPr>
          <w:rFonts w:ascii="IRNazanin" w:hAnsi="IRNazanin" w:eastAsia="IRNazanin" w:cs="IRNazanin"/>
          <w:lang w:bidi="fa-IR"/>
          <w:color w:val="111111"/>
          <w:sz w:val="28"/>
          <w:szCs w:val="28"/>
          <w:rtl/>
        </w:rPr>
        <w:t xml:space="preserve">182- مقالات الأصول: آقا ضیاء الدین العراقي، مجمع الفکر الإسلامي، قم، الطبعة الأولى، 1420ق.</w:t>
      </w:r>
    </w:p>
    <w:p>
      <w:pPr>
        <w:pStyle w:val="BookText"/>
      </w:pPr>
      <w:r>
        <w:rPr>
          <w:rFonts w:ascii="IRNazanin" w:hAnsi="IRNazanin" w:eastAsia="IRNazanin" w:cs="IRNazanin"/>
          <w:lang w:bidi="fa-IR"/>
          <w:color w:val="111111"/>
          <w:sz w:val="28"/>
          <w:szCs w:val="28"/>
          <w:rtl/>
        </w:rPr>
        <w:t xml:space="preserve">183- مکارم الآثار: محمّدعلي المعلّم الحبیب آبادي، تحقیق: السیّد محمّدعلي الروضاتي، نفائس مخطوطات إصفهان، الطبعة الأولى، 1364 ش.</w:t>
      </w:r>
    </w:p>
    <w:p>
      <w:pPr>
        <w:pStyle w:val="BookText"/>
      </w:pPr>
      <w:r>
        <w:rPr>
          <w:rFonts w:ascii="IRNazanin" w:hAnsi="IRNazanin" w:eastAsia="IRNazanin" w:cs="IRNazanin"/>
          <w:lang w:bidi="fa-IR"/>
          <w:color w:val="111111"/>
          <w:sz w:val="28"/>
          <w:szCs w:val="28"/>
          <w:rtl/>
        </w:rPr>
        <w:t xml:space="preserve">184- المکاسب: مرتضى بن محمّدأمین الأنصاري، تحقیق: لجنة تحقیق تراث الشیخ الأعظم، مجمع الفکر الإسلامي، قم، الطبعة الرابعة عشرة، 1433 ق.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185- منار الهدى في الأنساب: محمّدحسین الأعلمي الحائري، تحقیق: أحمد الحائري الأسدي، مکتبة العلّامة ابن فهد الحلّي، کربلاء، الطبعة الثانیة، 1432 ق.</w:t>
      </w:r>
    </w:p>
    <w:p>
      <w:pPr>
        <w:pStyle w:val="BookText"/>
      </w:pPr>
      <w:r>
        <w:rPr>
          <w:rFonts w:ascii="IRNazanin" w:hAnsi="IRNazanin" w:eastAsia="IRNazanin" w:cs="IRNazanin"/>
          <w:lang w:bidi="fa-IR"/>
          <w:color w:val="111111"/>
          <w:sz w:val="28"/>
          <w:szCs w:val="28"/>
          <w:rtl/>
        </w:rPr>
        <w:t xml:space="preserve">186- مناط الأحکام: المولى نظرعلي الطالقاني، 1304ق.</w:t>
      </w:r>
    </w:p>
    <w:p>
      <w:pPr>
        <w:pStyle w:val="BookText"/>
      </w:pPr>
      <w:r>
        <w:rPr>
          <w:rFonts w:ascii="IRNazanin" w:hAnsi="IRNazanin" w:eastAsia="IRNazanin" w:cs="IRNazanin"/>
          <w:lang w:bidi="fa-IR"/>
          <w:color w:val="111111"/>
          <w:sz w:val="28"/>
          <w:szCs w:val="28"/>
          <w:rtl/>
        </w:rPr>
        <w:t xml:space="preserve">187- مناهج الأحکام: أحمد بن محمّدمهدي النراقي، الطبعة الحجرية.</w:t>
      </w:r>
    </w:p>
    <w:p>
      <w:pPr>
        <w:pStyle w:val="BookText"/>
      </w:pPr>
      <w:r>
        <w:rPr>
          <w:rFonts w:ascii="IRNazanin" w:hAnsi="IRNazanin" w:eastAsia="IRNazanin" w:cs="IRNazanin"/>
          <w:lang w:bidi="fa-IR"/>
          <w:color w:val="111111"/>
          <w:sz w:val="28"/>
          <w:szCs w:val="28"/>
          <w:rtl/>
        </w:rPr>
        <w:t xml:space="preserve">188- مناهج الوصول إلى علم الأصول: السیّد روح الله الموسوي الخمیني، مؤسسة نشر وتنظیم آثار الإمام الخمیني، قم، الطبعة الأولى، 1415ق.</w:t>
      </w:r>
    </w:p>
    <w:p>
      <w:pPr>
        <w:pStyle w:val="BookText"/>
      </w:pPr>
      <w:r>
        <w:rPr>
          <w:rFonts w:ascii="IRNazanin" w:hAnsi="IRNazanin" w:eastAsia="IRNazanin" w:cs="IRNazanin"/>
          <w:lang w:bidi="fa-IR"/>
          <w:color w:val="111111"/>
          <w:sz w:val="28"/>
          <w:szCs w:val="28"/>
          <w:rtl/>
        </w:rPr>
        <w:t xml:space="preserve">189- منتقى الأصول: السیّد محمّد الحسیني الروحاني، تقریر: الشهید السیّد عبدالصاحب الحکیم، قم، الطبعة الأولى، 1413ق.</w:t>
      </w:r>
    </w:p>
    <w:p>
      <w:pPr>
        <w:pStyle w:val="BookText"/>
      </w:pPr>
      <w:r>
        <w:rPr>
          <w:rFonts w:ascii="IRNazanin" w:hAnsi="IRNazanin" w:eastAsia="IRNazanin" w:cs="IRNazanin"/>
          <w:lang w:bidi="fa-IR"/>
          <w:color w:val="111111"/>
          <w:sz w:val="28"/>
          <w:szCs w:val="28"/>
          <w:rtl/>
        </w:rPr>
        <w:t xml:space="preserve">190- منتهى الأفکار: هاشم الآملي، تقریر: محمّدتقي المجلسي الإصفهاني، مطبعة النجف، الطبعة الأولى، 1380ق.</w:t>
      </w:r>
    </w:p>
    <w:p>
      <w:pPr>
        <w:pStyle w:val="BookText"/>
      </w:pPr>
      <w:r>
        <w:rPr>
          <w:rFonts w:ascii="IRNazanin" w:hAnsi="IRNazanin" w:eastAsia="IRNazanin" w:cs="IRNazanin"/>
          <w:lang w:bidi="fa-IR"/>
          <w:color w:val="111111"/>
          <w:sz w:val="28"/>
          <w:szCs w:val="28"/>
          <w:rtl/>
        </w:rPr>
        <w:t xml:space="preserve">191- منتهى المطلب في تحقیق المذهب: حسن بن یوسف العلّامة الحلّي، مجمع البحوث الإسلاميّة، مشهد الرضا (علیه‌السلام)، الطبعة الأولى، 1412ق.</w:t>
      </w:r>
    </w:p>
    <w:p>
      <w:pPr>
        <w:pStyle w:val="BookText"/>
      </w:pPr>
      <w:r>
        <w:rPr>
          <w:rFonts w:ascii="IRNazanin" w:hAnsi="IRNazanin" w:eastAsia="IRNazanin" w:cs="IRNazanin"/>
          <w:lang w:bidi="fa-IR"/>
          <w:color w:val="111111"/>
          <w:sz w:val="28"/>
          <w:szCs w:val="28"/>
          <w:rtl/>
        </w:rPr>
        <w:t xml:space="preserve">192- منجزات المریض: السیّد محمّدکاظم الطباطبائي الیزدي، فقه الثقلین، قم، الطبعة الأولى، 1431ق.</w:t>
      </w:r>
    </w:p>
    <w:p>
      <w:pPr>
        <w:pStyle w:val="BookText"/>
      </w:pPr>
      <w:r>
        <w:rPr>
          <w:rFonts w:ascii="IRNazanin" w:hAnsi="IRNazanin" w:eastAsia="IRNazanin" w:cs="IRNazanin"/>
          <w:lang w:bidi="fa-IR"/>
          <w:color w:val="111111"/>
          <w:sz w:val="28"/>
          <w:szCs w:val="28"/>
          <w:rtl/>
        </w:rPr>
        <w:t xml:space="preserve">193- المنخول من تعلیقات الأصول: محمّد الغزالي، تحقیق: محمّد حسن هیتو، دار الفکر المعاصر، بیروت، الطبعة الثالثة، 1419ق.</w:t>
      </w:r>
    </w:p>
    <w:p>
      <w:pPr>
        <w:pStyle w:val="BookText"/>
      </w:pPr>
      <w:r>
        <w:rPr>
          <w:rFonts w:ascii="IRNazanin" w:hAnsi="IRNazanin" w:eastAsia="IRNazanin" w:cs="IRNazanin"/>
          <w:lang w:bidi="fa-IR"/>
          <w:color w:val="111111"/>
          <w:sz w:val="28"/>
          <w:szCs w:val="28"/>
          <w:rtl/>
        </w:rPr>
        <w:t xml:space="preserve">194- منیة اللبیب في شرح التهذیب: السیّد ضیاءالدین عبدالله بن محمّد الحسیني الحلّي، مؤسسة الإمام الصادق (علیه‌السلام)، قم، الطبعة الأولى، 1431ق.</w:t>
      </w:r>
    </w:p>
    <w:p>
      <w:pPr>
        <w:pStyle w:val="BookText"/>
      </w:pPr>
      <w:r>
        <w:rPr>
          <w:rFonts w:ascii="IRNazanin" w:hAnsi="IRNazanin" w:eastAsia="IRNazanin" w:cs="IRNazanin"/>
          <w:lang w:bidi="fa-IR"/>
          <w:color w:val="111111"/>
          <w:sz w:val="28"/>
          <w:szCs w:val="28"/>
          <w:rtl/>
        </w:rPr>
        <w:t xml:space="preserve">195- موسوعة البرغاني في فقه الشیعة: محمّدصالح البرغاني، طهران، تقدیم: عبدالحسین الصالحي، الطبعة الأولی، 1407ق.</w:t>
      </w:r>
    </w:p>
    <w:p>
      <w:pPr>
        <w:pStyle w:val="BookText"/>
      </w:pPr>
      <w:r>
        <w:rPr>
          <w:rFonts w:ascii="IRNazanin" w:hAnsi="IRNazanin" w:eastAsia="IRNazanin" w:cs="IRNazanin"/>
          <w:lang w:bidi="fa-IR"/>
          <w:color w:val="111111"/>
          <w:sz w:val="28"/>
          <w:szCs w:val="28"/>
          <w:rtl/>
        </w:rPr>
        <w:t xml:space="preserve">196- موسوعة الفقه الإسلامي طبقاً لمذهب أهل البیت (علیهم‌السلام): مؤسسة دائرة المعارف الفقه الإسلامي، قم، الطبعة الأولى، 1436ق.</w:t>
      </w:r>
    </w:p>
    <w:p>
      <w:pPr>
        <w:pStyle w:val="BookText"/>
      </w:pPr>
      <w:r>
        <w:rPr>
          <w:rFonts w:ascii="IRNazanin" w:hAnsi="IRNazanin" w:eastAsia="IRNazanin" w:cs="IRNazanin"/>
          <w:lang w:bidi="fa-IR"/>
          <w:color w:val="111111"/>
          <w:sz w:val="28"/>
          <w:szCs w:val="28"/>
          <w:rtl/>
        </w:rPr>
        <w:t xml:space="preserve">197- میزان الفقاهة: السیّد محمّدباقر الموسوي الدرچهئي، إعداد: السید صادق الحسیني الإشکوري، مجمع الذخائر الإسلامیّة، قم، 1439ق.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198- نتائج الأفکار: السیّد إبراهیم الموسوي القزویني، بمبئي، الطبعة الأولى، 1258ق.</w:t>
      </w:r>
    </w:p>
    <w:p>
      <w:pPr>
        <w:pStyle w:val="BookText"/>
      </w:pPr>
      <w:r>
        <w:rPr>
          <w:rFonts w:ascii="IRNazanin" w:hAnsi="IRNazanin" w:eastAsia="IRNazanin" w:cs="IRNazanin"/>
          <w:lang w:bidi="fa-IR"/>
          <w:color w:val="111111"/>
          <w:sz w:val="28"/>
          <w:szCs w:val="28"/>
          <w:rtl/>
        </w:rPr>
        <w:t xml:space="preserve">199- نفائس الأصول في شرح المحصول: أحمد بن إدریس القرافي المصري، تحقیق: عادل أحمد عبدالموجود وعلي محمّد معوض، مکتبة نزار مصطفى الباز، مکّة المکرّمة.</w:t>
      </w:r>
    </w:p>
    <w:p>
      <w:pPr>
        <w:pStyle w:val="BookText"/>
      </w:pPr>
      <w:r>
        <w:rPr>
          <w:rFonts w:ascii="IRNazanin" w:hAnsi="IRNazanin" w:eastAsia="IRNazanin" w:cs="IRNazanin"/>
          <w:lang w:bidi="fa-IR"/>
          <w:color w:val="111111"/>
          <w:sz w:val="28"/>
          <w:szCs w:val="28"/>
          <w:rtl/>
        </w:rPr>
        <w:t xml:space="preserve">200- نقد الأصول الفقهیّة: محمّدمحسن الفیض الکاشاني، حبیب الله العظیمي، نشر جامعة فردوسي، مشهدالرضا علیه آلاف التحیّة والثناء، الطبعة الأولى، 1380ش.</w:t>
      </w:r>
    </w:p>
    <w:p>
      <w:pPr>
        <w:pStyle w:val="BookText"/>
      </w:pPr>
      <w:r>
        <w:rPr>
          <w:rFonts w:ascii="IRNazanin" w:hAnsi="IRNazanin" w:eastAsia="IRNazanin" w:cs="IRNazanin"/>
          <w:lang w:bidi="fa-IR"/>
          <w:color w:val="111111"/>
          <w:sz w:val="28"/>
          <w:szCs w:val="28"/>
          <w:rtl/>
        </w:rPr>
        <w:t xml:space="preserve">201- نگاهی به آثار و برخی نظریات اصولی آیة الله سید محمد کاظم طباطبائی یزدی: حسین حلبیان، مجلة نقد کتاب فقه و حقوق، طهران، العددان 9 و10، 1396ش.</w:t>
      </w:r>
    </w:p>
    <w:p>
      <w:pPr>
        <w:pStyle w:val="BookText"/>
      </w:pPr>
      <w:r>
        <w:rPr>
          <w:rFonts w:ascii="IRNazanin" w:hAnsi="IRNazanin" w:eastAsia="IRNazanin" w:cs="IRNazanin"/>
          <w:lang w:bidi="fa-IR"/>
          <w:color w:val="111111"/>
          <w:sz w:val="28"/>
          <w:szCs w:val="28"/>
          <w:rtl/>
        </w:rPr>
        <w:t xml:space="preserve">202- نماذج الأصول في شرح مقالات الأصول: السیّد عبّاس المدرّسي الیزدي، منشورات الداوري، قم، الطبعة الأولى، 1383ش.</w:t>
      </w:r>
    </w:p>
    <w:p>
      <w:pPr>
        <w:pStyle w:val="BookText"/>
      </w:pPr>
      <w:r>
        <w:rPr>
          <w:rFonts w:ascii="IRNazanin" w:hAnsi="IRNazanin" w:eastAsia="IRNazanin" w:cs="IRNazanin"/>
          <w:lang w:bidi="fa-IR"/>
          <w:color w:val="111111"/>
          <w:sz w:val="28"/>
          <w:szCs w:val="28"/>
          <w:rtl/>
        </w:rPr>
        <w:t xml:space="preserve">203- نور السبل: عبدالرسول المجتهد الیزدي، تحقیق وتقدیم: مهدي المهریزي، علي الصدرائي الخوئي، حمید الأحمدي الجلفائي، دار نشر سهل، قم، الطبعة الأولى، 1439ق.</w:t>
      </w:r>
    </w:p>
    <w:p>
      <w:pPr>
        <w:pStyle w:val="BookText"/>
      </w:pPr>
      <w:r>
        <w:rPr>
          <w:rFonts w:ascii="IRNazanin" w:hAnsi="IRNazanin" w:eastAsia="IRNazanin" w:cs="IRNazanin"/>
          <w:lang w:bidi="fa-IR"/>
          <w:color w:val="111111"/>
          <w:sz w:val="28"/>
          <w:szCs w:val="28"/>
          <w:rtl/>
        </w:rPr>
        <w:t xml:space="preserve">204- نهایة الإحکام في معرفة الأحکام: حسن بن یوسف العلّامة الحلّي، مؤسسة آل البیت (علیهم‌السلام) لإحیاء التراث، قم، الطبعة الأولى، 1419ق.</w:t>
      </w:r>
    </w:p>
    <w:p>
      <w:pPr>
        <w:pStyle w:val="BookText"/>
      </w:pPr>
      <w:r>
        <w:rPr>
          <w:rFonts w:ascii="IRNazanin" w:hAnsi="IRNazanin" w:eastAsia="IRNazanin" w:cs="IRNazanin"/>
          <w:lang w:bidi="fa-IR"/>
          <w:color w:val="111111"/>
          <w:sz w:val="28"/>
          <w:szCs w:val="28"/>
          <w:rtl/>
        </w:rPr>
        <w:t xml:space="preserve">205- نهایة الدرایة في شرح الکفایة: محمّدحسین الإصفهاني، مؤسسة آل البیت (علیهم‌السلام) لإحیاء التراث، بیروت، الطبعة الثانیة، 1429ق.</w:t>
      </w:r>
    </w:p>
    <w:p>
      <w:pPr>
        <w:pStyle w:val="BookText"/>
      </w:pPr>
      <w:r>
        <w:rPr>
          <w:rFonts w:ascii="IRNazanin" w:hAnsi="IRNazanin" w:eastAsia="IRNazanin" w:cs="IRNazanin"/>
          <w:lang w:bidi="fa-IR"/>
          <w:color w:val="111111"/>
          <w:sz w:val="28"/>
          <w:szCs w:val="28"/>
          <w:rtl/>
        </w:rPr>
        <w:t xml:space="preserve">206- نهایة الأصول: السیّد حسین الطباطبائي البروجردي، تقریر: حسینعلي المنتظري، نشر تفکّر، قم، الطبعة الأولى، 1415ق.</w:t>
      </w:r>
    </w:p>
    <w:p>
      <w:pPr>
        <w:pStyle w:val="BookText"/>
      </w:pPr>
      <w:r>
        <w:rPr>
          <w:rFonts w:ascii="IRNazanin" w:hAnsi="IRNazanin" w:eastAsia="IRNazanin" w:cs="IRNazanin"/>
          <w:lang w:bidi="fa-IR"/>
          <w:color w:val="111111"/>
          <w:sz w:val="28"/>
          <w:szCs w:val="28"/>
          <w:rtl/>
        </w:rPr>
        <w:t xml:space="preserve">207- نهایة الوصول إلى علم الأصول: حسن بن يوسف العلّامة الحلّي، تحقیق: إبراهیم البهادري، مؤسسة الإمام الصادق (علیه‌السلام)، قم، الطبعة الأولى، 1425ق.</w:t>
      </w:r>
    </w:p>
    <w:p>
      <w:pPr>
        <w:pStyle w:val="BookText"/>
      </w:pPr>
      <w:r>
        <w:rPr>
          <w:rFonts w:ascii="IRNazanin" w:hAnsi="IRNazanin" w:eastAsia="IRNazanin" w:cs="IRNazanin"/>
          <w:lang w:bidi="fa-IR"/>
          <w:color w:val="111111"/>
          <w:sz w:val="28"/>
          <w:szCs w:val="28"/>
          <w:rtl/>
        </w:rPr>
        <w:t xml:space="preserve">208- نهایة الوصول إلى علم الأصول: أحمد بن علي بن تغلب الحنفي (ابن الساعاتي)، تحقیق: إبراهیم شمس الدین، دار الکتب العلمیّة، بیروت،</w:t>
      </w:r>
    </w:p>
    <w:p>
      <w:pPr>
        <w:pStyle w:val="BookText"/>
      </w:pPr>
      <w:r>
        <w:rPr>
          <w:rFonts w:ascii="IRNazanin" w:hAnsi="IRNazanin" w:eastAsia="IRNazanin" w:cs="IRNazanin"/>
          <w:lang w:bidi="fa-IR"/>
          <w:color w:val="111111"/>
          <w:sz w:val="28"/>
          <w:szCs w:val="28"/>
          <w:rtl/>
        </w:rPr>
        <w:t xml:space="preserve">209- نهج البلاغة (من کلام أمیرالمؤمنین علي بن أبي طالب (علیهما‌السلام)): السیّد محمّد بن الحسین (السید الرضي)، شرح: محمد عبده، دار الذخائر، قم، 1412ق.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210- الوافیة في أصول الفقه: عبدالله بن محمّد التوني، تحقیق: السیّد محمّدحسین الرضوي الکشمیري، مجمع الفکر الإسلامي، قم، الطبعة الثانیة، 1415ق.</w:t>
      </w:r>
    </w:p>
    <w:p>
      <w:pPr>
        <w:pStyle w:val="BookText"/>
      </w:pPr>
      <w:r>
        <w:rPr>
          <w:rFonts w:ascii="IRNazanin" w:hAnsi="IRNazanin" w:eastAsia="IRNazanin" w:cs="IRNazanin"/>
          <w:lang w:bidi="fa-IR"/>
          <w:color w:val="111111"/>
          <w:sz w:val="28"/>
          <w:szCs w:val="28"/>
          <w:rtl/>
        </w:rPr>
        <w:t xml:space="preserve">211- وجیزة عزیزة: السیّد محمّد هاشم الچهارسوقي، الطبعة الأولى، 1317ق.</w:t>
      </w:r>
    </w:p>
    <w:p>
      <w:pPr>
        <w:pStyle w:val="BookText"/>
      </w:pPr>
      <w:r>
        <w:rPr>
          <w:rFonts w:ascii="IRNazanin" w:hAnsi="IRNazanin" w:eastAsia="IRNazanin" w:cs="IRNazanin"/>
          <w:lang w:bidi="fa-IR"/>
          <w:color w:val="111111"/>
          <w:sz w:val="28"/>
          <w:szCs w:val="28"/>
          <w:rtl/>
        </w:rPr>
        <w:t xml:space="preserve">212- وسائل الشیعة: محمّد بن الحسن الحرّ العاملي، مؤسسة آل البیت (علیهم‌السلام) لإحیاء التراث، قم، الطبعة الأولى، 1409ق.</w:t>
      </w:r>
    </w:p>
    <w:p>
      <w:pPr>
        <w:pStyle w:val="BookText"/>
      </w:pPr>
      <w:r>
        <w:rPr>
          <w:rFonts w:ascii="IRNazanin" w:hAnsi="IRNazanin" w:eastAsia="IRNazanin" w:cs="IRNazanin"/>
          <w:lang w:bidi="fa-IR"/>
          <w:color w:val="111111"/>
          <w:sz w:val="28"/>
          <w:szCs w:val="28"/>
          <w:rtl/>
        </w:rPr>
        <w:t xml:space="preserve">213- وسیلة الوسائل في شرح الرسائل: السیّد محمّدباقر الطباطبائي الیزدي،دارالطباعة المخصوصة للحاج ملّا عباس علي التبریزي، 1291ق.</w:t>
      </w:r>
    </w:p>
    <w:p>
      <w:pPr>
        <w:pStyle w:val="BookText"/>
      </w:pPr>
      <w:r>
        <w:rPr>
          <w:rFonts w:ascii="IRNazanin" w:hAnsi="IRNazanin" w:eastAsia="IRNazanin" w:cs="IRNazanin"/>
          <w:lang w:bidi="fa-IR"/>
          <w:color w:val="111111"/>
          <w:sz w:val="28"/>
          <w:szCs w:val="28"/>
          <w:rtl/>
        </w:rPr>
        <w:t xml:space="preserve">214- وسیلة الوصول إلى حقائق الأصول: السیّد أبوالحسن الإصفهاني، تقریر: المیرزا حسن السیادتي السبزواري، مؤسّسة النشر الإسلامي التابعة لجماعة المدرّسین بقم المشرّفة، الطبعة الأولى، 1422ق.</w:t>
      </w:r>
    </w:p>
    <w:p>
      <w:pPr>
        <w:pStyle w:val="BookText"/>
      </w:pPr>
      <w:r>
        <w:rPr>
          <w:rFonts w:ascii="IRNazanin" w:hAnsi="IRNazanin" w:eastAsia="IRNazanin" w:cs="IRNazanin"/>
          <w:lang w:bidi="fa-IR"/>
          <w:color w:val="111111"/>
          <w:sz w:val="28"/>
          <w:szCs w:val="28"/>
          <w:rtl/>
        </w:rPr>
        <w:t xml:space="preserve">215- وقایة الأذهان: محمّدرضا النجفي الإصفهاني، مؤسسة آل البیت (علیهم‌السلام) لإحیاء التراث، قم، الطبعة الأولى، 1413ق.</w:t>
      </w:r>
    </w:p>
    <w:p>
      <w:pPr>
        <w:pStyle w:val="BookText"/>
      </w:pPr>
      <w:r>
        <w:rPr>
          <w:rFonts w:ascii="IRNazanin" w:hAnsi="IRNazanin" w:eastAsia="IRNazanin" w:cs="IRNazanin"/>
          <w:lang w:bidi="fa-IR"/>
          <w:color w:val="111111"/>
          <w:sz w:val="28"/>
          <w:szCs w:val="28"/>
          <w:rtl/>
        </w:rPr>
        <w:t xml:space="preserve">216- هدایة المسترشدین في شرح أصول معالم الدین: محمّدتقي النجفي الإصفهاني، مؤسّسة النشر الإسلامي التابعة لجماعة المدرّسین بقم المشرّفة، الطبعة الثانیة، 1429ق.</w:t>
      </w:r>
    </w:p>
    <w:p>
      <w:pPr>
        <w:pStyle w:val="BookText"/>
      </w:pPr>
      <w:r>
        <w:rPr>
          <w:rFonts w:ascii="IRNazanin" w:hAnsi="IRNazanin" w:eastAsia="IRNazanin" w:cs="IRNazanin"/>
          <w:lang w:bidi="fa-IR"/>
          <w:color w:val="111111"/>
          <w:sz w:val="28"/>
          <w:szCs w:val="28"/>
          <w:rtl/>
        </w:rPr>
        <w:t xml:space="preserve">217- الهدایة في الأصول: السیّد أبوالقاسم الموسوي الخوئي، تقریر: حسن الصافي الإصفهاني، مؤسسة صاحب الأمر (عجل‌الله‌تعالی‌فرجه)، قم، الطبعة الأولى، 1417ق.</w:t>
      </w:r>
    </w:p>
    <w:p>
      <w:pPr>
        <w:pStyle w:val="BookText"/>
      </w:pPr>
      <w:r>
        <w:rPr>
          <w:rFonts w:ascii="IRNazanin" w:hAnsi="IRNazanin" w:eastAsia="IRNazanin" w:cs="IRNazanin"/>
          <w:lang w:bidi="fa-IR"/>
          <w:color w:val="111111"/>
          <w:sz w:val="28"/>
          <w:szCs w:val="28"/>
          <w:rtl/>
        </w:rPr>
        <w:t xml:space="preserve">218- ینابیع الأحکام في معرفة الحلال والحرام: السیّد علي الموسوي القزویني، تحقیق: السیّد عبدالرحیم الجزمئي القزویني، مؤسّسة النشر الإسلامي التابعة لجماعة المدرّسین بقم المشرّفة، الطبعة الأولى، 1430ق.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319" w:name="pg6784_51785"/>
    <w:bookmarkEnd w:id="319"/>
    <w:p>
      <w:pPr>
        <w:pStyle w:val="Heading2"/>
      </w:pPr>
      <w:bookmarkStart w:id="871" w:name="_Toc552"/>
      <w:r>
        <w:t>فهرس المطالب</w:t>
      </w:r>
      <w:bookmarkEnd w:id="871"/>
    </w:p>
    <w:p>
      <w:pPr>
        <w:pStyle w:val="BookText"/>
      </w:pPr>
      <w:r>
        <w:rPr>
          <w:rFonts w:ascii="IRNazanin" w:hAnsi="IRNazanin" w:eastAsia="IRNazanin" w:cs="IRNazanin"/>
          <w:lang w:bidi="fa-IR"/>
          <w:color w:val="111111"/>
          <w:sz w:val="28"/>
          <w:szCs w:val="28"/>
          <w:rtl/>
        </w:rPr>
        <w:t xml:space="preserve">مقدّمة التحقیق.. 5</w:t>
      </w:r>
    </w:p>
    <w:p>
      <w:pPr>
        <w:pStyle w:val="BookText"/>
      </w:pPr>
      <w:r>
        <w:rPr>
          <w:rFonts w:ascii="IRNazanin" w:hAnsi="IRNazanin" w:eastAsia="IRNazanin" w:cs="IRNazanin"/>
          <w:lang w:bidi="fa-IR"/>
          <w:color w:val="111111"/>
          <w:sz w:val="28"/>
          <w:szCs w:val="28"/>
          <w:rtl/>
        </w:rPr>
        <w:t xml:space="preserve">المؤلف.... 5</w:t>
      </w:r>
    </w:p>
    <w:p>
      <w:pPr>
        <w:pStyle w:val="BookText"/>
      </w:pPr>
      <w:r>
        <w:rPr>
          <w:rFonts w:ascii="IRNazanin" w:hAnsi="IRNazanin" w:eastAsia="IRNazanin" w:cs="IRNazanin"/>
          <w:lang w:bidi="fa-IR"/>
          <w:color w:val="111111"/>
          <w:sz w:val="28"/>
          <w:szCs w:val="28"/>
          <w:rtl/>
        </w:rPr>
        <w:t xml:space="preserve">حول الکتاب... 16</w:t>
      </w:r>
    </w:p>
    <w:p>
      <w:pPr>
        <w:pStyle w:val="BookText"/>
      </w:pPr>
      <w:r>
        <w:rPr>
          <w:rFonts w:ascii="Amiri" w:hAnsi="Amiri" w:eastAsia="Amiri" w:cs="Amiri"/>
          <w:lang w:bidi="ar-SA"/>
          <w:color w:val="111111"/>
          <w:sz w:val="28"/>
          <w:szCs w:val="28"/>
          <w:rtl/>
        </w:rPr>
        <w:t xml:space="preserve">النسخ المعتمدة 18</w:t>
      </w:r>
    </w:p>
    <w:p>
      <w:pPr>
        <w:pStyle w:val="BookText"/>
      </w:pPr>
      <w:r>
        <w:rPr>
          <w:rFonts w:ascii="IRNazanin" w:hAnsi="IRNazanin" w:eastAsia="IRNazanin" w:cs="IRNazanin"/>
          <w:lang w:bidi="fa-IR"/>
          <w:color w:val="111111"/>
          <w:sz w:val="28"/>
          <w:szCs w:val="28"/>
          <w:rtl/>
        </w:rPr>
        <w:t xml:space="preserve">منهجنا في تحقیق الکتاب: 19</w:t>
      </w:r>
    </w:p>
    <w:p>
      <w:pPr>
        <w:pStyle w:val="BookText"/>
      </w:pPr>
      <w:r>
        <w:rPr>
          <w:rFonts w:ascii="Amiri" w:hAnsi="Amiri" w:eastAsia="Amiri" w:cs="Amiri"/>
          <w:lang w:bidi="ar-SA"/>
          <w:color w:val="111111"/>
          <w:sz w:val="28"/>
          <w:szCs w:val="28"/>
          <w:rtl/>
        </w:rPr>
        <w:t xml:space="preserve">الصفحة الأولىٰ من مخطوطة المسجد الأعظم.. 21</w:t>
      </w:r>
    </w:p>
    <w:p>
      <w:pPr>
        <w:pStyle w:val="BookText"/>
      </w:pPr>
      <w:r>
        <w:rPr>
          <w:rFonts w:ascii="Amiri" w:hAnsi="Amiri" w:eastAsia="Amiri" w:cs="Amiri"/>
          <w:lang w:bidi="ar-SA"/>
          <w:color w:val="111111"/>
          <w:sz w:val="28"/>
          <w:szCs w:val="28"/>
          <w:rtl/>
        </w:rPr>
        <w:t xml:space="preserve">الصفحة الأخيرة من مخطوطة المسجد الأعظم.. 22</w:t>
      </w:r>
    </w:p>
    <w:p>
      <w:pPr>
        <w:pStyle w:val="BookText"/>
      </w:pPr>
      <w:r>
        <w:rPr>
          <w:rFonts w:ascii="IRNazanin" w:hAnsi="IRNazanin" w:eastAsia="IRNazanin" w:cs="IRNazanin"/>
          <w:lang w:bidi="fa-IR"/>
          <w:color w:val="111111"/>
          <w:sz w:val="28"/>
          <w:szCs w:val="28"/>
          <w:rtl/>
        </w:rPr>
        <w:t xml:space="preserve">الصفحة الأولىٰ من مخطوطة مکتبة الوزيري.. 23</w:t>
      </w:r>
    </w:p>
    <w:p>
      <w:pPr>
        <w:pStyle w:val="BookText"/>
      </w:pPr>
      <w:r>
        <w:rPr>
          <w:rFonts w:ascii="IRNazanin" w:hAnsi="IRNazanin" w:eastAsia="IRNazanin" w:cs="IRNazanin"/>
          <w:lang w:bidi="fa-IR"/>
          <w:color w:val="111111"/>
          <w:sz w:val="28"/>
          <w:szCs w:val="28"/>
          <w:rtl/>
        </w:rPr>
        <w:t xml:space="preserve">الصفحة الأخيرة من مخطوطة مکتبة الوزيري.. 24</w:t>
      </w:r>
    </w:p>
    <w:p>
      <w:pPr>
        <w:pStyle w:val="BookText"/>
      </w:pPr>
      <w:r>
        <w:rPr>
          <w:rFonts w:ascii="Amiri" w:hAnsi="Amiri" w:eastAsia="Amiri" w:cs="Amiri"/>
          <w:lang w:bidi="ar-SA"/>
          <w:color w:val="111111"/>
          <w:sz w:val="28"/>
          <w:szCs w:val="28"/>
          <w:rtl/>
        </w:rPr>
        <w:t xml:space="preserve">الصفحة الأولىٰ من الطبعة الحجرية. 25</w:t>
      </w:r>
    </w:p>
    <w:p>
      <w:pPr>
        <w:pStyle w:val="BookText"/>
      </w:pPr>
      <w:r>
        <w:rPr>
          <w:rFonts w:ascii="Amiri" w:hAnsi="Amiri" w:eastAsia="Amiri" w:cs="Amiri"/>
          <w:lang w:bidi="ar-SA"/>
          <w:color w:val="111111"/>
          <w:sz w:val="28"/>
          <w:szCs w:val="28"/>
          <w:rtl/>
        </w:rPr>
        <w:t xml:space="preserve">الصفحة الأخيرة من الطبعة الحجرية. 26</w:t>
      </w:r>
    </w:p>
    <w:p>
      <w:pPr>
        <w:pStyle w:val="BookText"/>
      </w:pPr>
      <w:r>
        <w:rPr>
          <w:rFonts w:ascii="Amiri" w:hAnsi="Amiri" w:eastAsia="Amiri" w:cs="Amiri"/>
          <w:lang w:bidi="ar-SA"/>
          <w:color w:val="111111"/>
          <w:sz w:val="28"/>
          <w:szCs w:val="28"/>
          <w:rtl/>
        </w:rPr>
        <w:t xml:space="preserve">[مقدّمة الطبعة الحجریّة] 28</w:t>
      </w:r>
    </w:p>
    <w:p>
      <w:pPr>
        <w:pStyle w:val="BookText"/>
      </w:pPr>
      <w:r>
        <w:rPr>
          <w:rFonts w:ascii="IRNazanin" w:hAnsi="IRNazanin" w:eastAsia="IRNazanin" w:cs="IRNazanin"/>
          <w:lang w:bidi="fa-IR"/>
          <w:color w:val="111111"/>
          <w:sz w:val="28"/>
          <w:szCs w:val="28"/>
          <w:rtl/>
        </w:rPr>
        <w:t xml:space="preserve">[لوحة صدر الصفحة الأولى في الطبعة الحجریّة] 30</w:t>
      </w:r>
    </w:p>
    <w:p>
      <w:pPr>
        <w:pStyle w:val="BookText"/>
      </w:pPr>
      <w:r>
        <w:rPr>
          <w:rFonts w:ascii="Amiri" w:hAnsi="Amiri" w:eastAsia="Amiri" w:cs="Amiri"/>
          <w:lang w:bidi="ar-SA"/>
          <w:color w:val="111111"/>
          <w:sz w:val="28"/>
          <w:szCs w:val="28"/>
          <w:rtl/>
        </w:rPr>
        <w:t xml:space="preserve">نصّ الکتاب / 32</w:t>
      </w:r>
    </w:p>
    <w:p>
      <w:pPr>
        <w:pStyle w:val="BookText"/>
      </w:pPr>
      <w:r>
        <w:rPr>
          <w:rFonts w:ascii="Amiri" w:hAnsi="Amiri" w:eastAsia="Amiri" w:cs="Amiri"/>
          <w:lang w:bidi="ar-SA"/>
          <w:color w:val="111111"/>
          <w:sz w:val="28"/>
          <w:szCs w:val="28"/>
          <w:rtl/>
        </w:rPr>
        <w:t xml:space="preserve">[مقدمة المؤلف] 33</w:t>
      </w:r>
    </w:p>
    <w:p>
      <w:pPr>
        <w:pStyle w:val="BookText"/>
      </w:pPr>
      <w:r>
        <w:rPr>
          <w:rFonts w:ascii="Amiri" w:hAnsi="Amiri" w:eastAsia="Amiri" w:cs="Amiri"/>
          <w:lang w:bidi="ar-SA"/>
          <w:color w:val="111111"/>
          <w:sz w:val="28"/>
          <w:szCs w:val="28"/>
          <w:rtl/>
        </w:rPr>
        <w:t xml:space="preserve">محلّ المسألة. 34</w:t>
      </w:r>
    </w:p>
    <w:p>
      <w:pPr>
        <w:pStyle w:val="BookText"/>
      </w:pPr>
      <w:r>
        <w:rPr>
          <w:rFonts w:ascii="IRNazanin" w:hAnsi="IRNazanin" w:eastAsia="IRNazanin" w:cs="IRNazanin"/>
          <w:lang w:bidi="fa-IR"/>
          <w:color w:val="111111"/>
          <w:sz w:val="28"/>
          <w:szCs w:val="28"/>
          <w:rtl/>
        </w:rPr>
        <w:t xml:space="preserve">[محلّ المسألة، وأنّها أصولية أو من المبادئ الأحکامية أو المسائل الکلامية؟] 35</w:t>
      </w:r>
    </w:p>
    <w:p>
      <w:pPr>
        <w:pStyle w:val="BookText"/>
      </w:pPr>
      <w:r>
        <w:rPr>
          <w:rFonts w:ascii="IRNazanin" w:hAnsi="IRNazanin" w:eastAsia="IRNazanin" w:cs="IRNazanin"/>
          <w:lang w:bidi="fa-IR"/>
          <w:color w:val="111111"/>
          <w:sz w:val="28"/>
          <w:szCs w:val="28"/>
          <w:rtl/>
        </w:rPr>
        <w:t xml:space="preserve">[أقوال الأصولیین في وجوه المسألة] 36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[التقریرات المختلفة من مسألة اجتماع الأمر والنهي] 39</w:t>
      </w:r>
    </w:p>
    <w:p>
      <w:pPr>
        <w:pStyle w:val="BookText"/>
      </w:pPr>
      <w:r>
        <w:rPr>
          <w:rFonts w:ascii="IRNazanin" w:hAnsi="IRNazanin" w:eastAsia="IRNazanin" w:cs="IRNazanin"/>
          <w:lang w:bidi="fa-IR"/>
          <w:color w:val="111111"/>
          <w:sz w:val="28"/>
          <w:szCs w:val="28"/>
          <w:rtl/>
        </w:rPr>
        <w:t xml:space="preserve">[تقریر المسألة کلامیّة] 39</w:t>
      </w:r>
    </w:p>
    <w:p>
      <w:pPr>
        <w:pStyle w:val="BookText"/>
      </w:pPr>
      <w:r>
        <w:rPr>
          <w:rFonts w:ascii="IRNazanin" w:hAnsi="IRNazanin" w:eastAsia="IRNazanin" w:cs="IRNazanin"/>
          <w:lang w:bidi="fa-IR"/>
          <w:color w:val="111111"/>
          <w:sz w:val="28"/>
          <w:szCs w:val="28"/>
          <w:rtl/>
        </w:rPr>
        <w:t xml:space="preserve">[تقریر المسألة على وجه المبادي الأحکامیّة] 40</w:t>
      </w:r>
    </w:p>
    <w:p>
      <w:pPr>
        <w:pStyle w:val="BookText"/>
      </w:pPr>
      <w:r>
        <w:rPr>
          <w:rFonts w:ascii="IRNazanin" w:hAnsi="IRNazanin" w:eastAsia="IRNazanin" w:cs="IRNazanin"/>
          <w:lang w:bidi="fa-IR"/>
          <w:color w:val="111111"/>
          <w:sz w:val="28"/>
          <w:szCs w:val="28"/>
          <w:rtl/>
        </w:rPr>
        <w:t xml:space="preserve">[تقریر المسألة أصولیّة عقلیّة] 40</w:t>
      </w:r>
    </w:p>
    <w:p>
      <w:pPr>
        <w:pStyle w:val="BookText"/>
      </w:pPr>
      <w:r>
        <w:rPr>
          <w:rFonts w:ascii="IRNazanin" w:hAnsi="IRNazanin" w:eastAsia="IRNazanin" w:cs="IRNazanin"/>
          <w:lang w:bidi="fa-IR"/>
          <w:color w:val="111111"/>
          <w:sz w:val="28"/>
          <w:szCs w:val="28"/>
          <w:rtl/>
        </w:rPr>
        <w:t xml:space="preserve">[تقریر المسألة أصولیّة لفظیّة] 41</w:t>
      </w:r>
    </w:p>
    <w:p>
      <w:pPr>
        <w:pStyle w:val="BookText"/>
      </w:pPr>
      <w:r>
        <w:rPr>
          <w:rFonts w:ascii="IRNazanin" w:hAnsi="IRNazanin" w:eastAsia="IRNazanin" w:cs="IRNazanin"/>
          <w:lang w:bidi="fa-IR"/>
          <w:color w:val="111111"/>
          <w:sz w:val="28"/>
          <w:szCs w:val="28"/>
          <w:rtl/>
        </w:rPr>
        <w:t xml:space="preserve">[تقریر المسألة فرعیّة] 42</w:t>
      </w:r>
    </w:p>
    <w:p>
      <w:pPr>
        <w:pStyle w:val="BookText"/>
      </w:pPr>
      <w:r>
        <w:rPr>
          <w:rFonts w:ascii="IRNazanin" w:hAnsi="IRNazanin" w:eastAsia="IRNazanin" w:cs="IRNazanin"/>
          <w:lang w:bidi="fa-IR"/>
          <w:color w:val="111111"/>
          <w:sz w:val="28"/>
          <w:szCs w:val="28"/>
          <w:rtl/>
        </w:rPr>
        <w:t xml:space="preserve">[اختلاف حیثیة المسألة بحسب اختلاف التقریرات] 42</w:t>
      </w:r>
    </w:p>
    <w:p>
      <w:pPr>
        <w:pStyle w:val="BookText"/>
      </w:pPr>
      <w:r>
        <w:rPr>
          <w:rFonts w:ascii="IRNazanin" w:hAnsi="IRNazanin" w:eastAsia="IRNazanin" w:cs="IRNazanin"/>
          <w:lang w:bidi="fa-IR"/>
          <w:color w:val="111111"/>
          <w:sz w:val="28"/>
          <w:szCs w:val="28"/>
          <w:rtl/>
        </w:rPr>
        <w:t xml:space="preserve">[ما یظهر من العنوان في کلمات الأصولیین] 43</w:t>
      </w:r>
    </w:p>
    <w:p>
      <w:pPr>
        <w:pStyle w:val="BookText"/>
      </w:pPr>
      <w:r>
        <w:rPr>
          <w:rFonts w:ascii="IRNazanin" w:hAnsi="IRNazanin" w:eastAsia="IRNazanin" w:cs="IRNazanin"/>
          <w:lang w:bidi="fa-IR"/>
          <w:color w:val="111111"/>
          <w:sz w:val="28"/>
          <w:szCs w:val="28"/>
          <w:rtl/>
        </w:rPr>
        <w:t xml:space="preserve">[القول بأنّ المسألة من المبادي الأحکامیّة لا کلامیّة ولا أصولیّة] 44</w:t>
      </w:r>
    </w:p>
    <w:p>
      <w:pPr>
        <w:pStyle w:val="BookText"/>
      </w:pPr>
      <w:r>
        <w:rPr>
          <w:rFonts w:ascii="IRNazanin" w:hAnsi="IRNazanin" w:eastAsia="IRNazanin" w:cs="IRNazanin"/>
          <w:lang w:bidi="fa-IR"/>
          <w:color w:val="111111"/>
          <w:sz w:val="28"/>
          <w:szCs w:val="28"/>
          <w:rtl/>
        </w:rPr>
        <w:t xml:space="preserve">تذنیب [في ذکر کلام الحاج محمّد إبراهیم الکلباسي (رحمة الله‌علیه) والإشکال فیه] 55</w:t>
      </w:r>
    </w:p>
    <w:p>
      <w:pPr>
        <w:pStyle w:val="BookText"/>
      </w:pPr>
      <w:r>
        <w:rPr>
          <w:rFonts w:ascii="IRNazanin" w:hAnsi="IRNazanin" w:eastAsia="IRNazanin" w:cs="IRNazanin"/>
          <w:lang w:bidi="fa-IR"/>
          <w:color w:val="111111"/>
          <w:sz w:val="28"/>
          <w:szCs w:val="28"/>
          <w:rtl/>
        </w:rPr>
        <w:t xml:space="preserve">[ثمرة البحث في کون المسألة أصولیّة أو کلامیّة أو من المبادي الأحکامیّة] 57</w:t>
      </w:r>
    </w:p>
    <w:p>
      <w:pPr>
        <w:pStyle w:val="BookText"/>
      </w:pPr>
      <w:r>
        <w:rPr>
          <w:rFonts w:ascii="IRNazanin" w:hAnsi="IRNazanin" w:eastAsia="IRNazanin" w:cs="IRNazanin"/>
          <w:lang w:bidi="fa-IR"/>
          <w:color w:val="111111"/>
          <w:sz w:val="28"/>
          <w:szCs w:val="28"/>
          <w:rtl/>
        </w:rPr>
        <w:t xml:space="preserve">مقدمات... 58</w:t>
      </w:r>
    </w:p>
    <w:p>
      <w:pPr>
        <w:pStyle w:val="BookText"/>
      </w:pPr>
      <w:r>
        <w:rPr>
          <w:rFonts w:ascii="Amiri" w:hAnsi="Amiri" w:eastAsia="Amiri" w:cs="Amiri"/>
          <w:lang w:bidi="ar-SA"/>
          <w:color w:val="111111"/>
          <w:sz w:val="28"/>
          <w:szCs w:val="28"/>
          <w:rtl/>
        </w:rPr>
        <w:t xml:space="preserve">[مقدّمات قبل الشّروع في أصل المطلب] 59</w:t>
      </w:r>
    </w:p>
    <w:p>
      <w:pPr>
        <w:pStyle w:val="BookText"/>
      </w:pPr>
      <w:r>
        <w:rPr>
          <w:rFonts w:ascii="IRNazanin" w:hAnsi="IRNazanin" w:eastAsia="IRNazanin" w:cs="IRNazanin"/>
          <w:lang w:bidi="fa-IR"/>
          <w:color w:val="111111"/>
          <w:sz w:val="28"/>
          <w:szCs w:val="28"/>
          <w:rtl/>
        </w:rPr>
        <w:t xml:space="preserve">[المقدّمة الأولى: في تحریر محلّ النزاع في المسألة] 59</w:t>
      </w:r>
    </w:p>
    <w:p>
      <w:pPr>
        <w:pStyle w:val="BookText"/>
      </w:pPr>
      <w:r>
        <w:rPr>
          <w:rFonts w:ascii="Amiri" w:hAnsi="Amiri" w:eastAsia="Amiri" w:cs="Amiri"/>
          <w:lang w:bidi="ar-SA"/>
          <w:color w:val="111111"/>
          <w:sz w:val="28"/>
          <w:szCs w:val="28"/>
          <w:rtl/>
        </w:rPr>
        <w:t xml:space="preserve">[الموضع الأوّل: في معنى الجواز لغةً وعرفاً واصطلاحاً] 59</w:t>
      </w:r>
    </w:p>
    <w:p>
      <w:pPr>
        <w:pStyle w:val="BookText"/>
      </w:pPr>
      <w:r>
        <w:rPr>
          <w:rFonts w:ascii="IRNazanin" w:hAnsi="IRNazanin" w:eastAsia="IRNazanin" w:cs="IRNazanin"/>
          <w:lang w:bidi="fa-IR"/>
          <w:color w:val="111111"/>
          <w:sz w:val="28"/>
          <w:szCs w:val="28"/>
          <w:rtl/>
        </w:rPr>
        <w:t xml:space="preserve">[الموضع الثاني: في تحقیق معنى الاجتماع] 61</w:t>
      </w:r>
    </w:p>
    <w:p>
      <w:pPr>
        <w:pStyle w:val="BookText"/>
      </w:pPr>
      <w:r>
        <w:rPr>
          <w:rFonts w:ascii="Amiri" w:hAnsi="Amiri" w:eastAsia="Amiri" w:cs="Amiri"/>
          <w:lang w:bidi="ar-SA"/>
          <w:color w:val="111111"/>
          <w:sz w:val="28"/>
          <w:szCs w:val="28"/>
          <w:rtl/>
        </w:rPr>
        <w:t xml:space="preserve">[خروج الاجتماع الآمري الصرف والمأموري كذلك عن محلّ النزاع] 64</w:t>
      </w:r>
    </w:p>
    <w:p>
      <w:pPr>
        <w:pStyle w:val="BookText"/>
      </w:pPr>
      <w:r>
        <w:rPr>
          <w:rFonts w:ascii="IRNazanin" w:hAnsi="IRNazanin" w:eastAsia="IRNazanin" w:cs="IRNazanin"/>
          <w:lang w:bidi="fa-IR"/>
          <w:color w:val="111111"/>
          <w:sz w:val="28"/>
          <w:szCs w:val="28"/>
          <w:rtl/>
        </w:rPr>
        <w:t xml:space="preserve">[في تضعیف قول صاحب المناهج] 69</w:t>
      </w:r>
    </w:p>
    <w:p>
      <w:pPr>
        <w:pStyle w:val="BookText"/>
      </w:pPr>
      <w:r>
        <w:rPr>
          <w:rFonts w:ascii="IRNazanin" w:hAnsi="IRNazanin" w:eastAsia="IRNazanin" w:cs="IRNazanin"/>
          <w:lang w:bidi="fa-IR"/>
          <w:color w:val="111111"/>
          <w:sz w:val="28"/>
          <w:szCs w:val="28"/>
          <w:rtl/>
        </w:rPr>
        <w:t xml:space="preserve">[الموضع الثالث: في تحقیق الفرق بین أقسام الأمر والنهي وعدمه] 74</w:t>
      </w:r>
    </w:p>
    <w:p>
      <w:pPr>
        <w:pStyle w:val="BookText"/>
      </w:pPr>
      <w:r>
        <w:rPr>
          <w:rFonts w:ascii="Amiri" w:hAnsi="Amiri" w:eastAsia="Amiri" w:cs="Amiri"/>
          <w:lang w:bidi="ar-SA"/>
          <w:color w:val="111111"/>
          <w:sz w:val="28"/>
          <w:szCs w:val="28"/>
          <w:rtl/>
        </w:rPr>
        <w:t xml:space="preserve">[الموضع الرابع: في اعتبار وحدة متعلّق الأمر والنهي] 96</w:t>
      </w:r>
    </w:p>
    <w:p>
      <w:pPr>
        <w:pStyle w:val="BookText"/>
      </w:pPr>
      <w:r>
        <w:rPr>
          <w:rFonts w:ascii="IRNazanin" w:hAnsi="IRNazanin" w:eastAsia="IRNazanin" w:cs="IRNazanin"/>
          <w:lang w:bidi="fa-IR"/>
          <w:color w:val="111111"/>
          <w:sz w:val="28"/>
          <w:szCs w:val="28"/>
          <w:rtl/>
        </w:rPr>
        <w:t xml:space="preserve">[الموضع الخامس: في عدم جواز اجتماع الحكمين المتقابلين من الأحکام الوضعيّة] 100</w:t>
      </w:r>
    </w:p>
    <w:p>
      <w:pPr>
        <w:pStyle w:val="BookText"/>
      </w:pPr>
      <w:r>
        <w:rPr>
          <w:rFonts w:ascii="IRNazanin" w:hAnsi="IRNazanin" w:eastAsia="IRNazanin" w:cs="IRNazanin"/>
          <w:lang w:bidi="fa-IR"/>
          <w:color w:val="111111"/>
          <w:sz w:val="28"/>
          <w:szCs w:val="28"/>
          <w:rtl/>
        </w:rPr>
        <w:t xml:space="preserve">[الموضع السادس: في التحریرات المختلفة لمحلّ النزاع ومجمع الأمر والنهي] 101</w:t>
      </w:r>
    </w:p>
    <w:p>
      <w:pPr>
        <w:pStyle w:val="BookText"/>
      </w:pPr>
      <w:r>
        <w:rPr>
          <w:rFonts w:ascii="IRNazanin" w:hAnsi="IRNazanin" w:eastAsia="IRNazanin" w:cs="IRNazanin"/>
          <w:lang w:bidi="fa-IR"/>
          <w:color w:val="111111"/>
          <w:sz w:val="28"/>
          <w:szCs w:val="28"/>
          <w:rtl/>
        </w:rPr>
        <w:t xml:space="preserve">[بقى هنا أمور:] 130</w:t>
      </w:r>
    </w:p>
    <w:p>
      <w:pPr>
        <w:pStyle w:val="BookText"/>
      </w:pPr>
      <w:r>
        <w:rPr>
          <w:rFonts w:ascii="IRNazanin" w:hAnsi="IRNazanin" w:eastAsia="IRNazanin" w:cs="IRNazanin"/>
          <w:lang w:bidi="fa-IR"/>
          <w:color w:val="111111"/>
          <w:sz w:val="28"/>
          <w:szCs w:val="28"/>
          <w:rtl/>
        </w:rPr>
        <w:t xml:space="preserve">ذنابتان 144</w:t>
      </w:r>
    </w:p>
    <w:p>
      <w:pPr>
        <w:pStyle w:val="BookText"/>
      </w:pPr>
      <w:r>
        <w:rPr>
          <w:rFonts w:ascii="Amiri" w:hAnsi="Amiri" w:eastAsia="Amiri" w:cs="Amiri"/>
          <w:lang w:bidi="ar-SA"/>
          <w:color w:val="111111"/>
          <w:sz w:val="28"/>
          <w:szCs w:val="28"/>
          <w:rtl/>
        </w:rPr>
        <w:t xml:space="preserve">[المقدّمة الثانية: في أنّ متعلّق الأوامر والنواهي هي الطبائع أو الأفراد؟] 147</w:t>
      </w:r>
    </w:p>
    <w:p>
      <w:pPr>
        <w:pStyle w:val="BookText"/>
      </w:pPr>
      <w:r>
        <w:rPr>
          <w:rFonts w:ascii="IRNazanin" w:hAnsi="IRNazanin" w:eastAsia="IRNazanin" w:cs="IRNazanin"/>
          <w:lang w:bidi="fa-IR"/>
          <w:color w:val="111111"/>
          <w:sz w:val="28"/>
          <w:szCs w:val="28"/>
          <w:rtl/>
        </w:rPr>
        <w:t xml:space="preserve">[المراد من الطبایع والأفراد] 148</w:t>
      </w:r>
    </w:p>
    <w:p>
      <w:pPr>
        <w:pStyle w:val="BookText"/>
      </w:pPr>
      <w:r>
        <w:rPr>
          <w:rFonts w:ascii="Amiri" w:hAnsi="Amiri" w:eastAsia="Amiri" w:cs="Amiri"/>
          <w:lang w:bidi="ar-SA"/>
          <w:color w:val="111111"/>
          <w:sz w:val="28"/>
          <w:szCs w:val="28"/>
          <w:rtl/>
        </w:rPr>
        <w:t xml:space="preserve">[مقامان في البحث اللغوي والبحث العقلي] 149</w:t>
      </w:r>
    </w:p>
    <w:p>
      <w:pPr>
        <w:pStyle w:val="BookText"/>
      </w:pPr>
      <w:r>
        <w:rPr>
          <w:rFonts w:ascii="IRNazanin" w:hAnsi="IRNazanin" w:eastAsia="IRNazanin" w:cs="IRNazanin"/>
          <w:lang w:bidi="fa-IR"/>
          <w:color w:val="111111"/>
          <w:sz w:val="28"/>
          <w:szCs w:val="28"/>
          <w:rtl/>
        </w:rPr>
        <w:t xml:space="preserve">[الأقوال في أنّ الکلّي الطبيعى موجود في الخارج أم لا؟] 153</w:t>
      </w:r>
    </w:p>
    <w:p>
      <w:pPr>
        <w:pStyle w:val="BookText"/>
      </w:pPr>
      <w:r>
        <w:rPr>
          <w:rFonts w:ascii="IRNazanin" w:hAnsi="IRNazanin" w:eastAsia="IRNazanin" w:cs="IRNazanin"/>
          <w:lang w:bidi="fa-IR"/>
          <w:color w:val="111111"/>
          <w:sz w:val="28"/>
          <w:szCs w:val="28"/>
          <w:rtl/>
        </w:rPr>
        <w:t xml:space="preserve">[الوجوه غیر التامّة المذکورة لإثبات الوجود الکلّي الطبیعي] 158</w:t>
      </w:r>
    </w:p>
    <w:p>
      <w:pPr>
        <w:pStyle w:val="BookText"/>
      </w:pPr>
      <w:r>
        <w:rPr>
          <w:rFonts w:ascii="IRNazanin" w:hAnsi="IRNazanin" w:eastAsia="IRNazanin" w:cs="IRNazanin"/>
          <w:lang w:bidi="fa-IR"/>
          <w:color w:val="111111"/>
          <w:sz w:val="28"/>
          <w:szCs w:val="28"/>
          <w:rtl/>
        </w:rPr>
        <w:t xml:space="preserve">[استدلال القائلین بعدم وجود الکلّي الطبیعي] 161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[نسبة الکلّي بأفراده] 162</w:t>
      </w:r>
    </w:p>
    <w:p>
      <w:pPr>
        <w:pStyle w:val="BookText"/>
      </w:pPr>
      <w:r>
        <w:rPr>
          <w:rFonts w:ascii="Amiri" w:hAnsi="Amiri" w:eastAsia="Amiri" w:cs="Amiri"/>
          <w:lang w:bidi="ar-SA"/>
          <w:color w:val="111111"/>
          <w:sz w:val="28"/>
          <w:szCs w:val="28"/>
          <w:rtl/>
        </w:rPr>
        <w:t xml:space="preserve">[في بيان الرأي المختار] 163</w:t>
      </w:r>
    </w:p>
    <w:p>
      <w:pPr>
        <w:pStyle w:val="BookText"/>
      </w:pPr>
      <w:r>
        <w:rPr>
          <w:rFonts w:ascii="Amiri" w:hAnsi="Amiri" w:eastAsia="Amiri" w:cs="Amiri"/>
          <w:lang w:bidi="ar-SA"/>
          <w:color w:val="111111"/>
          <w:sz w:val="28"/>
          <w:szCs w:val="28"/>
          <w:rtl/>
        </w:rPr>
        <w:t xml:space="preserve">[استدلال القائلين بتعلّق الأمر أو النهي بالأفراد] 165</w:t>
      </w:r>
    </w:p>
    <w:p>
      <w:pPr>
        <w:pStyle w:val="BookText"/>
      </w:pPr>
      <w:r>
        <w:rPr>
          <w:rFonts w:ascii="IRNazanin" w:hAnsi="IRNazanin" w:eastAsia="IRNazanin" w:cs="IRNazanin"/>
          <w:lang w:bidi="fa-IR"/>
          <w:color w:val="111111"/>
          <w:sz w:val="28"/>
          <w:szCs w:val="28"/>
          <w:rtl/>
        </w:rPr>
        <w:t xml:space="preserve">[ردّ على هذا الاستدلال] 165</w:t>
      </w:r>
    </w:p>
    <w:p>
      <w:pPr>
        <w:pStyle w:val="BookText"/>
      </w:pPr>
      <w:r>
        <w:rPr>
          <w:rFonts w:ascii="IRNazanin" w:hAnsi="IRNazanin" w:eastAsia="IRNazanin" w:cs="IRNazanin"/>
          <w:lang w:bidi="fa-IR"/>
          <w:color w:val="111111"/>
          <w:sz w:val="28"/>
          <w:szCs w:val="28"/>
          <w:rtl/>
        </w:rPr>
        <w:t xml:space="preserve">[ردّ المحقّق القمّي (رحمة الله‌علیه) على الاستدلال] 166</w:t>
      </w:r>
    </w:p>
    <w:p>
      <w:pPr>
        <w:pStyle w:val="BookText"/>
      </w:pPr>
      <w:r>
        <w:rPr>
          <w:rFonts w:ascii="IRNazanin" w:hAnsi="IRNazanin" w:eastAsia="IRNazanin" w:cs="IRNazanin"/>
          <w:lang w:bidi="fa-IR"/>
          <w:color w:val="111111"/>
          <w:sz w:val="28"/>
          <w:szCs w:val="28"/>
          <w:rtl/>
        </w:rPr>
        <w:t xml:space="preserve">[إیراد على المحقّق القمي (رحمة الله‌علیه)] 166</w:t>
      </w:r>
    </w:p>
    <w:p>
      <w:pPr>
        <w:pStyle w:val="BookText"/>
      </w:pPr>
      <w:r>
        <w:rPr>
          <w:rFonts w:ascii="IRNazanin" w:hAnsi="IRNazanin" w:eastAsia="IRNazanin" w:cs="IRNazanin"/>
          <w:lang w:bidi="fa-IR"/>
          <w:color w:val="111111"/>
          <w:sz w:val="28"/>
          <w:szCs w:val="28"/>
          <w:rtl/>
        </w:rPr>
        <w:t xml:space="preserve">[توجیه کلام المحقّق القمّي (رحمة الله‌علیه)] 167</w:t>
      </w:r>
    </w:p>
    <w:p>
      <w:pPr>
        <w:pStyle w:val="BookText"/>
      </w:pPr>
      <w:r>
        <w:rPr>
          <w:rFonts w:ascii="IRNazanin" w:hAnsi="IRNazanin" w:eastAsia="IRNazanin" w:cs="IRNazanin"/>
          <w:lang w:bidi="fa-IR"/>
          <w:color w:val="111111"/>
          <w:sz w:val="28"/>
          <w:szCs w:val="28"/>
          <w:rtl/>
        </w:rPr>
        <w:t xml:space="preserve">[إیراد على التوجیه المذکور] 169</w:t>
      </w:r>
    </w:p>
    <w:p>
      <w:pPr>
        <w:pStyle w:val="BookText"/>
      </w:pPr>
      <w:r>
        <w:rPr>
          <w:rFonts w:ascii="IRNazanin" w:hAnsi="IRNazanin" w:eastAsia="IRNazanin" w:cs="IRNazanin"/>
          <w:lang w:bidi="fa-IR"/>
          <w:color w:val="111111"/>
          <w:sz w:val="28"/>
          <w:szCs w:val="28"/>
          <w:rtl/>
        </w:rPr>
        <w:t xml:space="preserve">[استدلال صاحب المناهج (رحمة الله‌علیه) لتعلّق الحکم بالفرد وردّه] 169</w:t>
      </w:r>
    </w:p>
    <w:p>
      <w:pPr>
        <w:pStyle w:val="BookText"/>
      </w:pPr>
      <w:r>
        <w:rPr>
          <w:rFonts w:ascii="IRNazanin" w:hAnsi="IRNazanin" w:eastAsia="IRNazanin" w:cs="IRNazanin"/>
          <w:lang w:bidi="fa-IR"/>
          <w:color w:val="111111"/>
          <w:sz w:val="28"/>
          <w:szCs w:val="28"/>
          <w:rtl/>
        </w:rPr>
        <w:t xml:space="preserve">[استدلال آخر لتعلّق الحکم بالفرد وردّه] 169</w:t>
      </w:r>
    </w:p>
    <w:p>
      <w:pPr>
        <w:pStyle w:val="BookText"/>
      </w:pPr>
      <w:r>
        <w:rPr>
          <w:rFonts w:ascii="IRNazanin" w:hAnsi="IRNazanin" w:eastAsia="IRNazanin" w:cs="IRNazanin"/>
          <w:lang w:bidi="fa-IR"/>
          <w:color w:val="111111"/>
          <w:sz w:val="28"/>
          <w:szCs w:val="28"/>
          <w:rtl/>
        </w:rPr>
        <w:t xml:space="preserve">[استدلال آخر لعدم تعلّق التکلیف بالکلّي] 170</w:t>
      </w:r>
    </w:p>
    <w:p>
      <w:pPr>
        <w:pStyle w:val="BookText"/>
      </w:pPr>
      <w:r>
        <w:rPr>
          <w:rFonts w:ascii="IRNazanin" w:hAnsi="IRNazanin" w:eastAsia="IRNazanin" w:cs="IRNazanin"/>
          <w:lang w:bidi="fa-IR"/>
          <w:color w:val="111111"/>
          <w:sz w:val="28"/>
          <w:szCs w:val="28"/>
          <w:rtl/>
        </w:rPr>
        <w:t xml:space="preserve">[إیرادات على هذا الاستدلال] 170</w:t>
      </w:r>
    </w:p>
    <w:p>
      <w:pPr>
        <w:pStyle w:val="BookText"/>
      </w:pPr>
      <w:r>
        <w:rPr>
          <w:rFonts w:ascii="IRNazanin" w:hAnsi="IRNazanin" w:eastAsia="IRNazanin" w:cs="IRNazanin"/>
          <w:lang w:bidi="fa-IR"/>
          <w:color w:val="111111"/>
          <w:sz w:val="28"/>
          <w:szCs w:val="28"/>
          <w:rtl/>
        </w:rPr>
        <w:t xml:space="preserve">[کلام شیخ المحقّقین (رحمة الله‌علیه) في متعلّق التکالیف] 170</w:t>
      </w:r>
    </w:p>
    <w:p>
      <w:pPr>
        <w:pStyle w:val="BookText"/>
      </w:pPr>
      <w:r>
        <w:rPr>
          <w:rFonts w:ascii="IRNazanin" w:hAnsi="IRNazanin" w:eastAsia="IRNazanin" w:cs="IRNazanin"/>
          <w:lang w:bidi="fa-IR"/>
          <w:color w:val="111111"/>
          <w:sz w:val="28"/>
          <w:szCs w:val="28"/>
          <w:rtl/>
        </w:rPr>
        <w:t xml:space="preserve">[نقد کلام شیخ المحقّقین (رحمة الله‌علیه)] 172</w:t>
      </w:r>
    </w:p>
    <w:p>
      <w:pPr>
        <w:pStyle w:val="BookText"/>
      </w:pPr>
      <w:r>
        <w:rPr>
          <w:rFonts w:ascii="IRNazanin" w:hAnsi="IRNazanin" w:eastAsia="IRNazanin" w:cs="IRNazanin"/>
          <w:lang w:bidi="fa-IR"/>
          <w:color w:val="111111"/>
          <w:sz w:val="28"/>
          <w:szCs w:val="28"/>
          <w:rtl/>
        </w:rPr>
        <w:t xml:space="preserve">[إیرادان على تعلّق الحکم بالأفراد] 173</w:t>
      </w:r>
    </w:p>
    <w:p>
      <w:pPr>
        <w:pStyle w:val="BookText"/>
      </w:pPr>
      <w:r>
        <w:rPr>
          <w:rFonts w:ascii="IRNazanin" w:hAnsi="IRNazanin" w:eastAsia="IRNazanin" w:cs="IRNazanin"/>
          <w:lang w:bidi="fa-IR"/>
          <w:color w:val="111111"/>
          <w:sz w:val="28"/>
          <w:szCs w:val="28"/>
          <w:rtl/>
        </w:rPr>
        <w:t xml:space="preserve">[بيان تفصيل صاحب الفصول (رحمة الله‌علیه) بین متعلّق الأمر والطلب] 183</w:t>
      </w:r>
    </w:p>
    <w:p>
      <w:pPr>
        <w:pStyle w:val="BookText"/>
      </w:pPr>
      <w:r>
        <w:rPr>
          <w:rFonts w:ascii="IRNazanin" w:hAnsi="IRNazanin" w:eastAsia="IRNazanin" w:cs="IRNazanin"/>
          <w:lang w:bidi="fa-IR"/>
          <w:color w:val="111111"/>
          <w:sz w:val="28"/>
          <w:szCs w:val="28"/>
          <w:rtl/>
        </w:rPr>
        <w:t xml:space="preserve">[إیرادات على رأي صاحب الفصول (رحمة الله‌علیه)] 185</w:t>
      </w:r>
    </w:p>
    <w:p>
      <w:pPr>
        <w:pStyle w:val="BookText"/>
      </w:pPr>
      <w:r>
        <w:rPr>
          <w:rFonts w:ascii="Amiri" w:hAnsi="Amiri" w:eastAsia="Amiri" w:cs="Amiri"/>
          <w:lang w:bidi="ar-SA"/>
          <w:color w:val="111111"/>
          <w:sz w:val="28"/>
          <w:szCs w:val="28"/>
          <w:rtl/>
        </w:rPr>
        <w:t xml:space="preserve">خاتمة. 193</w:t>
      </w:r>
    </w:p>
    <w:p>
      <w:pPr>
        <w:pStyle w:val="BookText"/>
      </w:pPr>
      <w:r>
        <w:rPr>
          <w:rFonts w:ascii="Amiri" w:hAnsi="Amiri" w:eastAsia="Amiri" w:cs="Amiri"/>
          <w:lang w:bidi="ar-SA"/>
          <w:color w:val="111111"/>
          <w:sz w:val="28"/>
          <w:szCs w:val="28"/>
          <w:rtl/>
        </w:rPr>
        <w:t xml:space="preserve">[المقدّمة الثالثة: في بيان ثمرة المسألة] 195</w:t>
      </w:r>
    </w:p>
    <w:p>
      <w:pPr>
        <w:pStyle w:val="BookText"/>
      </w:pPr>
      <w:r>
        <w:rPr>
          <w:rFonts w:ascii="Amiri" w:hAnsi="Amiri" w:eastAsia="Amiri" w:cs="Amiri"/>
          <w:lang w:bidi="ar-SA"/>
          <w:color w:val="111111"/>
          <w:sz w:val="28"/>
          <w:szCs w:val="28"/>
          <w:rtl/>
        </w:rPr>
        <w:t xml:space="preserve">[تعارض الإطلاقات والعمومات في المجمع على القول بالامتناع] 195</w:t>
      </w:r>
    </w:p>
    <w:p>
      <w:pPr>
        <w:pStyle w:val="BookText"/>
      </w:pPr>
      <w:r>
        <w:rPr>
          <w:rFonts w:ascii="IRNazanin" w:hAnsi="IRNazanin" w:eastAsia="IRNazanin" w:cs="IRNazanin"/>
          <w:lang w:bidi="fa-IR"/>
          <w:color w:val="111111"/>
          <w:sz w:val="28"/>
          <w:szCs w:val="28"/>
          <w:rtl/>
        </w:rPr>
        <w:t xml:space="preserve">[المناقشة في الثمرة المذکورة] 196</w:t>
      </w:r>
    </w:p>
    <w:p>
      <w:pPr>
        <w:pStyle w:val="BookText"/>
      </w:pPr>
      <w:r>
        <w:rPr>
          <w:rFonts w:ascii="IRNazanin" w:hAnsi="IRNazanin" w:eastAsia="IRNazanin" w:cs="IRNazanin"/>
          <w:lang w:bidi="fa-IR"/>
          <w:color w:val="111111"/>
          <w:sz w:val="28"/>
          <w:szCs w:val="28"/>
          <w:rtl/>
        </w:rPr>
        <w:t xml:space="preserve">[الثمرة في ترتیب آثار الامتثال وعدمه] 206</w:t>
      </w:r>
    </w:p>
    <w:p>
      <w:pPr>
        <w:pStyle w:val="BookText"/>
      </w:pPr>
      <w:r>
        <w:rPr>
          <w:rFonts w:ascii="IRNazanin" w:hAnsi="IRNazanin" w:eastAsia="IRNazanin" w:cs="IRNazanin"/>
          <w:lang w:bidi="fa-IR"/>
          <w:color w:val="111111"/>
          <w:sz w:val="28"/>
          <w:szCs w:val="28"/>
          <w:rtl/>
        </w:rPr>
        <w:t xml:space="preserve">[تصحیح ما ذکروه من الثمرة بناء على التعارض] 206</w:t>
      </w:r>
    </w:p>
    <w:p>
      <w:pPr>
        <w:pStyle w:val="BookText"/>
      </w:pPr>
      <w:r>
        <w:rPr>
          <w:rFonts w:ascii="Amiri" w:hAnsi="Amiri" w:eastAsia="Amiri" w:cs="Amiri"/>
          <w:lang w:bidi="ar-SA"/>
          <w:color w:val="111111"/>
          <w:sz w:val="28"/>
          <w:szCs w:val="28"/>
          <w:rtl/>
        </w:rPr>
        <w:t xml:space="preserve">[ثمرة المسألة على بناء على التزاحم] 209</w:t>
      </w:r>
    </w:p>
    <w:p>
      <w:pPr>
        <w:pStyle w:val="BookText"/>
      </w:pPr>
      <w:r>
        <w:rPr>
          <w:rFonts w:ascii="IRNazanin" w:hAnsi="IRNazanin" w:eastAsia="IRNazanin" w:cs="IRNazanin"/>
          <w:lang w:bidi="fa-IR"/>
          <w:color w:val="111111"/>
          <w:sz w:val="28"/>
          <w:szCs w:val="28"/>
          <w:rtl/>
        </w:rPr>
        <w:t xml:space="preserve">[وجوب طرح أو تأویل الخبر الحاکم بالصحة على القول بالمنع] 209</w:t>
      </w:r>
    </w:p>
    <w:p>
      <w:pPr>
        <w:pStyle w:val="BookText"/>
      </w:pPr>
      <w:r>
        <w:rPr>
          <w:rFonts w:ascii="Amiri" w:hAnsi="Amiri" w:eastAsia="Amiri" w:cs="Amiri"/>
          <w:lang w:bidi="ar-SA"/>
          <w:color w:val="111111"/>
          <w:sz w:val="28"/>
          <w:szCs w:val="28"/>
          <w:rtl/>
        </w:rPr>
        <w:t xml:space="preserve">[المقدّمة الرابعة: في بيان الأصل في المسألة على فرض الشك] 210</w:t>
      </w:r>
    </w:p>
    <w:p>
      <w:pPr>
        <w:pStyle w:val="BookText"/>
      </w:pPr>
      <w:r>
        <w:rPr>
          <w:rFonts w:ascii="IRNazanin" w:hAnsi="IRNazanin" w:eastAsia="IRNazanin" w:cs="IRNazanin"/>
          <w:lang w:bidi="fa-IR"/>
          <w:color w:val="111111"/>
          <w:sz w:val="28"/>
          <w:szCs w:val="28"/>
          <w:rtl/>
        </w:rPr>
        <w:t xml:space="preserve">أمّا من الحيثيّة الأولى [والمسألة الأصولیّة] 210</w:t>
      </w:r>
    </w:p>
    <w:p>
      <w:pPr>
        <w:pStyle w:val="BookText"/>
      </w:pPr>
      <w:r>
        <w:rPr>
          <w:rFonts w:ascii="IRNazanin" w:hAnsi="IRNazanin" w:eastAsia="IRNazanin" w:cs="IRNazanin"/>
          <w:lang w:bidi="fa-IR"/>
          <w:color w:val="111111"/>
          <w:sz w:val="28"/>
          <w:szCs w:val="28"/>
          <w:rtl/>
        </w:rPr>
        <w:t xml:space="preserve">وأمّا من الحيثيّة الثانية أعني من حیث المسألة الفرعیة. 213</w:t>
      </w:r>
    </w:p>
    <w:p>
      <w:pPr>
        <w:pStyle w:val="BookText"/>
      </w:pPr>
      <w:r>
        <w:rPr>
          <w:rFonts w:ascii="Amiri" w:hAnsi="Amiri" w:eastAsia="Amiri" w:cs="Amiri"/>
          <w:lang w:bidi="ar-SA"/>
          <w:color w:val="111111"/>
          <w:sz w:val="28"/>
          <w:szCs w:val="28"/>
          <w:rtl/>
        </w:rPr>
        <w:t xml:space="preserve">أصل المسألة. 219</w:t>
      </w:r>
    </w:p>
    <w:p>
      <w:pPr>
        <w:pStyle w:val="BookText"/>
      </w:pPr>
      <w:r>
        <w:rPr>
          <w:rFonts w:ascii="Amiri" w:hAnsi="Amiri" w:eastAsia="Amiri" w:cs="Amiri"/>
          <w:lang w:bidi="ar-SA"/>
          <w:color w:val="111111"/>
          <w:sz w:val="28"/>
          <w:szCs w:val="28"/>
          <w:rtl/>
        </w:rPr>
        <w:t xml:space="preserve">[الشروع في المسألة] 220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الأقوال واستظهارها من أهلها] 220</w:t>
      </w:r>
    </w:p>
    <w:p>
      <w:pPr>
        <w:pStyle w:val="BookText"/>
      </w:pPr>
      <w:r>
        <w:rPr>
          <w:rFonts w:ascii="IRNazanin" w:hAnsi="IRNazanin" w:eastAsia="IRNazanin" w:cs="IRNazanin"/>
          <w:lang w:bidi="fa-IR"/>
          <w:color w:val="111111"/>
          <w:sz w:val="28"/>
          <w:szCs w:val="28"/>
          <w:rtl/>
        </w:rPr>
        <w:t xml:space="preserve">[القائلین بالامتناع] 221</w:t>
      </w:r>
    </w:p>
    <w:p>
      <w:pPr>
        <w:pStyle w:val="BookText"/>
      </w:pPr>
      <w:r>
        <w:rPr>
          <w:rFonts w:ascii="IRNazanin" w:hAnsi="IRNazanin" w:eastAsia="IRNazanin" w:cs="IRNazanin"/>
          <w:lang w:bidi="fa-IR"/>
          <w:color w:val="111111"/>
          <w:sz w:val="28"/>
          <w:szCs w:val="28"/>
          <w:rtl/>
        </w:rPr>
        <w:t xml:space="preserve">[القائلین بالجواز] 224</w:t>
      </w:r>
    </w:p>
    <w:p>
      <w:pPr>
        <w:pStyle w:val="BookText"/>
      </w:pPr>
      <w:r>
        <w:rPr>
          <w:rFonts w:ascii="IRNazanin" w:hAnsi="IRNazanin" w:eastAsia="IRNazanin" w:cs="IRNazanin"/>
          <w:lang w:bidi="fa-IR"/>
          <w:color w:val="111111"/>
          <w:sz w:val="28"/>
          <w:szCs w:val="28"/>
          <w:rtl/>
        </w:rPr>
        <w:t xml:space="preserve">[القول بالتفصیل] 233</w:t>
      </w:r>
    </w:p>
    <w:p>
      <w:pPr>
        <w:pStyle w:val="BookText"/>
      </w:pPr>
      <w:r>
        <w:rPr>
          <w:rFonts w:ascii="IRNazanin" w:hAnsi="IRNazanin" w:eastAsia="IRNazanin" w:cs="IRNazanin"/>
          <w:lang w:bidi="fa-IR"/>
          <w:color w:val="111111"/>
          <w:sz w:val="28"/>
          <w:szCs w:val="28"/>
          <w:rtl/>
        </w:rPr>
        <w:t xml:space="preserve">[في تحقیق الحق في المسألة] 234</w:t>
      </w:r>
    </w:p>
    <w:p>
      <w:pPr>
        <w:pStyle w:val="BookText"/>
      </w:pPr>
      <w:r>
        <w:rPr>
          <w:rFonts w:ascii="Amiri" w:hAnsi="Amiri" w:eastAsia="Amiri" w:cs="Amiri"/>
          <w:lang w:bidi="ar-SA"/>
          <w:color w:val="111111"/>
          <w:sz w:val="28"/>
          <w:szCs w:val="28"/>
          <w:rtl/>
        </w:rPr>
        <w:t xml:space="preserve">[في أدلّة جواز الاجتماع] 235</w:t>
      </w:r>
    </w:p>
    <w:p>
      <w:pPr>
        <w:pStyle w:val="BookText"/>
      </w:pPr>
      <w:r>
        <w:rPr>
          <w:rFonts w:ascii="IRNazanin" w:hAnsi="IRNazanin" w:eastAsia="IRNazanin" w:cs="IRNazanin"/>
          <w:lang w:bidi="fa-IR"/>
          <w:color w:val="111111"/>
          <w:sz w:val="28"/>
          <w:szCs w:val="28"/>
          <w:rtl/>
        </w:rPr>
        <w:t xml:space="preserve">[الدليل الأوّل: الاستدلال على الجواز بتعلّق الأحکام بالطبائع] 235</w:t>
      </w:r>
    </w:p>
    <w:p>
      <w:pPr>
        <w:pStyle w:val="BookText"/>
      </w:pPr>
      <w:r>
        <w:rPr>
          <w:rFonts w:ascii="IRNazanin" w:hAnsi="IRNazanin" w:eastAsia="IRNazanin" w:cs="IRNazanin"/>
          <w:lang w:bidi="fa-IR"/>
          <w:color w:val="111111"/>
          <w:sz w:val="28"/>
          <w:szCs w:val="28"/>
          <w:rtl/>
        </w:rPr>
        <w:t xml:space="preserve">[الدلیل الثاني: الاستدلال على الجواز بالطبیعة] 262</w:t>
      </w:r>
    </w:p>
    <w:p>
      <w:pPr>
        <w:pStyle w:val="BookText"/>
      </w:pPr>
      <w:r>
        <w:rPr>
          <w:rFonts w:ascii="Amiri" w:hAnsi="Amiri" w:eastAsia="Amiri" w:cs="Amiri"/>
          <w:lang w:bidi="ar-SA"/>
          <w:color w:val="111111"/>
          <w:sz w:val="28"/>
          <w:szCs w:val="28"/>
          <w:rtl/>
        </w:rPr>
        <w:t xml:space="preserve">[الدليل الثالث: الاستدلال على الجواز بالمراجعة إلى الوجدان] 263</w:t>
      </w:r>
    </w:p>
    <w:p>
      <w:pPr>
        <w:pStyle w:val="BookText"/>
      </w:pPr>
      <w:r>
        <w:rPr>
          <w:rFonts w:ascii="Amiri" w:hAnsi="Amiri" w:eastAsia="Amiri" w:cs="Amiri"/>
          <w:lang w:bidi="ar-SA"/>
          <w:color w:val="111111"/>
          <w:sz w:val="28"/>
          <w:szCs w:val="28"/>
          <w:rtl/>
        </w:rPr>
        <w:t xml:space="preserve">[الدليل الرابع: الاستدلال على الجواز بالمراجعة إلى العرف والعقلاء] 264</w:t>
      </w:r>
    </w:p>
    <w:p>
      <w:pPr>
        <w:pStyle w:val="BookText"/>
      </w:pPr>
      <w:r>
        <w:rPr>
          <w:rFonts w:ascii="IRNazanin" w:hAnsi="IRNazanin" w:eastAsia="IRNazanin" w:cs="IRNazanin"/>
          <w:lang w:bidi="fa-IR"/>
          <w:color w:val="111111"/>
          <w:sz w:val="28"/>
          <w:szCs w:val="28"/>
          <w:rtl/>
        </w:rPr>
        <w:t xml:space="preserve">[الدليل الخامس: وقوع الاجتماع بين الأحکام في موارد من الشريعة] 270</w:t>
      </w:r>
    </w:p>
    <w:p>
      <w:pPr>
        <w:pStyle w:val="BookText"/>
      </w:pPr>
      <w:r>
        <w:rPr>
          <w:rFonts w:ascii="IRNazanin" w:hAnsi="IRNazanin" w:eastAsia="IRNazanin" w:cs="IRNazanin"/>
          <w:lang w:bidi="fa-IR"/>
          <w:color w:val="111111"/>
          <w:sz w:val="28"/>
          <w:szCs w:val="28"/>
          <w:rtl/>
        </w:rPr>
        <w:t xml:space="preserve">[في تحریر أدلّة المانعين والجواب عنها] 398</w:t>
      </w:r>
    </w:p>
    <w:p>
      <w:pPr>
        <w:pStyle w:val="BookText"/>
      </w:pPr>
      <w:r>
        <w:rPr>
          <w:rFonts w:ascii="IRNazanin" w:hAnsi="IRNazanin" w:eastAsia="IRNazanin" w:cs="IRNazanin"/>
          <w:lang w:bidi="fa-IR"/>
          <w:color w:val="111111"/>
          <w:sz w:val="28"/>
          <w:szCs w:val="28"/>
          <w:rtl/>
        </w:rPr>
        <w:t xml:space="preserve">[الدليل الأوّل: كون الاجتماع من التکلیف المحال للزوم اجتماع الضدّين] 398</w:t>
      </w:r>
    </w:p>
    <w:p>
      <w:pPr>
        <w:pStyle w:val="BookText"/>
      </w:pPr>
      <w:r>
        <w:rPr>
          <w:rFonts w:ascii="IRNazanin" w:hAnsi="IRNazanin" w:eastAsia="IRNazanin" w:cs="IRNazanin"/>
          <w:lang w:bidi="fa-IR"/>
          <w:color w:val="111111"/>
          <w:sz w:val="28"/>
          <w:szCs w:val="28"/>
          <w:rtl/>
        </w:rPr>
        <w:t xml:space="preserve">[نقد الدلیل الأوّل] 403</w:t>
      </w:r>
    </w:p>
    <w:p>
      <w:pPr>
        <w:pStyle w:val="BookText"/>
      </w:pPr>
      <w:r>
        <w:rPr>
          <w:rFonts w:ascii="IRNazanin" w:hAnsi="IRNazanin" w:eastAsia="IRNazanin" w:cs="IRNazanin"/>
          <w:lang w:bidi="fa-IR"/>
          <w:color w:val="111111"/>
          <w:sz w:val="28"/>
          <w:szCs w:val="28"/>
          <w:rtl/>
        </w:rPr>
        <w:t xml:space="preserve">[الدليل الثاني: كون الاجتماع تکلیفاً بما لا يطاق] 414</w:t>
      </w:r>
    </w:p>
    <w:p>
      <w:pPr>
        <w:pStyle w:val="BookText"/>
      </w:pPr>
      <w:r>
        <w:rPr>
          <w:rFonts w:ascii="IRNazanin" w:hAnsi="IRNazanin" w:eastAsia="IRNazanin" w:cs="IRNazanin"/>
          <w:lang w:bidi="fa-IR"/>
          <w:color w:val="111111"/>
          <w:sz w:val="28"/>
          <w:szCs w:val="28"/>
          <w:rtl/>
        </w:rPr>
        <w:t xml:space="preserve">[نقد الدلیل الثاني] 415</w:t>
      </w:r>
    </w:p>
    <w:p>
      <w:pPr>
        <w:pStyle w:val="BookText"/>
      </w:pPr>
      <w:r>
        <w:rPr>
          <w:rFonts w:ascii="Amiri" w:hAnsi="Amiri" w:eastAsia="Amiri" w:cs="Amiri"/>
          <w:lang w:bidi="ar-SA"/>
          <w:color w:val="111111"/>
          <w:sz w:val="28"/>
          <w:szCs w:val="28"/>
          <w:rtl/>
        </w:rPr>
        <w:t xml:space="preserve">[الدليل الثالث: كون اجتماع الوجوب والحرمة نظير اجتماع السواد والبياض] 416</w:t>
      </w:r>
    </w:p>
    <w:p>
      <w:pPr>
        <w:pStyle w:val="BookText"/>
      </w:pPr>
      <w:r>
        <w:rPr>
          <w:rFonts w:ascii="IRNazanin" w:hAnsi="IRNazanin" w:eastAsia="IRNazanin" w:cs="IRNazanin"/>
          <w:lang w:bidi="fa-IR"/>
          <w:color w:val="111111"/>
          <w:sz w:val="28"/>
          <w:szCs w:val="28"/>
          <w:rtl/>
        </w:rPr>
        <w:t xml:space="preserve">[نقد الدلیل الثالث] 418</w:t>
      </w:r>
    </w:p>
    <w:p>
      <w:pPr>
        <w:pStyle w:val="BookText"/>
      </w:pPr>
      <w:r>
        <w:rPr>
          <w:rFonts w:ascii="Amiri" w:hAnsi="Amiri" w:eastAsia="Amiri" w:cs="Amiri"/>
          <w:lang w:bidi="ar-SA"/>
          <w:color w:val="111111"/>
          <w:sz w:val="28"/>
          <w:szCs w:val="28"/>
          <w:rtl/>
        </w:rPr>
        <w:t xml:space="preserve">[الدليل الرابع: لزوم اتّصاف الشي‌ء الواحد بالحسن والقبح من اجتماع الأمر والنهي] 420</w:t>
      </w:r>
    </w:p>
    <w:p>
      <w:pPr>
        <w:pStyle w:val="BookText"/>
      </w:pPr>
      <w:r>
        <w:rPr>
          <w:rFonts w:ascii="IRNazanin" w:hAnsi="IRNazanin" w:eastAsia="IRNazanin" w:cs="IRNazanin"/>
          <w:lang w:bidi="fa-IR"/>
          <w:color w:val="111111"/>
          <w:sz w:val="28"/>
          <w:szCs w:val="28"/>
          <w:rtl/>
        </w:rPr>
        <w:t xml:space="preserve">[نقد الدلیل الرابع] 421</w:t>
      </w:r>
    </w:p>
    <w:p>
      <w:pPr>
        <w:pStyle w:val="BookText"/>
      </w:pPr>
      <w:r>
        <w:rPr>
          <w:rFonts w:ascii="Amiri" w:hAnsi="Amiri" w:eastAsia="Amiri" w:cs="Amiri"/>
          <w:lang w:bidi="ar-SA"/>
          <w:color w:val="111111"/>
          <w:sz w:val="28"/>
          <w:szCs w:val="28"/>
          <w:rtl/>
        </w:rPr>
        <w:t xml:space="preserve">[الدليل الخامس: تبعيّة الحكم الشرعي للغالب من الجهتين بعد الكسر والانكسار] 424</w:t>
      </w:r>
    </w:p>
    <w:p>
      <w:pPr>
        <w:pStyle w:val="BookText"/>
      </w:pPr>
      <w:r>
        <w:rPr>
          <w:rFonts w:ascii="IRNazanin" w:hAnsi="IRNazanin" w:eastAsia="IRNazanin" w:cs="IRNazanin"/>
          <w:lang w:bidi="fa-IR"/>
          <w:color w:val="111111"/>
          <w:sz w:val="28"/>
          <w:szCs w:val="28"/>
          <w:rtl/>
        </w:rPr>
        <w:t xml:space="preserve">[نقد الدلیل الخامس] 425</w:t>
      </w:r>
    </w:p>
    <w:p>
      <w:pPr>
        <w:pStyle w:val="BookText"/>
      </w:pPr>
      <w:r>
        <w:rPr>
          <w:rFonts w:ascii="Amiri" w:hAnsi="Amiri" w:eastAsia="Amiri" w:cs="Amiri"/>
          <w:lang w:bidi="ar-SA"/>
          <w:color w:val="111111"/>
          <w:sz w:val="28"/>
          <w:szCs w:val="28"/>
          <w:rtl/>
        </w:rPr>
        <w:t xml:space="preserve">[الدليل السادس: اقتضاء حكم العقل بتقيّد الطبيعة بغير الفرد المحرّم] 426</w:t>
      </w:r>
    </w:p>
    <w:p>
      <w:pPr>
        <w:pStyle w:val="BookText"/>
      </w:pPr>
      <w:r>
        <w:rPr>
          <w:rFonts w:ascii="IRNazanin" w:hAnsi="IRNazanin" w:eastAsia="IRNazanin" w:cs="IRNazanin"/>
          <w:lang w:bidi="fa-IR"/>
          <w:color w:val="111111"/>
          <w:sz w:val="28"/>
          <w:szCs w:val="28"/>
          <w:rtl/>
        </w:rPr>
        <w:t xml:space="preserve">[نقد الدلیل السادس] 427</w:t>
      </w:r>
    </w:p>
    <w:p>
      <w:pPr>
        <w:pStyle w:val="BookText"/>
      </w:pPr>
      <w:r>
        <w:rPr>
          <w:rFonts w:ascii="Amiri" w:hAnsi="Amiri" w:eastAsia="Amiri" w:cs="Amiri"/>
          <w:lang w:bidi="ar-SA"/>
          <w:color w:val="111111"/>
          <w:sz w:val="28"/>
          <w:szCs w:val="28"/>
          <w:rtl/>
        </w:rPr>
        <w:t xml:space="preserve">[الدليل السابع: عدم الفرق بين المقام وبين موارد التعارض] 427</w:t>
      </w:r>
    </w:p>
    <w:p>
      <w:pPr>
        <w:pStyle w:val="BookText"/>
      </w:pPr>
      <w:r>
        <w:rPr>
          <w:rFonts w:ascii="IRNazanin" w:hAnsi="IRNazanin" w:eastAsia="IRNazanin" w:cs="IRNazanin"/>
          <w:lang w:bidi="fa-IR"/>
          <w:color w:val="111111"/>
          <w:sz w:val="28"/>
          <w:szCs w:val="28"/>
          <w:rtl/>
        </w:rPr>
        <w:t xml:space="preserve">[نقد الدلیل السابع] 430</w:t>
      </w:r>
    </w:p>
    <w:p>
      <w:pPr>
        <w:pStyle w:val="BookText"/>
      </w:pPr>
      <w:r>
        <w:rPr>
          <w:rFonts w:ascii="Amiri" w:hAnsi="Amiri" w:eastAsia="Amiri" w:cs="Amiri"/>
          <w:lang w:bidi="ar-SA"/>
          <w:color w:val="111111"/>
          <w:sz w:val="28"/>
          <w:szCs w:val="28"/>
          <w:rtl/>
        </w:rPr>
        <w:t xml:space="preserve">[الدليل الثامن: انكشاف حكم العقل بعدم جواز الاجتماع من فهم العرف] 431</w:t>
      </w:r>
    </w:p>
    <w:p>
      <w:pPr>
        <w:pStyle w:val="BookText"/>
      </w:pPr>
      <w:r>
        <w:rPr>
          <w:rFonts w:ascii="IRNazanin" w:hAnsi="IRNazanin" w:eastAsia="IRNazanin" w:cs="IRNazanin"/>
          <w:lang w:bidi="fa-IR"/>
          <w:color w:val="111111"/>
          <w:sz w:val="28"/>
          <w:szCs w:val="28"/>
          <w:rtl/>
        </w:rPr>
        <w:t xml:space="preserve">[نقد الدلیل الثامن] 431</w:t>
      </w:r>
    </w:p>
    <w:p>
      <w:pPr>
        <w:pStyle w:val="BookText"/>
      </w:pPr>
      <w:r>
        <w:rPr>
          <w:rFonts w:ascii="Amiri" w:hAnsi="Amiri" w:eastAsia="Amiri" w:cs="Amiri"/>
          <w:lang w:bidi="ar-SA"/>
          <w:color w:val="111111"/>
          <w:sz w:val="28"/>
          <w:szCs w:val="28"/>
          <w:rtl/>
        </w:rPr>
        <w:t xml:space="preserve">[الدليل التاسع: نسبة الناس الآمر بشي‌ء من جهة والناهي عنه من جهة آخر إلى السّفاهة] 432</w:t>
      </w:r>
    </w:p>
    <w:p>
      <w:pPr>
        <w:pStyle w:val="BookText"/>
      </w:pPr>
      <w:r>
        <w:rPr>
          <w:rFonts w:ascii="IRNazanin" w:hAnsi="IRNazanin" w:eastAsia="IRNazanin" w:cs="IRNazanin"/>
          <w:lang w:bidi="fa-IR"/>
          <w:color w:val="111111"/>
          <w:sz w:val="28"/>
          <w:szCs w:val="28"/>
          <w:rtl/>
        </w:rPr>
        <w:t xml:space="preserve">[نقد الدلیل التاسع] 432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[الدليل العاشر: شرط تعلّق الأمر بشي‌ء في ضمن العموم أن لا يعلم إنكار الآمر لفرديّته] 433</w:t>
      </w:r>
    </w:p>
    <w:p>
      <w:pPr>
        <w:pStyle w:val="BookText"/>
      </w:pPr>
      <w:r>
        <w:rPr>
          <w:rFonts w:ascii="IRNazanin" w:hAnsi="IRNazanin" w:eastAsia="IRNazanin" w:cs="IRNazanin"/>
          <w:lang w:bidi="fa-IR"/>
          <w:color w:val="111111"/>
          <w:sz w:val="28"/>
          <w:szCs w:val="28"/>
          <w:rtl/>
        </w:rPr>
        <w:t xml:space="preserve">[نقد الدلیل العاشر] 434</w:t>
      </w:r>
    </w:p>
    <w:p>
      <w:pPr>
        <w:pStyle w:val="BookText"/>
      </w:pPr>
      <w:r>
        <w:rPr>
          <w:rFonts w:ascii="IRNazanin" w:hAnsi="IRNazanin" w:eastAsia="IRNazanin" w:cs="IRNazanin"/>
          <w:lang w:bidi="fa-IR"/>
          <w:color w:val="111111"/>
          <w:sz w:val="28"/>
          <w:szCs w:val="28"/>
          <w:rtl/>
        </w:rPr>
        <w:t xml:space="preserve">[الإشکال على الاجتماع بعدم إمکان الامتثال] 435</w:t>
      </w:r>
    </w:p>
    <w:p>
      <w:pPr>
        <w:pStyle w:val="BookText"/>
      </w:pPr>
      <w:r>
        <w:rPr>
          <w:rFonts w:ascii="IRNazanin" w:hAnsi="IRNazanin" w:eastAsia="IRNazanin" w:cs="IRNazanin"/>
          <w:lang w:bidi="fa-IR"/>
          <w:color w:val="111111"/>
          <w:sz w:val="28"/>
          <w:szCs w:val="28"/>
          <w:rtl/>
        </w:rPr>
        <w:t xml:space="preserve">[جواب الإشکال] 435</w:t>
      </w:r>
    </w:p>
    <w:p>
      <w:pPr>
        <w:pStyle w:val="BookText"/>
      </w:pPr>
      <w:r>
        <w:rPr>
          <w:rFonts w:ascii="IRNazanin" w:hAnsi="IRNazanin" w:eastAsia="IRNazanin" w:cs="IRNazanin"/>
          <w:lang w:bidi="fa-IR"/>
          <w:color w:val="111111"/>
          <w:sz w:val="28"/>
          <w:szCs w:val="28"/>
          <w:rtl/>
        </w:rPr>
        <w:t xml:space="preserve">[في تحریر حجّة المفصّل بین العقل والعرف] 436</w:t>
      </w:r>
    </w:p>
    <w:p>
      <w:pPr>
        <w:pStyle w:val="BookText"/>
      </w:pPr>
      <w:r>
        <w:rPr>
          <w:rFonts w:ascii="IRNazanin" w:hAnsi="IRNazanin" w:eastAsia="IRNazanin" w:cs="IRNazanin"/>
          <w:lang w:bidi="fa-IR"/>
          <w:color w:val="111111"/>
          <w:sz w:val="28"/>
          <w:szCs w:val="28"/>
          <w:rtl/>
        </w:rPr>
        <w:t xml:space="preserve">[نقد حجّة المفصّل بین العقل والعرف] 437</w:t>
      </w:r>
    </w:p>
    <w:p>
      <w:pPr>
        <w:pStyle w:val="BookText"/>
      </w:pPr>
      <w:r>
        <w:rPr>
          <w:rFonts w:ascii="Amiri" w:hAnsi="Amiri" w:eastAsia="Amiri" w:cs="Amiri"/>
          <w:lang w:bidi="ar-SA"/>
          <w:color w:val="111111"/>
          <w:sz w:val="28"/>
          <w:szCs w:val="28"/>
          <w:rtl/>
        </w:rPr>
        <w:t xml:space="preserve">تنبيهات... 441</w:t>
      </w:r>
    </w:p>
    <w:p>
      <w:pPr>
        <w:pStyle w:val="BookText"/>
      </w:pPr>
      <w:r>
        <w:rPr>
          <w:rFonts w:ascii="Amiri" w:hAnsi="Amiri" w:eastAsia="Amiri" w:cs="Amiri"/>
          <w:lang w:bidi="ar-SA"/>
          <w:color w:val="111111"/>
          <w:sz w:val="28"/>
          <w:szCs w:val="28"/>
          <w:rtl/>
        </w:rPr>
        <w:t xml:space="preserve">[تنبيهات في آخر المسألة] 442</w:t>
      </w:r>
    </w:p>
    <w:p>
      <w:pPr>
        <w:pStyle w:val="BookText"/>
      </w:pPr>
      <w:r>
        <w:rPr>
          <w:rFonts w:ascii="IRNazanin" w:hAnsi="IRNazanin" w:eastAsia="IRNazanin" w:cs="IRNazanin"/>
          <w:lang w:bidi="fa-IR"/>
          <w:color w:val="111111"/>
          <w:sz w:val="28"/>
          <w:szCs w:val="28"/>
          <w:rtl/>
        </w:rPr>
        <w:t xml:space="preserve">[التنبیه الأوّل: في حكم الکلّيين المتغايرين في الوجود المتلازمين] 442</w:t>
      </w:r>
    </w:p>
    <w:p>
      <w:pPr>
        <w:pStyle w:val="BookText"/>
      </w:pPr>
      <w:r>
        <w:rPr>
          <w:rFonts w:ascii="IRNazanin" w:hAnsi="IRNazanin" w:eastAsia="IRNazanin" w:cs="IRNazanin"/>
          <w:lang w:bidi="fa-IR"/>
          <w:color w:val="111111"/>
          <w:sz w:val="28"/>
          <w:szCs w:val="28"/>
          <w:rtl/>
        </w:rPr>
        <w:t xml:space="preserve">[التنبیه الثاني: في إجراء مرجّحات باب التعارض على القول بالامتناع أو تقدیم النهي] 445</w:t>
      </w:r>
    </w:p>
    <w:p>
      <w:pPr>
        <w:pStyle w:val="BookText"/>
      </w:pPr>
      <w:r>
        <w:rPr>
          <w:rFonts w:ascii="IRNazanin" w:hAnsi="IRNazanin" w:eastAsia="IRNazanin" w:cs="IRNazanin"/>
          <w:lang w:bidi="fa-IR"/>
          <w:color w:val="111111"/>
          <w:sz w:val="28"/>
          <w:szCs w:val="28"/>
          <w:rtl/>
        </w:rPr>
        <w:t xml:space="preserve">[الرجوع إلى المرجّحات على فرض التعارض] 445</w:t>
      </w:r>
    </w:p>
    <w:p>
      <w:pPr>
        <w:pStyle w:val="BookText"/>
      </w:pPr>
      <w:r>
        <w:rPr>
          <w:rFonts w:ascii="IRNazanin" w:hAnsi="IRNazanin" w:eastAsia="IRNazanin" w:cs="IRNazanin"/>
          <w:lang w:bidi="fa-IR"/>
          <w:color w:val="111111"/>
          <w:sz w:val="28"/>
          <w:szCs w:val="28"/>
          <w:rtl/>
        </w:rPr>
        <w:t xml:space="preserve">[قول بتقدیم النهي من جهة رجحان الدلالة على فرض التعارض] 445</w:t>
      </w:r>
    </w:p>
    <w:p>
      <w:pPr>
        <w:pStyle w:val="BookText"/>
      </w:pPr>
      <w:r>
        <w:rPr>
          <w:rFonts w:ascii="IRNazanin" w:hAnsi="IRNazanin" w:eastAsia="IRNazanin" w:cs="IRNazanin"/>
          <w:lang w:bidi="fa-IR"/>
          <w:color w:val="111111"/>
          <w:sz w:val="28"/>
          <w:szCs w:val="28"/>
          <w:rtl/>
        </w:rPr>
        <w:t xml:space="preserve">[قول بتقدیم النهي تعبّداً لا من جهة رجحان الدلالة] 447</w:t>
      </w:r>
    </w:p>
    <w:p>
      <w:pPr>
        <w:pStyle w:val="BookText"/>
      </w:pPr>
      <w:r>
        <w:rPr>
          <w:rFonts w:ascii="IRNazanin" w:hAnsi="IRNazanin" w:eastAsia="IRNazanin" w:cs="IRNazanin"/>
          <w:lang w:bidi="fa-IR"/>
          <w:color w:val="111111"/>
          <w:sz w:val="28"/>
          <w:szCs w:val="28"/>
          <w:rtl/>
        </w:rPr>
        <w:t xml:space="preserve">[فرض الاجتماع من التعارض أو التزاحم] 451</w:t>
      </w:r>
    </w:p>
    <w:p>
      <w:pPr>
        <w:pStyle w:val="BookText"/>
      </w:pPr>
      <w:r>
        <w:rPr>
          <w:rFonts w:ascii="IRNazanin" w:hAnsi="IRNazanin" w:eastAsia="IRNazanin" w:cs="IRNazanin"/>
          <w:lang w:bidi="fa-IR"/>
          <w:color w:val="111111"/>
          <w:sz w:val="28"/>
          <w:szCs w:val="28"/>
          <w:rtl/>
        </w:rPr>
        <w:t xml:space="preserve">[تقدیم النهي على فرض الامتناع] 452</w:t>
      </w:r>
    </w:p>
    <w:p>
      <w:pPr>
        <w:pStyle w:val="BookText"/>
      </w:pPr>
      <w:r>
        <w:rPr>
          <w:rFonts w:ascii="IRNazanin" w:hAnsi="IRNazanin" w:eastAsia="IRNazanin" w:cs="IRNazanin"/>
          <w:lang w:bidi="fa-IR"/>
          <w:color w:val="111111"/>
          <w:sz w:val="28"/>
          <w:szCs w:val="28"/>
          <w:rtl/>
        </w:rPr>
        <w:t xml:space="preserve">[على فرض التعارض تقتضى القاعدة التخییر لا الرجوع إلى الأصل] 452</w:t>
      </w:r>
    </w:p>
    <w:p>
      <w:pPr>
        <w:pStyle w:val="BookText"/>
      </w:pPr>
      <w:r>
        <w:rPr>
          <w:rFonts w:ascii="IRNazanin" w:hAnsi="IRNazanin" w:eastAsia="IRNazanin" w:cs="IRNazanin"/>
          <w:lang w:bidi="fa-IR"/>
          <w:color w:val="111111"/>
          <w:sz w:val="28"/>
          <w:szCs w:val="28"/>
          <w:rtl/>
        </w:rPr>
        <w:t xml:space="preserve">[التنبیه الثالث: في حكم العمل مع تقديم النهي على مذهب المانعين] 453</w:t>
      </w:r>
    </w:p>
    <w:p>
      <w:pPr>
        <w:pStyle w:val="BookText"/>
      </w:pPr>
      <w:r>
        <w:rPr>
          <w:rFonts w:ascii="IRNazanin" w:hAnsi="IRNazanin" w:eastAsia="IRNazanin" w:cs="IRNazanin"/>
          <w:lang w:bidi="fa-IR"/>
          <w:color w:val="111111"/>
          <w:sz w:val="28"/>
          <w:szCs w:val="28"/>
          <w:rtl/>
        </w:rPr>
        <w:t xml:space="preserve">[التنبیه الرابع: في عدم الفرق بين التعبّديات والتوصّليات على القول بالامتناع] 462</w:t>
      </w:r>
    </w:p>
    <w:p>
      <w:pPr>
        <w:pStyle w:val="BookText"/>
      </w:pPr>
      <w:r>
        <w:rPr>
          <w:rFonts w:ascii="IRNazanin" w:hAnsi="IRNazanin" w:eastAsia="IRNazanin" w:cs="IRNazanin"/>
          <w:lang w:bidi="fa-IR"/>
          <w:color w:val="111111"/>
          <w:sz w:val="28"/>
          <w:szCs w:val="28"/>
          <w:rtl/>
        </w:rPr>
        <w:t xml:space="preserve">[القول بجواز الاجتماع في التوصلیّات] 462</w:t>
      </w:r>
    </w:p>
    <w:p>
      <w:pPr>
        <w:pStyle w:val="BookText"/>
      </w:pPr>
      <w:r>
        <w:rPr>
          <w:rFonts w:ascii="IRNazanin" w:hAnsi="IRNazanin" w:eastAsia="IRNazanin" w:cs="IRNazanin"/>
          <w:lang w:bidi="fa-IR"/>
          <w:color w:val="111111"/>
          <w:sz w:val="28"/>
          <w:szCs w:val="28"/>
          <w:rtl/>
        </w:rPr>
        <w:t xml:space="preserve">[ردّ جواز الاجتماع في التوصلیات] 463</w:t>
      </w:r>
    </w:p>
    <w:p>
      <w:pPr>
        <w:pStyle w:val="BookText"/>
      </w:pPr>
      <w:r>
        <w:rPr>
          <w:rFonts w:ascii="IRNazanin" w:hAnsi="IRNazanin" w:eastAsia="IRNazanin" w:cs="IRNazanin"/>
          <w:lang w:bidi="fa-IR"/>
          <w:color w:val="111111"/>
          <w:sz w:val="28"/>
          <w:szCs w:val="28"/>
          <w:rtl/>
        </w:rPr>
        <w:t xml:space="preserve">[توجیه کلام المجوّز] 464</w:t>
      </w:r>
    </w:p>
    <w:p>
      <w:pPr>
        <w:pStyle w:val="BookText"/>
      </w:pPr>
      <w:r>
        <w:rPr>
          <w:rFonts w:ascii="IRNazanin" w:hAnsi="IRNazanin" w:eastAsia="IRNazanin" w:cs="IRNazanin"/>
          <w:lang w:bidi="fa-IR"/>
          <w:color w:val="111111"/>
          <w:sz w:val="28"/>
          <w:szCs w:val="28"/>
          <w:rtl/>
        </w:rPr>
        <w:t xml:space="preserve">[نقد التوجیه] 464</w:t>
      </w:r>
    </w:p>
    <w:p>
      <w:pPr>
        <w:pStyle w:val="BookText"/>
      </w:pPr>
      <w:r>
        <w:rPr>
          <w:rFonts w:ascii="IRNazanin" w:hAnsi="IRNazanin" w:eastAsia="IRNazanin" w:cs="IRNazanin"/>
          <w:lang w:bidi="fa-IR"/>
          <w:color w:val="111111"/>
          <w:sz w:val="28"/>
          <w:szCs w:val="28"/>
          <w:rtl/>
        </w:rPr>
        <w:t xml:space="preserve">[القول بأنّ مقتضى القاعدة في التوصلیات جواز الاجتماع لإطلاق مادّة الأمر] 465</w:t>
      </w:r>
    </w:p>
    <w:p>
      <w:pPr>
        <w:pStyle w:val="BookText"/>
      </w:pPr>
      <w:r>
        <w:rPr>
          <w:rFonts w:ascii="IRNazanin" w:hAnsi="IRNazanin" w:eastAsia="IRNazanin" w:cs="IRNazanin"/>
          <w:lang w:bidi="fa-IR"/>
          <w:color w:val="111111"/>
          <w:sz w:val="28"/>
          <w:szCs w:val="28"/>
          <w:rtl/>
        </w:rPr>
        <w:t xml:space="preserve">[إیرادات على هذا القول] 467</w:t>
      </w:r>
    </w:p>
    <w:p>
      <w:pPr>
        <w:pStyle w:val="BookText"/>
      </w:pPr>
      <w:r>
        <w:rPr>
          <w:rFonts w:ascii="IRNazanin" w:hAnsi="IRNazanin" w:eastAsia="IRNazanin" w:cs="IRNazanin"/>
          <w:lang w:bidi="fa-IR"/>
          <w:color w:val="111111"/>
          <w:sz w:val="28"/>
          <w:szCs w:val="28"/>
          <w:rtl/>
        </w:rPr>
        <w:t xml:space="preserve">[مبنى المحقّق الأنصاري (رحمة الله‌علیه)] 468</w:t>
      </w:r>
    </w:p>
    <w:p>
      <w:pPr>
        <w:pStyle w:val="BookText"/>
      </w:pPr>
      <w:r>
        <w:rPr>
          <w:rFonts w:ascii="IRNazanin" w:hAnsi="IRNazanin" w:eastAsia="IRNazanin" w:cs="IRNazanin"/>
          <w:lang w:bidi="fa-IR"/>
          <w:color w:val="111111"/>
          <w:sz w:val="28"/>
          <w:szCs w:val="28"/>
          <w:rtl/>
        </w:rPr>
        <w:t xml:space="preserve">[نقد مبنى المحقّق الأنصاري (رحمة الله‌علیه)] 472</w:t>
      </w:r>
    </w:p>
    <w:p>
      <w:pPr>
        <w:pStyle w:val="BookText"/>
      </w:pPr>
      <w:r>
        <w:rPr>
          <w:rFonts w:ascii="IRNazanin" w:hAnsi="IRNazanin" w:eastAsia="IRNazanin" w:cs="IRNazanin"/>
          <w:lang w:bidi="fa-IR"/>
          <w:color w:val="111111"/>
          <w:sz w:val="28"/>
          <w:szCs w:val="28"/>
          <w:rtl/>
        </w:rPr>
        <w:t xml:space="preserve">[وجوه أخر من الإیراد على کلام المحقّق الأنصاري (رحمة الله‌علیه)] 474</w:t>
      </w:r>
    </w:p>
    <w:p>
      <w:pPr>
        <w:pStyle w:val="BookText"/>
      </w:pPr>
      <w:r>
        <w:rPr>
          <w:rFonts w:ascii="IRNazanin" w:hAnsi="IRNazanin" w:eastAsia="IRNazanin" w:cs="IRNazanin"/>
          <w:lang w:bidi="fa-IR"/>
          <w:color w:val="111111"/>
          <w:sz w:val="28"/>
          <w:szCs w:val="28"/>
          <w:rtl/>
        </w:rPr>
        <w:t xml:space="preserve">[حاصل الکلام: لا فرق على الامتناع بین التعبدیات والتوصلیات] 480</w:t>
      </w:r>
    </w:p>
    <w:p>
      <w:pPr>
        <w:pStyle w:val="BookText"/>
      </w:pPr>
      <w:r>
        <w:rPr>
          <w:rFonts w:ascii="IRNazanin" w:hAnsi="IRNazanin" w:eastAsia="IRNazanin" w:cs="IRNazanin"/>
          <w:lang w:bidi="fa-IR"/>
          <w:color w:val="111111"/>
          <w:sz w:val="28"/>
          <w:szCs w:val="28"/>
          <w:rtl/>
        </w:rPr>
        <w:t xml:space="preserve">[التنبیه الخامس: في عدم الفرق بين النفسيّين والغيريّين والمختلفين] 481</w:t>
      </w:r>
    </w:p>
    <w:p>
      <w:pPr>
        <w:pStyle w:val="BookText"/>
      </w:pPr>
      <w:r>
        <w:rPr>
          <w:rFonts w:ascii="IRNazanin" w:hAnsi="IRNazanin" w:eastAsia="IRNazanin" w:cs="IRNazanin"/>
          <w:lang w:bidi="fa-IR"/>
          <w:color w:val="111111"/>
          <w:sz w:val="28"/>
          <w:szCs w:val="28"/>
          <w:rtl/>
        </w:rPr>
        <w:t xml:space="preserve">[في بیان تصحيح صاحب هداية المسترشدين (رحمة الله‌علیه) جواز الاجتماع بالترتّب] 482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کلام صاحب هدایة المسترشدین (رحمة الله‌علیه)] 485</w:t>
      </w:r>
    </w:p>
    <w:p>
      <w:pPr>
        <w:pStyle w:val="BookText"/>
      </w:pPr>
      <w:r>
        <w:rPr>
          <w:rFonts w:ascii="IRNazanin" w:hAnsi="IRNazanin" w:eastAsia="IRNazanin" w:cs="IRNazanin"/>
          <w:lang w:bidi="fa-IR"/>
          <w:color w:val="111111"/>
          <w:sz w:val="28"/>
          <w:szCs w:val="28"/>
          <w:rtl/>
        </w:rPr>
        <w:t xml:space="preserve">[بیان المحقق الأنصاري (رحمة الله‌علیه) في دفع الإشکال الثاني] 488</w:t>
      </w:r>
    </w:p>
    <w:p>
      <w:pPr>
        <w:pStyle w:val="BookText"/>
      </w:pPr>
      <w:r>
        <w:rPr>
          <w:rFonts w:ascii="IRNazanin" w:hAnsi="IRNazanin" w:eastAsia="IRNazanin" w:cs="IRNazanin"/>
          <w:lang w:bidi="fa-IR"/>
          <w:color w:val="111111"/>
          <w:sz w:val="28"/>
          <w:szCs w:val="28"/>
          <w:rtl/>
        </w:rPr>
        <w:t xml:space="preserve">[نقد بیان المحقّق الأنصاري (رحمة الله‌علیه)] 489</w:t>
      </w:r>
    </w:p>
    <w:p>
      <w:pPr>
        <w:pStyle w:val="BookText"/>
      </w:pPr>
      <w:r>
        <w:rPr>
          <w:rFonts w:ascii="IRNazanin" w:hAnsi="IRNazanin" w:eastAsia="IRNazanin" w:cs="IRNazanin"/>
          <w:lang w:bidi="fa-IR"/>
          <w:color w:val="111111"/>
          <w:sz w:val="28"/>
          <w:szCs w:val="28"/>
          <w:rtl/>
        </w:rPr>
        <w:t xml:space="preserve">[رأي السیّد المحقّق الأستاد ونقده] 490</w:t>
      </w:r>
    </w:p>
    <w:p>
      <w:pPr>
        <w:pStyle w:val="BookText"/>
      </w:pPr>
      <w:r>
        <w:rPr>
          <w:rFonts w:ascii="Amiri" w:hAnsi="Amiri" w:eastAsia="Amiri" w:cs="Amiri"/>
          <w:lang w:bidi="ar-SA"/>
          <w:color w:val="111111"/>
          <w:sz w:val="28"/>
          <w:szCs w:val="28"/>
          <w:rtl/>
        </w:rPr>
        <w:t xml:space="preserve">[الرأي المختار] 491</w:t>
      </w:r>
    </w:p>
    <w:p>
      <w:pPr>
        <w:pStyle w:val="BookText"/>
      </w:pPr>
      <w:r>
        <w:rPr>
          <w:rFonts w:ascii="IRNazanin" w:hAnsi="IRNazanin" w:eastAsia="IRNazanin" w:cs="IRNazanin"/>
          <w:lang w:bidi="fa-IR"/>
          <w:color w:val="111111"/>
          <w:sz w:val="28"/>
          <w:szCs w:val="28"/>
          <w:rtl/>
        </w:rPr>
        <w:t xml:space="preserve">[الإیراد على القول بالترتّب لو تمّ] 492</w:t>
      </w:r>
    </w:p>
    <w:p>
      <w:pPr>
        <w:pStyle w:val="BookText"/>
      </w:pPr>
      <w:r>
        <w:rPr>
          <w:rFonts w:ascii="IRNazanin" w:hAnsi="IRNazanin" w:eastAsia="IRNazanin" w:cs="IRNazanin"/>
          <w:lang w:bidi="fa-IR"/>
          <w:color w:val="111111"/>
          <w:sz w:val="28"/>
          <w:szCs w:val="28"/>
          <w:rtl/>
        </w:rPr>
        <w:t xml:space="preserve">[تصحيح صاحب الفصول (رحمة الله‌علیه) لجواز الاجتماع بالمقدّمة الموصلة] 495</w:t>
      </w:r>
    </w:p>
    <w:p>
      <w:pPr>
        <w:pStyle w:val="BookText"/>
      </w:pPr>
      <w:r>
        <w:rPr>
          <w:rFonts w:ascii="IRNazanin" w:hAnsi="IRNazanin" w:eastAsia="IRNazanin" w:cs="IRNazanin"/>
          <w:lang w:bidi="fa-IR"/>
          <w:color w:val="111111"/>
          <w:sz w:val="28"/>
          <w:szCs w:val="28"/>
          <w:rtl/>
        </w:rPr>
        <w:t xml:space="preserve">[نقد کلام صاحب الفصول (رحمة الله‌علیه)] 498</w:t>
      </w:r>
    </w:p>
    <w:p>
      <w:pPr>
        <w:pStyle w:val="BookText"/>
      </w:pPr>
      <w:r>
        <w:rPr>
          <w:rFonts w:ascii="IRNazanin" w:hAnsi="IRNazanin" w:eastAsia="IRNazanin" w:cs="IRNazanin"/>
          <w:lang w:bidi="fa-IR"/>
          <w:color w:val="111111"/>
          <w:sz w:val="28"/>
          <w:szCs w:val="28"/>
          <w:rtl/>
        </w:rPr>
        <w:t xml:space="preserve">[بیان آخر لدفع لزوم الاجتماع] 505</w:t>
      </w:r>
    </w:p>
    <w:p>
      <w:pPr>
        <w:pStyle w:val="BookText"/>
      </w:pPr>
      <w:r>
        <w:rPr>
          <w:rFonts w:ascii="IRNazanin" w:hAnsi="IRNazanin" w:eastAsia="IRNazanin" w:cs="IRNazanin"/>
          <w:lang w:bidi="fa-IR"/>
          <w:color w:val="111111"/>
          <w:sz w:val="28"/>
          <w:szCs w:val="28"/>
          <w:rtl/>
        </w:rPr>
        <w:t xml:space="preserve">[نقد البیان المذکور] 508</w:t>
      </w:r>
    </w:p>
    <w:p>
      <w:pPr>
        <w:pStyle w:val="BookText"/>
      </w:pPr>
      <w:r>
        <w:rPr>
          <w:rFonts w:ascii="IRNazanin" w:hAnsi="IRNazanin" w:eastAsia="IRNazanin" w:cs="IRNazanin"/>
          <w:lang w:bidi="fa-IR"/>
          <w:color w:val="111111"/>
          <w:sz w:val="28"/>
          <w:szCs w:val="28"/>
          <w:rtl/>
        </w:rPr>
        <w:t xml:space="preserve">[التنبیه السادس: في عدم جواز اجتماع الحکمین مطلقاً على القول بالمنع] 508</w:t>
      </w:r>
    </w:p>
    <w:p>
      <w:pPr>
        <w:pStyle w:val="BookText"/>
      </w:pPr>
      <w:r>
        <w:rPr>
          <w:rFonts w:ascii="IRNazanin" w:hAnsi="IRNazanin" w:eastAsia="IRNazanin" w:cs="IRNazanin"/>
          <w:lang w:bidi="fa-IR"/>
          <w:color w:val="111111"/>
          <w:sz w:val="28"/>
          <w:szCs w:val="28"/>
          <w:rtl/>
        </w:rPr>
        <w:t xml:space="preserve">[احتمال صاحب الهدایة (رحمة الله‌علیه) لجواز اجتماع الاستحباب والكراهة] 509</w:t>
      </w:r>
    </w:p>
    <w:p>
      <w:pPr>
        <w:pStyle w:val="BookText"/>
      </w:pPr>
      <w:r>
        <w:rPr>
          <w:rFonts w:ascii="IRNazanin" w:hAnsi="IRNazanin" w:eastAsia="IRNazanin" w:cs="IRNazanin"/>
          <w:lang w:bidi="fa-IR"/>
          <w:color w:val="111111"/>
          <w:sz w:val="28"/>
          <w:szCs w:val="28"/>
          <w:rtl/>
        </w:rPr>
        <w:t xml:space="preserve">[نقد کلام صاحب الهدایة (رحمة الله‌علیه)] 511</w:t>
      </w:r>
    </w:p>
    <w:p>
      <w:pPr>
        <w:pStyle w:val="BookText"/>
      </w:pPr>
      <w:r>
        <w:rPr>
          <w:rFonts w:ascii="IRNazanin" w:hAnsi="IRNazanin" w:eastAsia="IRNazanin" w:cs="IRNazanin"/>
          <w:lang w:bidi="fa-IR"/>
          <w:color w:val="111111"/>
          <w:sz w:val="28"/>
          <w:szCs w:val="28"/>
          <w:rtl/>
        </w:rPr>
        <w:t xml:space="preserve">[التنبیه السابع: في بیان جواز اجتماع الأمر الصّوري مع النهي الواقعي وبالعكس] 511</w:t>
      </w:r>
    </w:p>
    <w:p>
      <w:pPr>
        <w:pStyle w:val="BookText"/>
      </w:pPr>
      <w:r>
        <w:rPr>
          <w:rFonts w:ascii="IRNazanin" w:hAnsi="IRNazanin" w:eastAsia="IRNazanin" w:cs="IRNazanin"/>
          <w:lang w:bidi="fa-IR"/>
          <w:color w:val="111111"/>
          <w:sz w:val="28"/>
          <w:szCs w:val="28"/>
          <w:rtl/>
        </w:rPr>
        <w:t xml:space="preserve">[التنبیه الثامن: في حكم الاجتماع مع عدم المندوحة ومن توسّط أرضاً مغصوبة] 514</w:t>
      </w:r>
    </w:p>
    <w:p>
      <w:pPr>
        <w:pStyle w:val="BookText"/>
      </w:pPr>
      <w:r>
        <w:rPr>
          <w:rFonts w:ascii="Amiri" w:hAnsi="Amiri" w:eastAsia="Amiri" w:cs="Amiri"/>
          <w:lang w:bidi="ar-SA"/>
          <w:color w:val="111111"/>
          <w:sz w:val="28"/>
          <w:szCs w:val="28"/>
          <w:rtl/>
        </w:rPr>
        <w:t xml:space="preserve">[الانحصار البدوي] 515</w:t>
      </w:r>
    </w:p>
    <w:p>
      <w:pPr>
        <w:pStyle w:val="BookText"/>
      </w:pPr>
      <w:r>
        <w:rPr>
          <w:rFonts w:ascii="Amiri" w:hAnsi="Amiri" w:eastAsia="Amiri" w:cs="Amiri"/>
          <w:lang w:bidi="ar-SA"/>
          <w:color w:val="111111"/>
          <w:sz w:val="28"/>
          <w:szCs w:val="28"/>
          <w:rtl/>
        </w:rPr>
        <w:t xml:space="preserve">[الانحصار العرضي] 521</w:t>
      </w:r>
    </w:p>
    <w:p>
      <w:pPr>
        <w:pStyle w:val="BookText"/>
      </w:pPr>
      <w:r>
        <w:rPr>
          <w:rFonts w:ascii="Amiri" w:hAnsi="Amiri" w:eastAsia="Amiri" w:cs="Amiri"/>
          <w:lang w:bidi="ar-SA"/>
          <w:color w:val="111111"/>
          <w:sz w:val="28"/>
          <w:szCs w:val="28"/>
          <w:rtl/>
        </w:rPr>
        <w:t xml:space="preserve">[اختلاف المانعين في مسألة المتوسّط في الأرض المغصوبة] 526</w:t>
      </w:r>
    </w:p>
    <w:p>
      <w:pPr>
        <w:pStyle w:val="BookText"/>
      </w:pPr>
      <w:r>
        <w:rPr>
          <w:rFonts w:ascii="IRNazanin" w:hAnsi="IRNazanin" w:eastAsia="IRNazanin" w:cs="IRNazanin"/>
          <w:lang w:bidi="fa-IR"/>
          <w:color w:val="111111"/>
          <w:sz w:val="28"/>
          <w:szCs w:val="28"/>
          <w:rtl/>
        </w:rPr>
        <w:t xml:space="preserve">[في تحقیق المسألة] 538</w:t>
      </w:r>
    </w:p>
    <w:p>
      <w:pPr>
        <w:pStyle w:val="BookText"/>
      </w:pPr>
      <w:r>
        <w:rPr>
          <w:rFonts w:ascii="IRNazanin" w:hAnsi="IRNazanin" w:eastAsia="IRNazanin" w:cs="IRNazanin"/>
          <w:lang w:bidi="fa-IR"/>
          <w:color w:val="111111"/>
          <w:sz w:val="28"/>
          <w:szCs w:val="28"/>
          <w:rtl/>
        </w:rPr>
        <w:t xml:space="preserve">[نقد کلام المحقّق الأنصاري (رحمة الله‌علیه)] 545</w:t>
      </w:r>
    </w:p>
    <w:p>
      <w:pPr>
        <w:pStyle w:val="BookText"/>
      </w:pPr>
      <w:r>
        <w:rPr>
          <w:rFonts w:ascii="Amiri" w:hAnsi="Amiri" w:eastAsia="Amiri" w:cs="Amiri"/>
          <w:lang w:bidi="ar-SA"/>
          <w:color w:val="111111"/>
          <w:sz w:val="28"/>
          <w:szCs w:val="28"/>
          <w:rtl/>
        </w:rPr>
        <w:t xml:space="preserve">[حكم الصلاة حال الخروج من الأرض المغصوبة] 551</w:t>
      </w:r>
    </w:p>
    <w:p>
      <w:pPr>
        <w:pStyle w:val="BookText"/>
      </w:pPr>
      <w:r>
        <w:rPr>
          <w:rFonts w:ascii="IRNazanin" w:hAnsi="IRNazanin" w:eastAsia="IRNazanin" w:cs="IRNazanin"/>
          <w:lang w:bidi="fa-IR"/>
          <w:color w:val="111111"/>
          <w:sz w:val="28"/>
          <w:szCs w:val="28"/>
          <w:rtl/>
        </w:rPr>
        <w:t xml:space="preserve">[حکم الصلاة مع البقاء وعدم الخروج] 553</w:t>
      </w:r>
    </w:p>
    <w:p>
      <w:pPr>
        <w:pStyle w:val="BookText"/>
      </w:pPr>
      <w:r>
        <w:rPr>
          <w:rFonts w:ascii="IRNazanin" w:hAnsi="IRNazanin" w:eastAsia="IRNazanin" w:cs="IRNazanin"/>
          <w:lang w:bidi="fa-IR"/>
          <w:color w:val="111111"/>
          <w:sz w:val="28"/>
          <w:szCs w:val="28"/>
          <w:rtl/>
        </w:rPr>
        <w:t xml:space="preserve">[إشکال في صحّة الصلاة مع الخروج بأنّ العقاب أمارة على عدم بدلیّة الصلاة الاضطراریّة] 554</w:t>
      </w:r>
    </w:p>
    <w:p>
      <w:pPr>
        <w:pStyle w:val="BookText"/>
      </w:pPr>
      <w:r>
        <w:rPr>
          <w:rFonts w:ascii="IRNazanin" w:hAnsi="IRNazanin" w:eastAsia="IRNazanin" w:cs="IRNazanin"/>
          <w:lang w:bidi="fa-IR"/>
          <w:color w:val="111111"/>
          <w:sz w:val="28"/>
          <w:szCs w:val="28"/>
          <w:rtl/>
        </w:rPr>
        <w:t xml:space="preserve">[نقد الإشکال] 554</w:t>
      </w:r>
    </w:p>
    <w:p>
      <w:pPr>
        <w:pStyle w:val="BookText"/>
      </w:pPr>
      <w:r>
        <w:rPr>
          <w:rFonts w:ascii="IRNazanin" w:hAnsi="IRNazanin" w:eastAsia="IRNazanin" w:cs="IRNazanin"/>
          <w:lang w:bidi="fa-IR"/>
          <w:color w:val="111111"/>
          <w:sz w:val="28"/>
          <w:szCs w:val="28"/>
          <w:rtl/>
        </w:rPr>
        <w:t xml:space="preserve">[إشکال آخر على صحّة الصلاة حال الخروج بأنّه شبیه بالصلاة مع الجهل بالحرمة] 556</w:t>
      </w:r>
    </w:p>
    <w:p>
      <w:pPr>
        <w:pStyle w:val="BookText"/>
      </w:pPr>
      <w:r>
        <w:rPr>
          <w:rFonts w:ascii="IRNazanin" w:hAnsi="IRNazanin" w:eastAsia="IRNazanin" w:cs="IRNazanin"/>
          <w:lang w:bidi="fa-IR"/>
          <w:color w:val="111111"/>
          <w:sz w:val="28"/>
          <w:szCs w:val="28"/>
          <w:rtl/>
        </w:rPr>
        <w:t xml:space="preserve">[نقد الإشکال] 556</w:t>
      </w:r>
    </w:p>
    <w:p>
      <w:pPr>
        <w:pStyle w:val="BookText"/>
      </w:pPr>
      <w:r>
        <w:rPr>
          <w:rFonts w:ascii="IRNazanin" w:hAnsi="IRNazanin" w:eastAsia="IRNazanin" w:cs="IRNazanin"/>
          <w:lang w:bidi="fa-IR"/>
          <w:color w:val="111111"/>
          <w:sz w:val="28"/>
          <w:szCs w:val="28"/>
          <w:rtl/>
        </w:rPr>
        <w:t xml:space="preserve">[التنبیه التاسع: مشارکة المأمور بفعل مع من یحرم علیه ذلك الفعل] 557</w:t>
      </w:r>
    </w:p>
    <w:p>
      <w:pPr>
        <w:pStyle w:val="BookText"/>
      </w:pPr>
      <w:r>
        <w:rPr>
          <w:rFonts w:ascii="IRNazanin" w:hAnsi="IRNazanin" w:eastAsia="IRNazanin" w:cs="IRNazanin"/>
          <w:lang w:bidi="fa-IR"/>
          <w:color w:val="111111"/>
          <w:sz w:val="28"/>
          <w:szCs w:val="28"/>
          <w:rtl/>
        </w:rPr>
        <w:t xml:space="preserve">[التنبیه العاشر: في فروع يظهر منها ثمرة المسألة] 562</w:t>
      </w:r>
    </w:p>
    <w:p>
      <w:pPr>
        <w:pStyle w:val="BookText"/>
      </w:pPr>
      <w:r>
        <w:rPr>
          <w:rFonts w:ascii="IRNazanin" w:hAnsi="IRNazanin" w:eastAsia="IRNazanin" w:cs="IRNazanin"/>
          <w:lang w:bidi="fa-IR"/>
          <w:color w:val="111111"/>
          <w:sz w:val="28"/>
          <w:szCs w:val="28"/>
          <w:rtl/>
        </w:rPr>
        <w:t xml:space="preserve">[الصلاة في المکان المغصوب أو الفرش المغصوب] 562</w:t>
      </w:r>
    </w:p>
    <w:p>
      <w:pPr>
        <w:pStyle w:val="BookText"/>
      </w:pPr>
      <w:r>
        <w:rPr>
          <w:rFonts w:ascii="Amiri" w:hAnsi="Amiri" w:eastAsia="Amiri" w:cs="Amiri"/>
          <w:lang w:bidi="ar-SA"/>
          <w:color w:val="111111"/>
          <w:sz w:val="28"/>
          <w:szCs w:val="28"/>
          <w:rtl/>
        </w:rPr>
        <w:t xml:space="preserve">[الصلاة تحت سقف مغصوب] 568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في مكان يحرم الكون فيه كما تحت الجدار المشرف على الانهدام] 570</w:t>
      </w:r>
    </w:p>
    <w:p>
      <w:pPr>
        <w:pStyle w:val="BookText"/>
      </w:pPr>
      <w:r>
        <w:rPr>
          <w:rFonts w:ascii="IRNazanin" w:hAnsi="IRNazanin" w:eastAsia="IRNazanin" w:cs="IRNazanin"/>
          <w:lang w:bidi="fa-IR"/>
          <w:color w:val="111111"/>
          <w:sz w:val="28"/>
          <w:szCs w:val="28"/>
          <w:rtl/>
        </w:rPr>
        <w:t xml:space="preserve">[الطواف مع الغصب] 572</w:t>
      </w:r>
    </w:p>
    <w:p>
      <w:pPr>
        <w:pStyle w:val="BookText"/>
      </w:pPr>
      <w:r>
        <w:rPr>
          <w:rFonts w:ascii="IRNazanin" w:hAnsi="IRNazanin" w:eastAsia="IRNazanin" w:cs="IRNazanin"/>
          <w:lang w:bidi="fa-IR"/>
          <w:color w:val="111111"/>
          <w:sz w:val="28"/>
          <w:szCs w:val="28"/>
          <w:rtl/>
        </w:rPr>
        <w:t xml:space="preserve">[الاعتکاف على فرش مغصوب] 572</w:t>
      </w:r>
    </w:p>
    <w:p>
      <w:pPr>
        <w:pStyle w:val="BookText"/>
      </w:pPr>
      <w:r>
        <w:rPr>
          <w:rFonts w:ascii="IRNazanin" w:hAnsi="IRNazanin" w:eastAsia="IRNazanin" w:cs="IRNazanin"/>
          <w:lang w:bidi="fa-IR"/>
          <w:color w:val="111111"/>
          <w:sz w:val="28"/>
          <w:szCs w:val="28"/>
          <w:rtl/>
        </w:rPr>
        <w:t xml:space="preserve">[الوقوف بعرفات على فرش مغصوب] 572</w:t>
      </w:r>
    </w:p>
    <w:p>
      <w:pPr>
        <w:pStyle w:val="BookText"/>
      </w:pPr>
      <w:r>
        <w:rPr>
          <w:rFonts w:ascii="Amiri" w:hAnsi="Amiri" w:eastAsia="Amiri" w:cs="Amiri"/>
          <w:lang w:bidi="ar-SA"/>
          <w:color w:val="111111"/>
          <w:sz w:val="28"/>
          <w:szCs w:val="28"/>
          <w:rtl/>
        </w:rPr>
        <w:t xml:space="preserve">[الصلاة أو الطواف في ثوب مغصوب] 573</w:t>
      </w:r>
    </w:p>
    <w:p>
      <w:pPr>
        <w:pStyle w:val="BookText"/>
      </w:pPr>
      <w:r>
        <w:rPr>
          <w:rFonts w:ascii="Amiri" w:hAnsi="Amiri" w:eastAsia="Amiri" w:cs="Amiri"/>
          <w:lang w:bidi="ar-SA"/>
          <w:color w:val="111111"/>
          <w:sz w:val="28"/>
          <w:szCs w:val="28"/>
          <w:rtl/>
        </w:rPr>
        <w:t xml:space="preserve">[الطهارة بماء مغصوب أو تراب مغصوب] 583</w:t>
      </w:r>
    </w:p>
    <w:p>
      <w:pPr>
        <w:pStyle w:val="BookText"/>
      </w:pPr>
      <w:r>
        <w:rPr>
          <w:rFonts w:ascii="IRNazanin" w:hAnsi="IRNazanin" w:eastAsia="IRNazanin" w:cs="IRNazanin"/>
          <w:lang w:bidi="fa-IR"/>
          <w:color w:val="111111"/>
          <w:sz w:val="28"/>
          <w:szCs w:val="28"/>
          <w:rtl/>
        </w:rPr>
        <w:t xml:space="preserve">[إعطاء الخمس أو الزکاة في المکان المغصوب] 589</w:t>
      </w:r>
    </w:p>
    <w:p>
      <w:pPr>
        <w:pStyle w:val="BookText"/>
      </w:pPr>
      <w:r>
        <w:rPr>
          <w:rFonts w:ascii="IRNazanin" w:hAnsi="IRNazanin" w:eastAsia="IRNazanin" w:cs="IRNazanin"/>
          <w:lang w:bidi="fa-IR"/>
          <w:color w:val="111111"/>
          <w:sz w:val="28"/>
          <w:szCs w:val="28"/>
          <w:rtl/>
        </w:rPr>
        <w:t xml:space="preserve">[إعطاء مال یحرم إعطاؤه لنذر خمساً أو زکاة] 589</w:t>
      </w:r>
    </w:p>
    <w:p>
      <w:pPr>
        <w:pStyle w:val="BookText"/>
      </w:pPr>
      <w:r>
        <w:rPr>
          <w:rFonts w:ascii="IRNazanin" w:hAnsi="IRNazanin" w:eastAsia="IRNazanin" w:cs="IRNazanin"/>
          <w:lang w:bidi="fa-IR"/>
          <w:color w:val="111111"/>
          <w:sz w:val="28"/>
          <w:szCs w:val="28"/>
          <w:rtl/>
        </w:rPr>
        <w:t xml:space="preserve">[قضاء الدین في المکان المغصوب والمعاملة المعاطاتیة بمال یحرم التصرف فیه لنذر] 590</w:t>
      </w:r>
    </w:p>
    <w:p>
      <w:pPr>
        <w:pStyle w:val="BookText"/>
      </w:pPr>
      <w:r>
        <w:rPr>
          <w:rFonts w:ascii="IRNazanin" w:hAnsi="IRNazanin" w:eastAsia="IRNazanin" w:cs="IRNazanin"/>
          <w:lang w:bidi="fa-IR"/>
          <w:color w:val="111111"/>
          <w:sz w:val="28"/>
          <w:szCs w:val="28"/>
          <w:rtl/>
        </w:rPr>
        <w:t xml:space="preserve">[إجراء صیغة عقد أو إیقاع في مکان مغصوب] 590</w:t>
      </w:r>
    </w:p>
    <w:p>
      <w:pPr>
        <w:pStyle w:val="BookText"/>
      </w:pPr>
      <w:r>
        <w:rPr>
          <w:rFonts w:ascii="IRNazanin" w:hAnsi="IRNazanin" w:eastAsia="IRNazanin" w:cs="IRNazanin"/>
          <w:lang w:bidi="fa-IR"/>
          <w:color w:val="111111"/>
          <w:sz w:val="28"/>
          <w:szCs w:val="28"/>
          <w:rtl/>
        </w:rPr>
        <w:t xml:space="preserve">[الإتیان بالواجب المنذور ولو توصلیّاً في المکان المغصوب] 590</w:t>
      </w:r>
    </w:p>
    <w:p>
      <w:pPr>
        <w:pStyle w:val="BookText"/>
      </w:pPr>
      <w:r>
        <w:rPr>
          <w:rFonts w:ascii="Amiri" w:hAnsi="Amiri" w:eastAsia="Amiri" w:cs="Amiri"/>
          <w:lang w:bidi="ar-SA"/>
          <w:color w:val="111111"/>
          <w:sz w:val="28"/>
          <w:szCs w:val="28"/>
          <w:rtl/>
        </w:rPr>
        <w:t xml:space="preserve">[حمل جنب أو نجاسة حال الطواف] 590</w:t>
      </w:r>
    </w:p>
    <w:p>
      <w:pPr>
        <w:pStyle w:val="BookText"/>
      </w:pPr>
      <w:r>
        <w:rPr>
          <w:rFonts w:ascii="Amiri" w:hAnsi="Amiri" w:eastAsia="Amiri" w:cs="Amiri"/>
          <w:lang w:bidi="ar-SA"/>
          <w:color w:val="111111"/>
          <w:sz w:val="28"/>
          <w:szCs w:val="28"/>
          <w:rtl/>
        </w:rPr>
        <w:t xml:space="preserve">[تذنيب: في لزوم عدم استحقاق الأجرة إذا أتى بالعمل على الوجه المحرّم على قول المانعين] 591</w:t>
      </w:r>
    </w:p>
    <w:p>
      <w:pPr>
        <w:pStyle w:val="BookText"/>
      </w:pPr>
      <w:r>
        <w:rPr>
          <w:rFonts w:ascii="IRNazanin" w:hAnsi="IRNazanin" w:eastAsia="IRNazanin" w:cs="IRNazanin"/>
          <w:lang w:bidi="fa-IR"/>
          <w:color w:val="111111"/>
          <w:sz w:val="28"/>
          <w:szCs w:val="28"/>
          <w:rtl/>
        </w:rPr>
        <w:t xml:space="preserve">[خاتمة الطبعة الحجرّیة] 594</w:t>
      </w:r>
    </w:p>
    <w:p>
      <w:pPr>
        <w:pStyle w:val="BookText"/>
      </w:pPr>
      <w:r>
        <w:rPr>
          <w:rFonts w:ascii="Amiri" w:hAnsi="Amiri" w:eastAsia="Amiri" w:cs="Amiri"/>
          <w:lang w:bidi="ar-SA"/>
          <w:color w:val="111111"/>
          <w:sz w:val="28"/>
          <w:szCs w:val="28"/>
          <w:rtl/>
        </w:rPr>
        <w:t xml:space="preserve">الفهارس الفنيّة / 596</w:t>
      </w:r>
    </w:p>
    <w:p>
      <w:pPr>
        <w:pStyle w:val="BookText"/>
      </w:pPr>
      <w:r>
        <w:rPr>
          <w:rFonts w:ascii="IRNazanin" w:hAnsi="IRNazanin" w:eastAsia="IRNazanin" w:cs="IRNazanin"/>
          <w:lang w:bidi="fa-IR"/>
          <w:color w:val="111111"/>
          <w:sz w:val="28"/>
          <w:szCs w:val="28"/>
          <w:rtl/>
        </w:rPr>
        <w:t xml:space="preserve">فهرس الآیات... 598</w:t>
      </w:r>
    </w:p>
    <w:p>
      <w:pPr>
        <w:pStyle w:val="BookText"/>
      </w:pPr>
      <w:r>
        <w:rPr>
          <w:rFonts w:ascii="IRNazanin" w:hAnsi="IRNazanin" w:eastAsia="IRNazanin" w:cs="IRNazanin"/>
          <w:lang w:bidi="fa-IR"/>
          <w:color w:val="111111"/>
          <w:sz w:val="28"/>
          <w:szCs w:val="28"/>
          <w:rtl/>
        </w:rPr>
        <w:t xml:space="preserve">فهرس الروایات... 598</w:t>
      </w:r>
    </w:p>
    <w:p>
      <w:pPr>
        <w:pStyle w:val="BookText"/>
      </w:pPr>
      <w:r>
        <w:rPr>
          <w:rFonts w:ascii="IRNazanin" w:hAnsi="IRNazanin" w:eastAsia="IRNazanin" w:cs="IRNazanin"/>
          <w:lang w:bidi="fa-IR"/>
          <w:color w:val="111111"/>
          <w:sz w:val="28"/>
          <w:szCs w:val="28"/>
          <w:rtl/>
        </w:rPr>
        <w:t xml:space="preserve">فهرس الأعلام. 599</w:t>
      </w:r>
    </w:p>
    <w:p>
      <w:pPr>
        <w:pStyle w:val="BookText"/>
      </w:pPr>
      <w:r>
        <w:rPr>
          <w:rFonts w:ascii="IRNazanin" w:hAnsi="IRNazanin" w:eastAsia="IRNazanin" w:cs="IRNazanin"/>
          <w:lang w:bidi="fa-IR"/>
          <w:color w:val="111111"/>
          <w:sz w:val="28"/>
          <w:szCs w:val="28"/>
          <w:rtl/>
        </w:rPr>
        <w:t xml:space="preserve">فهرس الکتب والرسائل.. 604</w:t>
      </w:r>
    </w:p>
    <w:p>
      <w:pPr>
        <w:pStyle w:val="BookText"/>
      </w:pPr>
      <w:r>
        <w:rPr>
          <w:rFonts w:ascii="IRNazanin" w:hAnsi="IRNazanin" w:eastAsia="IRNazanin" w:cs="IRNazanin"/>
          <w:lang w:bidi="fa-IR"/>
          <w:color w:val="111111"/>
          <w:sz w:val="28"/>
          <w:szCs w:val="28"/>
          <w:rtl/>
        </w:rPr>
        <w:t xml:space="preserve">فهرس الأمکنة. 607</w:t>
      </w:r>
    </w:p>
    <w:p>
      <w:pPr>
        <w:pStyle w:val="BookText"/>
      </w:pPr>
      <w:r>
        <w:rPr>
          <w:rFonts w:ascii="IRNazanin" w:hAnsi="IRNazanin" w:eastAsia="IRNazanin" w:cs="IRNazanin"/>
          <w:lang w:bidi="fa-IR"/>
          <w:color w:val="111111"/>
          <w:sz w:val="28"/>
          <w:szCs w:val="28"/>
          <w:rtl/>
        </w:rPr>
        <w:t xml:space="preserve">فهرس الفرق.. 608</w:t>
      </w:r>
    </w:p>
    <w:p>
      <w:pPr>
        <w:pStyle w:val="BookText"/>
      </w:pPr>
      <w:r>
        <w:rPr>
          <w:rFonts w:ascii="IRNazanin" w:hAnsi="IRNazanin" w:eastAsia="IRNazanin" w:cs="IRNazanin"/>
          <w:lang w:bidi="fa-IR"/>
          <w:color w:val="111111"/>
          <w:sz w:val="28"/>
          <w:szCs w:val="28"/>
          <w:rtl/>
        </w:rPr>
        <w:t xml:space="preserve">مصادر التحقیق.. 609</w:t>
      </w:r>
    </w:p>
    <w:p>
      <w:pPr>
        <w:pStyle w:val="BookText"/>
      </w:pPr>
      <w:r>
        <w:rPr>
          <w:rFonts w:ascii="IRNazanin" w:hAnsi="IRNazanin" w:eastAsia="IRNazanin" w:cs="IRNazanin"/>
          <w:lang w:bidi="fa-IR"/>
          <w:color w:val="111111"/>
          <w:sz w:val="28"/>
          <w:szCs w:val="28"/>
          <w:rtl/>
        </w:rPr>
        <w:t xml:space="preserve">فهرس المطالب... 628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Agreement of Command and Prohibition</w:t>
      </w:r>
    </w:p>
    <w:p>
      <w:pPr>
        <w:pStyle w:val="BookText"/>
      </w:pPr>
      <w:r>
        <w:rPr>
          <w:rFonts w:ascii="Times New Roman" w:hAnsi="Times New Roman" w:eastAsia="Times New Roman" w:cs="Times New Roman"/>
          <w:lang w:val="en-US" w:bidi="en-US"/>
          <w:color w:val="111111"/>
          <w:sz w:val="28"/>
          <w:szCs w:val="28"/>
          <w:rtl/>
        </w:rPr>
        <w:t xml:space="preserve">Compiled by:</w:t>
      </w:r>
    </w:p>
    <w:p>
      <w:pPr>
        <w:pStyle w:val="BookText"/>
      </w:pPr>
      <w:r>
        <w:rPr>
          <w:rFonts w:ascii="Times New Roman" w:hAnsi="Times New Roman" w:eastAsia="Times New Roman" w:cs="Times New Roman"/>
          <w:lang w:val="en-US" w:bidi="en-US"/>
          <w:color w:val="111111"/>
          <w:sz w:val="28"/>
          <w:szCs w:val="28"/>
          <w:rtl/>
        </w:rPr>
        <w:t xml:space="preserve">Grand Ayatullah al-Sayid</w:t>
      </w:r>
    </w:p>
    <w:p>
      <w:pPr>
        <w:pStyle w:val="BookText"/>
      </w:pPr>
      <w:r>
        <w:rPr>
          <w:rFonts w:ascii="Times New Roman" w:hAnsi="Times New Roman" w:eastAsia="Times New Roman" w:cs="Times New Roman"/>
          <w:lang w:val="en-US" w:bidi="en-US"/>
          <w:color w:val="111111"/>
          <w:sz w:val="28"/>
          <w:szCs w:val="28"/>
          <w:rtl/>
        </w:rPr>
        <w:t xml:space="preserve">Muhammad Kazem al-Tabatabaei al-Yazdi</w:t>
      </w:r>
    </w:p>
    <w:p>
      <w:pPr>
        <w:pStyle w:val="BookText"/>
      </w:pPr>
      <w:r>
        <w:rPr>
          <w:rFonts w:ascii="Times New Roman" w:hAnsi="Times New Roman" w:eastAsia="Times New Roman" w:cs="Times New Roman"/>
          <w:lang w:val="en-US" w:bidi="en-US"/>
          <w:color w:val="111111"/>
          <w:sz w:val="28"/>
          <w:szCs w:val="28"/>
          <w:rtl/>
        </w:rPr>
        <w:t xml:space="preserve">Research by:</w:t>
      </w:r>
    </w:p>
    <w:p>
      <w:pPr>
        <w:pStyle w:val="BookText"/>
      </w:pPr>
      <w:r>
        <w:rPr>
          <w:rFonts w:ascii="Times New Roman" w:hAnsi="Times New Roman" w:eastAsia="Times New Roman" w:cs="Times New Roman"/>
          <w:lang w:val="en-US" w:bidi="en-US"/>
          <w:color w:val="111111"/>
          <w:sz w:val="28"/>
          <w:szCs w:val="28"/>
          <w:rtl/>
        </w:rPr>
        <w:t xml:space="preserve">Ayatullah al-Haj Hussain Halabian al-Isfahani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الدکتور السيّد مضر سليمان الحسيني الحلّي ينتهي نسبه إلى زيد الشهيد سلام الله عليه. ولد في الحلة سنة 1944م ونشأ على والده الخطيب الحسيني (رحمة الله‌علیه) ثم التحق بالمدارس الرسمية إلى أن تخرج من الجامعة الحرة سنة 2010 بعد أن نال الدكتوراه في الأدب العربي. له الكثير من المؤلّفات والتحقيقات من ذلك: تحقيق (ديوان الشريف المرتضى) و(ديوان السيد حيدر الحلي) و(ديوان السيد سليمان الكبير) وغيرها، طبعت له مجموعة شعرية باسم: (صدى الأيّام). ما زال مكبّاً على التحقيق مستغلاً ما بقي له من أيّام في هذه الدنيا حريصاً على كلّ دقيقة من وقته.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جمع بین امتثال الأوامر الإلهیة واجتناب النواهي الإلهیة نال مرتبة عالیة من التقوى. وَتَزَوَّدُوا فَإِنَّ خَيْرَ الزّٰادِ التَّقْوىٰ‌. سورة البقرة: 197.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أخبرنا الدکتور السیّد محمّد بن عبدالعزیز الطباطبائي الیزدي وأخوه العالم الفاضل السیّد علي الطباطبائي الیزدي حفظهما الله أنّ رأي أبیهما المحقّق الطباطبائي (رحمة الله‌علیه) في تاریخ الولادة هکذا.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تکملة أمل الآمل، ج5، ص473 و 474.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التفسیر المطبوع باسم «مجد البیان».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الشیخ مهدي بن علي بن جعفر کاشف الغطاء. راجع: المفصّل في تاریخ النجف الأشرف، ج6، ص147.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أعیان الشیعة، ج10، ص43.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الذریعة إلى تصانیف الشیعة، ج22، ص405: «منتخب الرسائل: رسالة فارسية جمعها السيّد أبوالقاسم الإصفهاني من فتاوی حجة الإسلام السيد محمد كاظم اليزدي الطباطبائي النجفي، وطبع ببغداد سنة 1331 و 1329 ومع حواشي الشيخ عبدالله المامقاني سنة 1341».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الشیعة، ج17، ص71 و 72.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أحسن الودیعة في تراجم مشاهیر مجتهدي الشیعة، ص155و156.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رفع النزاع من البین في الصلح المقصود منه الفرار عن الدین، ص27 و 28.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علماء النجف الأشرف، ج2، ص458 و 459.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الرجال، ج2، ص326.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في تاریخ النجف الأشرف، ج7، ص212 و 213.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منار الهدى، ص210.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زندگاني حضرت آیة الله چهارسوقي، ص195 و196.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أقرب المجازات إلى مشایخ الإجازات، ص213. وکذا راجع: کتاب السیّد محمّد کاظم الیزدي للأستاذ کامل سلمان الجبوري، ص85. وکاشف الغطاء تلمّذ عند العلّامة الوحید البهبهاني ویروي عنه وعن السیّد مهدي الطباطبائي بحرالعلوم. راجع: إجازة الشیخ الأکبر الشیخ جعفر کاشف الغطاء للآخوند الشیخ المولى محمّدعلي القائیني. وللاطّلاع على طریق العلّامة الوحید البهبهاني إلى علمائنا السابقین راجع: البیان، ص16 و17؛ والجوهر الفرید في مهامّ الأسانید، ص17 وبعد.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المفصّل في تاریخ النجف الأشرف، ج8، ص41: «وأصبح الشيخ الزنجاني عالماً فقيهاً، وفيلسوفاً بارزاً، واستقلّ بالبحث والتدريس في الفقه والأصول، وقد أشار إليه الإمام السيد اليزدي بأنّه بعلمه يعادل مائة مجتهد، وبتقواه مائة عادل، وبعقله مائة وزير، وإذا تحققت صحة هذه المقولة، فإنّ الشيخ الزنجاني قد بلغ مرتبة عالية في الفكر والعلم».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السیّد محمّد کاظم الیزدي سیرته وأضواء على مرجعیته ومواقفه ووثائقه السیاسیّة للدکتور کامل سلمان الجبوري، ص92.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میزان الفقاهة، ج12، ص41. وحقّقنا رسالة في شروط صحّة الشرط من درس آیةالله السیّد الیزدي بقلم آیة الله السیّد الدرچهئي.</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عقود حیاتي، ص87.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طریق الوصول، ص147.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رسالة في حرمة الربا طبعت بتحقیقنا وقد ذکرنا في مقدمة الرسالة ترجمة منه (رحمة الله‌علیه) فراجع: مجلة تراثنا، العدد143، رسالة في حرمة الربا، ص144. أبوه أبوالمعالي نجل الحاج محمّدإبراهیم الکلباسي وأُمّه بنت المیرزا زین العابدین نجل العلّامة السیّد محمّدباقر حجّة الإسلام الشفتي. راجع: مکارم الآثار، ج4، ص1304.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شناخت­نامه آیة الله سید محمدکاظم طباطبائي یزدي، ص50 و104.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إلى تصانیف الشیعة، ج1، ص268.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العالم الفاضل المحقّق المدرّس الحاج الشیخ محسن بن علي الأحمدي الطهراني ولد في 14 شوّال المكرم سنة 1377ق - المطابق ل- 14 أُردیبهشت 1337ش - في طهران ونشأ بها والتحق بحوزة العالم الجلیل الشیخ أحمد المجتهدي ثمّ هاجر إلى قم المقدسة سنة 1401ق وحضر الرسائل والكفاية عند سیّدنا الأستاذ آیةالله السيد رسول الموسوي الطهراني وفي المكاسب عند آیةالله الشيخ محمد تقي ستوده وحضر بحث الخارج فقهاً وأصولاً على آیةالله العظمى الميرزا جواد التبريزي 12 سنة وهو مشتغل بالتدريس مايقربُ 20 سنة، ومن آثاره ترجمة كتاب «منتخب الأثر» الذي ألّفه شيخنا الأستاذ آیةالله العظمى الشیخ لطف الله الصافي الگلپایگاني إلى الفارسية، وتحقيق كتاب «شعب المقال في درجات الرجال» الذي ألّفه الميرزا أبوالقاسم النراقي وتحقيق کتاب «كشف الغطاء عن وجوه مراسم الاهتداء» الذي ألّفه المولى محمدحسن القزويني.</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العالم الریاضي الولائي الأستاذ الحاج مهدي حلبیان نجل الحاج مصطفى حلبیان الإصفهاني.</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الحاج السیّد جعفر الحجة الکشفي عالم فاضل خلیق وخطّاط ماهر ومؤلّف خبیر بالمخطوطات. ومن مؤلّفاته «کرّاسات في الاقتصاد الإسلامي». ولد في سنة 1325 ﻫ.ش في إستهبان من محافظة فارس وهاجر إلى قم المقدّسة وتعلّم المقدّمات بقم المقدسة عند أساتذة منهم الأستاذ أحمد أمین الشیرازي. ثمّ هاجر إلى النجف الأشرف ومن أساتذته آیةالله الشیخ محمّدمهدي الآصفي وشیخنا الأستاذ آیةالله الشیخ مصطفى الأشرفي الشاهرودي وآیةالله الشهید السیّد محمّدباقر الصدر وحضر على آیةالله العظمى السیّد أبوالقاسم الموسوي الخوئي أبحاث الاجتهاد والتقلید من علم الأصول. ثمّ أجبر بالعود وتشرّف بقمّ المقدّسة واستفاد من آیةالله العظمى السیّد علي العلّامة الفاني الإصفهاني وکان من خواصّه واستفاد منه کثیراً فقهاً وأصولاً خمس سنوات وقرّر أبحاثه وکذا حضر عند الأستاذ آیةالله السیّد أبوالقاسم الکوکبي في لجنة تحشیة العروة الوثقى وکتب أبحاثه. وحضر عند آیةالله الشیخ کاظم التبریزي وشیخنا الأستاذ آیةالله الشیخ حسین الوحید الخراساني وشیخنا الأستاذ آیةالله الشیخ محمّدهادي معرفت وآیةالله الشیخ ناصر المکارم الشیرازي. ومن مناصبه إمامة الجمعة بإستهبان وعضویة مجلس الشورى الإسلامي بعد الثورة الإسلامیّة ممثّلاً من إستهبان ونیریز ورئاسة متحف حرم حضرة فاطمة المعصومة سلام الله علیها. وتشرّف بحجّ البیت عام 1349 ﻫ. ش. ومن أعماله خطّ في ضریح العسکریین (علیهما‌السلام).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أعماله خطّ داخل القبة الشریفة للمولی مسلم بن عقیل سلام الله علیه وشاهد القبر الشریف وتمّ تنفیذها في إصفهان، والأروقة الخارجیة في الصحن الشریف، وخطّ الخطبة الفدکیة.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الأستاذ النبیل بطریقته - عین ما کتبه آیة الله العّلامة السیّد جعفر الحجّة الکشفي - بطلب الشیخ الفاضل المحقّق رافد الغراوي حفید آیة الله الفقیه الشیخ محمّدرضا الغراوي.</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في علوم القرآن والحدیث وإمام الجماعة بمسجد الأتابکي في مدینة یزد.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في التاریخ وحضر بحثنا في أصول الفقه في المشهد المقدّس الرضوي في مدرسة المیرزا جعفر.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«ابن».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«العبد العظیم».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«بسم الله الرحمن الرحیم الکلام».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الشارح عضدالدین الإیجي في شرح مختصر المنتهى، ص65: «أقول: قد استوفى مبادئ هذا العلم من اللغات وها هي مبادیه من الأحکام. والکلام في الحاکم ونفس الحکم والمحکوم فیه والمحکوم علیه».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«اللفظ».</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المحکمة في أصول الفقه، ج1، ص140.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«لیس» في المخطوطة.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الأحكام، ص62. وفيه: «السابعة: اعلم أنّ مسألة اجتماع الوجوب والحرمة من المسائل الکلامیة التي لیس من شأن الأصولي البحث عنها والمسائل الأصولیة التي یریدون بیانها هنا أنّه إذا ورد عامّان من وجه تنافیان فهل یخصّص أحدهما بالآخر في موضع التنافي أم لا؟».</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الإشارات والوافیة: «العدلیة». راجع: الوافیة في أصول الفقه، ص99 و 100.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إشارات إلى مفاتیح الأحکام، ج1، ص219.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المسترشدین، ج3، ص46.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المسترشدین، ج3، ص46.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مختصر منتهى السؤل والأمل في علمي الأصول والجدل، ص311، حیث قال: «مسألة: یستحیل کون الشيء واجباً حراماً من جهة واحدة إلّا عند بعض من یجوّز تکلیف المحال».</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معالم الدین، ص93. قال: «الحقّ امتناع توجّه الأمر والنهي إلى شيء واحد».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الفائدة والبرهان في شرح إرشاد الأذهان، ج2، ص112: قال في الوضوء في المکان الغصبي: «لم يأت بالمأمور به عرفاً... نعم العقل يجوّز الصحة لو صرّح بأنّه لو فعلت في المكان الغصبي بعد نهيك عنه، لصحّ وعوقبت بما فعلت من مخالفة الأمر في الجملة».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یثبت قولهما بالتفصیل عندنا. نعم، ربما یظهر من المحقّق القمي، ونسبه إلیه الشیخ الأعظم الأنصاري في مطارح الأنظار، ج1، ص695. فراجع: القوانین المحکمة في أصول الفقه، ج1، ص159، حیث قال: «لا يستحيل العقل ذلك ولا مانع أن يقول الشّارع: «صلّ ولا تصلّ في الدار المغصوبة ولكن لو صلّيت فيها لعاقبتك على إيقاعها فيها ولكنّك أتيت بمطلوبي»، ولا يدلّ اللّغة أيضاً على خلافه ولم يثبت اصطلاح من الشارع فيه أيضاً ولكنّ المتبادر في العرف من مثل ذلك التخصيص، بمعنى أنّ هذا الفرد من العامّ خارج عن المطلوب، والعرف إنّما هو المحكم».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«متجه»، وفي هامشها: «بدل: صحیح».</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«الحکم» في المخطوطة.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«والموجود» في المخطوطة.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«المبدء».</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«بحثها».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وفي مخطوطة مکتبة الوزیري: «کلتیهما». وفي بعض النسخ: «کلیهما».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«فیکون».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زبدة الأصول، ص21، حیث قال شیخنا البهائي (رحمة الله‌علیه) في تعریف علم الأصول: «وحدّه علماً: العلم بالقواعد الممهّدة لاستنباط الأحكام الشرعيّة الفرعيّة».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ج4، ص521، حیث قال شیخنا الأنصاري (رحمة الله‌علیه) بأنّ مسائل فنّ الأصول ما یبحث عن أحوال الدلیل.</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«البحث».</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«کما في».</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«کالبحث».</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«وأنّ». وفي مخطوطة مکتبة الوزیري: «أو أنّ».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«أو أنّ».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هذه العبارة في أحادیثنا.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«أو العموم».</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والطبعة الحجریّة، ص3 والطبعة المحقّقة، ص7: «ظاهر». وفي المخطوطة: «ظ».</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«یتعلّق».</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«حیثیة البحث من» في الطبعة الحجریّة، ص4. أضفناها من المخطوطة.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«نظر البدوي».</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القوانین المحکمة في أصول الفقه، ج1، ص140، حیث قال: «وهذه المسألة وإن كانت من المسائل الكلاميّة ولكنّها لما كانت يتفرّع عليها كثير من المسائل الفرعيّة ذكرها الأصوليون في كتبهم فنحن نقتفي آثارهم في ذلك. والذي يقوى في نفسي ويترجّح في نظري هو جواز الاجتماع».</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«أیضاً» لم ترد في المخطوطة.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استظهرنا هذا القول من کلام آیةالله­العظمى المجدّد الشیرازي في تقریراته، ص3، ص5 و6.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«فلأنّه».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المخطوطة وفي الطبعة الحجریّة، ص4. وفي هامش الطبعة المحقّقة: والظاهر: «لا بالمحال».</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«المبدء».</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ص593.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«واضح».</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«الشرعي» لم یرد في الطبعة الحجریّة، ص4. أضفناها من المخطوطة.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«المسألة» لم ترد في المخطوطة.</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ص594؛ وراجع: غایة المسؤول في علم الأصول، ص295، وفیه: «فالتحقیق أنّها داخلة في المبادي الأحکامیّة الباحثة عن أحوال الحکم ولوازمه».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المخطوطة ومخطوطة مکتبة الوزیري والطبعة الحجریّة،ص5. وفي الطبعة المحقّقة، ص9: «بخبر الواحد».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«مثلاً».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«تخصیصا».</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في کتاب التعارض، ص439، في التعدي عن المرجحات المنصوصة: «والأقوى التعدي إلى كلّ ما يوجب قوّة الطريق في طريقيّته النوعيّة، سواء حصل منه الظنّ الفعلي بالواقع أو بالصدور أو لا، بل وإن كان الظنّ الفعلي على خلافه إذا كان ذلك الظنّ حاصلاً من الخارج من الأمور الغير المعتبرة عند العقلاء».</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«دلیل».</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«أعمّ».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«متفرعات».</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«المنافات».</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«توسط».</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بحث الاجتماع وبحث مقدّمة الواجب.</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«بل وکذا».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«یدل».</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«تحقق أصل».</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ص6: «یکون».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«لللفظ».</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«بأنّها».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الدین وملاذ المجتهدین، ص62.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الشيرواني: «وقد يجاب بأنّ صحة التصريح بعدم وجوب المقدمة لا ينافي ظهور وجوبها عند عدم التصريح إذ يجوز التصريح بخلاف ما هو الظاهر کما في القرائن الصارفة في المجازات عن المعانی الهیّیة والخصم لا یدعی إلّا ظهور وجوب المقدمة عند ايجاب ذي المقدمة مع عدم دليل وقرينه». راجع: حاشية معالم الدین، ص73. مخطوطة في مکتبة مجلس الشورىٰ الإسلامي برقم 90156.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المخطوطة:«کون اللفظ».</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«اللغوي» لم ترد في المخطوطة.</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ص199 إلى 203.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«حتى یق لیس مراد من یجعل انه لا یعقل...».</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«الملازمة» لم ترد في المخطوطة.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المخطوطة:«المنافات».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«الجعلي».</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«العرفي».</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المخطوطة:«لا یطلق». في الطبعة الحجریّة، ص6: «لا ینطبق».</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«متعلقا».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لکن هذه الإرادة بعیدة جدّاً، وکذا وضع اللفظ الدالّ على الوجوب على إرادة عدم حرمة متعلّق الوجوب.</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«تعلیق».</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«شيء».</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«الللازم».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«اللزوم العَقلي عقلي و...».</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«في إمکان کون کون البحث لفظیًا».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«صاحب».</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«ص لم في من ذکر».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معالم الدین وملاذ المجتهدین، ص93.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الفائدة والبرهان في شرح إرشاد الأذهان، ج2، ص112: قال (رحمة الله‌علیه)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المخطوطة:«الذي یفهمه العقل من العقل من الوجوب...».</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«معناهما».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المخطوطة:«معناهما».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المعنى العرفي والمعنى الحقیقي العقلي.</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«یتعلقها». وفي مخطوطة مکتبة الوزیري: «یتعلقه».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بتعبیر هدایة المسترشدین، ج3، ص488: «إنشاء اقتضاء الفعل، سواء وافق الإرادة القلبيّة من الأمر لوقوع الفعل أو لا». وراجع: بدایة الأفکار، ص206، حیث قال: «فالأمر عند المعتزلة عبارة عن الإرادة المقرونة بالكاشف القولي وعند الأشاعرة عبارة عن إنشاء الاقتضاء المقرون بذلك القول و هو غير الإرادة عندهم ويسمّونه بالطّلب ومن ذلك يظهر أنّ المعتزلة لا بدّ لهم من تفسير الأمر بغير الطّلب كما صرّح به الحاجبي والعضدي؛ لأنّ الطلب ليس كلاماً لفظياً بالضّرورة».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«أعمّا».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تخصیص أحد العامیّن من وجه في مورد الاجتماع بالعامّ الآخر.</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المسترشدین، ج3، ص46.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«منها».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«مناط».</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الأحکام، ص62.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«فعلاً».</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على هذا ینبغي طرح المسألة في مباحث العامّ والخاصّ ولانرى من طرحها هناك.</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«ذکرها».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إشارات إلى مفاتیح الأحکام، ج1، ص220. وقال الفاضل التوني في الوافیة في أصول الفقه، ص99 و 100: «ثمّ اعلم: أنّ هذه المسألة من المسائل العدليّة من علم الكلام، أوردتها هنا لنفعها في بعض مسائل هذا العلم، فهي من المبادئ التصديقيّة، وإيرادها في الأدلّة العقلية أيضاً غير بعيد، إلّا أنّها لا يستدلّ بها إلّا على نفي الحكم الشرعيّ، كأصالة براءة الذمّة».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«القول».</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«القائل».</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وفي مخطوطة مکتبة الوزیري: «بالجواز».</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«دلیل».</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«وعند القائل بحجیّة بعدم الحجیّة».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یمکن أن یکون نظره إلى أنّ موضوع علم الأصول أعمّ من الدلیل وما یدّعى أنّه دلیل.</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 «المذکورة».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لم یرد في المخطوطة.</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أصول الفقه.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«فلا یتفاوت».</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«سائر مقدّمات مقدّمات الفقه».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«من الثمر».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«أصل».</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لسان العرب، ج1، ص216، یظهر منه أنّ الجواز بمعنى السیر والسلوك. وبمعنى صَكّ المسافر. راجع: العین، ج6، ص165.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قال في مطارح الأنظار، ج1، ص597.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لسان العرب، ج1، ص216، قال: «تجاوز عن الشيء: أغضى، وتجاوز فیه: أفرط».</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ضوابط الأصول، ص151، حیث قال: «الجهة السّادسة: قد يطلق الجواز ويراد به ما يقابل الحرمة أو الوجوب، وقد يطلق ويراد به ما يقابل الفساد الشّرعي كما يقال: «يجوز بيع المعاطاة» أي يصحّ ويترتب عليه الأثر، وقد يطلق ويراد به الصحّة اللغوية كما يقال: «يجوز استعمال المشترك فى المعنيين» وقد يطلق ويراد به ما يقابل الامتناع الذاتي، وقد يطلق ويراد به ما يقابل القبح العقلي فيقال: «يجوز ذلك عقلاً» أي لا يقبح سواء تساوى طرفاه أم ترجّح أحد طرفيه». وراجع: مطارح الأنظار، ج1، ص597.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«بجواز».</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«في ما».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«القبیح».</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«الکذّاب».</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«قد» في المخطوطة.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«أو».</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«والقبیح».</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«شرعي تکلیفي ووضعي وعقلي ولغوي».</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«محلّ».</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«ثانیهما».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القمي في القوانین المحکمة في أصول الفقه، ص145 قال: «وأمّا قصد التقرّب فهو أيضاً يمكن بالنّسبة إلى أصل العبادة وإن كان لم يحصل القرب لعدم استلزام قصد التقرّب حصول القرب وإلّا فلا يصحّ أكثر عباداتنا التي لا ثواب فيها أصلاً لو لم نقل بأنّ فيها عقاباً من جهة عدم حضور القلب ووقوع الحزازات الغير المبطلة على ظاهر الشّرع فيها، مع أنّ قصد التقرّب لا ينحصر معناه في طلب القرب والزلفى والوصول إلى الرّحمة فإنّ من معانيه موافقة أمر الآمر فهذه العبادة من حيث إنّها موافقة لأمر الآمر يمكن قصد التقرب بها وإن لم يحصل القرب بها من جهة مزاحمة منقصة الخصوصيّة».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«الجهة».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«الحیثیة» في المخطوطة.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«ههنا».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«کذا».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«المغصوبة».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والطبعة المحقّقة، ص16: «المأمور به».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«فرض» في المخطوطة.</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«وأنّها».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غایة المسؤول في علم الأصول، ص295، حیث قال: «والظّاهر من العنوان هو توارد الأمر والنّهي بجميع خواصّهما وآثارهما من الإطاعة والعصيان والثّواب والعقاب».</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«الاجتماع الذي لیس من شأنه ما ذکر». ولم یرد «لیس» في الطبعة الحجریّة، ص9 والطبعة المحقّقة، ص16.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المخطوطة، وفي المصدر: «الطلب».</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المخطوطة، وفي المصدر: «لا یسقط الطلب».</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العضد على مختصر المنتهى، ص83.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«عدم الدلیل الأمر». وفوق «الدلیل» کتب «ز» مشعراً بزیادته.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«القولین».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«بالاجتماع».</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«إن».</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«مدخلا».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«اجتماع».</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«فیه».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«من حیث».</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«اما».</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«آخرا».</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«بأنّ».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«الاختیار».</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«واحد».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«به» في المخطوطة.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في المخطوطة.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«وذلك».</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«لم یکن».</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«مطلقاً».</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«لدفع».</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لأنّ المولى.</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بالنسبة إلى غیر عبده.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«المأمور به».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الآمري المشوب مع عدم الاختیار.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من الأقسام الأخر.</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عن محلّ النزاع.</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والطبعة الحجریّة، ص10 والطبعة المحقّقة، ص18: «قبلها».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«وإن یمکنه».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الآمري المشوب مع الاختیار حین العمل.</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من الأقسام الأخر.</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عن محلّ النزاع.</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مخطوطة مکتبة الوزیري: «العینیّة».</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«یمکن».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تقریرات آیة الله المجدّد الشیرازي، ج3، ص14.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«أو شرعاً».</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«لمّا».</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«ولا ذاك».</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(1). الآمري المشوب مع الاختیار حین العمل، (2). الآمري المشوب مع عدم الاختیار حین العمل، (3). المأموري المشوب.</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«الثلثة».</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«من مناهج».</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مناهج الأحکام، ص60، وفي المخطوطة والطبعة الحجریّة، ص11، والطبعة المحقّقة، ص20: «عدمها». والظاهر أنّ الصحیح «عدمه» بمعنى عدم وجوب المقدّمة، إلّا أن نقول: کسب «وجوب» من «المقدّمة» التأنیث.</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«ومتفرّع علیه» في المخطوطة ومخطوطة مکتبة الوزیري.</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«المحرمة المحضة».</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«المحرمة المحضة».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الأحکام، ص60 و61.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العضد على مختصر المنتهى، ص82 إلى 84.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«المذکور».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المخطوطة:«ههنا».</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الفرد الجامع.</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«ص هج».</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وفي مخطوطة مکتبة الوزیري: «لا انّ».</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موجود في المخطوطة ولم یرد في الطبعة الحجریّة، ص12.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والطبعة الحجریّة: «ان».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یمکن أن یکون التأمّل إشارة إلى جواز اجتماع ذات المأمور به مع المنهيّ عنه حتّى في التعبّدیات کما مضى في الموضع الثاني من المقدّمة الأولى من هذا الکتاب، حیث التزم بصحّة الصلاة في الدار المغصوبة حتّى على القول بعدم جواز الاجتماع.</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 «کذلك» من المخطوطة، ولم یرد في مخطوطة مکتبة الوزیري و في الطبعة الحجریّة، ص13.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«من».</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«لیس من الاجتماع».</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«بالخیاطة».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«أیضاً».</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لمزید البیان راجع: هدایة المسترشدین، ج3، ص110، والتنبیه السادس من تنبیهات هذا الکتاب.</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«أو مختلفین».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إشارات إلى مفاتیح الأحکام، ج1، ص220.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ص124.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إشارات إلى مفاتیح الأحکام، ج1، ص219.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«لأنّه».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ولمزید البیان راجع: التنبیه الخامس من تنبیهات الکتاب.</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ص96، قال: «المانع من اجتماع النفسيين إنّما هو تنافي قضيتهما فإنّ كون الشي‌ء الواحد بالشخص مراداً ومحبوباً كما هو قضية الأمر ينافي كونه مكروهاً ومبغوضاً كما هو قضية النهي وهذا كما ترى لا يختص بالنفسيين بل يجري فيهما وفي الغيريين والملفّق منهما».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یستفاد هذا المطلب من کلام صاحب المعالم (رحمة الله‌علیه) حیث قال في جواب المستدلّ للجواز بالخیاطة في الدار الممنوعة المغصوبة: «المتعلّق فیه مختلف فإنّ الکون لیس جزءاً من مفهوم الخیاطة بخلاف الصلاة»، راجع: معالم الدین وملاذ المجتهدین، ص95، ووجه الاستفادة أنّ الکون في الخیاطة مقدّمة للواجب أي للخیاطة وفي الصلاة جزء الصلاة، فالکون في الخیاطة مأمور به بالأمر الغیري المقدّمي وفي الصلاة مأمور به بالأمر بالأمر النفسي الضمني. فکأنّه أجاز صاحب المعالم (رحمة الله‌علیه) تعلّق الأمر والنهي بالکون في الخیاطة لأنّ النهي فیه نفسي لأنّ المولى نهاه والأمر غیري بأنّ المولى أمره بالخیاطة ولازم الخیاطة ومقدّمتها الکون والتزم صاحب المعالم (رحمة الله‌علیه) بکفایة تعدّد الجهة لتعدّد المتعلّق في مثل النهي النفسي والأمر الغیري. فتدبّر فإنّ هذه الاستفادة غیر جلیّة، لا یظهر إلّا على المتأمّل.</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القول أیضاً رأي المحقّق المیرزا حبیب الله الرشتي. فراجع: بدائع الأفکار، ص324، حیث قال: «ولا فرق في امتناع اجتماعهما بین کونهما أصلیین أو تبعیین أو مختلفین حسبما یأتي تحقیقه».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أنّ التقسیم إلي التوصلي والتعبديّ في جانب الأمر فقط، وأمّا في جانب النهي فعن المصنف في حاشیة الفرائد، ج2، ص225 و226: «ثم فرض الحرام التعبّدي أيضاً فيه كلام؛ لأنّا لم نجد له مثالاً في الشرع وإن مثّل بالصوم فإنّ حقيقته ترك أمور تعبداً، وفيه ما لا يخفى فإنّه من الواجبات التعبّدية لا المحرمات التعبدية، وفرق بين وجوب الترك وحرمة الفعل، وإن جعلنا حقيقة الصوم الكفّ عن الأمور المعهودة فالأمر أوضح».</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ولمزید البیان راجع: التنبیه الرابع من تنبیهات الکتاب.</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معالم الدین وملاذ المجتهدین، ص95، حیث قال: «إنّ الظاهر في المثال المذکور إرادة تحصیل خیاطة الثوب بأيّ وجه اتّفق».</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المخطوطة: «عدم» فقط.</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في التوصلیات.</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«کان».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«أو جواز».</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اجتماع ذات المأمور به مع المنهي عنه.</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الموضع الثاني من المقدّمة الأولى حیث قال في أوائل الموضع: «الصلاة في الدار الغصبیة لیست مأموراً بها لکنّها صحیحة... کما نلتزم به على فرض القول بعدم الجواز...». وکذا حیث قال في أواخر الموضع الثاني: «وفي التعبّدي لیس بجائز. فتأمّل». ویحتمل أن یکون أمره بالتأمّل إشارة إلى الجواز.</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«أیضاً».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«کمن توسط».</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«بالمنافات».</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«محل النزاع».</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إشارات إلى مفاتیح الأحکام، ج1، ص219.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ص601.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إشارات إلى مفاتیح الأحکام، ج1، ص219.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«الشیئین».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الحاجب الأشعري المالکي في مختصر منتهى السؤل والأمل، ص309: «مسألة: یجوز أن یحرّم واحد لا بعینه خلافاً للمعتزلة».</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القواعد والفوائد، ج1، ص204، قاعدة 54، حیث قال: «وهل يصحّ النهي تخييراً؟ منع منه بعضهم؛ لأنّ متعلّقه هو مفهوم أحدها، الّذي هو مشترك بينهما، فيحرم جميع الأفراد؛ لأنّه لو دخل فرد إلى الوجود لدخل في ضمنه المشترك، وقد حرم بالنهي. لا يقال: ينتقض بالأختين، والأم، والبنت، فإنّه منهي عن التزويج بأيّتهما شاء. فنقول: التحريم هنا ليس على التخيير؛ لأنّه إنّما يتعلّق بالمجموع عيناً لا بالمشترك بين الأفراد، ولمّا كان المطلوب أن لا تدخل ماهية المجموع في الوجود، وعدم الماهية يتحقّق بعدم جزء من أجزائها، أيّ الأجزاء كان، فأيّ أخت تركها خرج عن عهدة النهي عن المجموع».</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مبنى المصنّف (رحمة الله‌علیه) في الوجوب التخییري الشرعي، وجوب الکلّ على المکلّف تخییراً لا الواحد لا بعینه أو معیّناً عند الله، وأنّه مشوب بجواز الترك إلى البدل. فراجع: منجزات المریض، ص63 و64.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وفي مخطوطة مکتبة الوزیري: «متصور».</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«عدم».</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23.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«ذلك».</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«بالجمع»، وفي الطبعة الحجریّة، ص15: «بالجمیع»، وفي مخطوطة مکتبة الوزیري: «بالجمع».</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«متفرع».</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المصنّف (رحمة‌الله): «فإذا تعلّق الحرمة بشيئين على وجه التخيير اقتضى أن يكون في کلّ منهما مفسدة»، لم یستفد من کلام هدایة المسترشدین في هذا البحث. فراجع: هدایة السترشدین، ج2، ص320 و 321.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«کل واحد».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مكتبة الوزيري والطبعة الحجریّة، ص15: «لا یقتضي».</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«المصلحة».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«ولانّه».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«أراد».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ج2، ص320 و 321.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«بتغیر».</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«یؤّل».</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«ولانه».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«على جواز».</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«والفرض».</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«الحرمة المجموع».</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«یکون».</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«یکون».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«تخییریًا».</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«کونها».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«الإشکال».</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«وبالحرام».</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شطب علی: «معاً».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«عدم إتیانهما وجعل الواجب»، وفي المخطوطة، والطبعة الحجریّة، ص16: «وجوب الواجب». وفي الطبعة المحقّقة، هامش ص27: «والظاهر تصحیف هذه الکلمة والصحیح: عدم أتیانهما معاً إذ الواجب».</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«متعدًا»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 یرد في المخطوطة.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یرد: «أنّه».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«أو عمروا».</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یرد: «ممّا».</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«في کون».</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«التعین».</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«محلّ».</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«منهما».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یرد: «بالاجتماع».</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ص17: «اجتماعها».</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«لا نم».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یرد: «محلّ».</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«في تصویر».</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«ما ذکر».</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ص601.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وفي الطبعة الحجریّة، ص17: «فیهما»، وفي بعض النسخ: «فیها».</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«بمعنی».</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«ذکرنا».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المخطوطة. ویحتمل أن یکون المراد أنّ فرضه غیر جائز لکون التکلیف حینئذٍ سفهیّاً کما یقال في الأمر التخییري الشرعي والنهي التعییني الشرعي أو بالعکس. ویحتمل: «غیر جارٍ»، یعني النزاع غیر جارٍ. قال المصنّف آیة الله العظمى السیّد محمّدکاظم الطباطبائي الیزدي في العروة الوثقى، ج2، ص369: «المحبوس في المكان المغصوب يصلّي فيه قائماً مع الركوع والسجود إذا لم يستلزم تصرّفاً زائداً على الكون فيه على الوجه المتعارف كما هو الغالب، وأمّا إذا استلزم تصرّفاً زائداً فيترك ذلك الزائد ويصلّي بما أمكن من غير استلزام، وأمّا المضطر إلى الصلاة في المكان المغصوب فلا إشكال في صحّة صلاته».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یرد: «سفهي»، وفي مخطوطة مکتبة الوزیري: «تکلیف مح» یعني: تکلیف محال.</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«یخصّص».</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تقریرات آیة الله المجدّد الشیرازي، ج3، ص14.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الموضع الثاني من المقدّمة الأولى.</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یرد: «من».</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«بالامتناع الاجتماع».</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یرد: «جمیعاً».</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«بقیة».</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«علیه»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في المثال من الواجب التخییري بالتخییر العقلي؛ فإنّ المکلّف مخیّر في الصلاة بین الأماکن المختلفة.</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خروج هذا المثال من مبحث اجتماع الأمر والنهي، وهذا المثال من قبیل العامّ والخاصّ ومبحث التخصیص.</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«عینا».</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یرد: «عیناً».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المخطوطة والطبعة الحجریّة، ص19. وفي بعض النسخ: «فیها».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«المختلفین».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«کفایة» في الطبعة الحجریّة، ص19، وأضفناها من المخطوطة.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«ورود».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«حرمته».</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یرد: «قوله».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«ولا یتخیر».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«ولا توجدها».</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 «طبیعة النوم».</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«وترکه کك».</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بعض النسخ: «الاجتماع». أثبتناه من المخطوطة، وفي الطبعة الحجریّة جاء في هامش ص19.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«أصلاً»</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«آخره».</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«فیکون».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«الاجتماع».</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والمخطوطة والطبعة الحجریة ص20، والطبعة المحقّقة، ص33: «الموسّعین». والظاهر أنّ الصحیح: «التخییریین». راجع: مطارح الأنظار، ج1، ص601 و602.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إشارات إلى مفاتیح الأحکام، ج1، ص219.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«خروجهما».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«کونهما».</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وهل یمکن أن یکون زمان الوجوب قبل زمان الواجب؟ راجع: رسائل الشريف المرتضى، ج2، ص318؛ والفصول الغرویّة، ص79 و80.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«دخوله».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یرد: «صاحب».</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ص138، حیث قال: «والحقّ أنّه مأمور بالخروج مطلقاً أو بقصد التخلص وليس منهياً عنه حال كونه مأموراً به لكنه عاص به بالنظر إلى النهي السابق... لنا أن المكلّف في الزمن الذي لا يتمكن من الخروج فيما دونه لا يتمكن من ترك الغصب فيه مطلقاً فلا يصح النهي عنه مطلقاً؛ إذ التكليف بالمحال محال عندنا وإن كان ناشئاً من قبل المكلف للقطع بكونه سفهاً. نعم ربما يجوز أن يؤمر به حينئذٍ على وجه التعجيز والسخرية لكنّه خارج عن المتنازع». وقال في بحث الضدّ، ص96: «إنّ التكليف بالمحال محال مطلقاً».</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«قبل دخوله».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«عنه»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«السابقي»</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«تعدد»</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«ولاتكرم زيدا».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«مترتبا».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«لکنه».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«وعصیان».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ج3، ص103 وبعدُ. وقال آیة الله العظمى الحاج الشیخ مرتضى الحائري الیزدي (رحمة‌الله) في مباني الأحکام في أصول شرائع الإسلام، ج1، ص414 و415: «الحقّ عدم جواز الاجتماع بوصف الفعليّة بنحو العَرْضيّة، ولكن لا مانع من الاجتماع بنحو الترتّب كما في الضدّين».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التنبیه الخامس من تنبیهات الکتاب.</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«مترتب».</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التنبیه السابع من تنبیهات الکتاب.</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ص124.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ص97.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والطبعة الحجریّة، ص21: «ترك الترك». وهل ترك ترك الضد إلّا فعله؟!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التنبیه الخامس من تنبیهات الکتاب.</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یرد: «فتدبّر».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اجتماع المحبوبیّة والمبغوضیّة.</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«التكتف وهو وضع إحدى اليدين على الأخرى بحائل وغيره فوق السُرة وتحتها بالكف عليه وعلى الزند لإطلاق النهي عن التكفير الشامل لجميع ذلك». راجع: الروضة البهیّة، ج1، ص235.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«وکذا».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یرد: «اجتماع».</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«المجموع»، وفي الطبعة الحجریّة، ص21: «المجمع»، وفي مخطوطة مکتبة الوزیري: «الجمع».</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«الکلیین».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«به».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«والفاسق».</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«إنّه».</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القواعد الشریفة، ج1، ص42. ولعلّ الفاضل الجاپَلَقي (رحمة‌الله) أخذه من أستاذه شریف العلماء المازندراني (رحمة‌الله). وطرح البحث في هدایة المسترشدین، ج3، ص46 شبیه بالتحریر المذکور والهدایة مقدّم على القواعد الشریفة وما جاء في المتن من التحریر الأوّل أشبه بما في القواعد الشریفة وشبیه بما في الهدایة فراجع وتدبّر.</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معالم الدین وملاذ المجتهدین، ص93 حیث قال (رحمة‌الله): «وإن تعدّدت الجهة بأن کان للفعل جهتان یتوجّه إلیه الأمر من إحداهما والنهي من الأخرى فهو محلّ البحث». وکذا راجع: شرح العضد، ص83.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«ظاهر التحریر الأوّل اختصاصه» ولم یرد «و» و «النزاع».</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«مجتمعًا».</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«لکلیین».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لم یرد في الطبعة الحجریّة، ص22، أضفناه من المخطوطة.</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«والنهي کذلك». وفي مخطوطة مکتبة الوزیري: «للکلي الآخر».</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مكتبة الوزيري: «منطبق».</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«متعلقهما».</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یرد: «قصر».</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«الظ».</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یرد: «النهي».</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«إمّا».</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«عموما».</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«عموم مطلقا».</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المسترشدین، ج3، ص46.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«متعلقي».</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«قد عرفت».</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«صورة» في مخطوطة مکتبة الوزیري وفي الطبعة الحجریّة، ص23، وأضفناها من المخطوطة.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«من».</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«تباین».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والطبعة الحجریّة، ص23: «متباینین». وفي الطبعة المحقّقة، ص38: «متباینتین».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تأمّل؛ فإنّه قال: الظاهر عدم الاختلاف بینهما إلّا بمجرد التعبیر. وقال: فالمحرّر على الوجه الأوّل لا حظ المتعلّق. وقال: والمحرّر على الوجه الثاني لاحظ نفس مورد الاجتماع. فنقول: المتعلّق ونفس مورد الاجتماع في الواقع والخارج واحد یمکن تصویر تعدّد الجهة في المتعلّق الخارجي الواقعي الذي هو نفس مورد الاجتماع.</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یرد: «محلّ».</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«انما هو في».</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 المحقّق النائیني الجهة التقییدیّة بأنّها مکثّرة للموضوع. فراجع: فوائد الأصول، ج2، ص397.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حاشیة القوانین لشریف العلماء، ج1، ص248: «المراد بالجهة هنا هو التقییدي أي ما یکون قیداً للموضوع دون التعلیلي الذي هو علّة للحکم مثلاً: إذا قال: «أکرم زیداً لعلمه» إن کان العلم علّة لوجوب الإکرام فهو تعلیلي، وإن کان قیداً للإکرام أي أکرمه بهذا القصد فهو تقییدي، فمع فقد الجهة سنخاً أو وجودها في کلّ من الأمر والنهي أو في أحدهما مع کونهما تعلیلیّتین أو أحدهما فلا یجوز الإجتماع قطعاً إلّا إذا کان جهة الأمر تعلیلیّاً والأخرى تقییدیّاً فلا شكّ في جوازه کما لا یخفی».</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ج3، ص48.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«لا یجدي».</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مناهج الأحکام، ص58: «ومنها أنّ قوله: «وتعدّد الجهة لا یوجب تعدّد المحلّ» إنّما یصحّ إذا کانت الجهتان تعلیلیتین وأمّا إذا کانتا تقییدیتین فلا؛ إذ لا یلزم حینئذ اجتماع المتنافیین في موضع واحد. والظاهر أنّ الصلاة في الدار المغصوبة من الثاني؛ لأنّ متعلّق الوجوب هو ماهیّة کون الوجوب من حیث هو کون مطلق ومتعلّق الحرمة الخصوصیة، وجوابه - مضافاً إلى أنّه مناقشة في ماهیّة المثال؛ لأنّ کلامنا فیما کانت الجهتان تعلیلیتین؛ إذ لا نزاع في التقییدیتین کما في لطم الیتیم تأدیباً وظلماً - أنّه جعل الجهتین جهتي الإطلاق والتقیید فجعل الکون واجباً من الجهة الأولى وحراماً من الثانیة وغرض المستدلّ هو الوجوب التخییري للکون المقیّد أیضاً من باب الفرد، مع أنّه قد عرفت ممّا نقلنا من کلام السیّد الداماد (رحمة‌الله) ما یظهر منه فساد جعله الجهتین المذکورتین تقییدیتین. کیف ولو کانتا تقییدیتین فما الجهتان تعلیلیتان؟».</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 ومخطوطة مکتبة الوزیري: «الجهة».</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«الفردین».</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«المتعلق».</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«بملاحظة أنّه فاسق».</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والطبعة الحجریّة ص23: «اندراجهما». وفي هامش الطبعة المحقّقة، ص39: «والظاهر «اندراجه» أي الموضوع الواحد».</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والطبعة الحجریّة، ص23: «المحرّم»، وفي الطبعة المحقّقة، ص39: «المحرمة».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«في الحقیقة الحکم».</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والذي یظهر من کلامه في الجواب عن الدلیل التاسع للمانعین أنّ الجهتین الموجودتین في المجمع جهتان تقییدیتان، فراجع إلى ما ذکره هناك و إلى ما علّقناه هناك في الهامش.</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«على المعنی».</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«عنه».</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«النزاع».</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«بناء».</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«لا تفاوت».</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لم یرد في الطبعة الحجریّة، ص24، وأضفناه من المخطوطة.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معالم الدین وملاذ المجتهدین، ص93 إلى 96.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کلامه (رحمة‌الله) محلّ تأمّل. إن حکمنا بخروج کلتا الصورتین فهل هنا صورة ثالثة بحثوا عنها أم لا؟ وإن لم تکن صورة ثالثة کما هو المفروض بحثوا عن إحدى الصورتین لا محالة. فلا ینبغي الحکم بخروجهما مع بحثهم عنهما على فرض تعدد الجهة.</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«تعلیلتین».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«لا» في المخطوطة، وأثبتناه من الطبعة الحجریّة، ص24، ومخطوطة مکتبة الوزیري.</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«مج».</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«فیه».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«مقیّدان».</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وفي الطبعة الحجریّة، ص24: «ذهناً».</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وفي الطبعة الحجریّة، ص24: «خارجاً».</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«أو لا».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ضوابط الأصول، ص147 و 148.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التحریر الأوّل موجود في کتاب القواعد الشریفة ومؤلّفه (رحمة‌الله) من تلامذة شریف العلماء المازندراني (رحمة‌الله)، والتحریر الثالث والرابع مضمونهما موجود في ضوابط الأصول ومؤلّفه (رحمة‌الله) أیضاً من تلامذة شریف العلماء المازندراني (رحمة‌الله).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یرد: «محلّ».</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«صورة».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ج3، ص47 و 48.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المخطوطة والطبعة الحجریّة، ص24، یعني: صورة اتحاد المتعلّق في التخییرین والکفائیین داخلة في مناط النزاع.</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«الذاتین».</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«والآخر».</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هذا إلى بعض المعتزلة، راجع نهایة الوصول إلى علم الأصول لابن السّاعاتي، ص105 و106.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هذا الکلام تأمّل. ولوجدان المبنى الصحیح في المسألة راجع تقدیمنا على رسالة شریف العلماء المازندراني (رحمة‌الله) في بیان جواز النسخ، ص92 إلى 94.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«المتعلّق».</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«تلازمها»، وفي الطبعة الحجریّة، ص25، ومخطوطة مکتبة الوزیري: «تلازمهما».</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«بالمح».</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التجویز منسوب إلى الأشاعرة.</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«بالمح».</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«وهي».</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«بالمح».</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منع «أن يكون الشي‌ء الواحد من الجهة الواحدة مأمورا به منهيا عنه».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معالم الدین وفي المخطوطة: «المجیزین»، وفي الطبعة الحجریّة، ص25: «المجوّزین».</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للتکلیف بالمحال.</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«مح».</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الدین وملاذ المجتهدین، ص93 و 94.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المقام یرتبط بما في الهدایة، فراجع: هدایة المسترشدین، ج3، ص49 و50 و51، حیث بیّن الوجوه وردّ علیها.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«یق».</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ص25: «التکوینات».</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«لا نم».</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«مناقضة».</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«جزئیهما».</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الطبعة الحجریّة، ص26، وفي المخطوطة: «لا وجوب».</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«منشاء».</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«کك».</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المکاسب، ج3، ص18، حیث قال الشیخ الأعظم الأنصاري (رحمة‌الله): «فالبیع وما یساویه معنى من قبیل الإیجاب والوجوب لا الکسر والانکسار». وکذا راجع حاشیة السیّد الطباطبائي الیزدي (رحمة‌الله) على المکاسب، ج1، ص311.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ج3، ص50.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«والمنشائین».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«الإنشائین».</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یرد: «الحال».</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«فدعوی».</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«فیتم».</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«بالمح».</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«هما»، وفي الطبعة الحجریّة، ص27: «هي».</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«مح»، وفي الطبعة الحجریّة، ص27: «محال».</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«ینفون اه».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«عنه».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«شکر المنعم».</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 غیر موجود في المخطوطة.</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یرد: «أنّه».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«الطاعة».</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«اعترف».</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«وغیرهما».</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«یقتضي».</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«تواردهما».</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«بواسطة».</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«فیمکن».</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«ولا منافات».</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«الفعل الواحد».</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«الأخریٰ».</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«بأنّه».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«أیضاً».</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«لها».</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«الصورتین».</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والطبعة الحجریّة، ص28: «انشاء».</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والطبعة الحجریّة، ص28: «فلم ینشاء»،</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من المحقّق.</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المألوف عندنا: «وزجره أیضاً عن الفعل».</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«منشاء»، وفي الطبعة الحجریّة، ص29: «منشأ».</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«حقیقیین».</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«أو لا تصم».</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«متضادتان»، وفي بعض النسخ: «متضادّان».</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«اجتماعهما».</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محمّدشریف بن حسنعلي المشهور بشریف العلماء الحائري المازندراني (رحمة‌الله) أستاذ صاحب الضوابط (رحمة‌الله) والشیخ الأنصاري (رحمة‌الله) وکثیر من العلماء. له رسالة في بیان جواز النسخ. توفي في الحائر الحسیني سنة 1246ق. وللاطّلاع على أحواله وتراثه الفقهي والأصولي راجع مقالتنا باسم «التراث المتبقى من شریف العلماء» في مجلة تراثنا العدد 137. وقبله جاء هذا المطلب في القوانین المحکمة في أصول الفقه للمیرزا القمي (رحمة الله‌علیه)، ص،140، حیث قال: «وأمّا الواحد بالشخص الذي لم يتعدّد الجهة فيه بأن يكون مورداً لهما من جهة واحدة فهو ممّا لا نزاع في عدم جوازه إلاّ عند بعض من يجوّز التكليف بالمحال وربّما منعه بعضهم تمسكاً بأنّ هذا التكليف محال لا أنّه تكليف بالمحال».</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ضوابط الأصول، ص139، حیث قال: «والحاصل: أنّ التكليف الحقيقي بنفسه محال والأشاعرة أيضاً لا يجوزون ذلك وإن جوزوا التكليف بالمحال». وقال صاحب الروضات في روضات الجنات، ج1، ص39، في شأن کتاب ضوابط الأصول للسیّد إبراهیم بن محمّدباقر الموسوي القزویني: نوقش فيه بكون أكثره من تقريرات شيخه الشريف.</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نتائج الأفکار للسیّد إبراهیم الموسوي القزویني، ص60، حیث قال: «متعلق الأمر والنهي إن اتحدا جنساً والمراد به أعم من النوع والصنف جاز اجتماعهما وخلاف البعض لا عبرة به أو شخصاً وجهة لم يجز اتفاقاً ونقل الخلاف فيه مزيّف. فتأمّل». والسیّد إبراهیم بن محمّدباقر صاحب ضوابط الأصول ونتائج الأفکار ودلائل الأحکام في شرح شرائع الإسلام، حکي عن خطّ أخیه أنّ کان مولده في شهر ذي الحجة سنة 1214 ق، ووفاته في آخر لیلة الخمیس 17 شهر شوال المکرم سنة 1262ق.</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«ص لم».</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«هیٰهنا».</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«أنّه».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«داخل».</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«من».</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«لم یکن».</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إذا قلنا بأنّ علّة الحرام حرام.</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القوانین المحکمة في أصول الفقه، ج1، ص153، حیث قال: «وأمّا ما لا يمكن الانفكاك عن أحد الطّرفين مثل من دخل دار غيره غصباً ففيه أقوال: الأوّل: أنّه مأمور بالخروج وليس منهيّاً عنه ولا معصية في الخروج، والثّاني: أنّه عاص لكن لم يتعلق به النّهي عن الخروج، والثّالث: أنّه مأمور به ومنهي عنه أيضاً ويحصل العصيان بالفعل والترك كليهما وهو مذهب أبي هاشم وأكثر أفاضل متأخرينا بل هو ظاهر الفقهاء وهو الأقرب فإنّهما دليلان يجب إعمالهما».</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الروضات في روضات الجنات، ج3، ص12: «المولى حبيب‌الله المشتهر بملا ميرزا جان الباغنوي الشيرازيّ الأشعريّ الشّافعيّ المتكلم الأصوليّ المنطقيّ، كان معاصراً لبلديّه المولى جلال الدّوانيّ المتكلم الحكيم... وباغنو اسم محلة بشيراز المحميّة، كما أفيد، والله العالم».</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الشیرازي الباغنوي في الحاشیة على شرح العضد، ص234:«(إنّ الکلام في الشيء الواحد بالشخص له جهتان [راجع: شرح العضد، ص82]) أي له جهتان ینفكّ کلّ منهما عن الأخرى على ما سیجيء إذ لو کانت الجهتان متلازمتین فحکمه حکم ما اتّحدت لتعذّر الامتثال حینئذٍ والتفصیل أنّ الجهتین إن کان بینهما مساواة فلا یجوز وإن کان بینهما عموم من وجه فیکون متنازعاً فیه وکذا إن کان بینهما عموم وخصوص مطلقاً حتّى یکون جواز الانفکاك من أحد الجانبین فیکون داخلاً في المتنازع فیه؛ إذ الدلیل الدالّ على الجواز یجري ه-ٰهنا على ما یظهر لك في النظر إلى الدلیلین وسیجيء في کلام الشارح أنّ النزاع لیس فیه وسنتکلّم علیه إن شاء الله تعالى هناك أمّا التباین الکلّي فلا یتصوّر في فرضنا».</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آقا جمال‌الدین الخوانساري في الحاشیة على حاشیة الشیرازي الباغنوي، ص441: «(قوله: وکذا إذا کان بینهما عموم وخصوص مطلق [راجع: حاشیة الشیرازي الباغنوي على شرح العضد، ص234]) وکان العامّ هو الواجب أمّا لو کان العامّ هو الحرام فلا یمکن الامتثال أیضاً کما لا یخفی».</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مختصر منتهى السؤل والأمل، ص311.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العضد، ص83.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حاشیة الأبهري على شرح العضد، ص302.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البحر المحیط في أصول الفقه، ج1، ص214 و215.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بیان المختصر، ج1، ص379.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«ره».</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«في المقام».</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مسألة دلالة النهي على الفساد.</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المحکمة في أصول الفقه، ج1، ص155.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«التقیید».</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المسترشدین، ج3، ص53 و 54.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«وانکان».</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الفصول، ص140: «ثم اعلم أن الفرق بين المقام والمقام المتقدم هو أن الأمر والنهي هل يجتمعان في شي‌ء واحد أو لا؟ أمّا في المعاملات فظاهر وأمّا في العبادات فهو أنّ النزاع هناك فيما إذا تعلق الأمر والنهي بطبيعتين متغايرتين بحسب الحقيقة وإن كان بينهما عموم مطلق وهنا فيما إذا اتحدتا حقيقة وتغايرتا بمجرد الإطلاق والتقييد بأن تعلق الأمر بالمطلق والنهي بالمقيّد وما ذكره بعض المعاصرين في بيان الفرق من أنّ النزاع هناك فيما إذا كان بين الموردين عموم من وجه وهنا فيما إذا كان بينهما عموم مطلق فغير مستقيم».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«والمحبوبیّة».</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«وفي».</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«ولا قوله».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«الصّلوتیة».</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الاستدلال في بطلان العبادة بأنّ «المنهي عنه مبغوض والمبغوض لا یکون مقرّباً» استدلال نظري، أو نقل عن بعض العامّة الاستدلال على الصحّة بأنّ «النهي عن شيء ذي أثر یدلّ على الصحّة» (راجع: القوانین المحکمة في أصول الفقه، ج1، ص163، وکفایة الأصول للمحقّق الخراساني، ص189)، وهذا أیضاً استدلال نظري. ورأي بعض الأساطین أنّ طرح هذا البحث في مباحث الملازمات العقلیّة أجدر من مباحث الألفاظ.</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التفصیل منقول عن المحقّق الأردبیلي وصاحب الریاض وتقدّم أنّه لم یثبت صحّة نسبة التفصیل إلیهما عندنا. نعم ربما یمکن استفادة التفصیل من القوانین المحکمة في أصول الفقه، ج1، ص159 کما یأتي. ونسب الشیخ الأعظم الأنصاري القول بالتفصیل إلى المحقّق القمي، فراجع: مطارح الأنظار، ج1، ص695.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القوانین المحکمة في أصول الفقه، ج1، ص159، حیث قال: «الأقوال في المسألة خمسة: الأوّل: الدّلالة على الفساد مطلقاً، والثّاني: عدمها مطلقاً نقله فخر الدّين عن أكثر أصحابه والأوّل عن بعضهم وهو مذهب جمهور الشّافعية والحنابلة، والثّالث: الدّلالة في العبادات لا في المعاملات مطلقاً وهو مذهب أكثر أصحابنا وبعض العامّة، والرّابع: الدّلالة فيها شرعاً لا لغة وهو مذهب السّيد رحمه الله وابن الحاجب، والخامس: الدلالة في العبادات شرعاً لا لغةً وقد نسبه بعض الأصحاب إلى أكثرهم. والأقرب القول الثّالث، لنا على دلالته على الفساد في العبادات أنّ المنهي عنه ليس بمأمور به فيكون فاسداً؛ إذ الصحّة في العبادات هو موافقة الأمر ولا يمكن ذلك إلاّ مع الامتثال، وإذ لا أمر فلا امتثال.</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«المسئول».</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«ذلك».</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«حیث».</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«اقتضائه».</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«عقلیین أو عرفیین أو مختلفین».</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«في ذاك». وفي مخطوطة مکتبة الوزیري: «في ذلك».</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«الحکم».</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«جعلنا».</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«جعلنا».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«أو لا».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قلنا بأنّ الأمر والنهي لا یجتمعان وقدّمنا الأمر في مورد لا یصل النوبة إلى البحث عن مسألة دلالة النهي على الفساد. فطرح مسألة دلالة النهي على الفساد أو عدم دلالته مبني على اجتماع الأمر والنهي أو تقدیم النهي.</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«عرفیین».</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جعلنا الحاکم في مسألة الاجتماع ودلالة النهي على الفساد ومسألة العام والخاصّ العرف.</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تأمّل. کأنّ مفاد کلامه (رحمة‌الله) أنّ القائل بجواز الاجتماع أو عدم دلالة النهي على الفساد لا یقول بتخصیص العامّ بالخاصّ، وفیه ما لا یخفى.</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القواعد الشریفة، ج1، ص170، حیث یفسّر العام المنطقى بأنّه الکلّي والعامّ الأصولي بجزئيات هذا الكلى المتصورة إجمالاً.</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خلاف ما یظهر من المصنّف (رحمة‌الله) في الدلیل الأوّل من أدلّة المجوّزین، حیث یقول: «ثمّ لا يخفى أنّه لا فرق بمقتضى هذا الدليل بين ما إذا كان المقام من قبيل قوله: صلّ ولا تغصب، ممّا يكون بين المتعلّقين عموم من وجه وما كان من قبيل قوله: أکرم العالم ولا تكرم الفاسق». فراجع.</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المحقّق الخراساني في کفایة الأصول، ص180: «فيكون مثل «أكرم العلماء ولا تكرم الفساق» من باب الاجتماع ك-«صل ولا تغصب» لا من باب التعارض إلّا إذا لم يكن للحكم في أحد الخطابين في مورد الاجتماع مقتض كما هو الحال أيضاً في تعدد العنوانين فما يتراءى منهم من المعاملة مع مثل «أكرم العلماء ولا تكرم الفساق» معاملة تعارض العموم من وجه إنّما يكون بناء على الامتناع أو عدم المقتضي لأحد الحكمين في مورد الاجتماع».</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«کلا».</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«الصورة».</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«فلا منافات».</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«فیما بعد».</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تقریرات العلّامة السیّد عبدالحسین اللاري، ج2، ص12 حیث قال: «فاعلم أنّ المراد من العموم في هذا المبحث هو العموم المنطقي، وفي مبحث التراجيح هو العموم الأصولي، حذراً من لزوم التناقض بين اختلافهم في جواز اجتماع الأمر والنهي هنا واتّفاقهم على عدم جواز اجتماعهما هناك، وذلك من جهة أنّ اختلافهم هناك إنّما هو في تقديم الأمر أو النهي أو الطرح والرجوع إلى الأصل لا غير، وليس ذلك إلّا من جهة اتّفاقهم على عدم جواز اجتماع الأمر والنهي والعمل بهما في مادّة الجمع» وص72، حیث قال في مسألة دلالة النهي على الفساد: «أنّ مدار افتراق مسألة الاجتماع عن هذه المسألة على العموم من وجه بين المأمور به والمنهيّ عنه، وأنّ المراد من العموم في المسألتين هو العموم المنطقي، وفي مسألة التعادل والتراجيح هو العموم الأصولي بالتقارير المتقدّمة تحقيقها بما لا مزيد عليه، فراجع».</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ص608.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ص608.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«الا».</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«لازمها».</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العراقي في مقالات الأصول، ج1، ص370: «إنّ مقتضى إطلاق الخطابين شمول الحكم بجميع مباديه للمجمع غاية الأمر لا بدّ من رفع اليد عن حجية هذا الظهور في فعليّة الإرادة والكراهة مطلقاً، بل عن فعليّة المحبوبيّة والمبغوضيّة أيضاً على الامتناع.</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 «جهتین».</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«التحریر».</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«النزاع».</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«أبیَضا».</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ضوابط الأصول، ص151.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«أبیَضًا».</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«أبیَضا».</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«في».</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«نظر».</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ضوابط الأصول، ص151.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«انتهی».</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ختم الکلام ب-: «هذا».</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نقد الأصول الفقهیّة، ص58، حیث قال: «هل المطلوب في الأمر والنهى هو الماهيّة الكلّية من حيث هي هي من دون التفات إلى المشخّصات أصلاً، لكن لمّا لم يتحقق هي إلّا في ضمن جزئي من الجزئيات صار الجزئي بهذا الاعتبار متعلّقاً لها، أم هو الفعل الجزئي المطابق لتلك الماهية أعني الفرد المنتشر منها فيكون المشخصات داخلة فيه لا بعينها؟</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إشارات إلى مفاتیح الأحکام، ج1، ص104.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مناهج الأحکام، ص61: «فتحقیق حال ذلك الفرد یتحقّق على مسائل معنویّة: إحداها: أنّ متعلّق الأوامر هل هو الطبائع أو الأفراد؟ وثانیتها: أنّ مقدّمة الواجب واجبة أم لا؟وثالثتها: أنّه لو توصّل إلى الواجب بالمقدّمة المحرّمة المحضة هل یحصل الامتثال بذي المقدّمة أم لا؟ فإن قلنا بأنّ المتعلّق هو الأفراد یتعیّن عدم الامتثال بالفرد وکذا إن قلنا بوجوب المقدّمة وعدم الامتثال بالمقدّمة المحرّمة المحضة وإن قلنا بأنّ المتعلّق الطبائع ولا یجب المقدّمة أو یجب ولکن لو توصّل بالمقدّمة المحضة یسقط وجوب المقدّمة الواجبة ویحصل الامتثال بذي المقدّمة أمکن القول بصحّة هذا الفرد وحصول الإثم به؛ إذ لا یجتمع الوجوب والحرمة حینئذٍ ولکن هنا أمر آخر بملاحظته یعلم عدم الصحّة حینئذٍ أیضاً إلّا على القول بجواز اجتماع الأمر والنهي في واحد من جهتین وهو ما مرّ من أنّ المکلّف به الإیجاد الخارجي ووجود الفرد والماهیتین إنّما هو تأثیر بإیجاد تأثیر واحد ثمّ لمّا کان بناء الأکثر على تعلّق الأوامر بالأفراد ووجوب المقدّمة فرّعوا المسألة الثانیة على الأولى مطلقاً وذکروها في خلالها لما ذکر ولأجل ذلك اشتبه الأمر على بعضهم وغفل وخلط واختلط ولم یفرّق بین المسألتین فعنون الأولى وحکم بالجواز فیها واستدلّ علیه بأنّ الفرد في الثانیة لیس متعلّقاً للأمر وما أدري ما المناسبة بین الدلیل والمدلول مع أنّه لو قلنا بالجواز في الأولى لم یحتج في تصحیح هذا الفرد إلى تعلّق الأمر بالطبیعة ولوقلنا بالتعلّق بالطبیعة لم یتفرّع ذلك بحمل الأولى کلیّاً والأحسن أن یعنون کلّ من المسألتین بعنوان على حدة ویتکلّم في کلاهما بما یناسب وقد عرفت الحقّ في الموضعین ممّا ذکرنا».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«أصالة».</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«وبالذات».</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المسترشدین، ج2، ص690.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ص142. حیث قال: «مورد النهي إنّما هو المقيد وهو أيضا بسيط؛ لأنّ القيد خارج عنه وإن اعتبر فيه؛ إذ من الواضح أنّ النهي عن الصلاة في المكان المغصوب ليس نهياً عن مجموع الصلاة والمكان؛ لأنّ المكان ليس من فعل المكلف بل عن الصلاة المقيدة بالمكان المغصوب».</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«ونحو».</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«المناط».</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«النزاع».</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«حالها».</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«أم لا».</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العلوم للسّکّاکي، ص214. ونقل عنه في: القوانین المحکمة في أصول الفقه، ج1، ص95؛ إشارات إلى مفاتیح الأحکام، ج1، ص95؛ هدایة المسترشدین، ج2، ص689؛ الفصول الغرویّة، ص71.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«المجراة».</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النراقي في مناهج الأحکام، ص65: «واحتجّ الأوّلون [القائلون بتعلّق الأمر بالماهیّة] بالتبادر والإجماع على أنّ المصادر الغیر المنونة أي التي في ضمن المشتقات للطبیعة کما صرّح به في المفتاح [راجع: مفتاح العلوم، ص214] فالمشتقّ أیضاً کذلك؛ لأنّه لا یفید إلّا طلب المبدأ بحکم التبادر وأصالة عدم الزیادة. ویرد على الأوّل أنّه إن أرید أنّ المتبادر أمر غیر معیّن بمعنى سبق عدم التعیّن إلى الذهن فهو مسلّم ولکنّ الفرد المنتشر أیضاً کذلك بل على القول بالوضع للأفراد الخاصّة أیضاً کذا؛ إذ لا یقال: إنّه موضوع لفرد خاصّ خاصّة. وإن أرید أنّ المتبادر هو الطبیعة فهو ممنوع بل لنا أن نقول: إنّ السامع لا یسبق إلى ذهنه إلّا الأفراد. وعلى الثاني منع الإجماع».</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«بما فیه».</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«لا بخصوصیتها».</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ج2، ص690.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بالمسوّرة هنا ما یسري الحكم فیها إلى أفرادها ومصادیقها فيكون المحكوم عليه هي الأفراد المندرجة تحتها بخلاف القضیة الطبیعیّة. والماهيّة قد تعتبر بحيث يسري الحكم إلى أفرادها ويكون الحكم عليها حكماً على أفرادها، وقد يلحظ بحيث لا يسري الحكم منها إلى الفرد كما في القضيّة الطبيعيّة. راجع: هدایة المسترشدین، ج2، ص689 و690.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«فیکون».</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والطبعة الحجریّة ص34: «فالجمع بین الاستفادة». والمناسب: «فالحکم بالاستفادة».</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ما یشبه: «ظهورها».</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«فبقي».</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ولکن یناقش المصنّف في الوجه الثاني ویقول: «لکن الإنصاف عدم تمامیّة هذا الوجه... فالمعتمد هو الوجه الأوّل».</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«من».</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الطبعة الحجریّة، ص34: «لیس»، وأضفناه من المخطوطة.</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«المشائون».</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وفي الطبعة الحجریّة، ص34: «آخر»، وأضفناه من المخطوطة.</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«نفي الوجود».</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المحقّق النائیني في فوائد الأصول، ج2، ص572: «فإنّ الفرد العقلاني هو من أفراد الحقيقة، كما يقال: إنّ لكلّ حقيقة فردين: فرداً خارجيّاً مادياً، وفرداً مجرّداً عقلانيّاً، وهو المسمّى بربّ النّوع والمثل الأفلاطونيّة، وأمّا الماهيّة بشرط لا فليست هي الفرد العقلاني، بل هي كما عرفت من الكليّات العقليّة وليست إلّا عبارة عن المفهوم، والمفهوم غير المصداق».</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على تصور المثل الأفلاطونیة راجع: مناط الأحکام، ص408. وقال بعض المحققین في کتاب التقریرات المسمّى بالمحاکمات بین الأعلام، ص68: «المثل الأفلاطونية وقد تعبّر بربّ النوع فنحن لم نتحصل منه شيئاً».</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بعض النسخ: «ما». أضفناه من المخطوطة، وکذا ویظهر من الطبعة الحجریّة، ص35، أنّ لفظ «ما» موجود فیها.</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رسالة بعض الأفاضل إلى علماء مدينة السلام، (الورق84 من بحیرة نفیسة وهي مجموعة رسائل فلسفیّة مخطوطة)، حیث قال: «أنّ في الوجود إنسانیّة واحدة هي بعینها مقارنة للعوارض التي یتقوّم بها شخص زید وهي مع هذه العوارض غیرها مع ذلك العارض وغیر متغیّرة بنفسها وإذا مات زید فقد فارقها الأعراض الخاصة بزید فقط وأمّا عین تلك الإنسانیّة فهي باقیة وإنّما یفسد منها مقارنتها لتلك الأعراض فقط وأنّه لیس في زید إنسانیّة تقارن أعراضه غیر الإنسانیّة التي في عمرو المقارنة لأعراضه وإن کان من حیث هو یقارن هذا غیره من حیث هو یقارن ذلك وذاته الموضوع للأمرین شيء آخر ثالث ولآخر، بل إنسانیّة واحدة بعینها مقارنة لأعراض کلّ واحد منهما ولا هذا فقط بل هي بعینها التي یقارن الموادّ وهي بعینها التي یفعل فیتجرّد یرتسم في العقل وهي بعینها التي في عقل کلّ واحد منّا وفي العقل الأوّل فإنّها ذات واحدة هي بعینها باقتران أعراض یصیر إنسانیّة عمرو باعتبار حصولها معقولة صورة في العقل وهذا کلّه معاً في زمان واحد. قال: ولیس المعقول کالمثال للموجود في الأعیان بل هو هو بعینه. بل قال: إنّ الصورة المنطبعة في المرآة الانطباع الشبحي هي بعینها الصورة التي في وجه زید لا آخر مثلها وخیال لها هي شيء في نفسها آخر. قال: ووجود الأنواع والأجناس في الأعیان هو أن یکون ذات واحدة مقارنة هي بعینها لکلّ واحدة من الکثرة فتارة یقول الإنسان مثلاً هو النوع الذي یذکره وتارة یندم فیجعله الإنسانیّة بلا إنسان».</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«لکن».</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«القائلون».</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«المحصول».</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«الجنس».</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«مبتنیاً».</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«الوجود».</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«الوجود».</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المنظومة، ج1، ص139؛ وشرح الأسماء الحسنى، ج1، ص112.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«کلیة».</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«کلیة».</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«لا انه».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«اشتراکهما».</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لم یرد في المخطوطة والطبعة الحجریّة،ص36، وأثبتناه من مخطوطة مکتبة الوزیري والطبعة المحقّقة، ص59.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«مثل».</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المنظومة، ج1، ص139؛ وشرح الأسماء الحسنى، ج1، ص112.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فهل الجزئیة من الأمور الاعتباریّة أو من الأمور الانتزاعیّة؟ الظاهر أنّ الجزئیة من الأمور الانتزاعیّة، إلّا أن یقال: أراد المصنف الجزئیة في الأمور الاعتباریّة. فتأمّل. ولهذا البحث مجال آخر.</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«المشخص».</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«للتشخص».</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«فالانتزاع».</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«یکن».</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«خصوصیتها».</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«الطبایع».</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«خطاء».</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«من أنّ».</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المخطوطة ومخطوطة مکتبة الوزیري والطبعة الحجریّة، ص36. في بعض النسخ: «ولو لو یکن».</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«معنا».</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«بلحاظ».</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«المعری».</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«بخصوصیتها».</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رسالة بعض الأفاضل إلى علماء مدینة السلام، الورق 84.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القوانین المحکمة في أصول الفقه، ج1، ص141، حیث قال: «فالفرد هنا مقدّمة لتحقق الكلي في الخارج».</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والطبعة الحجریّة، ص37: «شیئ واحد خارجي».</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«جزئه».</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«وأثر».</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«بالآخر».</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«اللازم».</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«به».</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«الأفراد».</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«لازم».</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کون الخصوصیات الشخصیّة محلّاً ومورداً للحسن والقبح.</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المتعیّن کون الأفراد محلّاً للحسن الواقعي والقبح الواقعي، والطبائع وجودات ذهنیّة.</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 «الطبیعة».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«في».</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الأفعال التوليدية، مثل الإحراق المتولّد من إلقاء المحترق في النار. الأفعال التوليدية وإن لم تكن مقدورة أوّلاً وبالذات؛ إلّا أنّها مقدورة ثانياً وبالعرض للقدرة على أسبابها، والمقدور عليه بالواسطة مقدور. راجع: منتهى الأفکار، ج2، ص112.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«بظاهر».</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القوانین المحکمة في أصول الفقه، ج1، ص122.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«اولیس».</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«وکان».</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«بزعم».</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«المطلوبیّة». وفي الطبعة الحجریّة، ص38: «الطبیعة».</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التعبیر ب-«الاعتباري الانتزاعي» تأمّل.</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أنّ الفوقیّة أمر انتزاعي. راجع: الهدایة في الأصول، ج1، ص158، حیث قال: «الفوقية شي‌ء انتزاعي»؛ وراجع: غایة المأمول من علم الأصول، ج1، ص186 حیث قال: «فإنّ الفوقية أمر انتزاعي ينتزع من كون شي‌ء في محلّ دونه شي‌ء، فهو بالإضافة إلى ذلك الشي‌ء عال».</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«الإیجاد».</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«المتصف».</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«هج».</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الجلیل المولى أحمد النراقي في مناهج الأحکام، ص66: «والتحقیق أنّ على القول بعدم وجود الماهیّة لا مفرّ من القول بتعلّق طلب الأمر بالفرد إذ لیس غیره، وأمّا على القول بوجودها کما هو الحقّ فیمکن القول بتعلّقه بکلّ منهما لکن یجب البناء على وضع المبدأ لأنّ الأمر لطلب المبدأ بحکم التبادر وللأصل فمن یقول بکونه موضوعاً للماهیّة یجب علیه القول بتعلّقه بها ومن یقول بالوضع للفرد المنتشر أو کلّ فرد على البدل بالوضع العامّ یجب أن یقول بتعلّقه به وإذ قد عرفت حقّ القول في ذلك وأنّه موضوع للفرد الخاصّ على أن یکون الوضع عامّاً والموضوع له خاصّاً تعرف أنّ الحقّ أنّ الأمر متعلّق بالأفراد الخاصّة على البدلیّة. ویظهر أیضاً فساد زعم من زعم أنّه لو کان متعلّق الأمر الفرد یلزم أن یکون أکثر أوامر الشرع مجازات. فإن قیل: لو کان کذا لم یبق فرق بین الواجبات التخییریة والعینیّة. قلنا: المخیّر الشرعي ما کان مخیره شرعیّاً أي بتصریح الشرع وهذا التخییر عقليّ».</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«والاعتبار».</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«مم».</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«بواسطة».</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ج2، ص690.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«معلق».</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«من مصادیق».</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«القضایا».</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«القضیة».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«لعد».</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«الشيئ».</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مخطوطة مکتبة الوزیري: «القطعي».</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ج3، ص58.</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«الطبیعة».</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«الاستنتاجات».</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 «هي».</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«العموم».</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«العموم الأفرادي».</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«متعلق».</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الجلیل المولى أحمد النراقي في مناهج الأحکام، ص66: «والتحقیق أنّ على القول بعدم وجود الماهیّة لا مفرّ من القول بتعلّق طلب الأمر بالفرد؛ إذ لیس غیره، وأمّا على القول بوجودها کما هو الحقّ فیمکن القول بتعلّقه بکلّ منهما لکن یجب البناء على وضع المبدأ لأنّ الأمر لطلب المبدأ بحکم التبادر وللأصل فمن یقول بکونه موضوعاً للماهیّة یجب علیه القول بتعلّقه بها ومن یقول بالوضع للفرد المنتشر أو کلّ فرد على البدل بالوضع العامّ یجب أن یقول بتعلّقه به وإذ قد عرفت حقّ القول في ذلك وأنّه موضوع للفرد الخاصّ على أن یکون الوضع عامّاً والموضوع له خاصّاً تعرف أنّ الحقّ أنّ الأمر متعلّق بالأفراد الخاصّة على البدلیّة. ویظهر أیضاً فساد زعم من زعم أنّه لو کان متعلّق الأمر الفرد یلزم أن یکون أکثر أوامر الشرع مجازات. فإن قیل: لو کان کذا لم یبق فرق بین الواجبات التخییریة والعینیّة. قلنا: المخیّر الشرعي ما کان مخیره شرعیّاً أي بتصریح الشرع وهذا التخییر عقليّ».</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«فص».</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«أوّلاً».</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«بأنّه».</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«الاستعمال».</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ص108، حیث قال: «ويمكن دفعه بأنّ الأمر على هذا لا يستعمل إلّا في طلب الأفراد فلا يكون موضوعا لغيره ولو سلم فاللازم صيرورته منقولاً إليه بالاستعمال والهجر».</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«في» ساقطة من الطبعة الحجریّة، ص40، وموجودة في المخطوطة.</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«فللمنع».</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ص128.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ص40: «وفي». وفي المخطوطة: «في الإرادة في کون».</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الطبعة الحجریّة، ص40: «یکون». أضفناه من المخطوطة.</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«معلقا».</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«حقایق».</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«إطلاقه».</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«لرجل».</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20.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المحکمة في أصول الفقه، ج1، ص123.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«إذا».</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«فردما».</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«من الطّبیعة».</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«عنه».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الطبعة الحجریّة، ص40: «کما»، وأضفناه من المخطوطة.</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النراقي في مناهج الأحکام، ص66: «والتحقیق أنّ على القول بعدم وجود الماهیّة لا مفرّ من القول بتعلّق طلب الأمر بالفرد إذ لیس غیره، وأمّا على القول بوجودها کما هو الحقّ فیمکن القول بتعلّقه بکلّ منهما لکن یجب البناء على وضع المبدأ لأنّ الأمر لطلب المبدأ بحکم التبادر وللأصل فمن یقول بکونه موضوعاً للماهیّة یجب علیه القول بتعلّقه بها ومن یقول بالوضع للفرد المنتشر أو کلّ فرد على البدل بالوضع العامّ یجب أن یقول بتعلّقه به وإذ قد عرفت حقّ القول في ذلك وأنّه موضوع للفرد الخاصّ على أن یکون الوضع عامّاً والموضوع له خاصّاً تعرف أنّ الحقّ أنّ الأمر متعلّق بالأفراد الخاصّة على البدلیّة. ویظهر أیضاً فساد زعم من زعم أنّه لو کان متعلّق الأمر الفرد یلزم أن یکون أکثر أوامر الشرع مجازات. فإن قیل: لو کان کذا لم یبق فرق بین الواجبات التخییریة والعینیّة. قلنا: المخیّر الشرعي ما کان مخیره شرعیّاً أي بتصریح الشرع وهذا التخییر عقليّ».</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«بالتشخص».</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«ما».</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«الم-ٰهیة».</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ص108.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«من الطبیعة».</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«فرد الّذي».</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«فردا».</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«الخصوص».</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والطبعة الحجریّة، ص41: «لیس زید وعمرو».</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«جزء».</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والطبعة الحجریّة ص41: «أخذه».</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«جزء».</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«صاحب».</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«الفص».</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«أیضاً». أضفناه من الطبعة الحجریّة، ص41.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من القدماء من خصّ الوجه في المنع بالإبهام مع منع الغرر والجهالة. نعم ربما یظهر من بعض الأعلام المتأخرین، فراجع: جامع المدارك، ج3، ص107. نعم نقل الشیخ الأعظم الأنصاري (رحمة‌الله) عن بعض أنّه استدلّ بأنّ الإبهام في البیع مبطل لا من حیث الجهالة. راجع: المکاسب، ج4، ص249.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«مبهم».</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ما یشبه: «الغرض».</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«هذا».</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والطبعة الحجریّة ص42، والطبعة المحقّقة، ص69: «متّفق الحقیقة». وفي مخطوطة مکتبة الوزیري: «متفقة الحقیقة»</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«یجیئ».</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«لم یکن».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«مِرٰاتا».</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«بتشخص».</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«الغير معين».</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ص109.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«المقام».</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«بملاحظة».</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ص42: «أنّه».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«وانّهم».</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«بط».</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«ان».</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«إیجاد».</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«فتعلق».</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والطبعة الحجریّة ص43: «في»</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ص109، حیث قال: «ثمّ اعلم أنّا نفرق بين ما تعلق به الأمر أعني مفاد اللفظ باعتبار الهيئة وبين ما تعلق به الطلب فالأمر عندنا لا يتعلق إلّا بالطبيعة من حيث هي على ما عرفت تحقيقه». وص 128 حیث قال: «فإنّ الطلب على ما بيّنّا ممّا لا يعقل تعلّقه بالطبيعة من حيث هي ولا من حيث وجودها في الذهن بل من حيث وجودها في الخارج».</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«هو».</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«القضية و إن كان لها أقسام كثيرة لا يهمّنا التعرض لها إلّا أنّه لا بأس بذكر بعض ما ينفع في المقام من الأقسام: فمنها القضية الطبيعية وهي ما يكون الموضوع فيها نفس الطبيعة المأخوذة بالنسبة إلى الوجود الخارجي بشرط لا، مثل القضية «الإنسان نوع»، والموضوع في هذا القسم لا يكاد يتصف بالعموم أصلاً. ومنها القضية الحقيقية وهي ما يكون الموضوع فيها هو الطبيعة السارية إلى الأفراد بحيث لو فرض وجود شي‌ء في الخارج يكون مصداقاً لموضوع القضية». راجع: مجمع الفرائد في الأصول، ج1، ص49 و50.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«خیر».</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«من».</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«المهیة».</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«مم».</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«المهیة».</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«فرد».</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الفصول الغرویّة، ص102: «ألا ترى أنّ النكرة موضوعة لفرد غير معين من الطبيعة». وقال في ص219: «مدلول النكرة جزئي مردّد لا كلّي».</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ص97، حیث قال: «المطلوب بالأمر إمّا الوجود أو الإيجاد الخارجيان أو الطبيعة المأخوذة من حيث الخارج ولا شي‌ء من هذه الأمور بكلي».</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ص109، حیث قال: «وأمّا الطلب فلا يتعلق إلّا بالفرد وهو الإيجاد الخارجي الذي هو عين الوجود الخارجي بحسب الذات وإن غايره بحسب الاعتبار وهو فرد للوجود المطلق أعني مفهوم الكون المصدري وليس المطلوب هذا المفهوم؛ إذ ليس تحصيل الطبيعة به ولا قدراً مشتركاً بين آحاد الوجود لأنّها متباينة الحقائق على ما تحقّق في محلّه فالأمر يجعل مفهوم الوجود أو الإيجاد آلة لملاحظة أفراده الخارجية التي هي مجهولة الكنه ويطلب كلّ واحد منها على وجه يجوز تركه إلى آخر أو جملة منها على حسب ما يتعلق به قصده ثمّ هذا كلّه إنما يجري على ما هوالتحقيق عندنا في مدلول الأمر من أنّه طلب إيجاد الطبيعة».</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إلى کتاب «تنزیه المعبود في الردّ على وحدة الوجود» للفاضل المعاصر السیّد قاسم علي أحمدي.</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«أفرادها».</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«لمثله».</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«المهیات».</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بعض النسخ: «فنقول»، أضفناه من المخطوطة.</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الطبعة الحجریّة، ص44: «من»، أضفناه من المخطوطة.</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الطبعة الحجریّة، ص44: «ذکره»، أضفناه من المخطوطة.</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«منشاء».</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«تقییده».</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«لحاظ».</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هذه الکلمات تأمّل. بل لنا في المقام تحقیق أثبتنا فیه عدم وجود خارجي للکلّي بأقسامه.</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«الحقیقة».</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«تقيده».</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النراقي في مناهج الأحکام، في بحث الاجتماع، ص59: «إنّ الأوامر المتعلّقة بالماهیّات المتعلّقة بإیجادها دون ذواتها ومفهوماتها والإیجاد المتعلّق هو الخارجي دون الذهني أو الاعتباري»، وقال في ص61: «إنّ المکلّف به الإیجاد الخارجي ووجود الفرد».</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«ثمر».</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«الأصولیین».</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«الطلبین».</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من المخطوطة ومخطوطة مکتبة الوزیري والطبعة الحجریّة، ص45 والطبعة المحقّقة، ص76: «بینها».</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«على القول بالعدم».</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«فتحصل».</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«ونحوها».</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«التراجیح».</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«الأحکام».</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تعرّض بعض المحقّقین لهذا الکلام ونقده، فراجع: تحقیق الأصول، ج4، ص51 إلى 53.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هذه العبارة في أحادیثنا. نعم ورد عن أبي بصير، قال: سألت أبا عبدالله (علیه‌السلام) عن قول الله: ‌اتَّقُوا الله حَقَّ تُقاتِهِ. قال: «يطاع فلا يعصى، ويذكر فلا ينسى ويشكر فلا يكفر». راجع: کتاب الزهد، ص17، ح37.</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المصدر.</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ج4، ص23، ح4؛ کتاب من لایحضره الفقیه، ج2، ص57، ح1694.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ص174.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«إلّا أن یکون غرضهم».</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«به».</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«یبطلها».</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معالم الدین وملاذ المجتهدین، ص94.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«عدم الجواز».</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«بعدم الجواز».</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«ظاهرهم».</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«أعما».</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«القوم».</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«بالعدم».</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والمألوف أن نقول: «تعیینیاً».</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«بالجواز».</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«بالعدم».</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لم یرد في مخطوطة مکتبة الوزیري.</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«والدار».</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«بعد».</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«تماما».</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والطبعة الحجریّة، ص46: «یکون»، وفي المخطوطة: «تکون».</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«الموصولة».</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«الموصولیة».</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الطبعة الحجریّة، ص47: «به»، وأضفناه من المخطوطة.</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یکن».</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یکن».</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«وقد یشتمل».</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«فاالقدر».</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«تریهم».</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«أحدها».</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ص47: «الامتثال».</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«توقفه».</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«لا یتحقق».</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«یتحقق».</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«به».</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«قلنا».</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«بجواز الاجتماع».</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ص48: «واحدًا».</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ص48: «وإن کان لا ینافي»، ولم یرد في المخطوطة: «وإن کان».</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«البط».</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«فعلیة».</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«الموانع».</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«دفعه»، وفي الطبعة الحجریّة، ص48: «رفعه».</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«مانعیة».</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«الصغرویات».</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الحدیث غیر وارد في مجامیع حدیثنا القدیمة. نعم ورد في التفسیر للفخر الرازي، ج1، ص266؛ وسفینة البحار، ج6، ص343، عن النبي الأکرم (صلى‌الله‌علیه‌و‌آله‌وسلم).</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ج4، ص34، عن أمیرالمؤمنین علي بن أبي طالب علیهما السلام؛ الکافي، ج3، ص265، عن مولانا الإمام أبي الحسن الرضا (علیه‌السلام).</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«عن».</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«ثمرة».</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إبرار الیمین مقابل حِنثِه. راجع: العین، ج3، ص206 و ج8، ص259.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المعقوفتین إضافة من المحقّق. في المخطوطة: «على الجواز وعلى عدمه». وفي مخطوطة مکتبة الوزیري والطبعة الحجریّة، ص48: «على الجواز ولا على عدمه».</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«سایر».</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والطبعة الحجریة، ص49، والطبعة المحقّقة، ص82: «فیحکم».</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«وکون».</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«یقدم».</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 «المذکورة».</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 «ملاحظة».</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«ملاحظة العقل الجواز وعدمه».</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ما ذکره أعلى الله مقامه تأمّل؛ لأنّ لقائل أن یقول: حکم العرف بالتعارض مبنيّ على حکمه بالامتناع، وإنّ العرف إن حکم بجواز الاجتماع لا یحکم بالتعارض. فلا فرق بین کون الحاکم العقل أو العرف في تصویر الثمرة.</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لم یرد في مخطوطة مکتبة الوزیري.</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«بالصحة».</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ویظهر من المحقّق الخراساني القول بالامتناع مع القول بصحّة الصلاة في الدار المغصوبة. فراجع: کفایة الأصول، ص158 حیث قال بالامتناع وص174 حیث حکم بصحّة الصلاة وقال: «فالصلاة في الغصب اختیاراً في سعة الوقت صحیحة وإن لم تکن مأموراً بها». وإن یظهر من فتاواه الفقهية البطلان حیث ورد في: فقه فتوايي، ج‌1، ص125: «سؤال 274- هر گاه عمداً در حالِ اختيار، در ملكِ غصبى نماز كند، نماز او صحيح‌است يا نه؟ جواب: باطل است؛ هر چند نماز مستحبى باشد، يا خودْ غاصب نباشد».</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لتصویر الشك في حکم العقل والاطلاع على رأي المصنف في هذه المسألة</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 «بالنسبة».</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والطبعة الحجریّة ص50: «فان».</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الإشارات والتنبیهات، ج3، ص451، النمط العاشر.</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 المصنّف في حاشیة فرائد الأصول، ج1، ص244 و245: «إحاطة العقول بجميع الجهات المحسّنة والمقبّحة وعلمه بانتفائها ليس من المستبعد في مثل هذه الأمور المعقولة كما نحكم بإمكان الاشتراك اللفظي الذي أحاله شرذمة، وكذا إمكان الواجب الموسّع وإمكان اجتماع الأمر والنهي وغير ذلك، فإنّ الجهات المحسّنة والمقبّحة في مثل هذه الأمور التي حقائقها معقولة لنا وبمرأى ومسمع منّا ليست ممّا لا يدركه عقولنا ولا يمكن الإحاطة بها، مثلاً أنّا نجد بالعيان أنّ اجتماع الأمر والنهي لا وجه لاستحالته إلّا اجتماع موردهما في الخارج، فإذا علمنا بأنّ هذا ليس مانعاً عن الاجتماع نقطع بجواز الاجتماع واقعاً». وقال المحقّق الخراساني في کفایة الأصول، ص35: «الحقّ وقوع الاشتراك للنقل والتبادر وعدم صحة السلب بالنسبة إلى معنيين أو أكثر للفظ واحد و إن أحاله بعض لإخلاله بالتفهم المقصود من الوضع لخفاء القرائن لمنع الإخلال أوّلاً لإمكان الاتكال على القرائن الواضحة ومنع كونه مخلّاً بالحكمة ثانياً لتعلّق الغرض بالإجمال أحياناً».</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المخطوطة، وفي الطبعة الحجریّة، ص50: «الاشتراط».</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«لأنّ».</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«بامکان».</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الشيخ محمدهادي الطهراني في محجة العلماء، ج1، ص48: «وما قال الشيخ الرئيس إنّ ما لا برهان على وجوبه ولا على امتناعه لا ينبغي أن ينكر وجوده ويعتقد امتناعه بل يتركه في بقعة الإمكان أي الاحتمال العقلي لا أنّه يعتقد إمكانه الذّاتي».</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روایة منهم (علیهم‌السلام) أرادوا من هذه الآیة هذا المعنى الذي أراده المصنّف من التوقّف واحتمال الإمکان. نعم أرید من الآیة الکریمة هذا المعنى في کلمات بعض العلماء. فراجع: سفینة النجاة، ص20؛ والفردوس الأعلى، ص107.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«ذروه».</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یوسف: 47.</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حکى عنه صدر الدین محمّد الشیرازي فراجع: الحکمة المتعالیة في الأسفار العقلیة الأربعة، ج2، ص364. وقال السیّد محمّدباقر المیر الداماد في تقویم الإیمان، ص633: «قال رئیس الصناعة الیونانیّة: من تعوّد أن یصدّق من غیر دلیل فقد انسلخ عن الفطرة الإنسانیّة».</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«واحتمال».</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الحکم بالإمکان بحسب الظاهر.</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احتمال الإمکان وعدم الحکم بالامتناع.</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ه-ٰهنا على ما قاله المحقّق الدّواني إن كان بمعنى الكثير الراجح فكون أكثر ما لم يقم دليل على استحالته و وجوبه ممكناً غير ظاهر». راجع: رسالة في حجّیة الظنّ، ص11.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ص616، حیث قال: «نعم، أصالة الإطلاق بالنسبة إلى دليل الأمر والنهي حاكمة في أمثال المقام؛ إذ الشك إنّما هو في مانع الإطلاق، والأصل عدمه، وسيأتي لما تقدّم زيادة توضيح. واللّه الهادي، وهو الموفّق».</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«العلم».</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«في».</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«مورد الابتلاء».</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«ومن».</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المصنف في حاشیة فرائد الأصول، ج3، ص45: أنّ للحکم الواقعي مراحل و مراتب: «أوّلها المقتضي، ثانيها انشاؤه والخطاب واقعاً به، ثالثها البعث والزجر، رابعها التنجّز واستحقاق العقوبة على مخالفته عقلاً».</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لنا مقالة حول أصل البراءة ومسلك منجزیة الاحتمال مطبوعة في کتاب «آموزگار فقاهت»، فراجع.</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«العقلي». وفي الطبعة الحجریّة، ص50: «الفعلي».</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«التنجّز».</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«وفي».</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«لا تقیید». وفي الطبعة الحجریة، ص51: «ولا تقیید».</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الشرطیة والجزئیة والمانعیة.</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«فیه».</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«وانکان».</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«البرائة».</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ص51: «دفع».</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ص51: «یرجع».</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والطبعة المحقّقة، ص86: «عدم تقیده».</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 المصنف في حاشیة فرائد الأصول، ج2، ص285: أنّه حکی عن بعض أنّه يجوز اجتماع النهي الشأني مع الأمر الفعلي وإنّما الممتنع اجتماع الأمر والنهي الفعليين على القول به على ما قرروه في مسألة اجتماع الأمر و النهي، ثمّ قال:</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على القول بالامتناع.</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حکي عن المصنف في الإجزاء - في الحکم الظاهري المستفاد من الأصول العملیة - في حاشیة فرائد الأصول، ج1، ص260: «لا ريب أنّه ليس وجه التعبد بالأصول أنّها كاشفة عن الواقع، إذ لا كشف فيها قطعاً في نفسها، وليس لسان أدلّتها الأخذ بها لكونها موصلة إلى الواقع وذلك واضح، بل الوجه فيه أنّها مأخوذة على وجه الموضوعية، إلّا أنّ ذلك يحتمل وجهين:</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وفي الطبعة الحجریّة، ص51: «وأنّ».</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«في نفس»، وفي المخطوطة، ص51: «لنفس».</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«خص­بما».</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وممّن قال بالجواز السیّد محمّد هاشم بن زین العابدین الچهارسوقي في وجیزة عزیزة، ص3، حیث قال:</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«فإنّه».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الفائدة والبرهان في شرح إرشاد الأذهان، ج2، ص112: قال في الوضوء في المکان الغصبي: «لم يأت بالمأمور به عرفاً... نعم العقل يجوّز الصحة لو صرّح بأنه لو فعلت في المكان الغصبى بعد نهيك عنه، لصح، وعوقبت بما فعلت من مخالفة الأمر في الجملة». ولکن قال الشیخ الأنصاري في «ولعلّ موضع الاستفادة من هذا الكلام قوله: «لأنّه لم يأت بالمأمور به عرفاً، نعم العقل يجوّز الصحّة لو صرّح» وأنت خبير بما في هذه الاستفادة؛ إذ لم نجد لكلامه دلالة على المدّعى بوجه». ولتفصیل الکلام راجع مطارح الأنظار، ج1، ص612. فنسبة التفصیل إلیه مشکلة.</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یثبت قوله بالتفصیل عندنا.</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«لم یکن».</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«بالجواز».</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التبریزي في أوثق الوسائل، ص533 و534 - بعد الإشارة إلى عقول قاصرة في العرف -: «قد يشتبه جهة البحث عن فهم العرف بحكم العقل وبالعكس ولذا ترى احتجاجهم في مسألة اجتماع الأمر والنّهي لعدم جواز اجتماعهما بأنّ المولى إذا أمر عبده بالخياطة ونهاه عن الكون في مكان مخصوص وخاطه في هذا المكان عدّ مطيعاً وعاصياً لجهتي الأمر والنّهي، وأجيب عنه بمنع كونه مطيعاً والحال أنّه عاص ذهولاً عن أنّ محلّ النّزاع في تلك المسألة إنّما هو بحسب العقل دون العرف كما قرّر في محلّه».</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تقریرات آیةالله العظمى السیّد البروجردي: نهایة الأصول، ص261: «القول بالجواز في مقام توجيه الأمر والنهي - كما هو الحقّ - لا يستلزم القول بالصحّة في مقام الامتثال إذا كان المأمور به أمراً عبادياً، بل المختار هنا البطلان، وإن كان المختار في المسألة الأصولية هو الجواز. وليس في كلمات القدماء من أصحابنا اختيار الامتناع في المسألة الأصولية، بل الموجود في كتبهم ليس إلّا الفتوى ببطلان الصلاة في الدار المغصوبة من جهة وقوعها مبغوضة، فراجع كلام الشيخ في العدة، وكذا السيد وأمثالهما. وممّا ذكرنا ظهر أنّ نسبة الامتناع إلى المشهور من جهة إفتائهم ببطلان الصلاة في المسألة الفقهية في غير محلّها».</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معالم الدین وملاذ المجتهدین، ص93، حیث قال (رحمة الله‌علیه): «الحقّ امتناع توجّه الأمر والنهي إلى شيء واحد. ولا نعلم في ذلك مخالفاً من أصحابنا». وبنى على ذلك بطلان الصلاة في الدار المغصوبة حیث قال (رحمة الله‌علیه) في ص94: «فالصلاة في الدار المغصوبة وإن تعددت فيها جهة الأمر والنهي لكن المتعلق الذي هو الكون متحد فلو صحّت لكان مأموراً به من حيث إنّه أحد الأجزاء المأمور بها للصلاة وجزء الجزء جزء والأمر بالمركب أمر بأجزائه ومنهياً عنه باعتبار أنّه بعينه الكون في الدار المغصوبة فيجتمع فيه الأمر والنهي وهو متحد وقد بيّنّا امتناعه فتعين بطلانها».</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الباقلاني الأشعري في التقریب والإرشاد، ج2، ص356 و357: «وکان السلف من شیوخ المعتزلة مع باقي الأئمّة من السلف والخلف على القول بإجزائها». وإنّما ینسب الخلاف إلى الجُبّائي من المعتزلة وابنه وقوم من أتباعهما. فراجع التقریب والإرشاد، ج2، ص356. وبما أنّ القول بالإجزاء یلائم القول بالاجتماع فنسبة القول بالامتناع إلى مشهور المعتزلة یحتاج إلى فحص وبحث أکثر. هذا ولکنّ الذي یظهر من الآمدي في الإحکام، ج1، ص115، أنّ الإجماع المدّعى من الباقلاني على الإجزاء لا أساس له حیث قال: «وخالف في الصورة الثانية الجبائي وابنه وأحمد بن حنبل وأهل الظاهر والزيدية. وقيل: إنّه رواية عن مالك. وقالوا: الصلاة في الدار المغصوبة غير واجبة ولا صحيحة، ولايسقط بها الفرض ولا عندها، ووافقهم على ذلك القاضي أبوبكر إلّا في سقوط الفرض».</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من الباقلاني في مسألة الصلاة في الدار المغصوبة أنّه رأى في المسألة إجماعین: إجماع على الإجزاء وإجماع على الحرمة، بمعنى أنّ الصلاة مجزئة محرّمة. حیث قال في کتابه التقریب والإرشاد، ج2، ص355: «والذي عندنا في ذلك أنّ إجزاءها إجماع من سلف الأمّة ثمّ حدث بعد ذلك قول لایعتدّ به». وقال في آخر المسألة، ج2، ص358: «ووجب بما ذکرته کون الصلاة في الدار المغصوبة محرّمة لموضع الإجماع على ذلك».</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المحصول، ج2، ص285 إلى 291. حیث قال الرازي الأشعري: «المسألة الثالثة: الشيء الواحد لا يجوز أن يكون مأموراً به منهياً عنه معاً والفقهاء قالوا يجوز ذلك إذا كان للشيء وجهان، لنا أن المأمور به هو الذي طلب تحصيله من المكلف وأقلّ مراتبه رفع الحرج عن الفعل والمنهي عنه هو الذي لم يرفع الحرج عن فعله فالجمع بينهما ممتنع إلّا على القول بتكليف ما لا يطاق».</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الأحکام للمحقّق النراقي (رحمة الله‌علیه)، ص113 و114.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النراقي (رحمة الله‌علیه) في مناهج الأحکام، ص56: «فذهب أکثر علمائنا إلى الامتناع بل ادّعى علیه الإجماع جماعة منهم العلّامة في المنتهى والقاضي في إحقاق الحقّ والسیّد عمیدالدین ووالدي العلّامة (رحمة الله‌علیه) وصاحب المعالم والمدارك بل کلام الأخیر صریح في دعوى البداهة».</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منتهى المطلب في تحقیق المذهب، ج4، ص229، حیث قال (رحمة الله‌علیه): «مسألة: وتحرم الصلاة في الثوب المغصوب إذا كان عالماً بالغصب. وهو إجماع أهل العلم كافة، لما ثبت من تحريم التصرف في ملك الغير بغير إذنه تواتراً عن رسول الله (صلى‌الله‌علیه‌و‌آله). واختلف العلماء في بطلان الصلاة فيه، فالذي عليه علماؤنا بطلان الصلاة فيه». وکذا راجع المصدر المذکور، ج4، ص297.</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إحقاق الحق وإزهاق الباطل، ج2، ص171، حیث قال (رحمة الله‌علیه): «ذهبت الإمامیّة إلى أنّ شرائط التکلیف ستّة»، ثم قال في ص181: «السادس: أن لا یکون حراماً لامتناع کون الشيء الواحد من الجهة الواحدة مأموراً به منهیاً عنه لاستحالة التکلیف بما لا یطاق وأیضاً أن یکون الشيء مراداً ومکروهاً في وقت واحد من جهة واحدة من شخص واحد وهذا مستحیل عقلاً».</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منية اللبیب في شرح التهذیب، ج1، ص398، حیث قال: «الصلاة في الدار المغصوبة فهي باطلة عند أصحابنا». ویقول في ص399: «فيكون الشي‌ء الواحد مأموراً به منهياً عنه في حالة واحدة وإنّه محال». وقال المحقّقون إنّ منیة اللبیب المشهور للسیّد ضیاءالدین (رحمة الله‌علیه) ونسبته إلى السیّد عمیدالدین (رحمة الله‌علیه)</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مدارك الأحکام، ج3، ص217، حیث قال: «ضرورة استحالة كون الشي‌ء الواحد مأموراً به ومنهياً عنه». وفي حاشیة المعالم للمولى محمّدصالح المازندراني (رحمة الله‌علیه)</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وربما یظهر القول بالجواز من فخر المحققین (رحمة الله‌علیه)؛ إذ بعد ذکر هذه العبارة من قوعد الأحکام، ج3، ص522: «ولا حدّ في وطء زوجته الحائض والصائمة والمحرمة والمظاهرة والمولى منها»، قال: «وأمّا المولى منها فنقول: عندنا وعند المعتزلة لا شكّ أنّه لا يمكن اجتماع الأمر والنهي على متعلق واحد في وقت واحد، وأمّا اجتماعهما في فعل المكلف فاختلف فيه، فذهب أبوهاشم إلى إمكانه كمن توسط الأرض المغصوبة باختياره فإنّ خروجه حرام ومقامه حرام عند أبي‌هاشم؛ لأنّ هذا المحذور هو ارتكبه وهو ألزم نفسه به؛ لأنّ كلّاً منهما تصرّف في مال الغير بغير إذنه والغصب لا يصلح أن يكون سبباً للإباحة وقوّاه والدي أخيراً وأحاله جماعة من المعتزلة والإمامية ووالدي في التحرير؛ لأنّه تكليف ما لا يطاق، والأقوى عندي الأوّل، فعلى هذا لا إشكال؛ لأنّ التحريم بالإيلاء والأمر بالوطي من حيث قضاء حقّ للزوجة والمنع من كلية الكبرى». راجع: إیضاح الفوائد في شرح مشکلات القواعد، ج4، ص470.</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الشموس في شرح الدروس، ج1، ص330، حیث قال (رحمة الله‌علیه): «لكن تقرير الإشكال فيهما بوجه آخر، وهو أن يقال: لو كان الغسل الواحد مجزياً عن الجميع، لكان واجباً، ومندوباً، وهو محال لتضادهما. وجوابه: منع استحالته، لاختلاف الجهة، فإنّ هذا الغسل الواحد من حيث أنّه فرد لغسل الجمعة، وامتثال للأمر به، مستحب. ومن حيث أنّه فرد لغسل الجنابة، وامتثال للأمر به، واجب، وبهذا ظهر إمكان قصدهما أيضاً».</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الفائدة والبرهان في شرح إرشاد الأذهان، ج2، ص112: قال (رحمة الله‌علیه)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المحکمة في أصول الفقه، ج1، ص140، حیث قال (رحمة الله‌علیه): «والذي یقوى في نفسي ویترجّح في نظري هو جواز الاجتماع». وکذا راجع: جامع الشتات في أجوبة السؤالات، ج4، ص64 حیث قال (رحمة الله‌علیه): «وأمّا على المختار من عدم استحالة اجتماع الأمر والنهي إذا كان بينهما عموم من وجه، فلا إشكال في الصحة».</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«الفضل ابن شاذان».</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ینقل عنه الکلیني صحّة صلاة من صلّى في دار قوم بغیر إذنهم. راجع: الکافي ج6، ص93 و 94.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الکافي، ج6، ص93 و 94، حیث قال (رحمة الله‌علیه) نقلاً عن الفضل بن شاذان: «كرجل دخل دار قوم بغير إذنهم فصلّى فيها فهو عاص في دخوله الدار وصلاته جائزة؛ لأنّ ذلك ليس من شرائط الصلاة لأنّه منهي عن ذلك صلّى أم لم يصلّ وكذلك لو أنّ رجلاً غصب رجلاً ثوباً أو أخذه فلبسه بغير إذنه فصلّى فيه لكانت صلاته جائزة وكان عاصياً في لبسه ذلك الثوب؛ لأنّ ذلك ليس من شرائط الصلاة؛ لأنّه منهي عن ذلك صلّى أو لم يصلّ».</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المولى أحمد النراقي (رحمة الله‌علیه) في مناهج الأحکام، ص56: «وأمّا کلام السیّد فما أوجب توهّمه ما ذکره (قدس‌سره) في الذّریعة حیث قال: وقد یصحّ أن یقبح من المکلّف جمیع أفعاله على وجه ویحسن على وجه آخر وعلى هذا الوجه یصحّ القول بأنّ من دخل زرع غیره على سبیل الغصب أنّ له الخروج بنیّة التخلّص ولیس له الحرکة على وجه آخر. وقال في موضع آخر: فأمّا الضّیعة المغصوبة فالصلاة فیها مجزیة؛ لأنّ العادة جرت بأنّ صاحبها لا یحظر على أحد الصلاة فیها، والمتعارف یجري مجرى الإذن. انتهى. ولا یخفى أنّ الأوّل لا یدلّ إلّا أنّ الفعل الواحد یمکن أن یکون حسناً من وجه وقبیحاً من آخر ونحن لا ننکره في هذا المقام ویجویز اجتماعهما لا یدلّ على أنّ الفعل الواحد یمکن أن یکون حسناً من جهة وقبیحاً من آخر ونحن لا ننکره في هذا المقام وتجویز اجتماعهما لا یدلّ على جواز اجتماع الأمر والنهي کما یأتي. على أنّه لا دلالة في کلامه على تجویز اجتماع الحسن والقبح في واحد شخصي من جهتین بل یدلّ على أنّ کلّ فعل یمکن أن یکون تارة حسناً وأخرى قبیحاً، بل تمثیله بما ذکر صریح في ذلك. وأمّا قوله: «على هذا الوجه» إلى آخره، فیدلّ على جواز الاجتماع في واحد جنسي؛ لأنّ خروج الشخص عن زرع الغیر أمر کلّي له فردان: أحدهما بنیّة التخلّص، والآخر بنیّة الفساد، ولایمکن تحقّق فرد منه في ضمن النیتین بل المتحقّق مع أحدهما غیر المتحقّق مع الأخرى لا مَحالة. وأمّا کلامه الثاني فهو صریح في أنّ إجزاء الصلاة في الضّیعة المغصوبة لأجل عدم تعلّق النهي بذلك التصرّف بل هو ظاهر في حکمه بعدم جواز الاجتماع؛ إذ لو جاز لما کان وجه للتمسّك في الإجزاء بعدم تعلّق النهي ورضا الصاحب».</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فخر الشیعة العلّامة الکبیر محمّدباقر بن محمّدتقي المجلسي رحمة الله علیهما في بحار الأنوار، ج‌80، ص280 بعد نقل کلام الفضل (رحمة الله‌علیه): «فظهر أن القول بالصحة كان بين الشيعة بل كان أشهر عندهم في تلك الأعصار وكلام الفضل يرجع إلى ما ذكره محقّقو أصحابنا من أنّ التكليف الإيجابي ليس متعلقاً بهذا الفرد الشخصي بل متعلق بطبيعة كلية شاملة لهذا الفرد وغيره وكذا التكليف السلبي متعلق بطبيعة الغصب لا بخصوص هذا الفرد».</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جاءت النسبة في القوانین المحکمة في أصول الفقه، ج1، ص140، حیث قال:«بل ویظهر من کلام الفضل أنّ ذلك کان من مسلّمات الشیعة». ولکن قول العلّامة محمّدباقر بن محمّدتقي المجلسي رحمة الله علیهما هو ما نقلناه.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وممّن خدش في هذه النسبة المحقّق النراقي (رحمة الله‌علیه) في مناهج الأحکام، ص56، حیث قال: «والظاهر في شرح الدروس في بحث تداخل الأغسال الجواز ونصره بعض أفاضل عصرنا بل نسب الخلاف إلى الفضل والسیّد في الذریعة من المتقدّمین وجمع من المتأخرین وهو بمعزل عن الصّدق. بیانه أنّ کلام الفضل الذي توهّم منه ذلك هو ما نقله الکلیني في کتاب الطّلاق عنه الدالّ على صحّة الصلاة في الدار المغصوبة وهذه الدلالة هي التي أوجبت توهّمه تجویز الاجتماع إذ لیس في کلامه ما یوهمه غیره ولا دلالة لها على ذلك أیضاً لأنّ الحکم بصحّة الصلاة مع النهي عن التصرّف في المکان المغصوب إنّما یکون لواحد من الأمور الستّة:</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والطبعة الحجریّة، ص52: «المدارك». وفي المخطوطة: «ك». ولم نجد هذا المطلب في المدارك. ویحتمل أن یکون المراد من «ك» کشف اللثام.</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ریاض المسائل، ج3، ص7، قال:«قیل: ویحتمل کلامه الإلزام». والظاهر أنّه نقل کلام الفاضل الإصفهاني في کشف اللثام، ج3، ص274. وقال السیّد جواد العاملي في مفتاح الکرامة، ج6، ص133: «واحتمل صاحب كشف اللثام أنّ كلام الفضل بن شاذان وارد على سبيل الإلزام وكأنّه لم يلحظ إلى آخره، لكن يؤيّد ذلك عدم نقل متقدّمي أصحابنا خلافه في المقام».</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المعتبر، ج2، ص108 و109 في الاستدلال على بطلان الصلاة في الغصب: «لنا صلاة منهي عنها والنهي يدلّ على فساد المنهي، لا يقال: هذا باطل بالوضوء في المكان المغصوب، وبإزالة عين النجاسة بالماء المغصوب، وبأنّ النهي يدلّ على الفساد حيث يكون النهي متناولاً لنفس العبادة وليس في صورة النزاع كذلك، بل النهي متناول لعارض خارج عن ماهية الصلاة فلا يكون مبطلاً؛ لأنّا نقول: الفرق بين الوضوء في المكان والصلاة، فيه أنّ: الكون بالمكان ليس جزءاً من الوضوء ولا شرطاً فيه، وليس كذلك الصلاة، فإنّ القيام جزء من الصلاة وهو منهي عنه».</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شیخنا البهائي (رحمة الله‌علیه) في الحبل المتین، ص157 و158: «أمّا الاستدلال بأنّ أفعال الصّلوة كالرّكوع والسّجود مثلاً منهيّ عن إيقاعها فيه فلا تكون مأموراً فقد يقال: إنّ النّهى عنه في الحقيقة إنّما هو شغل الحيّز المخصوص حين الصّلوة وليس نفس شغل الحيّز جزءاً من الصّلوة ولا شرطاً لها بل هو أحد أفراد مطلق شغل الحيّز الّذي هو من ضروريّات الجسم من حيث هو جسم. نعم هو أمر مقارن للصّلوة كما هو مقارن لغيرها كالخياطة والكتابة مثلاً. وأمّا الاستقرار المعدود من واجبات الصّلوة فليس عبارة عن شغل الحيّز، بل المراد به عدم التّحرّك بشي‌ء ونحوه وشغل الحيّز يقارنه لا أنّه هو ولعلّ هذا هو وجه تردّد بعض علمائنا كأبي الصّلاح (رحمة‌الله) في بطلان الصّلاة في الحمّامات ومعاطن الإبل والبيوت المصوّرة مع حكمه بتحريم الصّلاة فيها [راجع: الکافي في الفقه، ص141] وبما تلوناه عليك يزداد وضوح ما ذهب إليه المحقّق طاب ثراه في المعتبر من الحكم بصحّة الطّهارة في المكان المغصوب».</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«جزء».</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المرتضی (رحمة الله‌علیه) في الانتصار، ص100:«ولفظة «مقبول» يستفاد بها في عرف الشرع أمران: أحدهما: الإجزاء، كقولنا: لا تقبل صلاة بغير طهارة. والأمر الآخر: الثواب عليها، كقولنا: إنّ الصلاة المقصود بها الرياء غير مقبولة، بمعنى سقوط الثواب وإن لم يجب إعادتها».</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«لا شرط الصّلوة».</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یضع».</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کلام فضل بن شاذان (رحمة الله‌علیه).</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السیّد المرتضى، للاطّلاع على المیراث الأصولي للشریف المرتضى راجع إلى مقالتنا «الذریعة من تراث المرتضی (رحمة الله‌علیه)» في مجلة میراث شهاب العدد83.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«لقعوده».</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إلى أصول الشریعة، ج1، ص178.</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إلى أصول الشریعة، ج1، ص194.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ص53: «الصلوة الضیف».</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الطبعة الحجریّة، ص53: «عدم»، وأضفناه من المخطوطة.</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«اتحادها».</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المخطوطة. وفي الطبعة الحجریّة، ص53، ومخطوطة مکتبة الوزیري: «تحققت».</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«مثل».</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«کالصوم».</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في شرح إرشاد الأذهان، ج2، ص110 و 111.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في شرح إرشاد الأذهان، ج2، ص111.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في شرح إرشاد الأذهان، ج2، ص111 و 112.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«للنهي».</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«النزاع».</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«المزبور»، وفي الطبعة الحجریّة، ص53: «المذکور».</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الطبعة الحجریة، ص53: «إلیه». وأضفناه من المخطوطة.</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 یرجع إلى سائر الأدلّة من یقول بعدم الجواز عقلاً؟! هل یحاول أن یستفید من سائر الأدلّة الجواز مع مع کونه قائلاً بالامتناع؟!</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الطبعة الحجریة، ص53: «أیضاً». وأضفناه من المخطوطة.</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تثبت عندنا أن یکون صاحب الریاض (رحمة الله‌علیه) قائلاً بهذا التفصیل. نعم في رسالة جمال المحقّقین آقا جمال‌الدین الخوانساري (رحمة الله‌علیه) في معنى الکراهة ما ربما یوهم هذا التفصیل. وقد قدّمنا کلاماً في هذا المطلب.</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الریاض قائل بعدم صحّة الصلاة في المکان المغصوب. فراجع: ریاض المسائل، ج3، ص6 و7، حیث لا یفرّق بین حکم العقل وغیره في الحکم بعدم الصحّة.</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ریاض المسائل، ج2، ص333، حیث قال: «ولا تجوز الصلاة ولا تصح في ثوب مغصوب مع العلم بالغصبية».</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مطارح الأنظار، ج1، ص613: «وقد ینسب ذلك إلى فاضل الریاض وکأنّه مسموع منه شفاهاً».</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والطبعة الحجریة، ص54: «الحکم».</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«انما هو».</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ویوافقه في هذا الرأي جمع من الفقهاء منهم الإمام السیّد روح الله الموسوي الخمیني (رحمة الله‌علیه)، فراجع: مناهج الوصول إلى علم الأصول، ج2، ص128 وتهذیب الأصول، ج1، ص313. ولکن قال الفقیه المدقّق والأصولي المحقّق الآخوند محمّدکاظم الخراساني (رحمة الله‌علیه) في کفایة الأصول، ص158: «فالحقّ هو القول بالامتناع کما ذهب إلیه المشهور». وکذا یظهر من الفقیه المحقّق ومرجع الطائفة السیّد أبوالحسن الإصفهاني (رحمة الله‌علیه) القول بالامتناع، فراجع: وسیلة الوصول إلى حقائق الأصول، ج1، ص298.</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«الإرادة»، وفي الطبعة الحجریّة، ص54: «الإرادتین».</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«إذ».</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«بالمرة» بدون «و». نعم «و» موجود في الطبعة الحجریّة.</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«التعلیق».</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ومخطوطة مکتبة الوزیري: «بل». نعم موجود في الطبعة الحجریّة، ص54.</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«إنّ».</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في المخطوطة، ولکن في هذا التعبیر غرابة عندنا؛ لأنّ المألوف عندنا انطباق الطبیعة على الأفراد، لا انطباق الأفراد على الطبیعة. فتأمّل.</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«لها».</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القوانین المحکمة في أصول الفقه، ج1، ص141، حیث قال: «فالفرد هنا مقدّمة لتحقّق الکلّي في الخارج».</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کلامه رحمه الله تعالى تأمّل. فبناء على العینیّة لا یوجد تعدّد، وتعدّد الطلب الحقیقي أیضاً غیر مشکل، إلّا أن یقال: إنّه مشکل بلفظ واحد، فنقول: هو أیضاً غیر مشکل.</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ومخطوطة مکتبة الوزیري: «علی».</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«بهذا».</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في المخطوطة، ولکن المألوف عندنا: «کونها منطبقاً علیه»: بمعنى کون الطبیعة منطبقاً على الفرد. فتأمّل.</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بعض النسخ: «أمّا».</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«حکم».</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«إبقائها».</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«إسرائه»، وفي مخطوطة مکتبة الوزیري: «السرایة».</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«جائت».</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«العقل».</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«حیثیة».</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«ولا یضرّ».</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«ونهیه».</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«لا»، وفي الطبعة الحجریّة، ص55: «إلّا».</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مقام الإجزاء.</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«ظهر».</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«یأتیها».</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«یکون».</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«لم یکن».</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«متعلقیهما».</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«محلّ».</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«الاجتماع».</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الخبیر المولى أحمد النراقي قائل بامتناع اجتماع الأمر والنهي وفي الردّ على الاستدلال لإمکان الاجتماع ب- «أنّه لو امتنع الجمع لکان باعتبار اتّحاد متعلّق الأمر والنهي إذ لا مانع سواه واللازم باطل لأنّهما یتّحدان لو کانت التکلیف بالأفراد ولیس کذلك بل إنّما هو متعلّق بالطبائع فمتعلّق الأمر الصلاة ومتعلّق النهي الغصب وکلّ منهما ینفكّ عن الآخر»، قال: «وثالثاً: أنّ الامتناع إنّما هو لأجل اجتماع الضدین، والتعلّق بالطبائع لایجدي في دفعه لبداهة أنّ الأوامر المتعلّقة بالماهیات متعلّقة بإیجادها دون ذواتها ومفهوماتها. والإیجاد المتعلّق هو الخارجي دون الذهني أو الاعتباري ولا شكّ أنّ هاتین الماهیّتین وجدتا في الخارج بإیجاد واحد فاتحّد المحلّان واجتمع الضدّان في محلّ واحد». راجع: مناهج الأحکام، ص59.</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«نشئت».</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أنّ المألوف عندنا: «انطباق الطبیعة على مصداق واحد»، لا «انطباق المصداق على طبیعتین».</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«الوجوب».</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«إذ»، وفي الطبعة الحجریّة، ص56: «أنّه».</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مخطوطة مکتبة الوزیري: «الحکم».</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المحقّق النائیني (رحمة‌الله) بین المثالین بأنّ الترکیب في العالم والفاسق اتّحادي وفي الصلاة في الدار الغصبي انضمامي. راجع: فوائد الأصول، ج2، ص427 و428، حیث بنى جواز الاجتماع على القول بالترکیب الانضمامي في الصلاة في الدار المغصوبة</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خلاف ما ظهر من المصنّف (رحمة‌الله) في الأمر الرابع من المقدّمة الأولى حیث قال: «إذا قال: «أکرم العلماء ولا تكرم الفسّاق» أو قال: «أکرم أيّ عالم أردت ولا تكرم الفسّاق أو الفاسق» فلا إشکال في عدم جواز كون العالم الفاسق داخلاً في العامّين بل هو خارج عن أحدهما والمسألة داخلة في عنوان التعارض المبحوث عنه في باب التّعادل والتّرجيح».</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ومخطوطة مکتبة الوزیري: «إنّه».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«الصّلواتیة».</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«المتباینین».</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سیعترف المصنّف بعد هذا بأنّ الطلب الغیري حکم مولوي إرشادي.</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کلامه هذا تأمّل.</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«مورد النزاع في المسئلة».</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«لما ذکره».</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ومخطوطة مکتبة الوزیري: «متساوي».</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«أنّ».</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«إن».</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«عدم وجود عدم الکلّي الطبیعي».</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من مخطوطة مکتبة الوزیري: «التقید».</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المخطوطة ومخطوطة مکتبة الوزیري، ولم یرد «لیس» في الطبعة الحجریّة، ص57.</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المخطوطتین: «من».</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«للطبیعة».</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«التعلیق».</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ج2، ص690 و ج3، ص58.</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حکى عنه المحقّق الجلیل الشیخ محمّدحسین الإصفهاني الحائري (رحمة الله‌علیه) في الفصول الغرویّة، ص128، حیث قال: «ومن هنا يظهر أيضاً ضعف مقالة الحاجبي حيث أجاز أيضاً الاجتماع واحتجّ عليه بأنّ مورد الأمر والنهي متغايران مع مصيره إلى أنّ الأوامر إنّما تتعلّق بالأفراد دون الطبائع معلّلاً بامتناع تحققها في الخارج».</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مختصر منتهى السؤل والأمل في علمي الأصول والجدل، ص314، حیث قال: «لو لم تصحّ لکان لاتّحاد المتعلّقین؛ إذ لا مانع سواه اتّفاقاً ولا اتّحاد؛ لأنّ الأمر للصلاة والنهي للغصب واختیار المکلّف جمعهما لا یخرجهما عن حقیقتهما».</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والطبعة الحجریّة، ص58: «متعلق».</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«معلّلاً».</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مختصر منتهى السؤل والأمل في علمي الأصول والجدل، ص682، حیث قال: «مسألة: إذا أمر بفعل مطلق فالمطلوب الفعل الممکن المطابق للماهیّة لا الماهیّة. لنا: أنّ الماهیّة یستحیل وجودها في الأعیان لما یلزم من تعدّدها فیکون کلیّاً جزئیاً وهو محال». وردّه عضدالدین الإیجي في شرح العضد، ص176 و 177، ب-«أنّ المطلوب الماهیّة من حیث هي هي لا بقید الجزئیّة ولا بقید الکلّیّة ولا یلزم من عدم اعتبار أحدهما اعتبار الآخر وإنّ ذلك غیر مستحیل بل موجود في ضمن الجزئیات». ولنا تحقیق في هذا المجال. والحمدلله أوّلاً وآخراً وظاهراً وباطناً.</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«تعلق الأحکام».</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إشارات إلى مفاتیح الأحکام، ج1، ص220.</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«شرعي».</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«خصوصیة».</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«الوجود».</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«فلا تغفل».</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«کذلك».</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«أعمًا».</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«أخصًّا».</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والطبعة الحجریّة، ص58: «أنّ».</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«أنّ الاتحاد غیرهما».</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«أعما».</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«من وجه».</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«أو».</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«والجنس».</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«لا متحصّل».</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«عامّاً».</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«العامین».</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«منشاء».</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«الأفعال المکلفین».</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«وفي».</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«فلا نم».</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«وللأفعال».</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«البعض».</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ج3، ص78 وبعد.</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الطبعة الحجریّة، ص59، والطبعة المحقّقة، ص101: «منه»، وأثبتناه من المخطوطة.</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«ولا یثمر».</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ج3، ص78 و79.</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«معنى الإیجاد إیجاد منشأ انتزاعها».</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«یقول: إنّ».</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ج3، ص80.</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«القدرة».</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 «هي».</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«عموما».</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«الغصب».</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ج3، ص80 و81.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«بحسب».</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«ذاتًا».</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المخطوطتين: «الخارجي».</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المخطوطتين: «أنّ».</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المسترشدین، ج3، ص78 إلى 81.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المخطوطتين: «وجوها».</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«متغایرة».</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مخطوطة مکتبة الوزیري: «بل».</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 «مغایرة».</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«في».</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«یستلزم».</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«کون».</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الطبعة المحقّقة، ص103، وفي المخطوطتین: «یشمل»، وفي الطبعة الحجریّة، ص61: «یشتمل».</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«فلا تحصل».</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«لوجود».</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«به».</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ج3، ص81 إلى 85.</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«متلازمتان»، وفي الطبعة الحجریّة، ص61: «متلازمان».</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«علی».</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الثاني من أدلّة القول بجواز الاجتماع.</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«بغیره».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والطبعة الحجریّة ص62: «الموجودتان».</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«ورد».</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«الوجه».</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مناهج الأحکام، ص59، في مقام نقل الاستدلال على جواز الاجتماع والردّ علیه: «الثاني: أنّه لو لم یجز الاجتماع لما صحّ التّصریح به مع أنّه یصحّ لصحّة أن یقال: «صلّ ولا تغصب، ولو صلّیت في المغصوب صحّت صلاتك وعاقبتك للغصب»، وجوابه: إن أردت صحّة التّصریح عند من لا یفهم معنى الصحّة فلا یفید وإن أردت صحّته عند من علم أنّ الصحّة موقوفة على تعلّق الأمر فلا نسلّم صحّة التصریح، مع أنّه ما بعثك على التمسّك بصحّة التصریح بالصحّة والعقاب إلى إثبات اجتماع الأمر والنهي حیث إنّ الصحّة والعقاب مترتبان علیهما. فتأمّل أوّلاً أنّه هل یجوز التصریح بالأمر والنهي أم لا؟ فإن کان ذلك مشکوکاً فیه تمسّك في إثباته بإثبات لوازمه، والحاصل: أنّ التمسّك بجواز التصریح والعقاب من باب الإنّ وهو إنّما یفید لو کان وجود العلّة مشکوکاً فیه».</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الاستدلال الإنّي هو الانتقال من المعلول الى العلة، راجع: جواهر الأصول، ص155. وبعبارة أخری: هو العلم من المعلول بالعلّة. راجع: تحریر الأصول، ج1، ص392. وبعبارة أخری: «الاستدلال الإنّي هو الاستدلال بوجود المعلول على وجود العلة». راجع: حقائق الأصول، ج2، ص241.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«أوّلاً مع أنّه هل یجوز».</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«أمّا».</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«بطبیعة».</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نقد الأصول الفقهیّة، ص76: «وللمجوّزين: أنّا نقطع بأنّ السيّد إذا أمر عبده بالمشي كلّ يوم خمسين خطوة ونهاه عن الدخول في الحرم فمشى العبد في الحرم، فإنّه مطيع عاص لجهتي الأمر بالشي‌ء والنهي عن دخول الحرم.</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«مما لا وجه له».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«شرعًا».</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«طریقهم».</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ص63: «بتقید».</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أن یکون وجه التأمّل ما یقوله المصنّف بُعید ذلك: «نعم، الإنصاف أنّه مع القطع بعدم الجواز عقلاً لا يجوز التمسّك بالعرف. وكون الأحکام واردة على حسب الأفهام العرفيّة لا يثمر في ورود الأمر على ما لا يمكن وروده عليه عقلاً».</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ج3، ص86 و87.</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«عدم المنافات».</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«الإنشاء».</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«من».</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«بعدم جواز الاجتماع».</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«فلا تفید».</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«لا یکون».</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«ومعه».</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الوزیري:«أبرء».</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«فتدبّر جیّدا».</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المخطوطتين: «متحقّقة».</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«أحکام».</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«ذلك».</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آیة الله السیّد محمّدکاظم الطباطبائي الیزدي (رحمة الله‌علیه) في العروة الوثقى، ج2، ص275: «فذكر جماعة أنّه يكره الشروع فيها في خمسة أوقات: أحدها: بعد صلاة الصبح حتّى تطلع الشمس؛ الثاني: بعد صلاة العصر حتّى تغرب الشمس؛ الثالث: عند طلوع الشمس حتّى تنبسط؛ الرابع: عند قيام الشمس حتّى تزول؛ الخامس: عند غروب الشمس، أي قبيل الغروب. وأمّا إذا شرع فيها قبل ذلك فدخل أحد هذه الأوقات وهو فيها فلا يكره إتمامها. وعندي في ثبوت الكراهة في المذكورات إشكال». وقد عقدنا بحثاً مختصراً في هذه الأوقات في کتابنا «نماز طواف»، ص38 إلى 41، فراجع.</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ج80، ص305 وبعد.</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الکافي، ج3، ص397: «باب اللباس الذي تکره الصلاة فیه وما لاتکره».</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تذکرة الفقهاء، ج1، ص12 حیث قال: «ويكره المشمس في الآنية».</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المخطوطتین: «المشمّس أي».</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«العقلي»، وفي الطبعة الحجریّة، ص64: «الواقعي».</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«الصورة».</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«منها».</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«تنفع».</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«الجواز».</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«الاجتماع».</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«من هذه النواهي».</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«لم نعلم».</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«معنى التأویلي».</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«کما قال».</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«لا یوازي».</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ج3، ص101.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«من»، وفي الطبعة الحجریّة، ص65: «عن».</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«جهتهم». وفي مخطوطة مکتبة الوزیري: «جهتی».</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«مصلحة».</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«الکراهة».</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على الإیراد والجواب راجع: مطارح الأنظار، ج1، ص620.</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«لم یعلم».</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«أنّ في».</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«هو».</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«سنخهما».</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«المستکشف».</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«یکون».</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«یکون».</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المخطوطتین: «المصلحة». أضفناها من الطبعة الحجریّة، ص66.</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«یبقی».</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«فاالکراهة».</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«یبقی».</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«یبقی».</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«قول».</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«المعنیین».</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«المصلحة».</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«في».</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«کراهة».</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«تعلیقه».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«ذلك».</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«مستقلات».</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«الغیر».</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«عنوان».</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«شاملة».</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ص67: «الکراهة».</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المخطوطة، وفي الطبعة الحجریّة، ص67: «موجودة».</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«في وجوب».</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«التزاحم».</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«سرایة»، وفي مخطوطة مکتبة الوزیري: «سرایته».</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«مفزع».</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«لا یقتضي».</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«الناشیة».</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ص68: «إلی».</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ص68: «منقصة».</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«ومراعات».</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«الکراهتي».</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«مراعات».</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الطبعة الحجریّة: «معاً».</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المحکمة في أصول الفقه، ج1، ص144.</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«یحمل».</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والطبعة الحجریّة: «کذلك».</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أنّ النبي صلّىٰ الله عليه وآله: «نهىٰ أن یصلّي في سبعة مواضع: المزبلة، والمجزرة، والمقبرة، وقارعة الطريق، والحمّام، ومعاطن الإبل، وظهر بيت الله». راجع: سنن الترمذي ج1، ص216 و217.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«عدم مرجوحیّة ورود».</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«وهو باطل اتفاقاً».</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الطبعة الحجریّة، ص69: «ثواب»، أضفناه من المخطوطة.</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«ینقص».</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«لم يكن».</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«اللاحق».</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«لم یکن».</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والطبعة الحجریّة، ص69: «عموماً».</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«المتحدة».</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«یکون».</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«کلّ».</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«مرجوحیته».</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«عن»، وفي الطبعة الحجریّة، ص69: «عند».</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المحکمة في أصول الفقه، ج1، ص144.</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«أوامر».</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«ولا منافات».</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«لا منافات».</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«إذا».</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«لا منافات».</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بالفارسيّة: حمائل شمشیر.</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ص131.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«ينافي في».</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«الفعلي».</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ص132.</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تأمّل.</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استعمال الإخبار في الإنشاء.</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«النفسي».</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«من».</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ج3، ص94، حیث قال: «فإنّ الکراهة هناك لیس بمعناها المصطلح بل بمعنى أقلّیة الثواب».</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ج3، ص99. حیث قال: «إلّا أن یقال: إنّه لا مانع من اجتماع الکراهة الغیریّة مع الاستحباب والوجوب النفسیین کم قد یقال بالنسبة إلى الوجوب النفسي والحرمة الغیریّة حسب ما یأتي الإشارة إلیه». ثم قال في ص103: «هل یجوز اجتماع الوجوب النفسي والحرمة الغیریّة أم لا؟ والذي یتقوّى في النظر جوازه».</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أنکر المصنّف الجمع بین الطلب المولوي والإرشاد وقال المصنّف قبل هذا: «لا یمکن الجمع بین الطلب والإرشاد لکونهما متباینین».</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معالم الدین وملاذ المجتهدین، ص60 إلى 63. قال صاحب المعالم بوجوب المقدّمة إن کان من قبیل السبّب المحقِّق للمسبَّب یعني الصلاة، فاستفاد من تعبیره أنّ غیر الموصلة التي لیست سبباً لتحقّق عنوان الصلاة لیست بواجبة.</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«ولا یتصف بالمطلوبیة في الخارج إلّا أنّ الطلب من المولى لا یتعلّق بما کان موصلاً».</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ص86، حیث قال: «إنّ مقدمة الواجب لا تتصف بالوجوب والمطلوبية من حيث كونها مقدمة إلّا إذا ترتب عليها وجود ذي المقدمة لا بمعنى أن وجوبها مشروط بوجوده فيلزم ألّا يكون خطاب بالمقدمة أصلاً على تقدير عدمه فإنّ ذلك متضح الفساد كيف وإطلاق وجوبها وعدمه عندنا تابع لإطلاق وجوبه وعدمه بل بمعنى أن وقوعها على الوجه المطلوب منوط بحصول الواجب حتّى أنّها إذا وقعت مجردة عنه تجردت عن وصف الوجوب والمطلوبية لعدم وجوبها على الوجه المعتبر فالتوصّل بها إلى الواجب من قبيل شرط الوجود لها لا من قبيل شرط الوجوب».</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مرجع هذا التفسیر والتمثیل ومآلهما إلى وجوب المقدّمة مطلقاً موصلة أم غیر موصلة.</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بعد ظهور القول بوجوب المقدّمة مطلقاً موصلة کانت أم غیر موصلة من کلام صاحب الفصول، ص86، حیث قال: «إطلاق وجوبها وعدمه عندنا تابع لإطلاق وجوبه وعدمه».</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وأیضاً قال صاحب الفصول بنفسه أنّ النهي سواء کان موجباً للعقاب أم لا، مطلقاً موجب للفساد. فراجع: الفصول الغرویّة، ص88، حیث قال: «وأمّا ما زعمه بعض المعاصرين من أنّ القائلين بوجوب المقدمة يقولون بترتب العقاب على تركها واستفاد ذلك من احتجاجهم على فساد ضدّ الواجب إذا كان عبادة بتعلق النهي به من باب المقدمة حيث زعم أنّ النهي المقتضي للفساد ليس إلّا ما كان فاعله معاقباً ففيه ما لا يكاد يخفى، بل النهي المقتضي للفساد أعمّ من ذلك كما سينبّه عليه».</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ج1، ص626.</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«بأنّ».</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«فرض».</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ج1، ص626.</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«من المنقصة».</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ج1، ص626.</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ص131 و 132، حیث قال: «أمّا أوّلاً فبأنّا نلتزم بما هو ظاهر كلام القوم من أنّ الكراهة في العبادة بمعنى قلة الثواب وأنّ تلك النواهي إرشادية مجردة عن معنى طلب الترك ولا يلزم عليه شي‌ء من المفاسد المذكورة؛ إذ التعسف اللازم على تقديره إنّما هو مجرد مخالفة للظاهر وهو مما يجب ارتكابه عند قيام الحجة عليه، ثم الكراهة بهذا المعنى لا تنافي مطلوبية الفعل بل يستلزمها فنختار الشقّ الأوّل وهو مطلوبية الفعل ونمنع لزوم عدم الكراهة بهذا المعنى على تقديرها والسند عليه ظاهر وما نسب إليهم (علیهم‌السلام) من أنّهم كانوا يتركون تلك العبادات فلا نسلم أنّه كان لرجحان الترك على الفعل بل للاشتغال بما هو أفضل منها كما يستفاد من كراهة صوم يوم عرفة لمن خاف أن يضعفه من الدعاء».</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ص626.</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«إلى النّقص».</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«قرائة».</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من لا یحضره الفقیه، ج2، ص88، ح1811.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«وإن یکن».</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«منعنا».</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الکافي، ج5، ص73: باب ما یجب من الاقتداء بالأئمة (علیهم‌السلام) في التعرّض للرزق.</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«بالصّلوة».</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المحقّقة، ص122: «وکأن».</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الکبیر والأصولي المجدّد أستاد الکلّ محمّدباقر بن محمّدأکمل الإصفهاني (رحمة الله‌علیه)</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القوانین المحکمة في أصول الفقه، ج1، ص146، حیث قال: «فیصیر ما نحن فیه مرجوحاً بالنسبة إلى أصل الطبیعة أیضاً فیحصل بذلك لهذا الفرد أیضاً منقصة ذاتیة».</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الوحید البهبهاني (رحمة الله‌علیه) في الفوائد الحائریّة، ص160 و161: «واعلم أيضاً أنّ القول بأنّ إيجاب ذي المقدّمة إيجاب لمقدّمته أيضاً مطلقاً كما هو المشهور أو إذا كانت شرطاً كما قال به بعض، أو إذا كان-[-ت] سبباً كما قال به بعض خروج عن مدلول النصّ، وتعدّ عنه من غير دليل، لعدم كونه مطابقة، ولا تضمّناً، ولا التزاماً، لعدم اللّزوم عقلاً وعرفاً. وما استدلّ به على اللزوم مدخول غير تامّ. نعم في الموضع الّذي يكون قرينة فالأمر على حسب ما اقتضاه القرينة. والكلام في «أنّ الأمر بالشي‌ء هل يستلزم النهي عن ضدّه الخاصّ؟» مثل ما ذكر. وربّما توهّم متوهّم: أنّ القائل بوجوب المقدّمة يقول بالعقاب على تركها على حدة. وليس كذلك؛ لأنّهم قد صرّحوا: بأنّ العقاب إنّما هو على ترك ذي المقدّمة. نعم الثّمرة متحقّقة في أنّ المقدّمة لا يمكن أن تصير منهيّاً عنها، وأنّ من نذر فعلاً واجباً متعدّداً يكون آتياً بالمنذور بواسطة المقدّمة أيضاً، وغير ذلك. فتأمّل».</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«طلب واحد متعلق».</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«طلبان مولویان حقیقیان».</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«لا یقتضي».</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«التوجیه».</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«إلّا».</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المحکمة في أصول الفقه، ج1، ص146.</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القوانین المحکمة في أصول الفقه، ج1، ص144.</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«ومرجوحیة».</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«الغیر».</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«أنّ».</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«غیر متحدة».</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الرسائل الفقهیّة للوحید البهبهاني، ص302، حیث قال: «وربّما يقولون: إنّ الكراهة تتعلّق بما هو خارج عن نفس العبادة أو جزئها أو شرطها. ومن هذا حكم بعضهم بصحّة مثل البيع وقت النداء، مصرّحاً بأنّ النهي تعلّق بأمر خارج، وهو ترك السعي إلى الجمعة والاشتغال عنها».</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«والسیل».</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«تعلیق».</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المحکمة في أصول الفقه، ج1، ص143.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ص131.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«ولا».</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«لا یضرّ».</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«أنّ».</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«کلماتهم».</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القوانین المحکمة في أصول الفقه، ج1، ص143.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«المتعلّق».</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الشیخ محمّدحسین الإصفهاني الحائري في الفصول الغرویّة، ص131: «ويمكن دفعه بأنّ المراد بالتعرّض للرشاش الكون في مكان أعدّ للرشاش فلا يلزم زوال الكراهة بمجرد الأمن منه».</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والطبعة الحجریّة، ص75: «نفسها». وفي هامش الطبعة المحقّقة: «کذا، والظاهر نفسه أي الغصب».</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«به».</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ص630 و 631.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المقالة الرابعة من السبع الشداد،ص60 وبعد. فیها ثلاثة فصول، والفصل الأوّل في معنى الکراهة في العبادات.</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الأصول، ص104.</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المخطوطتين: «قسما».</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غیر موجود في المخطوطة وأضفناه من السبع الشداد.</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الخطین غیر موجود في السبع الشداد.</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«فاعله».</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السبع الشداد.</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السبع الشداد.</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السبع الشداد: «تارك له».</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السبع الشداد، ص61.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أنّ المراد الفقیه الأصولي السیّد علي الطباطبائي صاحب الریاض (رحمة الله‌علیه).</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رسالة استحالة اجتماع الأمر والنهي لصاحب الریاض (رحمة الله‌علیه) (مجلة تراثنا، العدد 147، ص273 و274): «وبالجملة الفرق بین المقامین هو أنّ النهي في الصلاة في الدار المغصوبة تعلّق النهي بنفس الفرد الموجود في الخارج بذاته وتشخصه بخلاف الصلاة في الحمّام لتعلّقه بذات ذلك الفرد من الغصب الموجود في الخارج بشخصه وطبیعته.</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المخطوطتين: «فتکون».</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المخطوطتين: «الماهیّة».</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«تعليقه».</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رسالة استحالة اجتماع الأمر والنهي لصاحب الریاض (رحمة الله‌علیه) (مجلة تراثنا، العدد147، ص269 إلى 271) حیث قال: «والحقّ في الجواب بعون الملك الوهّاب هو أنّه قد عرفت أنّ المأمور به لیس إلّا الطبیعة المحضة المعراة عن خصوصیّات التشخّصات التي لها مقدّمة الوجود فمتعلّق الأمر شيء بسیط لا ترکیب فیه بخلاف النهي لتعلّقه في المثال بالصلاة المقیّدة بالوقوع في الحمّام فإذن متعلّق النهي أمر مرکّب من الماهیّة المتشخصّة بوقوعها بالتشخص المخصوص ولمّا کان المطلوب بالنهي الترك فهو کالسلب وسلب المرکبة لما کان یصحّ بسلب الجزئین معاً أو الأجزاء حیث کانت متعدّدة ویحصل بکلّ من الجزئین أو الأجزاء خاصّة والمنهي عنه في المثال الصلاة المرکّبة من الماهیّة. وقیل: الوقوع في التشخص لم یحصل القطع بتعلّق النهي الأمر بخصوص الصلاة خاصّة أو مع تشخّصها بقید المعیّة واحتمل اختصاصه بخصوص القید دون المقیّد مطلقاً فلم یکن نصّاً في تعلّق النهي بالماهیّة مطلقاً وحیث لم یحصل یرجع إلى مقتضى الأصل وهو بقاء طلب الماهیّة على الرجحان الذاتي وعدم تلوّثه بالمرجوحیّة العرضیّة إلّا من حیث الشخصیّة الناشية من إیقاعها في الحمّام وقد عرفت أنّ مشخّصات الماهیّة لا دلالة للفظ الأمر علیها بالکلّیّة على المختار أو بالخصوص على غیره على البدلیّة وحیث کان النهي عن الصلاة في الحمّام أعمّ من تعلّقه بالصلاة ونفسها أو مع القید أو تعلّقه بخصوص القید کان الأصل في الصلاة بقائها على رجحانها واختصاص المرجوحیّة المفهومة بالشخص وهو الوقوع في الحمّام وهو أمر خارج عن الماهیّة المأمور بها فلم یلزم اجتماع الأمر والنهي في الشيء الواحد الشخصي. نعم اجتمعا في أمرین متلازمین ونحن معاشر الشیعة لم نمنع إلّا عن الاجتماع في الشيء الواحد لا الأمرین المتلازمین».</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ص629 و 630. وکذا راجع: الفوائد الأصولیة، ص265.</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«المهیة».</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المخطوطتين: «من».</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المخطوطتين: «فلا منافات».</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«الارجاء».</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«إلّا».</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«المجوّزون».</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لصاحب الریاض السیّد علي الطباطبائي (رحمة الله‌علیه) رسالة مختصرة في استحالة اجتماع الأمر والنهي لها نسخ في المکتبات المختلفة. راجع: فهرستگان نسخه‌هاى خطی ایران (فنخا)، ج1، ص707 و708؛ وکذا راجع: معجم المخطوطات العراقیّة، ج1، ص294 و 295. وقال في الذريعة إلى تصانیف الشیعة، ج1، ص268: «اجتماع الأمر والنهي لصاحب الرياض الأمير سيّد علي بن الأمير محمّد علي الطباطبائي الحائري (رحمة الله‌علیه) المتوفى سنة 1231، مختصر اختار فيه الامتناع (أوّله الحمد لله ربّ العالمين) ونسخه شايعة». وطبعت الرسالة بتحقیقنا في مجلة تراثنا، رقم147. والله وليّ التوفیق. الحمدلله ربّ العالمین.</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ص132 و 133.</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«الترك».</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«فیها».</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«ذلك».</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الطبعة المحقّقة، ص129، وفي المخطوطتین والطبعة الحجریّة، ص77: «یکون».</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«تکون»، وفي الطبعة الحجریّة، ص77، ومخطوطة مکتبة الوزیري: «یکون».</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المصنّف العلّامة السیّد محمّدکاظم الطباطبائي الیزدي في حاشیة الفرائد، ج2، ص225 و226: «ثم فرض الحرام التعبّدي أيضاً فيه كلام، لأنّا لم نجد له مثالاً في الشرع وإن مثّل بالصوم فإنّ حقيقته ترك أمور تعبداً، وفيه ما لا يخفى فإنّه من الواجبات التعبّدية لا المحرّمات التعبدية، وفرق بين وجوب الترك وحرمة الفعل، وإن جعلنا حقيقة الصوم الكفّ عن الأمور المعهودة فالأمر أوضح».</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«الخصلة الأخری».</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في المخطوطة ولا في الطبعة الحجریّة، ص77، وأضفناه من الفصول الغرویّة، ص133.</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«التوجیه»، وفي الطبعة الحجریّة، ص77: «الوجه».</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ص133.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قصد القربة.</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الضمیر یرجع إلى «القربة» والمراد منها قصد القربة.</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قصد القربة.</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أتى بالأفعال المخصوصة لا مع قصد القربة.</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«لا یعقل»، وفي الطبعة الحجریّة، ص78: «لا نعقل».</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«به».</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«القربة».</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«إذا قلنا».</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ص78: «اللّذین».</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«إمکان».</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«ظواهر».</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 ما بین المعقوفتین من الکافي.</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ج4، ص150. عن إسحاق بن عمّار عن أبي عبدالله (علیه‌السلام). وفي السند سهل بن زیاد، وللاطّلاع على حاله راجع: رجال الشیخ الأنصارى، ج1، ص393 و394. وقال العلّامة المجلسي في مرآة العقول، ج16، ص368: «قوله عليه السلام «إفطارك لأخيك» أي إفطارك صومك عند أخيك المؤمن لتسره و يحتمل أن يكون المراد تفطيره أخاه المؤمن الصائم بأن تكون اللام زائدة لكنه بعيد».</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«في».</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ص634 إلى 650.</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«ولا».</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«وهو».</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«استقراء».</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«أحد».</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«ترخیص».</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«أن یکون».</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«فلذلك»، وفي الطبعة الحجریّة، ص79: «فکذلك».</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المخطوطتین: «في».</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«للنقض».</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«مورده».</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«النقض».</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«لا یدلّ».</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«عنوان».</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«دعا».</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«من».</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المعقوفتین لیس في متن الروایة. وارد في متن هذا الکتاب.</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متن الکتاب، وفي الروایة: «یوم الأضحی».</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ج2، ص385 و 386، ح1.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«عاشوراء».</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«ذکر».</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«غیر مستفاد».</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ص634 إلى 650.</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یکن».</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المخطوطة.</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«أوجب».</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«لا منافات».</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ج1، ص635.</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ج1، ص635.</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«الامتناع».</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«الاجتماع».</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ج1، ص638.</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ص639.</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«إلی».</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«لا».</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ص131 و 132.</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 645 و 646، حیث قال: «فنقول: إنّ الظاهر من ملاحظة النواهي الواردة في العبادات المكروهة التي لا بدل لها أنّها مكروهة بواسطة احتفافها بعنوان آخر، كما يظهر بالتصفّح في مطاويها، فإنّهم يحكمون بكراهة صوم الولد والزوجة مع نهي الوالد والزوج عنه، وكراهة صوم العاشوراء، وكراهة صوم المدعوّ إلى الطعام إلى غير ذلك، إنّما هو بواسطة أنّ هذا الصيام قد احتفّ بعناوين مطلوبة الترك على وجه التنزيه، كمخالفة الوالد والزوج والتشبّه ببني أميّة (عليهم اللعنة والنيران) وترك إجابة المؤمن ونحوها».</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«يحكم في بالتخییر».</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«تقیید».</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«إذ هناك أیضاً».</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«إذاجتمع».</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«التخییریات».</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«السئوال».</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«وذلك».</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ص649.</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ص132.</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«فتدبّر».</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«على قول المجوزین».</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«المرجوحیة».</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«بالمراعات».</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الطبعة الحجریّة، ص3، وفي المخطوطة: «فیما لا بدل له أیضًا».</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«لا». وفي الطبعة الحجریّة، ص83: «له».</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الطبعة الحجریّة، ص83: «له».</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«المنضم إلیها».</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آیة الله السیّد محمّدکاظم الطباطبائي الیزدي (رحمة الله‌علیه) في العروة الوثقى، ج2، ص275: «فذكر جماعة أنّه يكره الشروع فيها في خمسة أوقات: أحدها: بعد صلاة الصبح حتّى تطلع الشمس؛ الثاني: بعد صلاة العصر حتّى تغرب الشمس؛ الثالث: عند طلوع الشمس حتّى تنبسط؛ الرابع: عند قيام الشمس حتّى تزول؛ الخامس: عند غروب الشمس، أي قبيل الغروب. وأمّا إذا شرع فيها قبل ذلك فدخل أحد هذه الأوقات وهو فيها فلا يكره إتمامها. وعندي في ثبوت الكراهة في المذكورات إشكال». وقد عقدنا بحثاً مختصراً في هذه الأوقات في کتابنا «نماز طواف»، ص38 إلى 41، فراجع.</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«أیضاً».</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«نؤل».</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المحقّقة،ص140: «الکراهة».</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«تحملون».</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«کراهیتها»، وفي الطبعة الحجریّة، ص84: «کراهتها».</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«الآثار».</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«رفع».</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«یکون».</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«یکون».</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من بعض النسخ: «بینهما».</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«یکون».</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«بالمراعات».</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«فإذا».</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«بالمراعات».</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«علی».</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«ومخترعه».</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«فیکون».</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«بالمراعات».</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«ویکون».</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«الأمر».</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والطبعة الحجریّة ص 85، والطبعة المحقّقة، ص143: «المعلّق».</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«في المقام».</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القوانین المحکمة في أصول الفقه، ج1، ص145.</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«بالمراعات».</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القوانین المحکمة في أصول الفقه، ج1، ص145، حیث قال: «إنّ القدر المسلّم في اشتراط الرّجحان إنّما هو في أصل العبادات وماهيتها وأمّا لزوم ذلك في جميع الخصوصيات فلم يثبت».</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القوانین المحکمة في أصول الفقه، ج1، ص145، حیث قال: «وأمّا قصد التقرّب فهو أيضا يمكن بالنسبة إلى أصل العبادة وإن كان لم يحصل القرب لعدم استلزام قصد التقرّب حصول القرب وإلاّ فلا يصحّ أكثر عباداتنا التي لا ثواب فيها أصلاً لو لم نقل بأنّ فيها عقاباً من جهة عدم حضور القلب ووقوع الحزازات الغير المبطلة».</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القوانین المحکمة في أصول الفقه، ج1، ص145، حیث قال: «مع أنّ قصد التقرب لا ينحصر معناه في طلب القرب والزلفى والوصول إلى الرّحمة فإنّ من معانيه موافقة أمر الآمر فهذه العبادة من حيث إنّها موافقة لأمر الآمر يمكن قصد التقرب بها وإن لم يحصل القرب بها من جهة مزاحمة منقصة الخصوصيّة».</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«یکفي».</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القوانین المحکمة في أصول الفقه، ج1، ص146، حیث قال: «فلعلّ صورة العبادة تكفي في صحّة قصد التقرب ما لم يثبت له مبطل من الخارج».</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«ذکرناه».</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«لا نلتزم».</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«وفیه».</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ص130.</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«برعایته».</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ص130.</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«بهما».</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الکافي، ج4، ص130 و 131، ح1 و 5. فیه روایتان ضعیفتان.</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«ویوجبان».</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«واحد».</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الموجب للتأکّد.</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تأمّل، والأظهر الحمل على التأکید لا التخصیص.</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والطبعة الحجریّة، ص87: «زید»، وفي الطبعة المحقّقة ص145: «زیداً».</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«شخصیّا».</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تأمّل بل منع.</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«متأکد».</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«شخصیا».</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الأعظم الحاج الشیخ مرتضى بن محمّدأمین الأنصاري أعلى الله مقامه أسوة الفقهاء والمجتهدین وهو علم من أعلام الطائفة الإمامیة وأکابرها فقیه محقّق وأصولي مدقّق توفّي 1281، وهو من تلامذة شریف العلماء المازندراني (رحمة الله‌علیه). له کتاب المکاسب وفرائد الأصول وکتاب الرجال الذي طبع لأوّل مرّة بحلّة تحقیقیّة منوّرة في العتبة العبّاسیة المقدّسة. وللاطّلاع على ترجمته راجع: مقدّمة رجال الشیخ الأنصاري،ج1، ص14 إلى 20.</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«ومنه».</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«المهیة».</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«المهیة».</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«حینئذٍ».</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«أنفسهما».</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«مدخلیتهما».</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ما یشبه: «یلزم».</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«مضادة».</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«غیر».</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ص650 إلى 654.</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«کان».</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«بینهما».</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«بدل».</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«لا یتّصف».</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«فالفعل».</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«مساوات».</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 «الجهة».</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ص673 إلى 675.</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«أقول».</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«عین العلم»، وفي مخطوطة مکتبة الوزیري والطبعة الحجریّة، ص89: «غیر العلم».</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ص650.</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الإصفهاني في نهایة الدرایة، ج3، ص20: «ما فصّلناه في مسألة اجتماع الأمر و النهي أنّ الحكم سواء كان بمعنى الإرادة والكراهة أو البعث والزجر الاعتباريّين ليس فيه تضادّ وتماثل، فإنّهما من صفات الأحوال الخارجية للموجودات الخارجية، فراجع». واعترض علیه آیة الله السیّد محمّد الروحاني (رحمة الله‌علیه) في منتقى الأصول، ج3، ص82 وبعد. فراجع.</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«أنّه».</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«الندبي».</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ص89: «نظر».</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«قبیل».</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«ذلك».</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«لحاظه».</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یمکن استفادة هذا القول ممّا قاله في کتاب الطهارة للشیخ الأنصاري، ج4، ص248 و 249، حیث قال في صحّة غسل المیت من الصبيّ الممیّز: «أمّا المميّز ففي صحّته منه قولان، والأحوط بل الأقوى عدم الصحّة ولو قلنا بشرعيّة عباداته وصحّتها؛ لعدم وجوبه عليه، فصحّته منه وسقوطه عمّن يجب عليه يحتاج إلى الأمر، إلّا أن يكتفى بما ورد من محبوبيّة هذا الفعل وكثرة الثواب فيه، وأنّ من غسَّل مؤمناً كان له كذا، و غير ذلك، والتمسّك بها لا يخلو عن تأمّل»، وکذا ما قاله في رسائل فقهیّة، ص118، حیث قال: «فتحصّل: أنّ القاعدة لا تنفي إلّا الوجوب الفعلي على المتضرّر العالم بتضرّره؛ لأنّ الموقع للمكلّف في الضرر هو هذا الحكم الفعلي، دون الوجوب الواقعي الّذي لا يتفاوت وجوده وعدمه في إقدام المكلّف على الضرر. بل نفيه مستلزم لإلقاء المكلّف في مشقّة الإعادة».</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الأنصاري في کتاب الطهارة، ج2، في مسألة اجتماع أغسال بعضها واجب وبعضها مستحبّ ونوى الواجب والمستحبّ: «ولا يعدّ مثل ذلك من اجتماع الحكمين المتضادّين أعني الوجوب والاستحباب؛ لأنّ المجتمع هو جهتهما لا أنفسهما».</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«فراجع».</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«أو القریب منه».</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ج1، ص697 و 698، حیث قال: «ثمّ إنّه لو كان بعض تلك الأوامر إيجابياً وبعضها ندبياً كان ذلك الفعل متّصفاً بالوجوب بحسب الواقع، ضرورة غلبة جهة الوجوب على جهة الاستحباب وإن صحّ إيقاعه على جهة الاستحباب بملاحظة أمره الندبي من دون ملاحظة جهة الوجوب؛ إذ لا مانع من أدائه من جهة تعلّق ذلك الأمر به ولا يقضي ذلك بما يزيد على جهة الاستحباب، إلّا أنّه حينئذٍ متّصف بالوجوب وإن لم يوقعه المكلّف من جهة وجوبه وأتى به من جهة رجحانه الغير البالغ الى حدّ الوجوب. وعلى هذا لو نوى به امتثال الأمرين كان الفعل أيضاً متّصفاً بالوجوب خاصّة، لكن يكون إيقاع المكلّف له على كلّ من جهتي الوجوب والاستحباب، يعني من جهة رجحانه المانع من النقيض ورجحانه الغير المانع منه ولا مانع من تحقّق الجهتين فيه؛ إذ لا تضادّ بينهما وإنّما المضادّة بين حصول صفتي الوجوب والندب بحسب الواقع، لاقتضاء أحدهما جواز الترك بحسب الواقع، واقتضاء الآخر المنع منه».</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«المساوات».</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«فرجع».</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«الفرد».</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«بدّ».</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بعض النسخ: «في».</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«للعبادات».</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«من التأکّد».</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«إیجاده».</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«المعنیین».</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على مباحث حول استعمال اللفظ في أکثر من معنى راجع: وقایة الأذهان، ص91 و92؛ و أدبیات عرب در صدر إسلام، ص95 و96. وکذا راجع: نماذج الأصول في شرح مقالات الأصول، ج1، ص433.</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ص91: «التعینیین».</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«الغیر».</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«الطلب المتأکد»، وفي الطبعة الحجریّة، ص91: «الطلب الغیر المتأکد».</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ص135 و 136.</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«والغیریین».</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«لمنافات».</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«غیر ممنوعة».</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«مع».</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«لعدم المنافات».</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«الفعل».</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«عدم المنع منه لغیره».</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«اخر».</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ص136.</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«بوجوب».</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«البیّن».</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«فکما».</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«واقتضائه».</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«الا».</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والطبعة الحجریّة، ص92: «معنیان وحقیقتان».</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«ودعوى أنّ الفرق».</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«وح».</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الطبعة الحجریّة، ص92: «منه».</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الطبعة الحجریّة، ص92: «أصلاً»، أضفناه من المخطوطة.</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ص135 و 136.</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ص92: «النفسین».</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 93: «وإن یکن».</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من بعض النسخ: «فمجرد».</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من بعض النسخ: «ومبنی».</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بالتخییر العقلي.</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«الفص».</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«أراد».</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«محلّ».</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«نظر الصحیح».</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ص135.</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«المغایر».</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«ما ذکره».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«التعین».</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«مشتملا».</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«ذلك».</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ص135.</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ص93: «الزائده».</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«إنّ».</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«التوجیه».</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«الصفراء».</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«العنوان».</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ج1، ص697 و 698.</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«الوجوب».</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«وکذا».</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«لا منافات».</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«مهملتین».</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والطبعة الحجریّة، ص95، والطبعة المحقّقة، ص157: «الوجوبان»، في بعض النسخ: «وجوبان».</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«الحکمین علی».</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«بوجود».</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والطبعة الحجریّة، ص95: «من حیث هي هي»، وفي الطبعة المحقّقة، ص158: «من حیث هي».</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«فکما».</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«فلا یمکن».</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«ویکون».</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«أدلّة».</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«یکون».</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«لله» ما ورد في الکافي وورد في بحار الأنوار، ج78، ص28، ح7.</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ج3، ص41، ح1.</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الکافي، ج3، ص41، ح1: «أجزأها عنك غسل واحد». نعم في وسائل الشیعة، ج3، ص339، ح3813 وبحار الأنوار، ج78، ص28، ح7، جاء: «أجزأك عنها غسل واحد».</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«الوضوء»، وفي الطبعة الحجریّة، ص96: «وضوء».</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ج3، ص45، ح13.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«إلى غیر ذلك».</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 «واحدة».</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«عدم».</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«تعدّد».</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«لعدم جواز الاجتماع».</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«التکرار».</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«التداخل».</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«المسبب».</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«للوضوء».</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«تقول».</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الطبعة الحجریّة، ص97: «فإنّه»، وأضفناه من المخطوطة.</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الطهارة للشیخ الأنصاري، ج2، ص124.</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«للتکرار والتأکد».</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«الحکمان».</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«حکماً».</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«الضعیف».</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بعض النسخ: «هو».</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«یصیر».</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«فلا یمکنه».</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«یمکن».</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قصد القربة.</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«لیس الّا أنّه».</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«موجبا للوجوب».</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الأصولي الشیخ محمّدتقي بن محمّدرحیم الرازي النجفي الإصفهاني المتوفی1248 صاحب هدایة المسترشدین في شرح أصول معالم الدین الحاشیة الکبیرة المعروفة على کتاب معالم الدین وملاذ المجتهدین وتبصرة الفقهاء تلمذ على کاشف الغطاء والسیّد علي الطباطبائي والسیّد محسن الأعرجي الکاظمي. بعون الله تعالى کتبت عنه مقالة بالفارسیة اسمها «کتابشناسی صاحب هدایة المسترشدین» طبعت في مجلة آینه پژوهش، العددین149 و150. للاطلاع على ترجمته راجع: طبقات أعلام الشیعة، ج10، ص215 وبعد.</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لم یرد: «ممّا».</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«یترائی».</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«إنشائه».</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«وجوده».</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«فح».</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ج1، ص698 و 699.</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«والمنافات».</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ص99: «فلا وجه هو لحصول». ولم یرد «هو» في المخطوطة.</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المخطوطتین: «هو».</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«الحسن».</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مناهج الأحکام، ص60، في مقام نقل الاستدلال على جواز الاجتماع والردّ علیه: «الخامس: أنّه لو لا جواز الاجتماع لما أمکن إجزاء غسل واحد عن الواجب والمندوب. وجوابه: منع الدلالة والتوقّف فإنّه یمکن أن یکون الواجب مجزیاً عن المندوب وبالعکس بمعنى أنّه یترتّب علیه ثوابهما معاً ویسقط بفعل أحدهما التکلیف عن الآخر».</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«بالجملة».</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«أنّه».</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«ذلك».</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«به».</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«لاخر».</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القواعد والفوائد، ج1، ص99، حیث قال (رحمة الله‌علیه): «لو نوى بالغسل الجنابة والجمعة، بطل، لتنافي الوجهين».</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أنّ هذا في الجامع للشرایع، ص34 حیث قال (رحمة الله‌علیه): «وإذا اجتمع غسل الجنابة والجمعة وغيرهما من الأغسال المفروضة والمسنونة أجزأ عنها غسل واحد، فإن نوى الواجب أجزأ عن الندب، وإن نوى به المسنون فقد فعل سنة وعليه الواجب، وإن نوى به الواجب والندب قيل: أجزأ عنهما، وقيل: لا يجزي لأنّ الفعل الواحد لا يكون واجباً وندباً».</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«المخ».</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مختلف الشیعة في أحکام الشریعة، ج1، ص319 و 320.</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«کری».</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ذکرى الشیعة في أحکام الشریعة، ج1، ص454 و 455.</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«عد».</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والفوائد، ج1، ص99.</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«کره».</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تذکرة الفقهاء، ج2، ص67، حیث قال (رحمة الله‌علیه) في الصلاة على الموتی: «لو كانوا مختلفين في الحكم بأن يجب على أحدهم الصلاة ويستحب على الآخر لم يجز جمعهم بنية متحدة الوجه، ولو قيل بإجزاء النيّة الواحدة المشتملة على الوجهين بالتقسيط أمكن».</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«لامرین».</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«قصد أحدهما».</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«عن».</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«بغسلین».</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«یتأدی».</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«مختص».</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ذخیرة المعاد في شرح الإرشاد، ج1، ص10.</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ذخیرة المعاد في شرح الإرشاد، ج1، ص10.</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جواهر الکلام، ج2، ص133 و 134.</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جواهر الکلام، ج2، ص134، حیث قال (رحمة الله‌علیه): «فجواز الترك في المندوب من أصل الأفعال فلا ينافي اشتماله على مصلحة توصله إلى حد الإلزام بالعارض».</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والطبعة الحجریّة، ص101: «لم یکن». وفي مخطوطة مکتبة الوزیري:«لم یمکن»، والظاهر أنّ الصحیح ما ورد في مخطوطة مکتبة الوزیري.</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الطهارة للشیخ الأنصاري (رحمة الله‌علیه)، ج2، ص157.</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«التزام».</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«فرد»، وفي الطبعة الحجریّة، ص101: «الفرد».</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«لکلّي»، في بعض النسخ: «الکلي».</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ج2، ص129.</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الطبعة الحجریّة، ص102: «به»، وأثبتناه من المخطوطة.</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ج2، ص129 و 130.</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الطهارة للشیخ الأنصاري، ج2، ص159.</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مخطوطة مکتبة الوزیري: «مستحبّ وهو».</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«الظ».</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«ظ».</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مخطوطة مکتبة الوزیري: «أن».</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المخطوطتین: «أن».</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«الغیرین».</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ص136.</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«ذلك».</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«التقیید».</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ص69 حیث تمسّك لإلغاء قید قصد الامتثال بإطلاق اللفظ، وقال: «الأمر بالفعل مطلقاً هل يقتضي مطلوبيته مطلقاً أو بقصد الامتثال؟ وجهان بل قولان، أقواهما الأوّل ويدلّ عليه بعد مساعدة إطلاق اللفظ عليه القطع بأنّ العبد المأمور بشراء اللحم مطلقاً مثلاً إذا أتى به لا لأمر المولى لم يعد عاصياً لمخالفة الأمر ولا يجب عليه الإتيان به ثانياً لأمره بل كان ما أتى به نفس الواجب وعين المطلوب بشهادة العقل والعرف».</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«کما».</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قباله: «التداخل القصدي».</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المخطوطتین: «علی».</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«إلّا من التداخل».</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«کری».</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ذکرى الشیعة في أحکام الشریعة، ج1، ص205، حیث قال:«أمّا لو جامعها الواجب، فيشكل من حيث تضادّ وجهي الوجوب والندب إن نواها معه، ووقوع عمل بغير نيّة إن لم ينوها، إلّا أن يقال: نية الوجوب تستلزم نيّة الندب، لاشتراكهما في ترجيح الفعل، ولا يضرّ اعتقاد منع الترك؛ لأنّه مؤكّد للغاية، ومثله الصلاة على جنازتي بالغ وصبي لدون ست، بل مطلق الصلاة الواجبة».</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«عده».</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«اجتمع».</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والفوائد، ج1، ص99.</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«ویکون».</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ذخیرة المعاد، ج1، ص10.</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«الواحدة».</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«المح».</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یثبت هذا الالتزام من الشیخ الأعظم الأنصاري عندنا، بل یظهر أنّه قائل باستحباب القنوت مطلقاً. قال في کتاب الصلاة، ج2، ص123 إلى 125: «ورجحانه إجماعي بين الخاصّة وكثير من العامّة، والمشهور بيننا استحبابه، وفي المعتبر والمنتهى دعوى اتّفاق علمائنا على الاستحباب، والظاهر أنّ مرادهما مطلق المحبوبية في مقابل بعض العامّة، لا الاستحباب بالمعنى الأخصّ المقابل للوجوب المختلف فيه بين الخاصّة،... وكيف كان، فقد حكي الخلاف في المسألة عن الصدوق فقال بالوجوب، ونسب إلى العماني موافقته مطلقاً أو في خصوص الجهرية على اختلاف الحكاية عنه، وعن الحبل الميل إليه. والأقوى المشهور».</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«أجزائه».</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«فمع».</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معنى وجوب الصّلاة وجوب هذه الأجزاء.</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«وانکانت».</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أوّلاً: ما في الخارج هو الفرد والطبیعة وعائها الذهن فقط على ما حقّقناه في بعض أبحاثنا، وثانیاً: على فرض وجودها في الخارج بوجود الفرد لا نتعقّل إیجاد الطبیعة بغیر إیجاد الفرد.</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«لم تکن».</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«الحسن».</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«وهذا».</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«الموارد».</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«مرٰات».</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«کونها».</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«مسئلة».</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 السیّد المصنّف في حاشیة فرائد الأصول، ج2، ص496: «ترتّب العقاب على مخالفة ذي المقدمة دون المقدمة قد صار في هذه الأزمنة من الواضحات لأجل ما حقّقه المحقّقون وبيّنوه في فصل مقدمة الواجب ببيانات شافية وافية».</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«وارد».</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«النظر».</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«طرئها».</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4.</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«تجتمع»، وفي الطبعة الحجریّة، ص107: «یجتمع».</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«معا».</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 107: «ففی».</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«لسان».</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 یرد في الطبعة الحجریّة، ص107. أضافة في الطبعة المحقّقة بین القوسین.</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«أن یذکر».</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«بملاحظتها».</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ج3، ص55، حیث قال:«ویستحیل من الحکیم إنشاءه لهما»، والفصول الغرویّة، ص125، حیث قال: «وهو عندي من باب التکلیف المحال بالمحال».</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«لم یکن».</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«ویکون».</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«منتزع».</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«الوجودات»، وفي الطبعة الحجریّة، ص108: «الموجودات».</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«مرٰاتًا».</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«المهیّة».</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«المهیة».</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«لزم طلب تحصیل الحاصل».</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«تقییدیین».</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«نعم».</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من بعض النسخ: «کونهما».</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«کان».</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«الخارجیتین»، وفي مخطوطة مکتبة الوزیري، والطبعة الحجریّة، ص109: «الخارجتین».</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«هو».</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«علتین».</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«عنها»، وفي الطبعة الحجریّة، ص109: «منها».</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«یکون»، وفي الطبعة الحجریّة، ص109: «تکون».</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«الأولی».</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«من حیث».</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«المحلّ».</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«من حیث هي».</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مخطوطة مکتبة الوزیري: «هي».</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تأمّل.</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«بخصوصیاتها».</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«لطبیعة».</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اعتباریة الوجود.</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اعتباریة الوجود.</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«الخارجیّة».</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في المخطوطة، والطبعة الحجریّة ص110.</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«الطلبین». وفي الطبعة الحجریّة، ص110: «الطبیعتین».</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«التقیید».</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ص125 و 126.</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«متغایران».</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تأمّل.</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ص111: «التقیّدین». وفي المخطوطتین: «القیدین».</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مناهج الأحکام، ص57، حیث قال (رحمة الله‌علیه): «لا شك أنّ الأمر والنهي وبعبارة أخرى الوجوب والحرمة وسائر الأحکام الخمسة من الأمور المتضادّة المتقابلة بالذات ومن البدیهیّات أنّ المتضادّین لایمکن اجتماعهما في محلّ واحد سواء کان من جهة أو جهتین إلّا إذا کانت حیثیتین تقییدیتین یجعلان أوّلاً نفس المحلّ المفروض محلّین... فإنّ الصلاة في الدار المغصوبة وإن تعدّد جهتها إلّا أنّها في الخارج ونفس الأمر شيء واحد وتعدّد الجهة لا یجدي نفعاً».</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«لا یتصور».</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«فیه».</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المحقّق الکلباسي، ص141، حیث قال (رحمة الله‌علیه): «ولا محيص فى الجهة التقييديّة من تكثير ذات الموضوع فلا مجال لتعليق الحكمين المتضادين فى الفرد بتوسّط الجهتين التقييديتين من باب السّالبة بانتفاء الموضوع لعدم تحصّل الجهة التقييديّة فى الفرد».</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«الأفراد».</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مخطوطة مکتبة الوزیري: «الثانویة».</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«التزام».</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«الماهیات».</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«مرّ».</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ج3، ص57.</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المحقّقین الشیخ محمّدتقي (رحمة الله‌علیه) صاحب هدایة المسترشدین.</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«عدم تمامیتها».</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ج3، ص57.</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«یقتضي».</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«دخول».</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«التقیید». وفي مخطوطة مکتبة الوزیري: «تقیید»</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«احدهما».</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مبهمات الأسماء كأسماء الإشارة والضمائر والموصولات. ولمزید معرفتها راجع: تقریرات المحقّق العراقي (بدائع الأفکار في الأصول)، ج1، ص70.</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تعلّق الحکم بالأفراد.</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«تصویره».</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«من القول».</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«کان».</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لم یرد في الطبعة الحجریّة، ص113، وموجود في المخطوطة.</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الموضع السادس من المقدّمة الأولى في أوّل الکتاب أنّه قال: «فالحقّ أنّ النزاع في الجهتين التعلیليّتين». وکیف یمکن الجمع بین هذین الکلامین؟!</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«بدله».</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«الانطباق».</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«التحقیق».</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«إلّا».</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تهذیب الأحکام، ج2، ص45. «الطَّاطَرِيُّ عن جعفرِ بنِ سَماعَةَ عن عَلاءِ بنِ رَزِينٍ عن محمّدِ بنِ مُسلِمٍ عن أحدِهِما (علیهما‌السلام) قال: سألته عن القِبلة، قال: ضَعِ الجَدْيَ في قَفاك وصلِّ».</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«واجباً بوجوب الاستقبال إلّا مجازاً. فتدبّر».</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حاشیة سلطان العلماء على معالم الدین وملاذ المجتهدین، ص292، حیث قال: «نعم لو امتنع انفكاك الجهة المفروضة للوجوب عن الجهة المفروضة للحرمة امتنع التكليف به لا لأنّه يلزم اجتماع المتنافيين المحال بل لعدم تمكن المكلّف من الامتثال بهما». وفي أنیس المجتهدین، ج2، ص691 إشارة إلى هذا المعنى حیث قال: «لأنّه لا یلزم الامتثال فیه فیلزم التکلیف بالمحال». والظاهر أنّ سلطان العلماء في عدم المندوحة والعلّامة محمّدمهدي النراقي في الواجب التعبّدي قالا بعدم إمکان الامتثال. ولهما نظراء.</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 لم یرد في مخطوطة مکتبة الوزیري.</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«أصلاً».</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«عنوان منطبق».</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«عنوان».</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«منطبق».</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ص683، حیث قال: «إنّ اجتماع الضدّين يتصوّر على وجهين، أحدهما: أن يكون شي‌ء واحد شخصي باعتبار جهة واحدة متّصفاً بالمتضادّين كالسواد والبياض مثلاً؛</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آیة الله المحقّق الإصفهاني (رحمة الله‌علیه) في نهایة الدرایة في شرح الکفایة، ج2، ص308: «أنّ حديث تضادّ الأحكام التكليفية وإن كان مشهوراً لكنه ممّا لا أصل له؛ لما تقرّر في محلّه من أنّ التضادّ والتماثل من أوصاف الأحوال الخارجية للأمور العينية، وليس الحكم بالإضافة إلى متعلّقه كذلك، سواء أريد به البعث والزجر الاعتباريان العقلائيان أو الإرادة والكراهة النفسيتان».</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«فقول»، وفي الطبعة الحجریّة، ص115: «وقول».</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الطبعة الحجریّة، ص115: «في»، وأثبتناه من المخطوطة.</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«کون کونها».</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«معروض»، وفي الطبعة الحجریّة، ص115: «معروضة».</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مأخوذ من الفصول مع تغییر فراجع: الفصول الغرویّة، ص126.</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المخطوطة، وفي الطبعة الحجریّة، ص115: «القواعد».</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«لا یلحقان»، وفي الطبعة الحجریّة، ص116: «لا تلحقان».</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«کانت».</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«متعلقه».</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«به».</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«التقیید».</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«یتکافئا»، وفي الطبعة الحجریّة، ص117: «یتکافا».</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«احدهما».</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ص126.</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ص126.</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«المنافات».</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«مقتضیهما»، وفي الطبعة الحجریّة، ص117: «مقتضییهما».</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«کك».</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الحسن والقبح.</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«للارتکاب».</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«کانا».</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الطبعة الحجریّة، ص117، وفي المخطوطة: «اجتماعها».</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«مع».</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«المولی».</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مناهج الأحکام، ص58، حیث قال: «ومنها: أنّ الأوامر والنواهي مبتنیة على مصالح ومفاسد فلا یجتمعان في شيء إلّا مع اجتماع المصلحة والمفسدة فیه، وإذا اجتمعتا فإمّا یغلب أحدهما، فاللازم تحقّق ما هو مقتضاه، أو لا، فیکون الفعل مباحاً».</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«من».</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«التكليفين».</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المخطوطتين: «ان».</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مناهج الأحکام، ص58، حیث قال: «ومنها: أنّه إذا قال الآمر: «اجلس یوم الجمعة في مکان واحد من الصبح إلى الغروب»، وقال: «لا تدخل الحرم في هذا الیوم»، فلا شك أنّه یفهم عرفاً التخصیص ولیس هذا الفهم مستنداً إلى دلالة لفظیّة؛ إذ لیس في اللفظ ما یدلّ علیه، فیکون لأمرٍ عقلي، ولیس ما یصلح له إلّا امتناع اجتماع الأمر والنهي، مع أنّه لو قیل بأنّ الدالّ على التخصیص هو نفس اللفظ أیضاً لکفى في إثبات ما نحن فیه بصدده».</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«علی».</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«بإطلاقه».</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«الفرد».</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«الأصولیون».</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مخطوطة مکتبة الوزیري، وفي المخطوطة «بین متعلقي الطلبین». وفي الطبعة الحجریّة، ص119: «متعلقي الطلب».</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«لا تصل».</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وسیلة الوسائل في شرح الرسائل، ص436، حیث قال: «يقال: إنّ العموم والخصوص من وجه قد يكون بين المأمور به و المنهيّ عنه كما في «صلّ ولا تغصب» وقد يكون بين متعلّقيهما كما في «أكرم العالم ولا تكرم الفاسق»، والظّاهر أنّ محلّ نزاعهم في مبحث اجتماع الأمر والنّهي هو الأوّل كما يشهد به تمثيلهم ب-«صلّ ولا تغصب» مع تصريح بعضهم به أيضاً، ووجه الفرق بينهما أنّ الأوّل يكون العموم فيه من قبيل العموم المنطقي والثّاني يكون العموم فيه من قبيل العموم الأصولي والمعقول من النّزاع إنّما هو في الأوّل دون الثّاني؛ لأنّ شمول العامّ الأصولي لأفراده إنّما هو على سبيل الحقيقة ومن جهة الوضع فيلزم فيه الأمر بعين ما نهى عنه من غير ملاحظة تخيير فيرجع إلى الاجتماع الآمري الّذي اتّفقوا على عدم جوازه بخلاف العامّ المنطقي فيرجع الأمر فيه إلى الاجتماع المأموري.</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بعض النسخ: «تعلّق».</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«المقدار».</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«لا».</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«إجرائه».</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کأنّ هذا الدلیل مصطاد من بیان وارد في غایة المسؤول، ص298، فراجع. وقال في آخر البیان: «اتفاقهم على القولین [یعني: التساقط أو التخییر] إنّما هو على فرض التعارض؛ لأنّ کلامهم هناك إنّما هو في الأدلّة المتعارضة فیکون بعد فرض تحقّق الموضوع وهو التعارض. فافهم».</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«کیف».</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«فهم».</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الدلیل یشبه الدلیل السادس وکأنّ الدلیلین مصطادان من عبارة العلّامة المحقّق النراقي في مناهج الأحکام، ص58، حیث قال: «إذا قال الآمر: «اجلس یوم الجمعة في مکان واحد من الصبح إلى الغروب»، وقال: «لا تدخل الحرم في هذا الیوم»، فلا شك أنّه یفهم عرفاً التخصیص ولیس هذا الفهم مستنداً إلى دلالة لفظیّة؛ إذ لیس في اللفظ ما یدلّ علیه، فیکون لأمرٍ عقلي ولیس ما یصلح له إلّا امتناع اجتماع الأمر والنهي، مع أنّه لو قیل بأنّ الدالّ على التخصیص هو نفس اللفظ أیضاً لکفى في إثبات ما نحن فیه بصدده».</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«ح».</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الدلیل أیضاً مصطاد من عبارة العلّامة المحقّق النراقي في مناهج الأحکام، ص58.</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«لو».</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الموضع السادس من المقدّمة الأولى في أوّل الکتاب - عند ذکر اختلاف تعابیر صاحب الهدایة وصاحب المناهج في الجهتین الملحوظتین في المجمع - أنّه قال: «فالحقّ أنّ النزاع في الجهتين التعلیليّتين». وکیف یمکن الجمع بین هذین الکلامین؟! نعم حکى أنّ ظاهر صاحب هدایة المسترشدین جعل النزاع في الجهتین التقییدیّتین، ولعلّ المصنّف تبدّل رأیه، أو هنا أجاب على مسلك صاحب الهدایة، ویمکن أن یکون وجه الجمع أنّ الجهة التعلیلیّة عند صاحب مناهج الأحکام في رأي السیّد المصنّف الطباطبائي الیزدي تنسجم مع الجهة التقییدیة عند صاحب الهدایة، فالّذي قاله هناك من کون النزاع في الجهة التعلیلیّة یعني الفرد الواحد المجمع للعنوانین والذي یقوله هنا من کون النزاع في الجهة التقییدیّة یعني ورود الحکم بدواً على العنوانین ثمّ على الفرد. فتأمّل. والله العالم.</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«ولذی».</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«بما عدی».</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رأي العلّامة المصنّف السیّد محمّدکاظم الطباطبائي الیزدي الذي لا یرى لزوم ورود الأمر في صحّة العمل یمکن أن یکون الأمر مقیّداً بما عدا هذا الفرد ومع ذلك یصحّ هذا الفرد.</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الدلیل أیضاً مصطاد من عبارة العلّامة المحقّق المولى أحمد النراقي في مناهج الأحکام، ص58.</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«ویظ».</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«فلا یکون».</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ص121: «یجتمع».</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حاشیة سلطان العلماء (رحمة الله‌علیه)، ص292. وهو مائل إلى جواز الاجتماع. وأمّا التفصیل بین العقل والعرف فلا یستفاد من کلامه.</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الفائدة والبرهان في شرح إرشاد الأذهان، ج2، ص112: قال (رحمة الله‌علیه)</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أنّه لم یثبت عندنا قولهما بالتفصیل. ولصاحب الریاض رسالة في استحالة اجتماع الأمر والنهي. نعم ربما یظهر من المیرزا القمي القول بالتفصیل، فراجع: القوانین المحکمة في أصول الفقه، ج1، ص159، حیث قال: «لا يستحيل العقل ذلك ولا مانع أن يقول الشّارع: «صلّ ولا تصلّ في الدار المغصوبة ولكن لو صلّيت فيها لعاقبتك على إيقاعها فيها ولكنّك أتيت بمطلوبي»، ولا يدلّ اللّغة أيضاً على خلافه ولم يثبت اصطلاح من الشارع فيه أيضاً ولكنّ المتبادر في العرف من مثل ذلك التخصيص، بمعنى أنّ هذا الفرد من العامّ خارج عن المطلوب، والعرف إنّما هو المحكم». ونسب هذا التفصیل إلیه الحاج الشیخ مرتضی الأنصاري في مطارح الأنظار، ج1، ص695.</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«لا یجوز».</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«هو ما».</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على بحث غلبة الوجود والاستعمال وأن أیهما منشأ للانصراف راجع: کتاب المکاسب، ج1، ص53. وحواشیه. وهل غلبة الوجود أو الاستعمال یوجب وضع جدید للغة أو هیئة لغوي؟</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«إنّ».</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لم یرد في الطبعة الحجریّة، ص122. وموجود في المخطوطة.</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«له» من مخطوطة مکتبة الوزیري، ولم یرد في المخطوطة والطبعة الحجریّة، ص122. نعم أضیف في الطبعة المحقّقة، ص196 بین القوسین.</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«الأوّل».</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«فیها».</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ص122: «لإیقاظها».</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المخطوطة، والطبعة الحجریّة، والصحیح: «الملازم مع المنهي عنه».</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«محلّیهما».</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«لا یلزم».</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«غیر صلوتي».</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ص123: «رجله». وفي المخطوطتین: «رحله».</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یبقى مع فرض المندوحة تصوّر تکلیف بما لا یطاق.</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الکسر والانکسار وتزاحم الملاکات في حکم واحد غیر تزاحم تزاحم الأحکام، فکلامه (رحمة الله‌علیه)</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مسألة اجتماع الأمر والنهي.</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«فالظ».</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«إلی».</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إشارات إلى مفاتیح الأحکام، ج1، ص226.</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«بالأمر».</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ص704، حیث قال: «والأوجه في المقام هو القول بأنّ النهي في مادّة الاجتماع إنّما هو ناظر إلى جهة الترخيص الثابت بالأمر في الفعل، ومع ذلك لا وجه للقول بتقديم الأمر، فالنهي حاكم على الأمر».</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«فالکلام».</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من المصنف في الطلب الغیري أنّه قال: «هو مولوي إرشادي بمعنى أنّ طلب التّرك فيه حقیقي لا صوري إلّا أنّه ليس المطلوب في الحقيقة إلّا الإيصال إلى الغير».</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حاکماً.</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حاکماً.</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«احدهما».</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«باحدهما».</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المخطوطتين: «یکون».</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«التتن».</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ج1، ص229، ح662.</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«لا یثبت».</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«أي من جهة تغلیب الحرمة».</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«له».</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«اکتساب».</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ودرر الکلم، ص196، ح225.</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غیر موجود في غرر الحکم.</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ودرر الکلم، ص81، ح1559.</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وللوقوف على أخبار التخییر راجع: کتاب التعارض للسیّد الطباطبائي الیزدي، ص238 وبعد.</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«فیشمل».</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«مطلقاً».</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نهایة الوصول، ج5، ص329، حیث قال: «إفضاء الحرمة إلى مقصودها أتمّ من إفضاء الوجوب إلى مقصوده؛ لأنّ مقصود الحرمة يتأتى بالترك، سواء كان مع قصد أو غفلة بخلاف فعل الواجب».</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الأعظم الأنصاري أعلى الله مقامه في فرائد الأصول، ج2، ص178، ضعّف هذا: بأنّه يصلح وجهاً لعدم تعيين الوجوب، لا لنفي التخيير. وقال سیّدنا الأستاذ آیة الله السید محمّدصادق الحسیني الروحاني حفظه الله في زبدة الأصول،ج4، ص481: «وفیه: أنّ هذا لا یوجب أهمیّة الحرمة وتعیّن تقدیمها».</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«الأصولیون».</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واستند صاحب الفصول (رحمة الله‌علیه) في تقدیم النهي إلى فهم العرف وقال في الفصول الغرویّة، ص127: «فاعلم أنّه إذا ورد أمر ونهي وكان بين مورديهما المتغايرين بالحقيقة كما هو محلّ البحث عموم مطلق تعيّن تخصيص مورد النهي بالأمر إن تعلّق النهي بالأعمّ أو تقييد مورد الأمر بالنهي إن تعلّق بالأخصّ ويمتنع العكس ووجهه ظاهر وأمّا إذا كان بينهما عموم من وجه جاز كلّ من الأمرين فإن كان هناك ما يقتضي تعيين أحدهما من دليل خارجي تعيّن وإلّا تعين تقييد مورد الأمر بالنهي بشهادة العرف فإن أهل العرف يفهمون عند إطلاق الأمر والنهي أنّ المراد بالمأمور به ما عدا المنهي عنه وهذا أمر ظاهر لايرتاب فيه من له درية بالمحاورات وإن بالغ في إنكاره بعض المعاصرين».</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الأعظم الحاج الشیخ مرتضى الأنصاري (رحمة الله‌علیه) في فرائد الأصول، ج2، ص188: «وأمّا قاعدة «الاحتياط عند الشكّ في التخيير والتعيين» فغير جار في أمثال المقام ممّا يكون الحاكم فيه العقل؛ فإنّ العقل إمّا أن يستقلّ بالتخيير وإمّا أن يستقلّ بالتعيين، فليس في المقام شكّ على كلّ تقدير، وإنّما الشكّ في الأحكام التوقيفيّة التي لايدركها العقل».</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«بیّن».</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مستند الشیعة، ج1، ص125، حیث قال: «المسألة الثانية: الماء المغصوب يرفع الخبث، لصدق الماء المطلق، وإن حرم استعماله. دون الحدث، للنهي المفسد للعبادة، إلّا مع الجهل أو النسيان، كما يأتي في محلّه». وقال في المستند، ج7، ص87: «كلّ من ترك شرطاً من شروط الصلاة المتقدّمة، أو جزءاً واجباً منها، أو صفة واجبة، جهلاً بالحكم أو بموضوعه، أثم وبطلت صلاته، إن كان الجهل مستنداً إلى تقصيره بأن يحتمل عنده الخلاف وقصّر في التحصيل، لكونه عامداً حقيقة غير آتٍ بالمأمور به تاركاً له، فتجب عليه الإعادة في الوقت، والقضاء في خارجه. وكذا إن زاد في الصلاة جهلاً، لعمومات مبطلات الزيادة المتقدّمة.وإن لم يكن مستنداً إلى تقصيره، ولم يحتمل عنده الخلاف، فحكم الخلل الواقع بسببه المتعلّق بالشروط والمنافيات ما مرّ كلّ في موضعه، فما كان مبطلاً للصلاة يوجب إعادتها وقضاءها، وما لم يكن كذلك لا يوجبهما». فیستفاد من کلامه الأخیر أنّ الجهل بالحکم أیضاً غیر مضرّ بالصحة إذا لم یکن عن تقصیر.</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تبصرة الفقهاء، ج2، ص29 و 30، حیث قال: «وقد يستشكل في الصحّة مع الجهل بالغصب؛ إذ قضيّة حرمة الغصب واقعاً إيجاب الوضوء بغيره في الواقع، فإذا تبيّن كونه مغصوباً ظهر كون المأتي به غير المأمور به، فيكشف عن عدم حصول البراءة كما هو الشأن في انكشاف النجاسة ويدفعه أنّ انكشاف المغصوبيّة وإن دلّ على منع التصرّف فيه واقعاً وعدم موافقة الظّاهر فيه للواقع، أمّا بالنسبة إلى الوضوء فالظاهر الصحّة الواقعيّة؛ إذ قضية الإطلاقات صحّة الوضوء بأيّ ماء كان خروج عنه ما كلّفنا بعدم التصرّف فيه في الظاهر، سواء كان هناك منع واقعي أو لا؛ لما عرفت من كون المانع منه التكليف بعدم التصرّف المانع من إمكان التقرّب».</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مدارك الأحکام، ج3، ص219، حیث قال: «أمّا صحّة صلاة الجاهل بالغصب فموضع وفاق بين العلماء؛ لأنّ البطلان تابع للنهي، وهو إنّما يتوجّه إلى العالم. والأصحّ أنّ الناسي كذلك، لارتفاع النهي بالنسبة إليه، ولهذا اتّفق الكلّ على عدم تأثيمه. أمّا الجاهل بالحكم فقد قطع الأصحاب بأنّه غير معذور لتقصيره في التعلّم، وقوّى بعض مشايخنا المحقّقين إلحاقه بجاهل الغصب لعين ما ذكر فيه. ولا يخلو من قوّة».</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جواهر الکلام، ج8، ص293 و 294، حیث قال: «وأمّا إن كان جاهلاً بالحكم الشرعي ولو الوضعي كتحريم المغصوب وفساد الصّلاة فيه وغصبيّة المأخوذ بالبيع الفاسد لم يعذّر كغيره من الجاهل بالحكم الشرعي، فلم يفد حينئذٍ هذا الجهل الصّلاة صحّة، لتحقّق النهي فيه، نعم لو فرض جهله بحال لا عقاب ولا إثم عليه فيه وكان متمكّناً من نيّة القربة معه اتّجه الصحّة، لعدم النهي كما أوضحناه هناك بما لا مزيد عليه».</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رسائل فقهیّة، ص118، حیث قال: «فتحصّل: أنّ القاعدة لا تنفي إلّا الوجوب الفعلي على المتضرّر العالم بتضرّره؛ لأنّ الموقع للمكلّف في الضرر هو هذا الحكم الفعلي، دون الوجوب الواقعي الّذي لا يتفاوت وجوده وعدمه في إقدام المكلّف على الضرر. بل نفيه مستلزم لإلقاء المكلّف في مشقّة الإعادة، فالتمسّك بهذه القاعدة على فساد العبادة للمتضرّر بها في دوران الفساد مدار اعتقاد الضرر الموجب للتكليف الفعلي بالتضرّر بالعمل، كالتمسّك على فسادها بتحريم الإضرار بالنفس في دورانه مدار الاعتقاد بالضرّر الموجب للتحريم الفعلي؛ لأنّه الذي يمتنع اجتماعه مع الأمر، فلا يجري مع الضرر الواقعي وإن سلّم اجتماعه مع التحريم الشأني، كما تسالموا عليه في باب اجتماع الأمر والنهي من عدم الفساد مع الجهل بالموضوع أو نسيانه، وأنّ المفسد هو التحريم الفعليّ المنجّز».</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المحکمة في أصول الفقه، ج1، ص150.</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إشارات إلى مفاتیح الأحکام، ج1، ص224 و 225.</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«من ذلك».</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المحکمة في أصول الفقه، ج1، ص150.</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المصدر.</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إشارات إلى مفاتیح الأحکام، ج1، ص225. وفیه: «ويرد عليه أنّ ما ذكر غير منكر إلّا أنّه لا ينافي الحكم بالبطلان بل يؤكّده فإنّ العامّين إذا تعارضا فيشكّ في الصحة في مورد الاجتماع بناء على دلالة النهى على الفساد في العبادات خاصة على الأقوى أو مطلقا لاحتمال الصحة والفساد فيه فإنّ الصحة يتوقف على ثبوت موافقة المأمور به في العبادات وبدونه لا تثبت والمفروض عدم ثبوت ذلك بل لا أقلّ من الشك وفيه الكفاية في البطلان كيف والبطلان موافق للأصل دون الصحة فبعدم ثبوت خلافه يحكم به، فإذن الأظهر هو القول الثاني إلّا أنّه ظهر بما مرّ أنّ الحكم بالبطلان ليس لأجل تخصيص الأمر بالنهي بل لما مرّ».</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التعارض.</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التزاحم.</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«عن».</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یظهر من بعض کلمات الشیخ الأعظم الحاج الشیخ مرتضى الأنصاري (رحمة الله‌علیه)</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حاشیة فرائد الأصول، ج1، ص253، عن المصنّف: «أنّ الأحكام الظاهرية مطلقاً من مؤدّيات الطرق أو الأصول أعذار شرعية وليست بأحكام حقيقية، وإن شئت توضيحه فلاحظ الأعذار العقلية، مثلاً لو علم المكلّف بعدم وجوب شي‌ء وتركه ثم تبيّن أنّ علمه كان جهلاً مركّباً وكان الشي‌ء واجباً في الواقع نقول: إنّ حكم الواقعة هو الوجوب لا غير والمكلّف معذور في تركه للجهل بالحكم والاعتقاد بعدم وجوبه، ولا نقول: إنّ الشي‌ء لم يكن واجباً حين علم المكلّف بعدم وجوبه أو بقيد علمه بعدم وجوبه، وهكذا نقول بالنسبة إلى مؤدّيات الطرق والأمارات والأصول لو خالفت الواقع فإنّها أعذار شرعية». ولکن جاء في نفس المصدر، ج1، ص254: «ولكنّ الإنصاف أنّ الظاهر من دليل التخيير والاستصحاب وكذا أصالة البراءة الشرعية المأخوذة من قوله: «كلّ شي‌ء حلال» ونحوه أنّها أحكام شرعية». ولمزید البیان راجع: حاشیة فرائد الأصول للمصنّف، ج1، ص260 و261.</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المخطوطتين: «عدم المنافات».</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المخطوطتين: «والمنافات».</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«ینشائه».</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المخطوطتين: «للمنافات».</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مخطوطة مکتبة الوزیري: «أنّ».</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ج5، ص293، ح2. وللاطّلاع على رأینا حول «قاعدة لا ضرر» راجع: کتاب «جستارهایي فقهي و أصولي» ومقالة «المسؤولیة المدنیّة للطبیب بین الفقه والقانون» المطبوعة في مجلّة فقه أهل البیت (علیهم‌السلام).</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المخطوطتین، والطبعة الحجریّة، ص127.</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«من المدّعی».</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ج2، ص420 و 421.</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ص128: «العمل». وفي المخطوطة: «العلم».</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«الاجتماع».</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«الأمر والنهی».</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«الطلب».</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الفوائد الحائریّة، ص169، حیث قال (رحمة الله‌علیه): «والفقهاء صرّحوا في قطع طریق الحجّ بأنّ الوجوب التوصّلي یجتمع مع الحرام». والقوانین المحکمة في أصول الفقه، ج1، ص101 حیث قال: «صرّح به بعضهم أنّ وجوب المقدّمة من باب التوصّل والواجب التوصّلي یجتمع مع الحرام» وقریب منه في ص102.</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القوانین المحکمة في أصول الفقه، ج1، ص102، حیث قال: «ويجتمع مع الحرام لأجل كونه توصّلياً نظير الإنقاذ والغسل الواجبين لاستخلاص النفس المحترمة و الصّلاة في الثوب الطّاهر ولذلك يحصل المطلوب بالحرام أيضاً بل بفعل الغير أيضاً».</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«الا انه».</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معالم الدین وملاذ المجتهدین، ص95، وقد سبق منّا کلام في هوامش الموضع الثالث من المقدّمة الأولى من هذا الکتاب في کیفیة استفادة هذه النسبة من المعالم، فراجع.</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«لیس».</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الدین وملاذ المجتهدین، ص70، حیث قال: «أنّ الّذي يقتضيه التدبّر في وجوب ما لا يتمّ الواجب إلّا به مطلقاً على القول به أنّه ليس على حدّ غيره من الواجبات وإلّا لكان الّلازم في نحو ما إذا وجب الحج على النائي فقطع المسافة أو بعضها على وجه منهي عنه أن لا يحصل الامتثال حينئذٍ فيجب عليه إعادة السعي بوجه سائغ لعدم صلاحيّة الفعل المنهي عنه للامتثال كما سيأتي بيانه».</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«کیف».</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«وعدمه».</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«إمکان».</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«إمکان عدم تمامیّة».</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یکن».</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«الواجب».</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«یکون».</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«أیضاً کذلك».</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معالم الدین وملاذ المجتهدین، ص95، وقد سبق منّا کلام في هوامش الموضع الثالث من المقدّمة الأولى من هذا الکتاب في کیفیة استفادة هذه النسبة من المعالم، فراجع.</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«الفرض».</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«الکلیین».</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«ثانیها».</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 القیود اللاحقة للمأمور به جاء في: مطارح الأنظار، ج1، ص321 و322.</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«غیر».</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«لتقیده».</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لم تذکر المادّة إلّا معروضة للهیأة.</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«أو».</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«وبغیر».</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«تسلیم».</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«تقید».</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«المفروض».</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«مراراً».</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«بعض».</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ص319 وبعد.</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«المتلفط».</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«ولا یکون».</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«یقع».</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«مع».</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«بقصد».</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من بعض النسخ: «تقید».</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«تقیده».</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والطبعة الحجریّة، ص131: «بل لأنّه». وفي المخطوطة: «إلّا أنّه».</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من المخطوطتین والطبعة الحجریّة، ص131: «والقید». وفي الطبعة المحقّقة، ص209: «المقید».</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وفي بعض النسخ: «أي على وجه التقييد وعلى وجه الإطلاق». أثبتناه من الطبعة الحجریّة، ص131.</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«متراآی».</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«لئلّا یلزم».</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ص322 إلى 327.</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الفعل المغفول عنه والفعل المحرّم.</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«واما».</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ص322.</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«الفعل».</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«تعلق».</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«فارق».</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«الاطلاق».</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یستفاد من مذهب الشیخ الأنصاري (رحمة الله‌علیه) في هذا المقام هو الفرق بین المأموریة والمسقطیة. فراجع: مطارح الأنظار، ج1، ص323، حیث قال: «إنّ سقوط التكليف بغير الواجب فيما إذا كان ذلك بواسطة قصور الطلب بعد معلوميّة أنّ ما أراد أن يطلبه هو الفعل المطلق، ممّا لا يحتاج إلى دليل، لحصول المقصود الحقيقي بذلك، ولا يعقل طلب الحاصل». وکذا راجع: ج1، ص326، حیث قال: «لا ريب في عدم حصول الامتثال في الواجب التعبّدي بالإتيان بالفرد المحرّم؛ إذ مع كونه حراماً لايعقل توجّه الأمر إليه، ومع عدم الأمر يمتنع أن يكون الداعي في الإتيان هو الأمر. وأمّا الواجب التوصّلي فلا إشكال أيضاً في عدم حصول الامتثال به إذا أريد الإتيان على ذلك الوجه، وهل هو مسقط للتكليف لارتفاع موضوع الواجب إذا أوجده المكلّف في الفرد المحرّم أو أنّه الواجب حقيقة وإن لم يكن على وجه الامتثال؟ وجهان، ظاهر المتوهّم المذكور هو الثاني. والتحقيق هو الأوّل؛ إذ لا وجه لإرادة الفرد المحرّم بالأمر الدالّ على الوجوب، لأدائه إلى اجتماع الإرادة والكراهة في شي‌ء واحد، وستعرف في محلّه بطلانه».</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«المنشاء به».</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«أم».</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«مع».</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«سایر».</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من بعض النسخ: «المفروض».</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«فلا».</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«للصّلوة».</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المخطوطة «إلیه»، وأثبتناه من مخطوطة مکتبة الوزیري.</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«لجميع».</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«استناد».</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«مم».</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«هو».</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«فإنّ».</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«یثبت».</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معالم الدین وملاذ المجتهدین، ص70، حیث قال (رحمة الله‌علیه): «إنّ الّذي يقتضيه التدبّر في وجوب ما لا يتمّ الواجب إلّا به مطلقا على القول به أنّه ليس على حدّ غيره من الواجبات وإلّا لكان اللّازم في نحو ما إذا وجب الحجّ على النائي فقطع المسافة أو بعضها على وجه منهي عنه أن لا يحصل الامتثال حينئذٍ فيجب عليه إعادة السعي بوجه سائغ لعدم صلاحيّة الفعل المنهي عنه للامتثال كما سيأتي بيانه».</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«التوصّلي»، وفي الطبعة الحجریّة، ص135: «التوصل».</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المسترشدین، ج3، ص103، حیث قال (رحمة الله‌علیه): «هل يجوز اجتماع الوجوب النفسي والحرمة الغيريّة أم لا؟ والّذي يتقوّى في النظر جوازه نظراً إلى أنّ الوجوب النفسي إنّما يقتضي رجحان الفعل على الترك رجحاناً مانعاً من النقيض، والحرمة الغيريّة إنّما يقتضي مرجوحيّته بالنّسبة إلى الفعل الآخر الّذي هو أهمّ منه مرجوحيّة قاضية بتعيّن الإتيان بالآخر ولا تدافع بين الوصفين؛ إذ لا مانع من رجحان الفعل على تركه ومرجوحيّته بالنّسبة إلى فعل آخر سواء لم يكن الراجحيّة والمرجوحيّة مانعة من النقيض كما في المندوبات المتعارضة أو كانت مانعة منه كما في الواجبات المتعارضة أو كانت الراجحيّة غير مانعة والمرجوحيّة مانعة كما في المندوب والمعارض للواجب».</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ص97، حیث قال (رحمة الله‌علیه): «المطلوب بالنهي الغيري المتعلّق بالضدّ عندنا الترك المقيّد بالتوصّل به لا المطلق وقضية ذلك تحريم ترك هذا الترك المقيّد دون الفعل فلا يلزم من وجوبه على تقدير عدم التوصّل بتركه اجتماع الوجوب والتحريم في شي‌ء منهما».</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البیان من آیة الله السیّد محمّدکاظم الطباطبائي الیزدي (رحمة الله‌علیه) على ضوء ما جاء في هدایة المسترشدین في مبحث الترتّب وفي التنبیه الثاني من تنبیهات اجتماع الأمر والنهي.</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«هناك».</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«اول».</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«عن».</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«اجتماع». وفي الطبعة الحجریّة، ص136: «الاجتماع».</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«وبالإضافة إلى الغیر» لم ترد في المخطوطة.</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ج3، ص104.</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قبیل هذا في بیان الإشکال أنّ شرط وجوب غیر الأهمّ البناء على العصیان والآن یقول: إنّ الشرط ترك الأهمّ. ولا ریب أنّ بینهما تفاوتاً وتغایراً. فتأمّل.</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«بوجوبه».</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المسترشدین، ج3، ص105.</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المسترشدین، ج3، ص105 و106.</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«المم».</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ج2، ص271 و272.</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المخطوطة، وفي الطبعة الحجریّة، ص136 لم یرد «الأوّل».</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«لا».</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«التکلیفین».</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«إذ».</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«أنّ».</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«الحیوة».</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«الحیوة».</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«الحیوة».</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«عن».</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«والترك بترك».</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ص292 و 293 و 294.</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«المقامات».</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«بأنّه»، وفي الطبعة الحجریّة، ص138: «بأنّ».</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«موافقة»، وفي الطبعة الحجریّة، ص138: «موافقته».</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أنّ مراده آیة الله السیّد المجدّد المیرزا محمّدحسن الشیرازي (رحمة الله‌علیه). وهو قائل بالترتّب. فراجع: تقریرات دروسه بقلم المولى علي الروزدري (رحمة الله‌علیه)، ج3، ص122، حیث قال: «إنّ الممتنع إنّما هو التكليف بالضدّين في آن واحد في مرتبة واحدة، بأن يكون كلّ منهما منجّزاً على كلّ تقدير من غير تعليق أحدهما على الآخر، وأمّا مع تعليق أحدهما على عصيان الآخر فلم نجد منافاة ما بينهما بوجه، لا من حيث لوازمهما، ولا من حيث مقتضاهما، وهو الامتثال. والسرّ فيه: أنّ اللّوازم لكلّ منهما إنّما يتبع ملزومها، فإن كان هو على الإطلاق فهي كذلك، أو على تقدير فعلى تقدير، وكذلك الحال في مقتضاهما، ومن المعلوم أنّه إذا فرض تعليق تنجّز أحدهما على عصيان الآخر لا مطلقا، بحيث لو ترك المكلّف امتثاله بفعل الآخر الأهمّ ليس عليه شي‌ء، وإنّما يستحقّ المؤاخذة لو تركه مع ترك الآخر، فلا يلزم منه التكليف بغير المقدور أصلاً، ولا اجتماع الضدّين جدّاً، فإنّ لوازم الطّلب التعليقي كنفسه - أيضاً - تعليقيّة؛ لأنّها تابعة له لكونها ناشئة منه، ولمّا كان المفروض اختلاف مرتبة ملزومها مع مرتبة ملزوم اللّوازم الأخر المضادّة لها فلا يلزم اجتماعها مع تلك».</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والطبعة الحجریّة، ص138: «یتعلّق»، وفي بعض النسخ: «تعلّق».</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«جواز».</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«الاجتماع».</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«الأمر والنهي».</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«الاجتماع».</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«الأمر والنهي».</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بدائع الأفکار، ص326 و327، حیث قال: «فإذا قلنا: إنّ الأمر بالوضوء ليس مشروطاً بوجود الاغتراف بل بتقدير وجوده المتحقق قبل وجوده لزم وجوب جميع مقدّمات وجوده الّتي منها الاغتراف ولا ينافي ذلك كونه شرطاً للوجوب بالمعنى المذكور فيلزم اجتماع الأمر المقدّمي والنهي النفسي ولا محيص عن ذلك وهذا مستحيل حتّى على القول باجتماع الأمر والنّهي المأموري.</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«مؤنة».</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«جواز اجتماع».</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لازم القول بالترتّب جواز الاجتماع حتّى مع عدم المندوحة.</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«الصّلوة».</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«یرتکب».</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«الصلوة».</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«وعلی».</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الفقیه الأصولي المحقّق محمّدحسین الإصفهاني الحائري صاحب الفصول أعلى الله مقامه.</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«من».</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في المخطوطة: «إلى آخر ما ذکره فراجع الفص، أقول یرد علیه أوّلاً».</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على شبهة الکعبي وجوابه راجع: معالم الدین وملاذ المجتهدین، ص68 و69؛ وهدایةالمسترشدین، ج2، ص190 و191 و237إلى 250؛ والفصول الغرویّة، ص88.</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«بدء».</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«الفعل المطلق».</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ص141: «بترکه».</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«وهو».</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ص97 و 98.</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«الاجتماع».</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«الأمر والنهي».</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ص125.</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ص92، حیث قال: «فالحقّ أنّ الأمر بالشي‌ء عين النهي عن ضدّه العام بمعنى الترك معنى إن فسّر الترك فيه وفي النهي بعدم الفعل ونفيه كما هو الظاهر ويستلزمه بالبيّن بالمعنى الأعم إن فسّر فيهما أو في أحدهما بالكفّ وكذا يستلزم النهي عن ضدّه الخاص». و93، حیث قال: «قرّرنا من أنّ الأمر بالشي‌ء يقتضي النهي عن ضدّه الخاصّ من باب المقدمة».</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ص95، حیث قال: «قد بيّنا أنّ الكلام في الضدّ الخاصّ إنّما هو في النهي الغيري التبعي والمنع من ترتّب العقاب والفساد عليه كلام في الثمرة وهو نزاع آخر». وص97، حیث قال: «ثم أقول: والتحقيق عندي أنّ العبادة المذكورة صحيحة على القول بالاقتضاء أيضاً كما هو المختار وأنّ الوجوه المذكورة فاسدة لا تنهض حجة على الفساد».</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«ترك الموصل».</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المخطوطتین: «من».</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«ظ»، وفي مخطوطة مکتبة الوزیري: «ظهر».</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ص90، حیث قال: «وقد يخطر بالبال للكعبي شبهة أخرى لا بأس بالتنبيه عليها وهي أنّ فعل المباح عين ترك الحرام في الخارج وإن غايره بحسب العقل، ولا ريب في أنّ ترك الحرام واجب فيجب فعل المباح من حيث اتحاده معه فإنّ المباح المتحد مع الواجب واجب كما أنّ المباح المتحد مع الحرام حرام ووجهه واضح ممّا نحققه في مبحث النهي والحجة على أنّ ترك الحرام عين فعل الواجب [المباح] في الخارج أن معنى الترك التسبب لعدم الفعل وهو في الخارج عين التسبب لفعل الضدّ لصدقه عليه مثلاً يصدق على الصدق من حيث الخارج أنّه لا كذب كما يصدق على الإنسان لا شجر ولا حجر وقضية الحمل الاتّحاد في الوجود فيكون التسبب لوجود الصدق عين التسبب لما يتحد معه من عدم الكذب فيكون فعل الصدق عين ترك الكذب. والجواب أمّا أوّلاً فبالمنع من اتحاد الصدق وعدم الكذب في الخارج بل هما متباينان كالإنسان والضحك».</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«المقید».</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«وأخری».</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«وتارة بترك القيد».</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«وأخری».</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«وجبت».</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«وأخری».</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ص98، حیث قال: «وربما يحرم من حيث تسببه لترك الواجب أيضاً كما لو شرع في الصوم ثم بدا له الإفطار بناء على عدم العبرة بالاستدامة الحكمية في نيته وعلى تقدير اعتباره يعصي بنقض النية لاستناد الإبطال إليه».</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«فانقلت».</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ص98، حیث قال: «فلا استحالة؛ لأنّ منشأها عدم تمكن المكلف من فعل الضدّ وهو مخصوص بحال التشاغل بالواجب؛ إذ حال عدم التشاغل به يتمكن من ضدّه فيصحّ إلزامه به فإنّ التنافي إنّما هو في فعل الضدّين لا في تعلّق التكليف بهما إذا لم يرجع إلى طلب الجمع بينهما».</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ج2، ص271، حیث قال: «وأمّا إذا كانا مطلوبين على سبيل الترتيب بأن يكون مطلوب الآمر أوّلاً هو الإتيان بالأهمّ ويكون الثاني مطلوباً له على فرض عصيانه للأوّل وعدم إتيانه بالفعل فلا مانع منه أصلا؛ إذ يكون تكليفه بالثاني حينئذٍ منوطاً بعصيانه للأوّل والبناء على تركه. ولا يعقل هناك مانع من إناطة التكليف بالعصيان، فلا منافاة بين التكليفين». وهدایةالمسترشدین، ج3، ص104، حیث قال: «وأمّا لو کانا مترتبین فلا مانع».</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ص98، حیث قال: «التنافي إنّما هو في فعل الضدّين لا في تعلّق التكليف بهما إذا لم يرجع إلى طلب الجمع بينهما».</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ص97، حیث قال: «فاندفع المنافاة؛ لأنّ مبناه على اجتماع وصفي الرجحان والمرجوحية في محل واحد وعلى ما قرّرنا يغاير مورد كل واحد لمورد الآخر». وص98، حیث قال: «فلا منافاة في اجتماع الحكمين لعدم استلزامه اجتماع وصفي المطلوبية والمبغوضية في الشي‌ء الواحد». وقال في نفس الصفحة: «وبالجملة لا يمنع العقل من التكليف بالضدين معاً إذا كان التكليف بأحدهما مبنياً على تقدير الخلو من الآخر».</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ج3، ص104.</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«ینفع».</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«کان»، وفي الطبعة الحجریّة، ص144: «کانت».</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المخطوطتين: «یتصف»، وفي الطبعة الحجریّة، ص144: «تتصف».</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«بعد».</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«فرض عدم المانع».</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على وجه الترتّب.</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ص97 و98.</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«أنّ ص الفصول».</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«الصلاة».</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على وجه الترتّب.</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احتمال یطرحه المصنّف على مذهب المانعین، ونفسه قائل بجواز الاجتماع في الأمر والنهي.</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من نور السبل، ص263 عدم جوازه، نعم قال: «یمکن اجتماع ملاکهما وجهتهما في مورد فیشتدّ طلب الترك فیه».</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«الاجتماع».</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«حتّی».</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«یق».</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المسترشدین، ج3، ص110 و 111.</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«الظ».</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«لاحدیهما».</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«علی».</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«أنّه».</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«المندوب».</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هدایة المسترشدین، ج3، ص110 إلى 113.</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«لم یرد».</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«في الأذهان».</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کان المراد الأمر التسجیلي المحقّق والمصحّح للعقاب مع علم الآمر بترك المأمور، فالظاهر أنّ هذا الأمر لا یجتمع مع النهي الحقیقي على مذهب المانعین.</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الطبعة الحجریّة، ص146، وفي المخطوطة: «أو التعجیزي».</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«سیأتي».</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«العملي».</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«کان».</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«مرتبة».</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«بالعکس».</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«لم تدرك».</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«أحدهما»، وفي المخطوطة: «إحدیٰهما».</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کأنّ المصنّف (رحمة الله‌علیه) قصد من شأنیة الحکم هي مرحلة الاقتضاء، والحکم الشأني هو الحکم في مرحلة الإنشاء دون الفعلیّة أو التنجّز، والمفروض أنّ الحکم الواقعي حکم منشأ لم یصل إلینا ولیس الحکم متوقّفاً في مرحلة الاقتضاء فقط.</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«أنّه».</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«مترتّب».</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«فلا منافات».</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«بالإجماع».</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«مائه».</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«مقام».</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«المباح».</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«عن».</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من الشیخ الأنصاري عدم قبول هذا الاستدلال لتقدیم النهي حیث قال في فرائد الأصول، ج2، ص188: «وأمّا قاعدة الاحتياط عند الشكّ في التخيير والتعيين فغير جار في أمثال المقام ممّا يكون الحاكم فيه العقل؛ فإنّ العقل إمّا أن يستقلّ بالتخيير وإمّا أن يستقلّ بالتعيين».</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التنبیه الثاني من تنبیهات الکتاب.</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مخطوطة مکتبة الوزیري: «عدم».</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«وضوئه».</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«یکون».</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«فیحصل».</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وفي الطبعة الحجریّة، ص148: «لازم». ویظهر من بعض النسخ ما یشبه: «اللازم».</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مخطوطة مکتبة الوزیري، وفي بعض النسخ: «جواز».</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«فإنّها».</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«لا یتصف».</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«المسئلة».</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بدائع الأفکار، ص324، حیث قال (رحمة الله‌علیه): «الأمر بالوضوء حينئذٍ مستلزم لاجتماع الأمر والنّهي؛ لأنّ الاغتراف مأمور به لكونه مقدّمة للوضوء ومنهيّ عنه؛ لأنّه تصرف في مال الغير فاجتمع الأمر التبعي والنهي الأصلي في موضوع واحد شخصي وهو ممتنع عند الكلّ حتّى عند المجوّزين لاجتماع الأمر والنّهي؛ لأنّ الاجتماع هنا آمري والمجوّزون إنّما يقولون بالجواز إذا كان مأموريّاً ولا فرق في امتناع اجتماعهما بين كونهما أصليين أو تبعيين أو مختلفين حسبما يأتي تحقيقه».</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ص80. قال (رحمة الله‌علیه): «وتظهر الثمرة في وجوب المقدمات التي يؤتى بها قبلها فعلى الأوّل يجب الإتيان بها على تقدير إتيانه بها لإطلاق الأمر حينئذٍ فيصح قصد القربة بها وإيقاعها على وجه الوجوب بخلاف الوجه الثاني وتظهر أيضاً فيما لو كانت المقدمة المحرمة ممّا يعتبر حصولها في أثناء التشاغل بالواجب كالاغتراف من الآنية المغصوبة في الطهارة الحدثية مع الانحصار وكترك الواجب المتوصّل به إلى فعل الضدّ فإنّ العبادة تصحّ على الوجه الأوّل لوجوبها ومطلوبيتها على تقدير حصول تلك المقدمة وعلى الثاني لا يصحّ لانتفاء الطلب والوجوب قبلها».</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«ذکرنا».</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«لما ذكر من الفرق».</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ص80، حیث قال: «یظهر [الثمرة] أيضاً فيما لو كانت المقدمة المحرمة ممّا يعتبر حصولها في أثناء التشاغل بالواجب كالاغتراف من الآنية المغصوبة في الطهارة الحدثية مع الانحصار وكترك الواجب المتوصل به إلى فعل الضدّ فإنّ العبادة تصح على الوجه الأوّل لوجوبها ومطلوبيتها على تقدير حصول تلك المقدمة وعلى الثاني لا يصحّ لانتفاء الطلب والوجوب قبلها».</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ص97، حیث قال: «فيبقى الإشكال وهو الأمر بالشي‌ء مع الأمر بضدّه بحاله، ثم أقول: والتحقيق عندي أنّ العبادة المذكورة صحيحة على القول بالاقتضاء أيضاً كما هو المختار». ثمّ قال في نفس الصفحة: «وأمّا تفصيلاً فنقول في الوجه الأوّل: أنّ رجحان ترك الضدّ للتوصّل به إلى فعل الواجب لا ينافي رجحان فعله في نفسه مطلقاً ولو على تقدير عدم التوصّل بتركه إلى فعل الواجب وإنّما ينافي رجحانه في نفسه مطلقاً أو على تقدير التوصّل فيقتصر على نفيه ولا ريب أنّ التقدير الأوّل من لوازم فعل الضدّ فلا يقع بحسب هذا الاعتبار إلّا صحيحاً».</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«وإنّما».</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«هو».</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ص80.</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إذا کان الانحصار وعدم المندوحة بسوء اختیاره.</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ص149: «لا یکون»، وفي المخطوطة: «یکون».</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«مائه».</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والطبعة الحجریّة، ص149: «فظاهر»، وفي المخطوطة: «ظ».</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البرهان في أصول الفقه، ج1، ص284: «وذهب أبوهاشم وأتباعه إلى أنّها فاسدة غیر مجزئة والأمر بالصلاة مستمرّ على من أتى بصورة الصلاة في الدار المغصوبة». وراجع هامش کتاب نفائس الأصول في شرح المحصول، ج4، ص1675. وفي هامشه ما یوجب التأمّل.</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المحکمة في أصول الفقه، ج1، ص153.</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المحکمة في أصول الفقه، ج1، ص154، قال (رحمة الله‌علیه): «يظهر من الفقهاء في كون المستطيع مكلّفاً بالحجّ إذا أخّره اختياراً وإن فات استطاعته».</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الطبعة الحجریّة، ص150: «القمي»، وأثبتناه من المخطوطة.</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«لا یحصل».</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«تجویز الاجتماع».</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القوانین المحکمة في أصول الفقه، ج1، ص154.</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المخطوطتین: «العقاب».</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«الاجماع».</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هذا القول أي تعلّق الأمر والنهي بالخروج إلى أبي هاشم في المختصر، ص317 و318، وشرح العضد، ص84، واعترض الجویني علیه في البرهان، ج1، ص299. وکذا راجع: بیان المختصر، ج1، ص391، حیث قال: «فمن توسّط أرضاً مغصوبة فلا حظّ للأصولي فیه أن یبیّن أنّ الخروج عنها مأمور به أو منهيّ عنه، بل حظّ الأصولي فیه أن یبیّن استحالة تعلّق الأمر والنهي معاً بالخروج عنها؛ لأنّ الخروج عنها لیس له جهتان یتعلّق الأمر بإحداهما والنهي بالأخرى، وکذلك حظّ الأصولي أن یبیّن خطأ أبي هاشم، وذلك لأنّ أبا هاشم یذهب إلي أنّه یکون عاصیاً بالخروج والإقامة معاً وحینئذٍ یلزم أن یکون الخروج مأموراً به منهیّاً عنه؛ لأنّ الإقامة إذا کانت عصیاناً تکون منهیّاً عنه نهي تحریم، فیکون الخروج مأموراً به منهیّاً عنه».</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ملازمة بین التمسّك بهذا الاستدلال والقول بعدم تعدّد الجهة. فتأمّل.</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القوانین المحکمة في أصول الفقه، ج1، ص140، حیث قال: «وأمّا الواحد بالشخص الذي لم یتعدّد الجهة فیه بأن يكون مورداً لهما من جهة واحدة فهو ممّا لا نزاع في عدم جوازه». وقال في ص153: «إنّ ما عنون به القانون هو الکلام في شيء ذي جهتین».</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«فإنّه».</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«الکلام فیه».</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«تخلیص».</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المحکمة في أصول الفقه، ج1، ص154.</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إشارات إلى مفاتیح الأحکام، ج1، ص227.</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«ما ورد».</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الطبعة الحجریّة، ص151، ولم یرد «أنّ» في بعض النسخ.</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«أنّه».</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«هو» في الطبعة الحجریّة، وأثبتناه من مخطوطة مکتبة الوزیري.</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الحلي (رحمة الله‌علیه) في تحریر الأحکام الشرعیة على مذهب الإمامیّة، ج1، ص32: «لو أمره المالك بالخروج وجب المبادرة ويصلّي خارجاً ولو ضاق الوقت صلّى وهو آخذ في الخروج ويومئ للركوع والسّجود ويستقبل ما أمكن وأطبق العقلاء كافّة على تخطئة أبي هاشم في هذا المقام». فالظاهر أنّ العبارة موجودة في التحریر.</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مخطوطة مکتبة الوزیري: «الحكم».</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حکى عنه المحقّق المیرزا القمي (رحمة الله‌علیه) في القوانین المحکمة في أصول الفقه، ج1، ص154، حیث قال: «وأمّا القول الثّاني فاختاره فخر الدّين الرّازي وقال: إنّ حكم المعصية عليه مستصحب مع إيجابه الخروج». وأشار إلى هذه النسبة إلى الفخر الرازي في الفصول الغرویة، ص138، حیث قال: «عزي إلى الفخر الرازي من القول بأنه مأمور بالخروج وحكم المعصية جارٍ عليه». ولم نجده في کتب الرازي. بل هذا قول الجویني. فراجع: البرهان، ج1، ص301. وأظنّ أنّ المحقّق القمي (رحمة الله‌علیه) قرأ شرح العضد على مختصر المنتهى، ص84 حيث قال: «قال الإمام باستصحاب حکم المعصیة علیه مع إیجابه الخروج»، فزعم أنّ المراد من الإمام هو الرازي حیث یطلق العامّة علیه الإمام، ولکن یطلقون الإمام أیضاً على الجویني وهو مشهور عندهم بإمام الحرمین. والله أعلم. والحمد لله أوّلاً وآخراً.</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مذهب الجویني، فراجع البرهان، ج1، ص301، ومن کلامه: «من تخطّى أرضاً مغصوبة نُظر فإن اعتمد ذلك متعدیّاً فهو مأمور بالخروج ولیس خارجاً عن العدوان والمظلمة؛ لأنّه کائن في البقعة المغصوبة والمعصیة مستمرّة وإن کان في حرکاته في صوب الخروج ممتثّلاً للأمر».</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إشارات إلى مفاتیح الأحکام، ج1، ص227، حیث قال (رحمة الله‌علیه): «وقد ذكر جماعة من الأصوليين فيمن توسّط أرضاً مغصوبة أقوالاً ثلاثة فقول بكون الخروج منهياً عنه ومأموراً به معاً وقول بالأوّل وقول ثالث باستصحاب حكم المعصية عليه مع عدم تعلّق النهى به وإيجابه الخروج كما عن الفخري والحقّ أنّه لا أمر بالخروج هنا بل الواجب عليه عدم التصرّف فى ملك الغير بغير إذنه والخروج هنا مقدّمة له وليس واجباً».</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ص139.</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«ولا شرعا».</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مخطوطة مکتبة الوزیري: «لا».</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«کان».</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الکلام المذکور الذي نسب إلى الرازي هو کلام الجویني. فراجع البرهان، ج1، ص301، ومن کلامه: «من تخطى أرضاً مغصوبة نُظر فإن اعتمد ذلك متعدیّاً فهو مأمور بالخروج ولیس خارجاً عن العدوان والمظلمة؛ لأنّه کائن في البقعة المغصوبة والمعصیة مستمرّة وإن کان في حرکاته في صوب الخروج ممتثّلاً للأمر».</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إشارات إلى مفاتیح الأحکام، ج1، ص227.</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«التصرف»، وفي الطبعة الحجریّة، ص152: «التصرّفات».</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«فتدبّر».</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«منهیا عنه».</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ص139.</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ص716 إلى 721.</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«باعتبار لاحقة له».</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ص153: «إذا».</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المخطوطتين: «یکون»، وفي الطبعة الحجریّة، ص153: «تکون».</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ج1، ص716 وبعد.</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المخطوطتين: «یطرئه».</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ص139، حیث قال: «إنّما يتنافيان إذا اجتمعا في الزمان كما هو شأن التضاد وقد بينا أنّ زمن الأمر غير زمن النهي، وتوضيح المقام أنّ ترك الغصب مراد من المكلف بجميع أنحائه التي يتمكن من تركه إرادة فعلية مشروطاً بقاؤها ببقاء تمكنه منه وحيث إنّه قبل الدخول يتمكن من ترك الغصب بجميع أنحائه دخولاً وخروجاً فترك الجميع مراد منه قبل دخوله فإذا دخل فيه ارتفع تمكّنه من تركه بجميع أنحائه مقدار ما يتوقف التخلص عليه وهو مقدار خروجه مثلاً فيمتنع بقاء إرادة تركه كذلك».</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مخطوطة مکتبة الوزیري: «في المقام».</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«تناقض».</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ج1، ص718.</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«غصباً».</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«بیانه».</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ج1، ص718.</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ص139.</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«لا یخ».</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ج1، ص718.</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«لا یخ».</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ج1، ص721.</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«عدم».</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ج1، ص 716 إلى 721.</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ج1، ص718.</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«صاحب الفصول».</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ما یشبه: «عن».</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«بعد».</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ص155: «بإیجاده وسببه وترکه»، وفي المخطوطة: «بإیجاد سببه وترکه».</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«وقوع».</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«مخالفته».</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«عصیانًا»، وفي الطبعة الحجریّة، ص155: «غصبًا».</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والطبعة الحجریّة، ص155: «المحرّم»، وفي المخطوطة: «الحرمة».</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«لو».</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«الأمر والنهي».</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«مثل». نعم موجود في الطبعة الحجریّة، ص156.</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«الحکم».</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على بحث البداء راجع بحثنا التمهیدي في بدو رسالة شریف العلماء المازندراني، ص86 إلى 91.</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«وکان عنده هذا المقدار».</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«أمّا».</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«تحت».</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«القدرة».</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«الملاك في عدم إمکان تبدل الحكم».</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«غسل الارتماسي من الغسل».</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«وجب الأعمّ».</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 «طبیعة الغسل».</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«بالوجوب».</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ص139.</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«وهذا واضح».</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مطارح الأنظار، ج1، ص716: «التصرّف في مال الغير ليس من العناوين التي لا يتبدّل حكمها بلحوق العناوين اللاحقة للأفعال، ضرورة اتّصافه بالوجوب عند لحوق عنوان حفظ النفس مثلاً بالتصرّف المذكور، فيمكن أن يلحق بالتصرّف عنوان يكون ذلك العنوان مناطاً لاختلاف حكم التصرّف المذكور، مثل كونه تخلّصاً عن الغصب على وجه الانحصار». ومعلوم أنّ تبدّل حکم عنوان غیر الالتزام بأنّ ذلك العنوان في حدّ نفسه لا حکم له. فتأمّل وراجع.</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«ولا یکون».</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«رأی».</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«الأمر».</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«تحصل».</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الفائدة والبرهان، ج2، ص110، حیث قال (رحمة الله‌علیه): «واعلم أيضا أنّ سبب بطلان الصلاة في الدار المغصوبة مثلا، هو النهي عن الصلاة فيها، المستفاد من عدم جواز التصرف في مال الغير، وأنّ النهي مفسد للعبادة، فلا تبطل صلاة المضطر، ولا الناسي، بل ولا الجاهل لعدم النهي حين الفعل، ولأنّ الناس في سعة ما لا يعلمون وإن كان في الواقع مقصّراً أو معاقباً بالتقصير». وراجع: مدارك الأحکام، ج2، ص345، حیث قال: «تكليف الجاهل بما هو جاهل به تكليف بما لا يطاق. نعم هو مكلف بالبحث و النظر إذا علم وجوبهما بالعقل أو الشرع، فيأثم بتركهما لا بترك ذلك المجهول كما هو واضح».</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«المسافر».</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«النفس».</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مضى أنّ الکلام المذکور الذي نسب إلى الرازي هو کلام الجویني. فراجع البرهان، ج1، ص301، ومن کلامه: «من تخطى أرضاً مغصوبة نُظر فإن اعتمد ذلك متعدیّاً فهو مأمور بالخروج ولیس خارجاً عن العدوان والمظلمة؛ لأنّه کائن في البقعة المغصوبة والمعصیة مستمرّة وإن کان في حرکاته في صوب الخروج ممتثّلاً للأمر».</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ص138، حیث قال (رحمة الله‌علیه): «والحقّ أنّه مأمور بالخروج مطلقا أو بقصد التخلص وليس منهياً عنه حال كونه مأموراً به لكنّه عاص به بالنظر إلى النهي السابق وكان ما عزي إلى الفخر الرازي من القول بأنّه مأمور بالخروج وحكم المعصية جار عليه راجع إلى ما ذكرناه».</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أنّ الکلام المذکور الذي نسب إلى الرازي هو کلام الجویني. فراجع البرهان، ج1، ص301، ومن کلامه: «من تخطّى أرضاً مغصوبة نُظر فإن اعتمد ذلك متعدیّاً فهو مأمور بالخروج ولیس خارجاً عن العدوان والمظلمة؛ لأنّه کائن في البقعة المغصوبة والمعصیة مستمرّة وإن کان في حرکاته في صوب الخروج ممتثّلاً للأمر».</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«لا».</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المخطوطتین: «أو».</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«والوجوب».</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«صدق».</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«منهما».</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«ذلك».</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«الأفراد».</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«التعظیم».</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«ذلك».</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«تقول».</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والطبعة الحجریّة، ص159: «مانع» وصحّحه في هامش الطبعة المحقّقة، ص250.</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بین القاصد للخروج وبین الخروج.</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«فکذالك».</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«المج».</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«هی».</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منتهى المطلب، ج4، ص300، حیث قال: «قال أبو هاشم: لو توسّط أرضاً مغصوبة وهو آخذ في الخروج كان عاصياً بالكون المطلق، فيعصي حينئذٍ بالخروج؛ لأنّه يتصرّف بالكون فيه وباللبث؛ لأنّه تصرّف أيضاً. فعلى هذا القول لا يجوز له الصّلاة وهو آخذ في الخروج، سواء تضيّق الوقت أو لا، لكن هذا القول عندنا باطل؛ لأنّه يلزم منه التكليف بما لا يطاق؛ إذ من القبيح أن ينهى الحكيم عن فعل الضدّين إذا لم يخل المكلف منهما، كما أنّه يستحيل منه التكليف بالجمع بين الضدّين، وأبو هاشم في هذا المقام عن التحقيق بمعزل».</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«احتملنا».</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بیان المختصر، ج1، ص391.</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ج8، ص294.</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«محکي».</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«یة».</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«مه».</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نهایة الوصول إلى علم الأصول، ج2، ص569، حیث قال (رحمة الله‌علیه): «لا فرق بين الأمر والنهي في ذلك، فإنّه كما استحال الأمر بالجمع بين الضدّين، كذا يستحيل النّهي بينهما إذا لم يكن بينهما متوسّط، وكما لا يقال: «تحرّك واسكن» كذا لا يقال: «لا تتحرّك ولا تسكن» والخلاف هنا مع الأشاعرة ظاهر. وأبو هاشم جوّز ذلك، فإنّ من توسّط أرضاً مغصوبة تحرم عليه الحركة والسّكون فيها، فكما يحرم عليه اللّبث فيها، كذلك يحرم عليه الخروج عنها؛ إذ كلّ منهما تصرّف في ملك الغير بغير إذنه حراما. والحقّ: أنّه مكلّف بالخروج وإن تضمّن التصرّف والإضرار بالغير، إذا كان الخروج يتضمّن إفساد الزّرع، وكذا اللّبث، لما في الخروج من تقليل الضّرر وفي اللبث من تكثيره». ولیس في العبارة تعرض صریح لحکم الصّلاة من حیث الصحّة والفساد، وکأنّهم استفادوا الفساد من تجویز أبي هاشم لتحریم البقاء والخروج معاً.</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«القرائة».</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«احتملنا».</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الجامع للشرائع، ص68، حیث قال (رحمة الله‌علیه): «ولا يجوز في المغصوب مع الاختيار، والصلاة باطلة، ولا بأس بها للخائف على نفسه من الخروج منها، ولا بأس بها في الصحاري والبساتين، ولمن دخل ملك غيره بغير اذنه، وعلم من شاهد حاله الإذن، وإن دخل بإذنه ثم أمره بالخروج أو نهاه عن المقام فلم يفعل وصلّى، بطلت صلاته، وإن أخذ في الخروج وصلّى في طريقه لم يصح، وإن تضيق الوقت فقد قيل: تصحّ».</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«مائه».</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«ان».</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کشف الغطاء، ج1، ص216، حیث قال: «فصفة العلم، والجهل، والنسيان، والذكر، والظنّ، والشكّ، والوهم لا تؤثّر في حكم المعلوم، والمجهول، والمنسيّ، والمذكور، والمظنون، والمشكوك، والموهوم شيئاً، كما في الموضوعات وغير الشرعيّ من الأحكام؛ إلّا إذا قضى الدليل بتبدّل الحكم بعروضها، فتكون كسائر العناوين، كما في الجاهل بالقصر والإتمام، والجهر والإخفات، والجاهل بكيفيّات العقود والإيقاعات والأحكام من الكفّار وشبههم من طوائف الإسلام، والناسي لغير الأركان في الصلاة، والشاكّ بعد تجاوز المحلّ، وكثير الشكّ، وهكذا. وأمّا ما لم يرد فيه نصّ بالخصوص فيبقى على القاعدة من أصل عدم الصحّة، وعلى ظاهر العمومات المقتضية للأحكام الواقعيّة في العبادات، وشطورها، وشروطها، ومنافياتها، والمعاملات كذلك، فتكون بحكم الأعذار المانعة عن استحقاق العقاب، ودخول النار».انتهى. والذي یظهر من کلامه هذا عدم العقاب في الجاهل بالقصر والإتمام والجهر والإخفات. فلا تغفل.</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«عرضه».</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«المبدل منه».</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«الواقع».</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«الفعلین».</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«سابقاً».</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«لفقیر».</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«یوخذ».</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«أهلیّة».</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«الدرهم».</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«لکن بشرط عدم کون الحرمة من جهة عدم قابلیة المحلّ».</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«أو نحو ذلك».</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ج12، ص227 و228.</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 ج7، ص201.</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ریاض المسائل، ج11، ص124، حیث قال: «وحرمة المذکورات على قریبهنّ الذکر یستلزم العکس، ولذا اکتفي بتحریمهنّ علیه في الآية، فهي على الأمرین واضحة الدّلالة».</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«منهم».</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الطبعة المحقّقة: «ولعلّ الصحیح: المتعاملین».</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إشارات إلى مفاتیح الأحکام، ج1، ص228.</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«یبعد»، وفي الطبعة الحجریّة، ص163 والطبعة المحقّقة، ص255: «لا یبعد».</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«من مخالفة الأب».</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«التزوّج»، وفي الطبعة الحجریّة، ص163: «التزویج».</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(رحمة الله‌علیه) في العروة الوثقى، ج5، ص537 و538: «فصل: من المحرّمات الأبديّة التزويج حال الإحرام: لا يجوز للمحرم أن يتزوّج امرأة محرمة أو محلّة، سواء كان بالمباشرة أو بالتوكيل مع إجراء الوكيل العقد حال الإحرام، سواء كان الوكيل محرماً أو محلّاً وكانت الوكالة قبل الإحرام أو حاله. وكذا لو كان بإجازة عقد الفضوليّ الواقع حال الإحرام أو قبله مع كونها حاله، بناءً على النقل، بل على الكشف الحكميّ، بل الأحوط مطلقاً. ولا إشكال في بطلان النكاح في الصور المذكورة. وإن كان مع العلم بالحرمة حرمت الزوجة عليه أبداً سواء دخل بها أو لا. وإن كان مع الجهل بها لم تحرم عليه على الأقوى دخل بها أو لم يدخل، لكن العقد باطل على أيّ حال. بل لو كان المباشر للعقد محرماً بطل وإن كان من له العقد محلّاً. ولو كان الزوج محلّاً وكانت الزوجة محرمة فلا إشكال في بطلان العقد، لكن هل يوجب الحرمة الأبديّة؟ فيه قولان: الأحوط الحرمة، بل لا يخلو عن قوّة. ولا فرق في البطلان والتحريم الأبدي بين أن يكون الإحرام لحجّ واجب أو مندوب أو لعمرة واجبة أو مندوبة، ولا في النكاح بين الدوام والمتعة».</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ویظهر من آیة الله السیّد علي الحسیني السیستاني في حاشیته على العروة الوثقى جواز الاجتماع، راجع: ج1، ص47، وفي ج2، ص63 حیث قال في اشتراط إباحة مکان المصلّي: «لا دليل يعتد به على اشتراطها فيه ولكن مع ذلك فالاحوط لزوما رعايتها ومنه يظهر الحال في جملة من الفروع الآتية».</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تثبت هذه الملازمة عندنا، بل یظهر من الشهید الصدر القول بالبطلان في مثل المقام حتّى مع القول بجواز الاجتماع، فراجع: بحوث في علم الأصول، ج3، ص40، حیث قال: «ثمّ إنَّ هنا تحفّظات للقول بالجواز لا بدَّ من التنبيه عليها: التحفّظ الأوّل: عدم جواز الاجتماع إذا كان الواجب عباديّاً لا باعتبار لزوم غائلة التضادّ بل باعتبار عدم إمكان التقرّب؛ فانَّ الفرد إذا كان مبغوضاً للمولى فلا يمكن التقرّب به؛ فإنَّ الإتيان بالمبغوض مبعد عن المولى وليس مقرباً له، ومعه لا يقع الفرد مصداقاً للواجب لاشتراط القربة فيه. ويشترط في هذا التحفّظ أَن يكون النهي واصلاً، فمع الجهل به يمكن التقرّب ويقع المجمع مصداقاً للواجب، وهذا أحد الفروق والثمرات بين القول بالامتناع والقول بالجواز، فإنَّه على الأوّل يقع العمل باطلاً حتّى مع الجهل بالنهي بخلافه على الثاني».</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یخفى أنّ في هذا التعبیر تأمّل؛ إذ مفروض البحث القول بالامتناع، فکیف یقال: «فاجتمع فیها الأمر والنهي» ؟</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آیة الله العظمى الحاج الشیخ عبدالکریم الحائري في درر الفوائد، ص159: «مفهوم الغصب ينتزع من حقيقة التصرف في ملك الغير من دون مدخلية لخصوصيات التصرف من كونه من الأفعال الصلاتية أو غيرها في ذلك، ومفهوم الصلاة ينتزع من الحركات والأقوال الخاصة مع ملاحظة اتصافها ببعض الشرائط من دون مدخلية خصوصية وقوعها في محل خاص، وقد عرفت ممّا قرّرنا سابقاً قابلية ورود الأمر والنهى على الحقيقتين المتعددتين بملاحظة الوجود الذهني المتحدتين بملاحظة الوجود الخارجي، وهنا نقول: إنّ المفاهيم الانتزاعية وإن كان حقيقة البعث أو الزجر المتعلق بها ظاهراً راجعاً إلى ما يكون منشأ لانتزاعها، لكن لمّا كان فيما نحن فيه منشأ انتزاع الصلاة والغصب متعدداً لا بأس بورود الأمر والنهي وتعلّقهما بما هو منشأ لانتزاعهما. هذا غاية الكلام في المقام وعليك بالتأمّل التامّ فإنّه من مزالّ الأقدام».</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«عليه».</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«معه».</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«الاعتماد».</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«المج».</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ص138.</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«لا تبطلوا».</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«المغصوب».</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«الاتحاد».</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«هذا».</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المخطوطتين والطبعة الحجریّة، ص164: «ملازمًا». وفي الطبعة المحقّقة، ص257: «ملازمة».</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«والدعاء».</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«ونحوها».</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علیهم راجع: مفتاح الکرامة، ج6، ص135.</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الإحکام في معرفة الأحکام، ج1، ص342، حیث قال: «ولو نذر قراءة القرآن، لم يجز في المكان المغصوب. وكذا أداء الزكاة. ويجزي أداء الدين».</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الشرعیّة في فقه الإمامیّة، ج1، ص153.</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في شرح إرشاد الأذهان، ص219 و 220. في الطبعة الحجریّة «الروضة» و في المخطوطتین «الروض» وما ورد في المخطوطتین هو الصحیح.</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المقاصد العلیّة، ص184.</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الفائدة والبرهان، ج2، ص111، حیث قال: «وأمّا الصوم وقراءة القرآن فلا وجه للبطلان فيه أصلاً».</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«بناء».</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«ولا سجود».</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«والأذکار».</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الحاکي هو الفاضل الإصفهاني في کشف اللثام، ج3، ص274. حیث قال: «وعن المحقق: صحة النافلة؛ لأنّ الكون ليس جزءاً منها، ولا شرطاً فيها، يعني أنّها تصح ماشياً مومئاً للركوع والسجود، فيجوز فعلها في ضمن الخروج المأمور به».</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ج3، ص274.</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«أو خیمة مغصوبة».</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یحکي عنهم صاحب الجواهر. راجع: جواهر الکلام، ج8، ص290 و 291.</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البیان، ص133: «نعم يكره المرور خصوصاً بينه وبين السترة، ولا تجب السترة إجماعاً، وتحصل بالنجس والمغصوب وإن حرم».</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 الجنان في شرح إرشاد الأذهان، ص218.</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الکنى والألقاب، ص328: «الشيخ الأجلّ أحمد بن إسماعيل بن عبد النبيّ الجزائري المجاور بالنجف الأشرف حيّاً وميّتاً، الفاضل المحقّق المدقّق».</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«متصف».</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«عدة».</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«طناب».</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والطبعة الحجریّة، ص165: «جدران»، وفي کشف الغطاء: «جدار».</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والطبعة الحجریّة: «حجر واحد».</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ص165: «جدار المغصوب»، وفي کشف الغطاء: «جدار الدار المغصوب».</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بین المعقوفتین من کشف الغطاء.</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الغطاء، ج3، ص47.</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الصیمري إلیهم في کشف الالتباس عن موجز أبي العبّاس، حیث قال: «وأهل البحرين ينقلون بطلان الصّلاة مع غصب الجدار ويقولون: إنّ المكان ما أحاط بك والجدران محيطة وإن كان جدران سور البلد، وهو خطأ فاحش». انتهى. راجع: كشف الالتباس: في مكان المصلّي، ص158 (مخطوطة في مكتبة مجلس الشورى الإسلامي برقم22498).</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«الانتفاء».</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«والجلوس».</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ص137.</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«کما في الفصول فلاحظ». ولم یأت الکاتب ببعض ما في الکتاب.</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«أکوان».</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والطبعة الحجریّة، ص165: «کون».</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والطبعة الحجریّة، ص165: «کون».</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والطبعة الحجریّة، ص165: «کون».</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«بلحاظها».</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ص137.</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ص166: «یاجر».</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ص138.</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«مع قطع النظر».</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«سابقاً».</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«بالعرفات».</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تفصّى صاحب الفصول في الفصول الغرویّة، ص137 و138 عن اجتماع الأمر والنهي في الصلاة تحت جدار یخاف هدمه بتعدّد الکونین: 1.التحیّز، 2.والحرکة والسکون. والعلّامة السیّد محمّدکاظم الطباطبائي الیزدي یقول: هذا الوجه للتفصّي لا یجري في الوقوف.</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ص138، حیث قال: «ومنها: أنّ المعتكف إذا تحرك في المسجد حركة محرمة أو سكن سكوناً محرماً لم يبطل اعتكافه بذلك بخلاف ما لو كان كونه فيه كوناً محرماً كما لو نذر أن لا يكون في بعض جوانبه ولو في بعض الأحوال فكان فيه فإن قضية الأصل فيه البطلان إلى غير ذلك فإنّ حرمة الكون في هذه المواضع لا ينافي صحة العمل وإن توقّف في بعضها على ما مرّ تحقيقه من أنّ الأمر بالشي‌ء لا يقتضي فساد الضدّ».</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«ذکرنا».</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«من جهة الملازمة لعدمها في المقام»، ولم یرد «لعدمها» في الطبعة الحجریّة، ص166. وفي مخطوطة مکتبة الوزیري: «من جهة الملازمة لعدم الملازمة في المقام».</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«وهذا».</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«بصحّتها».</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في شرح المختصر، ج2، ص92.</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الأحکام، ج3، ص172، حیث قال (رحمة الله‌علیه): «والمعتمد ما اختاره المصنف في المعتبر من بطلان الصلاة إن كان الثوب ساتراً للعورة لتوجّه النهي إلى شرط العبادة فيفسد ويبطل المشروط بفواته».</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والإبهام عن قواعد الأحکام، ج3، ص224 و 225.</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«المع».</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المعتبر: «خاتم مغصوب». و في کشف اللثام نقل: «خاتم من ذهب».</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في شرح المختصر، ج2، ص92.</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والإبهام عن قواعد الأحکام، ج3، ص224 و 225.</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«منافات».</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والإبهام عن قواعد الأحکام، ج3، ص224 و 225.</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الحلّي (رحمة الله‌علیه) في شرایع الإسلام، ج1، ص59: «الخامسة الثّوب المغصوب لا يجوز الصّلاة فيه ولو أذن صاحبه لغير الغاصب أو له جازت الصّلاة فيه مع تحقّق الغصبيّة ولو أذن مطلقاً جاز لغير الغاصب على الظّاهر».</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کشف اللثام، ج3، ص225، حیث قال: «بخلاف ما إذا قام ورکع وسجد لابساً للمغصوب متحرّکاً فیه؛ إذ لیس شيء من ذلك عین التصرّف فیه وإنّما هو مقرون به والتصرّف هو لبسه وتحریکه».</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«المحرّم».</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«کما».</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«وهو».</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«تنتفي».</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جواهر الکلام، ج8، ص145 و 146.</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کشف اللثام والإبهام عن قواعد الأحکام، ج3، ص224 و 225.</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«سیّد».</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ریاض المسائل، ج2، ص336.</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کشف اللثام والإبهام عن قواعد الأحکام، ج3، ص224 و 225.</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«الدلیل».</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کشف اللثام والإبهام عن قواعد الأحکام، ج3، ص224 و 225.</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ینابیع الأحکام في معرفة الحلال والحرام، ج3، ص522، حیث قال: «فالظاهر أنّ تحريم لبس الذهب والتختّم به على الرجال خاصّة محلّ وفاق بين الأصحاب».</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والطبعة الحجریّة، ص167، والطبعة المحقّقة، ص262: «منهما».</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الطبعة الحجریّة، ص168: «إنّما»، وأضفناه من المخطوطة.</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«الجماعة».</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«هذا».</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المخطوطة: «فلاحظ الجواهر إلى اه».</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من بعض النسخ: «ثلاث».</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«الصحة» من جواهر الکلام ومخطوطة مکتبة الوزیري، ولم ترد في الطبعة الحجریّة، ص168.</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ص168: «في البطلان». وفي هامش الطبعة المحقّقة: «کذا والظاهر: بالبطلان».</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الغطاء، ج3، ص27، حیث قال: «والحاصل أنّ کلّما عرضت له صفة التحریم بوجه من الوجوه لا تصحّ به الصلاة على الأقوی».</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«المذکورة».</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الطبعة الحجریّة، ص168، ولکن المألوف عندنا أن نقول: «ضرورة المکان للجسم وأکوانه».</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«یترای».</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ج8، ص147 إلى 149.</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«فیه».</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«اللباس».</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من ذلك يمكن الفرق»، وفي الطبعة المحقّقة، ص264: «یمکن أن یفرق»، وفي مخطوطة مکتبة الوزیري والطبعة الحجریّة، ص169: «یمکن أن لا یفرق».</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«حال».</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«الفرس».</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«اللباس».</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جواهر الکلام، ج8، ص147، حیث قال: «وثانيها لبسه بمعنى ملابسته، وهو لا يقضي بالفساد أيضاً، ضرورة عدم كون اللبس أحد أجزاء الصلاة، إذ هو يرجع إلى حرمة كونه عليك لا كونك فيه، ومن هنا كان المتّجه الصحّة في كلّ ما حرم لبسه كلباس الشهرة وغيرها».</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وردت هذه العبارة في الحدیث. نعم ورد: «لا تحلّ الصّلاة في حریر محض». راجع: الکافي، ج2، ص399، ح10.</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الطبعة الحجریّة، ص169: «بینهما»، و أثبتناه من مخطوطة مکتبة الوزیري.</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«لیس».</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«یستلزم».</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جواهر الکلام، ج8، ص147.</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الغرویّة، ص137، حیث قال (رحمة الله‌علیه): «أقول: إذا قلنا بأن الكون جزء من الصلاة لم نرد به كون المكلف أي وجوده كما قد يسبق إلى الوهم فإنّه ليس جزء من الصلاة ضرورة أنّ وجود الموضوع ليس جزءاً من العرض القائم به ولا كونه في المكان أعني تحيزه فيه؛ لأن مفهوم التحيز خارج عن مفهوم الصلاة كما سننبه عليه بل نريد به الأكوان التي يكون المصلّي عليها من حركاته وسكناته كقيامه وركوعه وسجوده ولا ريب أنّ القيام في المكان المغصوب عين الغصب وجزء من الصلاة وعلى حدّه بقية الأكوان فيكون الصلاة في المكان المغصوب بجميع أجزائها الفعلية غصباً لأنّها عبارة عن حركات وسكنات مخصوصة هي غصب إذا وقعت في المكان المغصوب، نعم لو قلنا بأنّ النية جزء من الصلاة كان ما عداها من بقية الأجزاء غصباً وفي القراءة وجهان والتحقيق أنّها ليست غصباً وإنّما هي مسببة عن تصرف غصبي فيمتنع مطلوبيتها مع تحريمه كما مرّ».</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جواهر الکلام، ج8، ص147، حیث قال (رحمة الله‌علیه): «لبسه بمعنى ملابسته، وهو لا يقضي بالفساد أيضاً، ضرورة عدم كون اللّبس أحد أجزاء الصّلاة؛ إذ هو يرجع إلى حرمة كونه عليك لا كونك فيه، ومن هنا كان المتّجه الصحّة في كلّ ما حرم لبسه كلباس الشّهرة وغيرها».</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جواهر الکلام، ج8، ص148.</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الميرزا مهدي الإصفهاني في الأصول الوسیط، ص144: «وأمّا الوضوء بالماء الغصبي فلیس من صغریات باب الاجتماع بل من صغریات باب النهي عن العبادة کما ستعرف فإنّ الغَسل بالفتح عین تحریك الماء وهو بعینه الغصب». وفي کلامه تأمّل ونظر.</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«فإنّها تبطل».</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وهل یوجد فرق بین صورة الجهل أو العلم بالغصبیّة؟ لتحقیق المطلب راجع: العروة الوثقى، ج1، ص384؛ وأصول فقه الشیعة، ج3، ص317.</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العلوق بمعنى انتقال أثر من الأرض إلى الأعضاء بحيث يكون المسح بالأثر الباقي من التراب ونحوه في اليد، وهذا هو محلّ الكلام. راجع: موسوعة الفقه الإسلامي، ج33، ص431.</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«البطلان».</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المعتبر في شرح المختصر، ج2، ص108 و109.</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منتهى المطلب، ج4، ص298، حیث قال (رحمة الله‌علیه): «والجواب... عن الثاني: بالفرق بين الوضوء في المكان المغصوب والصّلاة فيه، فإنّ الكون ليس جزءاً من الوضوء ولا شرطاً وهو جزء من الصّلاة».</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مدارك الأحکام، ج3، ص218، حیث قال: «ومن هنا يظهر رجحان القول بصحّة الطّهارة الواقعة في المكان المغصوب، كما قطع به في المعتبر؛ لأنّ الكون ليس جزءاً منها ولا شرطاً فيها فلا يؤثّر تعلّق النّهي به في فسادها».</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«حبل المتین».</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الحبل المتین في أحکام الدین، ص158، حیث قال (رحمة الله‌علیه): «وبما تلوناه عليك يزداد وضوح ما ذهب إليه المحقّق طاب ثراه في المعتبر من الحكم بصحّة الطّهارة في المكان المغصوب».</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«بالبط».</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نهایة الإحکام في معرفة الأحکام، ج1، ص342، حیث قال (رحمة الله‌علیه) - بعد الحکم ببطلان الصّلاة في المکان المغصوب -: «الطّهارة کالصّلاة في المنع».</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ذکرى الشیعة في أحکام الشریعة، ج3، ص80.</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الشرعیة في فقه الإمامیّة، ج1، ص153.</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في شرح إرشاد الأذهان، ص219.</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المقاصد العلیّة في شرح الرسالة الألفیّة، ص184.</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الفائدة والبرهان، ج2، ص111 و 112.</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یخفى أنّ صاحب الحدائق (رحمة الله‌علیه) قائل بجواز الاجتماع مع تعدّد الجهة حیث قال في الحدائق الناضرة، ج7، ص165: «إنّ ادّعاء كون اجتماع الأمر والنّهي في شي‌ء واحد محالاً ليس على إطلاقه بل إنّما هو مع اتّحاد جهتي الأمر والنهي كما ذكرناه».</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الحدائق الناضرة، ج7، ص169. ولکن استفادة البطلان من مجموع کلامه مشکل، بل تستفاد من کلامه الصحّة.</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نجاة العباد، ص349 للمولى أبوطالب الأراکي (رحمة الله‌علیه) حیث قال: «فحكم سيّدنا الأُستاذ طاب ثراه بالبطلان في خصوص المصبّ إذا كان الوضوء علّة للتصرّف فيه كما علّقه على الرّسالة. لم أفهم وجهه؛ إذ علّيّة الوضوء للتصرّف في الغصب لو أوجب البطلان للزم أن يقال به في الآنية أيضاً؛ إذ الوضوء كما أوجب التصرّف في المكان بالصبّ فيه كذلك يتوقّف على التصرّف في الآنية بالأخذ منها، وليس شي‌ء من الصبّ والاغتراف من الإناء وضوءاً كما لا يخفى».</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کشف الغطاء عن مبهمات الشریعة الغرّاء، ج2، ص51 إلى 54.</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«البط».</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ذکرى الشیعة في أحکام الشریعة، ج3، ص80.</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الحدائق الناضرة، ج7، ص169.</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من بعض النسخ: «الأوامر».</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من بعض النسخ: «بتشخّص».</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المخطوطة: «الآنیة».</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الطبعة الحجریّة، ص170، ولم یرد في المخطوطتین: «فیها».</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«وضوئه».</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موسوعة البرغاني في فقه الشیعة، ج5، ص284: «والتحقيق أنّ أداء الخمس أيضاً صحيح فى المكان المغصوب».</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لوامع الأحکام، ص218، حیث قال (رحمة الله‌علیه): «ثمّ الطهارة من الأواني المغصوبة أو فيها أو في مكان مغصوب وإخراج الخمس أو الزكاة أو الكفّارة أو نيّة الصوم فيه والتطهّر مع كشف العورة اختياراً عند ناظرٍ محترم وإن تعلّق فيها النهي بالخارج أعني الكون والكشف لعدم كونهما جزءاً أو شرطاً لها، إلّا أنّ الحقّ بطلانها مطلقاً لورود الأمر بردّ المغصوب فوراً وبستر العورة عند ناظر محترم والأمر المضيّق يستلزم النهي عن ضدّه الخاصّ إذا لم يكن واجباً مضيّقاً، والعبادات المذكورة أضداد له خاصّة فيتعلّق النهي بنفسها بالتبع فتبطل».</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«إعطائه».</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«أو شبهه».</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والطبعة الحجریّة ص171: «توصلي».</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على عدم جواز اجتماع الأمر والنهي وتقدیم النهي.</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«لجنب»، وفي الطبعة الحجریّة، ص171: «بجنب».</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«تذنیب».</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والطبعة الحجریّة، ص171: «المسمّی».</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«وهکذا».</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«الأمر».</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«بأنّ».</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«علیه».</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«أیضاً».</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«لا یسقط السقوط عنه».</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الطبعة الحجریّة، ص171، وفي مخطوطة مکتبة الوزیري: «المقدمة».</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«المستأجر».</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«استحقاق».</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«إذا».</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مخطوطة مکتبة الوزیري: «في».</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في المخطوطة: «علی».</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«للفرد».</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المخطوطتین: «لمورد».</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مخطوطة مکتبة الوزیري: «ابن».</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1300 ﻫ.ق.</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«التحف»، وفي مخطوطة مکتبة الوزیري والطبعة الحجریّة، ص172: «السّلام».</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«ینظر».</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الحجریّة، ص172: «المکّة».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4A68AF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اجتماع الامر و النهی</dc:title>
  <dc:description/>
  <dc:subject/>
  <cp:keywords/>
  <cp:category/>
  <cp:lastModifiedBy/>
  <dcterms:created xsi:type="dcterms:W3CDTF">2026-08-27T08:52:49+03:30</dcterms:created>
  <dcterms:modified xsi:type="dcterms:W3CDTF">2026-08-27T08:52:49+03:30</dcterms:modified>
</cp:coreProperties>
</file>

<file path=docProps/custom.xml><?xml version="1.0" encoding="utf-8"?>
<Properties xmlns="http://schemas.openxmlformats.org/officeDocument/2006/custom-properties" xmlns:vt="http://schemas.openxmlformats.org/officeDocument/2006/docPropsVTypes"/>
</file>