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الشافی فی الإمامة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8272_2320776876">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828274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28276_2320776876">
            <w:r>
              <w:rPr>
                <w:webHidden/>
                <w:rStyle w:val="IndexLink"/>
                <w:rtl w:val="true"/>
              </w:rPr>
              <w:t>كلمة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828278_2320776876">
            <w:r>
              <w:rPr>
                <w:webHidden/>
                <w:rStyle w:val="IndexLink"/>
                <w:rtl w:val="true"/>
              </w:rPr>
              <w:t>مذكّرة الأمين العام للمؤتمر</w:t>
            </w:r>
            <w:r>
              <w:rPr>
                <w:rStyle w:val="IndexLink"/>
                <w:rtl w:val="true"/>
              </w:rPr>
              <w:tab/>
            </w:r>
            <w:r>
              <w:rPr>
                <w:rStyle w:val="IndexLink"/>
              </w:rPr>
              <w:t>13</w:t>
            </w:r>
          </w:hyperlink>
        </w:p>
        <w:p>
          <w:pPr>
            <w:pStyle w:val="Contents3"/>
            <w:tabs>
              <w:tab w:val="clear" w:pos="8459"/>
              <w:tab w:val="right" w:pos="9026" w:leader="dot"/>
            </w:tabs>
            <w:rPr/>
          </w:pPr>
          <w:hyperlink w:anchor="__RefHeading___Toc828280_2320776876">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28282_2320776876">
            <w:r>
              <w:rPr>
                <w:webHidden/>
                <w:rStyle w:val="IndexLink"/>
                <w:rtl w:val="true"/>
              </w:rPr>
              <w:t>أوّلاً</w:t>
            </w:r>
            <w:r>
              <w:rPr>
                <w:rStyle w:val="IndexLink"/>
                <w:rtl w:val="true"/>
              </w:rPr>
              <w:t xml:space="preserve">: </w:t>
            </w:r>
            <w:r>
              <w:rPr>
                <w:rStyle w:val="IndexLink"/>
                <w:rtl w:val="true"/>
              </w:rPr>
              <w:t>الشريف المرتضى</w:t>
            </w:r>
            <w:r>
              <w:rPr>
                <w:rStyle w:val="IndexLink"/>
                <w:rtl w:val="true"/>
              </w:rPr>
              <w:tab/>
            </w:r>
            <w:r>
              <w:rPr>
                <w:rStyle w:val="IndexLink"/>
              </w:rPr>
              <w:t>13</w:t>
            </w:r>
          </w:hyperlink>
        </w:p>
        <w:p>
          <w:pPr>
            <w:pStyle w:val="Contents3"/>
            <w:tabs>
              <w:tab w:val="clear" w:pos="8459"/>
              <w:tab w:val="right" w:pos="9026" w:leader="dot"/>
            </w:tabs>
            <w:rPr/>
          </w:pPr>
          <w:hyperlink w:anchor="__RefHeading___Toc828284_2320776876">
            <w:r>
              <w:rPr>
                <w:webHidden/>
                <w:rStyle w:val="IndexLink"/>
                <w:rtl w:val="true"/>
              </w:rPr>
              <w:t>ثانياً</w:t>
            </w:r>
            <w:r>
              <w:rPr>
                <w:rStyle w:val="IndexLink"/>
                <w:rtl w:val="true"/>
              </w:rPr>
              <w:t xml:space="preserve">: </w:t>
            </w:r>
            <w:r>
              <w:rPr>
                <w:rStyle w:val="IndexLink"/>
                <w:rtl w:val="true"/>
              </w:rPr>
              <w:t>مؤتمر الشريف المرتضى</w:t>
            </w:r>
            <w:r>
              <w:rPr>
                <w:rStyle w:val="IndexLink"/>
                <w:rtl w:val="true"/>
              </w:rPr>
              <w:tab/>
            </w:r>
            <w:r>
              <w:rPr>
                <w:rStyle w:val="IndexLink"/>
              </w:rPr>
              <w:t>14</w:t>
            </w:r>
          </w:hyperlink>
        </w:p>
        <w:p>
          <w:pPr>
            <w:pStyle w:val="Contents3"/>
            <w:tabs>
              <w:tab w:val="clear" w:pos="8459"/>
              <w:tab w:val="right" w:pos="9026" w:leader="dot"/>
            </w:tabs>
            <w:rPr/>
          </w:pPr>
          <w:hyperlink w:anchor="__RefHeading___Toc828286_2320776876">
            <w:r>
              <w:rPr>
                <w:webHidden/>
                <w:rStyle w:val="IndexLink"/>
                <w:rtl w:val="true"/>
              </w:rPr>
              <w:t>ثالثاً</w:t>
            </w:r>
            <w:r>
              <w:rPr>
                <w:rStyle w:val="IndexLink"/>
                <w:rtl w:val="true"/>
              </w:rPr>
              <w:t xml:space="preserve">: </w:t>
            </w:r>
            <w:r>
              <w:rPr>
                <w:rStyle w:val="IndexLink"/>
                <w:rtl w:val="true"/>
              </w:rPr>
              <w:t>مراحل تحقيق تراث الشريف المرتضى</w:t>
            </w:r>
            <w:r>
              <w:rPr>
                <w:rStyle w:val="IndexLink"/>
                <w:rtl w:val="true"/>
              </w:rPr>
              <w:tab/>
            </w:r>
            <w:r>
              <w:rPr>
                <w:rStyle w:val="IndexLink"/>
              </w:rPr>
              <w:t>17</w:t>
            </w:r>
          </w:hyperlink>
        </w:p>
        <w:p>
          <w:pPr>
            <w:pStyle w:val="Contents3"/>
            <w:tabs>
              <w:tab w:val="clear" w:pos="8459"/>
              <w:tab w:val="right" w:pos="9026" w:leader="dot"/>
            </w:tabs>
            <w:rPr/>
          </w:pPr>
          <w:hyperlink w:anchor="__RefHeading___Toc828288_2320776876">
            <w:r>
              <w:rPr>
                <w:webHidden/>
                <w:rStyle w:val="IndexLink"/>
                <w:rtl w:val="true"/>
              </w:rPr>
              <w:t>رابعاً</w:t>
            </w:r>
            <w:r>
              <w:rPr>
                <w:rStyle w:val="IndexLink"/>
                <w:rtl w:val="true"/>
              </w:rPr>
              <w:t xml:space="preserve">: </w:t>
            </w:r>
            <w:r>
              <w:rPr>
                <w:rStyle w:val="IndexLink"/>
                <w:rtl w:val="true"/>
              </w:rPr>
              <w:t>مراحل أعمال التحقيق</w:t>
            </w:r>
            <w:r>
              <w:rPr>
                <w:rStyle w:val="IndexLink"/>
                <w:rtl w:val="true"/>
              </w:rPr>
              <w:tab/>
            </w:r>
            <w:r>
              <w:rPr>
                <w:rStyle w:val="IndexLink"/>
              </w:rPr>
              <w:t>28</w:t>
            </w:r>
          </w:hyperlink>
        </w:p>
        <w:p>
          <w:pPr>
            <w:pStyle w:val="Contents3"/>
            <w:tabs>
              <w:tab w:val="clear" w:pos="8459"/>
              <w:tab w:val="right" w:pos="9026" w:leader="dot"/>
            </w:tabs>
            <w:rPr/>
          </w:pPr>
          <w:hyperlink w:anchor="__RefHeading___Toc828290_2320776876">
            <w:r>
              <w:rPr>
                <w:webHidden/>
                <w:rStyle w:val="IndexLink"/>
                <w:rtl w:val="true"/>
              </w:rPr>
              <w:t>خامساً</w:t>
            </w:r>
            <w:r>
              <w:rPr>
                <w:rStyle w:val="IndexLink"/>
                <w:rtl w:val="true"/>
              </w:rPr>
              <w:t xml:space="preserve">: </w:t>
            </w:r>
            <w:r>
              <w:rPr>
                <w:rStyle w:val="IndexLink"/>
                <w:rtl w:val="true"/>
              </w:rPr>
              <w:t xml:space="preserve">تحقيق العناوين و التنظيم الموضوعي للمصنّفات في </w:t>
            </w:r>
            <w:r>
              <w:rPr>
                <w:rStyle w:val="IndexLink"/>
                <w:rtl w:val="true"/>
              </w:rPr>
              <w:t>«</w:t>
            </w:r>
            <w:r>
              <w:rPr>
                <w:rStyle w:val="IndexLink"/>
                <w:rtl w:val="true"/>
              </w:rPr>
              <w:t>مؤلّفات الشريف المرتضى</w:t>
            </w:r>
            <w:r>
              <w:rPr>
                <w:rStyle w:val="IndexLink"/>
                <w:rtl w:val="true"/>
              </w:rPr>
              <w:t>»</w:t>
              <w:tab/>
            </w:r>
            <w:r>
              <w:rPr>
                <w:rStyle w:val="IndexLink"/>
              </w:rPr>
              <w:t>30</w:t>
            </w:r>
          </w:hyperlink>
        </w:p>
        <w:p>
          <w:pPr>
            <w:pStyle w:val="Contents3"/>
            <w:tabs>
              <w:tab w:val="clear" w:pos="8459"/>
              <w:tab w:val="right" w:pos="9026" w:leader="dot"/>
            </w:tabs>
            <w:rPr/>
          </w:pPr>
          <w:hyperlink w:anchor="__RefHeading___Toc828292_2320776876">
            <w:r>
              <w:rPr>
                <w:webHidden/>
                <w:rStyle w:val="IndexLink"/>
                <w:rtl w:val="true"/>
              </w:rPr>
              <w:t>سادساً</w:t>
            </w:r>
            <w:r>
              <w:rPr>
                <w:rStyle w:val="IndexLink"/>
                <w:rtl w:val="true"/>
              </w:rPr>
              <w:t xml:space="preserve">: </w:t>
            </w:r>
            <w:r>
              <w:rPr>
                <w:rStyle w:val="IndexLink"/>
                <w:rtl w:val="true"/>
              </w:rPr>
              <w:t>ملاحظات حول تراث الشريف المرتضى</w:t>
            </w:r>
            <w:r>
              <w:rPr>
                <w:rStyle w:val="IndexLink"/>
                <w:rtl w:val="true"/>
              </w:rPr>
              <w:tab/>
            </w:r>
            <w:r>
              <w:rPr>
                <w:rStyle w:val="IndexLink"/>
              </w:rPr>
              <w:t>33</w:t>
            </w:r>
          </w:hyperlink>
        </w:p>
        <w:p>
          <w:pPr>
            <w:pStyle w:val="Contents3"/>
            <w:tabs>
              <w:tab w:val="clear" w:pos="8459"/>
              <w:tab w:val="right" w:pos="9026" w:leader="dot"/>
            </w:tabs>
            <w:rPr/>
          </w:pPr>
          <w:hyperlink w:anchor="__RefHeading___Toc828294_2320776876">
            <w:r>
              <w:rPr>
                <w:webHidden/>
                <w:rStyle w:val="IndexLink"/>
                <w:rtl w:val="true"/>
              </w:rPr>
              <w:t>سابعاً</w:t>
            </w:r>
            <w:r>
              <w:rPr>
                <w:rStyle w:val="IndexLink"/>
                <w:rtl w:val="true"/>
              </w:rPr>
              <w:t xml:space="preserve">: </w:t>
            </w:r>
            <w:r>
              <w:rPr>
                <w:rStyle w:val="IndexLink"/>
                <w:rtl w:val="true"/>
              </w:rPr>
              <w:t>المراكز و الجهات المساهمة في المؤتمر</w:t>
            </w:r>
            <w:r>
              <w:rPr>
                <w:rStyle w:val="IndexLink"/>
                <w:rtl w:val="true"/>
              </w:rPr>
              <w:tab/>
            </w:r>
            <w:r>
              <w:rPr>
                <w:rStyle w:val="IndexLink"/>
              </w:rPr>
              <w:t>35</w:t>
            </w:r>
          </w:hyperlink>
        </w:p>
        <w:p>
          <w:pPr>
            <w:pStyle w:val="Contents3"/>
            <w:tabs>
              <w:tab w:val="clear" w:pos="8459"/>
              <w:tab w:val="right" w:pos="9026" w:leader="dot"/>
            </w:tabs>
            <w:rPr/>
          </w:pPr>
          <w:hyperlink w:anchor="__RefHeading___Toc828296_2320776876">
            <w:r>
              <w:rPr>
                <w:webHidden/>
                <w:rStyle w:val="IndexLink"/>
                <w:rtl w:val="true"/>
              </w:rPr>
              <w:t>ثامناً</w:t>
            </w:r>
            <w:r>
              <w:rPr>
                <w:rStyle w:val="IndexLink"/>
                <w:rtl w:val="true"/>
              </w:rPr>
              <w:t xml:space="preserve">: </w:t>
            </w:r>
            <w:r>
              <w:rPr>
                <w:rStyle w:val="IndexLink"/>
                <w:rtl w:val="true"/>
              </w:rPr>
              <w:t>الأمانة العامّة و الأمانة العلميّة للمؤتمر</w:t>
            </w:r>
            <w:r>
              <w:rPr>
                <w:rStyle w:val="IndexLink"/>
                <w:rtl w:val="true"/>
              </w:rPr>
              <w:tab/>
            </w:r>
            <w:r>
              <w:rPr>
                <w:rStyle w:val="IndexLink"/>
              </w:rPr>
              <w:t>37</w:t>
            </w:r>
          </w:hyperlink>
        </w:p>
        <w:p>
          <w:pPr>
            <w:pStyle w:val="Contents3"/>
            <w:tabs>
              <w:tab w:val="clear" w:pos="8459"/>
              <w:tab w:val="right" w:pos="9026" w:leader="dot"/>
            </w:tabs>
            <w:rPr/>
          </w:pPr>
          <w:hyperlink w:anchor="__RefHeading___Toc828298_2320776876">
            <w:r>
              <w:rPr>
                <w:webHidden/>
                <w:rStyle w:val="IndexLink"/>
                <w:rtl w:val="true"/>
              </w:rPr>
              <w:t>تاسعاً</w:t>
            </w:r>
            <w:r>
              <w:rPr>
                <w:rStyle w:val="IndexLink"/>
                <w:rtl w:val="true"/>
              </w:rPr>
              <w:t xml:space="preserve">: </w:t>
            </w:r>
            <w:r>
              <w:rPr>
                <w:rStyle w:val="IndexLink"/>
                <w:rtl w:val="true"/>
              </w:rPr>
              <w:t>مشاركة العتبة الرضويّة المقدّسة</w:t>
            </w:r>
            <w:r>
              <w:rPr>
                <w:rStyle w:val="IndexLink"/>
                <w:rtl w:val="true"/>
              </w:rPr>
              <w:tab/>
            </w:r>
            <w:r>
              <w:rPr>
                <w:rStyle w:val="IndexLink"/>
              </w:rPr>
              <w:t>39</w:t>
            </w:r>
          </w:hyperlink>
        </w:p>
        <w:p>
          <w:pPr>
            <w:pStyle w:val="Contents3"/>
            <w:tabs>
              <w:tab w:val="clear" w:pos="8459"/>
              <w:tab w:val="right" w:pos="9026" w:leader="dot"/>
            </w:tabs>
            <w:rPr/>
          </w:pPr>
          <w:hyperlink w:anchor="__RefHeading___Toc828300_2320776876">
            <w:r>
              <w:rPr>
                <w:webHidden/>
                <w:rStyle w:val="IndexLink"/>
                <w:rtl w:val="true"/>
              </w:rPr>
              <w:t>عاشراً</w:t>
            </w:r>
            <w:r>
              <w:rPr>
                <w:rStyle w:val="IndexLink"/>
                <w:rtl w:val="true"/>
              </w:rPr>
              <w:t xml:space="preserve">: </w:t>
            </w:r>
            <w:r>
              <w:rPr>
                <w:rStyle w:val="IndexLink"/>
                <w:rtl w:val="true"/>
              </w:rPr>
              <w:t>شكرٌ و تقدير</w:t>
            </w:r>
            <w:r>
              <w:rPr>
                <w:rStyle w:val="IndexLink"/>
                <w:rtl w:val="true"/>
              </w:rPr>
              <w:tab/>
            </w:r>
            <w:r>
              <w:rPr>
                <w:rStyle w:val="IndexLink"/>
              </w:rPr>
              <w:t>39</w:t>
            </w:r>
          </w:hyperlink>
        </w:p>
        <w:p>
          <w:pPr>
            <w:pStyle w:val="Contents2"/>
            <w:tabs>
              <w:tab w:val="clear" w:pos="8743"/>
              <w:tab w:val="right" w:pos="9026" w:leader="dot"/>
            </w:tabs>
            <w:rPr/>
          </w:pPr>
          <w:hyperlink w:anchor="__RefHeading___Toc828302_2320776876">
            <w:r>
              <w:rPr>
                <w:webHidden/>
                <w:rStyle w:val="IndexLink"/>
                <w:rtl w:val="true"/>
              </w:rPr>
              <w:t>الفهرس الإجمالي</w:t>
            </w:r>
            <w:r>
              <w:rPr>
                <w:rStyle w:val="IndexLink"/>
                <w:rtl w:val="true"/>
              </w:rPr>
              <w:tab/>
            </w:r>
            <w:r>
              <w:rPr>
                <w:rStyle w:val="IndexLink"/>
              </w:rPr>
              <w:t>47</w:t>
            </w:r>
          </w:hyperlink>
        </w:p>
        <w:p>
          <w:pPr>
            <w:pStyle w:val="Contents2"/>
            <w:tabs>
              <w:tab w:val="clear" w:pos="8743"/>
              <w:tab w:val="right" w:pos="9026" w:leader="dot"/>
            </w:tabs>
            <w:rPr/>
          </w:pPr>
          <w:hyperlink w:anchor="__RefHeading___Toc828304_2320776876">
            <w:r>
              <w:rPr>
                <w:webHidden/>
                <w:rStyle w:val="IndexLink"/>
                <w:rtl w:val="true"/>
              </w:rPr>
              <w:t>مقدّمة التحقيق</w:t>
            </w:r>
            <w:r>
              <w:rPr>
                <w:rStyle w:val="IndexLink"/>
                <w:rtl w:val="true"/>
              </w:rPr>
              <w:tab/>
            </w:r>
            <w:r>
              <w:rPr>
                <w:rStyle w:val="IndexLink"/>
              </w:rPr>
              <w:t>49</w:t>
            </w:r>
          </w:hyperlink>
        </w:p>
        <w:p>
          <w:pPr>
            <w:pStyle w:val="Contents3"/>
            <w:tabs>
              <w:tab w:val="clear" w:pos="8459"/>
              <w:tab w:val="right" w:pos="9026" w:leader="dot"/>
            </w:tabs>
            <w:rPr/>
          </w:pPr>
          <w:hyperlink w:anchor="__RefHeading___Toc828306_2320776876">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828308_2320776876">
            <w:r>
              <w:rPr>
                <w:webHidden/>
                <w:rStyle w:val="IndexLink"/>
                <w:rtl w:val="true"/>
              </w:rPr>
              <w:t>تمهيد</w:t>
            </w:r>
            <w:r>
              <w:rPr>
                <w:rStyle w:val="IndexLink"/>
                <w:rtl w:val="true"/>
              </w:rPr>
              <w:tab/>
            </w:r>
            <w:r>
              <w:rPr>
                <w:rStyle w:val="IndexLink"/>
              </w:rPr>
              <w:t>49</w:t>
            </w:r>
          </w:hyperlink>
        </w:p>
        <w:p>
          <w:pPr>
            <w:pStyle w:val="Contents2"/>
            <w:tabs>
              <w:tab w:val="clear" w:pos="8743"/>
              <w:tab w:val="right" w:pos="9026" w:leader="dot"/>
            </w:tabs>
            <w:rPr/>
          </w:pPr>
          <w:hyperlink w:anchor="__RefHeading___Toc828310_2320776876">
            <w:r>
              <w:rPr>
                <w:webHidden/>
                <w:rStyle w:val="IndexLink"/>
                <w:rtl w:val="true"/>
              </w:rPr>
              <w:t>الفصل الأوّل الكتب المؤلّفة في الإمامة قبل الشافي</w:t>
            </w:r>
            <w:r>
              <w:rPr>
                <w:rStyle w:val="IndexLink"/>
                <w:rtl w:val="true"/>
              </w:rPr>
              <w:tab/>
            </w:r>
            <w:r>
              <w:rPr>
                <w:rStyle w:val="IndexLink"/>
              </w:rPr>
              <w:t>53</w:t>
            </w:r>
          </w:hyperlink>
        </w:p>
        <w:p>
          <w:pPr>
            <w:pStyle w:val="Contents2"/>
            <w:tabs>
              <w:tab w:val="clear" w:pos="8743"/>
              <w:tab w:val="right" w:pos="9026" w:leader="dot"/>
            </w:tabs>
            <w:rPr/>
          </w:pPr>
          <w:hyperlink w:anchor="__RefHeading___Toc828312_2320776876">
            <w:r>
              <w:rPr>
                <w:webHidden/>
                <w:rStyle w:val="IndexLink"/>
                <w:rtl w:val="true"/>
              </w:rPr>
              <w:t>الفصل الثاني القاضي عبد الجبّار و كتابه المغني</w:t>
            </w:r>
            <w:r>
              <w:rPr>
                <w:rStyle w:val="IndexLink"/>
                <w:rtl w:val="true"/>
              </w:rPr>
              <w:tab/>
            </w:r>
            <w:r>
              <w:rPr>
                <w:rStyle w:val="IndexLink"/>
              </w:rPr>
              <w:t>75</w:t>
            </w:r>
          </w:hyperlink>
        </w:p>
        <w:p>
          <w:pPr>
            <w:pStyle w:val="Contents3"/>
            <w:tabs>
              <w:tab w:val="clear" w:pos="8459"/>
              <w:tab w:val="right" w:pos="9026" w:leader="dot"/>
            </w:tabs>
            <w:rPr/>
          </w:pPr>
          <w:hyperlink w:anchor="__RefHeading___Toc828314_2320776876">
            <w:r>
              <w:rPr>
                <w:webHidden/>
                <w:rStyle w:val="IndexLink"/>
                <w:rtl w:val="true"/>
              </w:rPr>
              <w:t>الف</w:t>
            </w:r>
            <w:r>
              <w:rPr>
                <w:rStyle w:val="IndexLink"/>
                <w:rtl w:val="true"/>
              </w:rPr>
              <w:t xml:space="preserve">. </w:t>
            </w:r>
            <w:r>
              <w:rPr>
                <w:rStyle w:val="IndexLink"/>
                <w:rtl w:val="true"/>
              </w:rPr>
              <w:t>القاضي عبد الجبّار المعتزلي</w:t>
            </w:r>
            <w:r>
              <w:rPr>
                <w:rStyle w:val="IndexLink"/>
                <w:rtl w:val="true"/>
              </w:rPr>
              <w:tab/>
            </w:r>
            <w:r>
              <w:rPr>
                <w:rStyle w:val="IndexLink"/>
              </w:rPr>
              <w:t>75</w:t>
            </w:r>
          </w:hyperlink>
        </w:p>
        <w:p>
          <w:pPr>
            <w:pStyle w:val="Contents4"/>
            <w:tabs>
              <w:tab w:val="clear" w:pos="8176"/>
              <w:tab w:val="right" w:pos="9026" w:leader="dot"/>
            </w:tabs>
            <w:rPr/>
          </w:pPr>
          <w:hyperlink w:anchor="__RefHeading___Toc828316_2320776876">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828318_2320776876">
            <w:r>
              <w:rPr>
                <w:webHidden/>
                <w:rStyle w:val="IndexLink"/>
                <w:rtl w:val="true"/>
              </w:rPr>
              <w:t>شيوخه</w:t>
            </w:r>
            <w:r>
              <w:rPr>
                <w:rStyle w:val="IndexLink"/>
                <w:rtl w:val="true"/>
              </w:rPr>
              <w:tab/>
            </w:r>
            <w:r>
              <w:rPr>
                <w:rStyle w:val="IndexLink"/>
              </w:rPr>
              <w:t>78</w:t>
            </w:r>
          </w:hyperlink>
        </w:p>
        <w:p>
          <w:pPr>
            <w:pStyle w:val="Contents4"/>
            <w:tabs>
              <w:tab w:val="clear" w:pos="8176"/>
              <w:tab w:val="right" w:pos="9026" w:leader="dot"/>
            </w:tabs>
            <w:rPr/>
          </w:pPr>
          <w:hyperlink w:anchor="__RefHeading___Toc828320_2320776876">
            <w:r>
              <w:rPr>
                <w:webHidden/>
                <w:rStyle w:val="IndexLink"/>
                <w:rtl w:val="true"/>
              </w:rPr>
              <w:t>تلامذته</w:t>
            </w:r>
            <w:r>
              <w:rPr>
                <w:rStyle w:val="IndexLink"/>
                <w:rtl w:val="true"/>
              </w:rPr>
              <w:tab/>
            </w:r>
            <w:r>
              <w:rPr>
                <w:rStyle w:val="IndexLink"/>
              </w:rPr>
              <w:t>79</w:t>
            </w:r>
          </w:hyperlink>
        </w:p>
        <w:p>
          <w:pPr>
            <w:pStyle w:val="Contents4"/>
            <w:tabs>
              <w:tab w:val="clear" w:pos="8176"/>
              <w:tab w:val="right" w:pos="9026" w:leader="dot"/>
            </w:tabs>
            <w:rPr/>
          </w:pPr>
          <w:hyperlink w:anchor="__RefHeading___Toc828322_2320776876">
            <w:r>
              <w:rPr>
                <w:webHidden/>
                <w:rStyle w:val="IndexLink"/>
                <w:rtl w:val="true"/>
              </w:rPr>
              <w:t>مؤلّفاته</w:t>
            </w:r>
            <w:r>
              <w:rPr>
                <w:rStyle w:val="IndexLink"/>
                <w:rtl w:val="true"/>
              </w:rPr>
              <w:tab/>
            </w:r>
            <w:r>
              <w:rPr>
                <w:rStyle w:val="IndexLink"/>
              </w:rPr>
              <w:t>81</w:t>
            </w:r>
          </w:hyperlink>
        </w:p>
        <w:p>
          <w:pPr>
            <w:pStyle w:val="Contents4"/>
            <w:tabs>
              <w:tab w:val="clear" w:pos="8176"/>
              <w:tab w:val="right" w:pos="9026" w:leader="dot"/>
            </w:tabs>
            <w:rPr/>
          </w:pPr>
          <w:hyperlink w:anchor="__RefHeading___Toc828324_2320776876">
            <w:r>
              <w:rPr>
                <w:webHidden/>
                <w:rStyle w:val="IndexLink"/>
                <w:rtl w:val="true"/>
              </w:rPr>
              <w:t>وفاته</w:t>
            </w:r>
            <w:r>
              <w:rPr>
                <w:rStyle w:val="IndexLink"/>
                <w:rtl w:val="true"/>
              </w:rPr>
              <w:tab/>
            </w:r>
            <w:r>
              <w:rPr>
                <w:rStyle w:val="IndexLink"/>
              </w:rPr>
              <w:t>88</w:t>
            </w:r>
          </w:hyperlink>
        </w:p>
        <w:p>
          <w:pPr>
            <w:pStyle w:val="Contents3"/>
            <w:tabs>
              <w:tab w:val="clear" w:pos="8459"/>
              <w:tab w:val="right" w:pos="9026" w:leader="dot"/>
            </w:tabs>
            <w:rPr/>
          </w:pPr>
          <w:hyperlink w:anchor="__RefHeading___Toc828326_2320776876">
            <w:r>
              <w:rPr>
                <w:webHidden/>
                <w:rStyle w:val="IndexLink"/>
                <w:rtl w:val="true"/>
              </w:rPr>
              <w:t>ب</w:t>
            </w:r>
            <w:r>
              <w:rPr>
                <w:rStyle w:val="IndexLink"/>
                <w:rtl w:val="true"/>
              </w:rPr>
              <w:t xml:space="preserve">. </w:t>
            </w:r>
            <w:r>
              <w:rPr>
                <w:rStyle w:val="IndexLink"/>
                <w:rtl w:val="true"/>
              </w:rPr>
              <w:t>كتاب المغني في أبواب التوحيد و العدل</w:t>
            </w:r>
            <w:r>
              <w:rPr>
                <w:rStyle w:val="IndexLink"/>
                <w:rtl w:val="true"/>
              </w:rPr>
              <w:tab/>
            </w:r>
            <w:r>
              <w:rPr>
                <w:rStyle w:val="IndexLink"/>
              </w:rPr>
              <w:t>89</w:t>
            </w:r>
          </w:hyperlink>
        </w:p>
        <w:p>
          <w:pPr>
            <w:pStyle w:val="Contents4"/>
            <w:tabs>
              <w:tab w:val="clear" w:pos="8176"/>
              <w:tab w:val="right" w:pos="9026" w:leader="dot"/>
            </w:tabs>
            <w:rPr/>
          </w:pPr>
          <w:hyperlink w:anchor="__RefHeading___Toc828328_2320776876">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828330_2320776876">
            <w:r>
              <w:rPr>
                <w:webHidden/>
                <w:rStyle w:val="IndexLink"/>
                <w:rtl w:val="true"/>
              </w:rPr>
              <w:t>أجزاء المغني</w:t>
            </w:r>
            <w:r>
              <w:rPr>
                <w:rStyle w:val="IndexLink"/>
                <w:rtl w:val="true"/>
              </w:rPr>
              <w:tab/>
            </w:r>
            <w:r>
              <w:rPr>
                <w:rStyle w:val="IndexLink"/>
              </w:rPr>
              <w:t>94</w:t>
            </w:r>
          </w:hyperlink>
        </w:p>
        <w:p>
          <w:pPr>
            <w:pStyle w:val="Contents4"/>
            <w:tabs>
              <w:tab w:val="clear" w:pos="8176"/>
              <w:tab w:val="right" w:pos="9026" w:leader="dot"/>
            </w:tabs>
            <w:rPr/>
          </w:pPr>
          <w:hyperlink w:anchor="__RefHeading___Toc828332_2320776876">
            <w:r>
              <w:rPr>
                <w:webHidden/>
                <w:rStyle w:val="IndexLink"/>
                <w:rtl w:val="true"/>
              </w:rPr>
              <w:t>نكت الكتاب المغني</w:t>
            </w:r>
            <w:r>
              <w:rPr>
                <w:rStyle w:val="IndexLink"/>
                <w:rtl w:val="true"/>
              </w:rPr>
              <w:tab/>
            </w:r>
            <w:r>
              <w:rPr>
                <w:rStyle w:val="IndexLink"/>
              </w:rPr>
              <w:t>99</w:t>
            </w:r>
          </w:hyperlink>
        </w:p>
        <w:p>
          <w:pPr>
            <w:pStyle w:val="Contents4"/>
            <w:tabs>
              <w:tab w:val="clear" w:pos="8176"/>
              <w:tab w:val="right" w:pos="9026" w:leader="dot"/>
            </w:tabs>
            <w:rPr/>
          </w:pPr>
          <w:hyperlink w:anchor="__RefHeading___Toc828334_2320776876">
            <w:r>
              <w:rPr>
                <w:webHidden/>
                <w:rStyle w:val="IndexLink"/>
                <w:rtl w:val="true"/>
              </w:rPr>
              <w:t>جزء الإمامة من كتاب المغني</w:t>
            </w:r>
            <w:r>
              <w:rPr>
                <w:rStyle w:val="IndexLink"/>
                <w:rtl w:val="true"/>
              </w:rPr>
              <w:tab/>
            </w:r>
            <w:r>
              <w:rPr>
                <w:rStyle w:val="IndexLink"/>
              </w:rPr>
              <w:t>100</w:t>
            </w:r>
          </w:hyperlink>
        </w:p>
        <w:p>
          <w:pPr>
            <w:pStyle w:val="Contents4"/>
            <w:tabs>
              <w:tab w:val="clear" w:pos="8176"/>
              <w:tab w:val="right" w:pos="9026" w:leader="dot"/>
            </w:tabs>
            <w:rPr/>
          </w:pPr>
          <w:hyperlink w:anchor="__RefHeading___Toc828336_2320776876">
            <w:r>
              <w:rPr>
                <w:webHidden/>
                <w:rStyle w:val="IndexLink"/>
                <w:rtl w:val="true"/>
              </w:rPr>
              <w:t>مصادر كتاب المغني في مباحث الإمامة</w:t>
            </w:r>
            <w:r>
              <w:rPr>
                <w:rStyle w:val="IndexLink"/>
                <w:rtl w:val="true"/>
              </w:rPr>
              <w:tab/>
            </w:r>
            <w:r>
              <w:rPr>
                <w:rStyle w:val="IndexLink"/>
              </w:rPr>
              <w:t>100</w:t>
            </w:r>
          </w:hyperlink>
        </w:p>
        <w:p>
          <w:pPr>
            <w:pStyle w:val="Contents4"/>
            <w:tabs>
              <w:tab w:val="clear" w:pos="8176"/>
              <w:tab w:val="right" w:pos="9026" w:leader="dot"/>
            </w:tabs>
            <w:rPr/>
          </w:pPr>
          <w:hyperlink w:anchor="__RefHeading___Toc828338_2320776876">
            <w:r>
              <w:rPr>
                <w:webHidden/>
                <w:rStyle w:val="IndexLink"/>
                <w:rtl w:val="true"/>
              </w:rPr>
              <w:t>أبواب و فصول مباحث الإمامة في كتاب المغني</w:t>
            </w:r>
            <w:r>
              <w:rPr>
                <w:rStyle w:val="IndexLink"/>
                <w:rtl w:val="true"/>
              </w:rPr>
              <w:t>:</w:t>
              <w:tab/>
            </w:r>
            <w:r>
              <w:rPr>
                <w:rStyle w:val="IndexLink"/>
              </w:rPr>
              <w:t>102</w:t>
            </w:r>
          </w:hyperlink>
        </w:p>
        <w:p>
          <w:pPr>
            <w:pStyle w:val="Contents2"/>
            <w:tabs>
              <w:tab w:val="clear" w:pos="8743"/>
              <w:tab w:val="right" w:pos="9026" w:leader="dot"/>
            </w:tabs>
            <w:rPr/>
          </w:pPr>
          <w:hyperlink w:anchor="__RefHeading___Toc828340_2320776876">
            <w:r>
              <w:rPr>
                <w:webHidden/>
                <w:rStyle w:val="IndexLink"/>
                <w:rtl w:val="true"/>
              </w:rPr>
              <w:t>الفصل الثالث الشيخ الطوسي و تلخيصه للشافي</w:t>
            </w:r>
            <w:r>
              <w:rPr>
                <w:rStyle w:val="IndexLink"/>
                <w:rtl w:val="true"/>
              </w:rPr>
              <w:tab/>
            </w:r>
            <w:r>
              <w:rPr>
                <w:rStyle w:val="IndexLink"/>
              </w:rPr>
              <w:t>109</w:t>
            </w:r>
          </w:hyperlink>
        </w:p>
        <w:p>
          <w:pPr>
            <w:pStyle w:val="Contents2"/>
            <w:tabs>
              <w:tab w:val="clear" w:pos="8743"/>
              <w:tab w:val="right" w:pos="9026" w:leader="dot"/>
            </w:tabs>
            <w:rPr/>
          </w:pPr>
          <w:hyperlink w:anchor="__RefHeading___Toc828342_2320776876">
            <w:r>
              <w:rPr>
                <w:webHidden/>
                <w:rStyle w:val="IndexLink"/>
                <w:rtl w:val="true"/>
              </w:rPr>
              <w:t>الفصل الرابع الشريف المرتضى و كتابه الشافي</w:t>
            </w:r>
            <w:r>
              <w:rPr>
                <w:rStyle w:val="IndexLink"/>
                <w:rtl w:val="true"/>
              </w:rPr>
              <w:tab/>
            </w:r>
            <w:r>
              <w:rPr>
                <w:rStyle w:val="IndexLink"/>
              </w:rPr>
              <w:t>117</w:t>
            </w:r>
          </w:hyperlink>
        </w:p>
        <w:p>
          <w:pPr>
            <w:pStyle w:val="Contents3"/>
            <w:tabs>
              <w:tab w:val="clear" w:pos="8459"/>
              <w:tab w:val="right" w:pos="9026" w:leader="dot"/>
            </w:tabs>
            <w:rPr/>
          </w:pPr>
          <w:hyperlink w:anchor="__RefHeading___Toc828344_2320776876">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828346_2320776876">
            <w:r>
              <w:rPr>
                <w:webHidden/>
                <w:rStyle w:val="IndexLink"/>
                <w:rtl w:val="true"/>
              </w:rPr>
              <w:t>جمل الثناء علىٰ كتاب الشافي</w:t>
            </w:r>
            <w:r>
              <w:rPr>
                <w:rStyle w:val="IndexLink"/>
                <w:rtl w:val="true"/>
              </w:rPr>
              <w:tab/>
            </w:r>
            <w:r>
              <w:rPr>
                <w:rStyle w:val="IndexLink"/>
              </w:rPr>
              <w:t>118</w:t>
            </w:r>
          </w:hyperlink>
        </w:p>
        <w:p>
          <w:pPr>
            <w:pStyle w:val="Contents3"/>
            <w:tabs>
              <w:tab w:val="clear" w:pos="8459"/>
              <w:tab w:val="right" w:pos="9026" w:leader="dot"/>
            </w:tabs>
            <w:rPr/>
          </w:pPr>
          <w:hyperlink w:anchor="__RefHeading___Toc828348_2320776876">
            <w:r>
              <w:rPr>
                <w:webHidden/>
                <w:rStyle w:val="IndexLink"/>
                <w:rtl w:val="true"/>
              </w:rPr>
              <w:t>من تأثّر بالشافي و نقل عنه</w:t>
            </w:r>
            <w:r>
              <w:rPr>
                <w:rStyle w:val="IndexLink"/>
                <w:rtl w:val="true"/>
              </w:rPr>
              <w:tab/>
            </w:r>
            <w:r>
              <w:rPr>
                <w:rStyle w:val="IndexLink"/>
              </w:rPr>
              <w:t>120</w:t>
            </w:r>
          </w:hyperlink>
        </w:p>
        <w:p>
          <w:pPr>
            <w:pStyle w:val="Contents3"/>
            <w:tabs>
              <w:tab w:val="clear" w:pos="8459"/>
              <w:tab w:val="right" w:pos="9026" w:leader="dot"/>
            </w:tabs>
            <w:rPr/>
          </w:pPr>
          <w:hyperlink w:anchor="__RefHeading___Toc828350_2320776876">
            <w:r>
              <w:rPr>
                <w:webHidden/>
                <w:rStyle w:val="IndexLink"/>
                <w:rtl w:val="true"/>
              </w:rPr>
              <w:t>إرجاع الشريف المرتضىٰ إلى الشافي في كتبه</w:t>
            </w:r>
            <w:r>
              <w:rPr>
                <w:rStyle w:val="IndexLink"/>
                <w:rtl w:val="true"/>
              </w:rPr>
              <w:tab/>
            </w:r>
            <w:r>
              <w:rPr>
                <w:rStyle w:val="IndexLink"/>
              </w:rPr>
              <w:t>123</w:t>
            </w:r>
          </w:hyperlink>
        </w:p>
        <w:p>
          <w:pPr>
            <w:pStyle w:val="Contents3"/>
            <w:tabs>
              <w:tab w:val="clear" w:pos="8459"/>
              <w:tab w:val="right" w:pos="9026" w:leader="dot"/>
            </w:tabs>
            <w:rPr/>
          </w:pPr>
          <w:hyperlink w:anchor="__RefHeading___Toc828352_2320776876">
            <w:r>
              <w:rPr>
                <w:webHidden/>
                <w:rStyle w:val="IndexLink"/>
                <w:rtl w:val="true"/>
              </w:rPr>
              <w:t>تاريخ تأليف الشافي</w:t>
            </w:r>
            <w:r>
              <w:rPr>
                <w:rStyle w:val="IndexLink"/>
                <w:rtl w:val="true"/>
              </w:rPr>
              <w:tab/>
            </w:r>
            <w:r>
              <w:rPr>
                <w:rStyle w:val="IndexLink"/>
              </w:rPr>
              <w:t>124</w:t>
            </w:r>
          </w:hyperlink>
        </w:p>
        <w:p>
          <w:pPr>
            <w:pStyle w:val="Contents3"/>
            <w:tabs>
              <w:tab w:val="clear" w:pos="8459"/>
              <w:tab w:val="right" w:pos="9026" w:leader="dot"/>
            </w:tabs>
            <w:rPr/>
          </w:pPr>
          <w:hyperlink w:anchor="__RefHeading___Toc828354_2320776876">
            <w:r>
              <w:rPr>
                <w:webHidden/>
                <w:rStyle w:val="IndexLink"/>
                <w:rtl w:val="true"/>
              </w:rPr>
              <w:t>فصول الكتاب</w:t>
            </w:r>
            <w:r>
              <w:rPr>
                <w:rStyle w:val="IndexLink"/>
                <w:rtl w:val="true"/>
              </w:rPr>
              <w:tab/>
            </w:r>
            <w:r>
              <w:rPr>
                <w:rStyle w:val="IndexLink"/>
              </w:rPr>
              <w:t>127</w:t>
            </w:r>
          </w:hyperlink>
        </w:p>
        <w:p>
          <w:pPr>
            <w:pStyle w:val="Contents3"/>
            <w:tabs>
              <w:tab w:val="clear" w:pos="8459"/>
              <w:tab w:val="right" w:pos="9026" w:leader="dot"/>
            </w:tabs>
            <w:rPr/>
          </w:pPr>
          <w:hyperlink w:anchor="__RefHeading___Toc828356_2320776876">
            <w:r>
              <w:rPr>
                <w:webHidden/>
                <w:rStyle w:val="IndexLink"/>
                <w:rtl w:val="true"/>
              </w:rPr>
              <w:t>منهجيّة البحث في الشافي</w:t>
            </w:r>
            <w:r>
              <w:rPr>
                <w:rStyle w:val="IndexLink"/>
                <w:rtl w:val="true"/>
              </w:rPr>
              <w:tab/>
            </w:r>
            <w:r>
              <w:rPr>
                <w:rStyle w:val="IndexLink"/>
              </w:rPr>
              <w:t>132</w:t>
            </w:r>
          </w:hyperlink>
        </w:p>
        <w:p>
          <w:pPr>
            <w:pStyle w:val="Contents3"/>
            <w:tabs>
              <w:tab w:val="clear" w:pos="8459"/>
              <w:tab w:val="right" w:pos="9026" w:leader="dot"/>
            </w:tabs>
            <w:rPr/>
          </w:pPr>
          <w:hyperlink w:anchor="__RefHeading___Toc828358_2320776876">
            <w:r>
              <w:rPr>
                <w:webHidden/>
                <w:rStyle w:val="IndexLink"/>
                <w:rtl w:val="true"/>
              </w:rPr>
              <w:t>بعض آراء الشريف المرتضى في الشافي</w:t>
            </w:r>
            <w:r>
              <w:rPr>
                <w:rStyle w:val="IndexLink"/>
                <w:rtl w:val="true"/>
              </w:rPr>
              <w:tab/>
            </w:r>
            <w:r>
              <w:rPr>
                <w:rStyle w:val="IndexLink"/>
              </w:rPr>
              <w:t>138</w:t>
            </w:r>
          </w:hyperlink>
        </w:p>
        <w:p>
          <w:pPr>
            <w:pStyle w:val="Contents3"/>
            <w:tabs>
              <w:tab w:val="clear" w:pos="8459"/>
              <w:tab w:val="right" w:pos="9026" w:leader="dot"/>
            </w:tabs>
            <w:rPr/>
          </w:pPr>
          <w:hyperlink w:anchor="__RefHeading___Toc828360_2320776876">
            <w:r>
              <w:rPr>
                <w:webHidden/>
                <w:rStyle w:val="IndexLink"/>
                <w:rtl w:val="true"/>
              </w:rPr>
              <w:t>فوائد من الشافي</w:t>
            </w:r>
            <w:r>
              <w:rPr>
                <w:rStyle w:val="IndexLink"/>
                <w:rtl w:val="true"/>
              </w:rPr>
              <w:tab/>
            </w:r>
            <w:r>
              <w:rPr>
                <w:rStyle w:val="IndexLink"/>
              </w:rPr>
              <w:t>151</w:t>
            </w:r>
          </w:hyperlink>
        </w:p>
        <w:p>
          <w:pPr>
            <w:pStyle w:val="Contents3"/>
            <w:tabs>
              <w:tab w:val="clear" w:pos="8459"/>
              <w:tab w:val="right" w:pos="9026" w:leader="dot"/>
            </w:tabs>
            <w:rPr/>
          </w:pPr>
          <w:hyperlink w:anchor="__RefHeading___Toc828362_2320776876">
            <w:r>
              <w:rPr>
                <w:webHidden/>
                <w:rStyle w:val="IndexLink"/>
                <w:rtl w:val="true"/>
              </w:rPr>
              <w:t>مصادر الشافي، و النصوص المنقولة فيه</w:t>
            </w:r>
            <w:r>
              <w:rPr>
                <w:rStyle w:val="IndexLink"/>
                <w:rtl w:val="true"/>
              </w:rPr>
              <w:tab/>
            </w:r>
            <w:r>
              <w:rPr>
                <w:rStyle w:val="IndexLink"/>
              </w:rPr>
              <w:t>157</w:t>
            </w:r>
          </w:hyperlink>
        </w:p>
        <w:p>
          <w:pPr>
            <w:pStyle w:val="Contents3"/>
            <w:tabs>
              <w:tab w:val="clear" w:pos="8459"/>
              <w:tab w:val="right" w:pos="9026" w:leader="dot"/>
            </w:tabs>
            <w:rPr/>
          </w:pPr>
          <w:hyperlink w:anchor="__RefHeading___Toc828364_2320776876">
            <w:r>
              <w:rPr>
                <w:webHidden/>
                <w:rStyle w:val="IndexLink"/>
                <w:rtl w:val="true"/>
              </w:rPr>
              <w:t>آراء أصحاب الإماميّة في الشافي</w:t>
            </w:r>
            <w:r>
              <w:rPr>
                <w:rStyle w:val="IndexLink"/>
                <w:rtl w:val="true"/>
              </w:rPr>
              <w:tab/>
            </w:r>
            <w:r>
              <w:rPr>
                <w:rStyle w:val="IndexLink"/>
              </w:rPr>
              <w:t>161</w:t>
            </w:r>
          </w:hyperlink>
        </w:p>
        <w:p>
          <w:pPr>
            <w:pStyle w:val="Contents3"/>
            <w:tabs>
              <w:tab w:val="clear" w:pos="8459"/>
              <w:tab w:val="right" w:pos="9026" w:leader="dot"/>
            </w:tabs>
            <w:rPr/>
          </w:pPr>
          <w:hyperlink w:anchor="__RefHeading___Toc828366_2320776876">
            <w:r>
              <w:rPr>
                <w:webHidden/>
                <w:rStyle w:val="IndexLink"/>
                <w:rtl w:val="true"/>
              </w:rPr>
              <w:t>الأعمال التي دارت حول الشافي</w:t>
            </w:r>
            <w:r>
              <w:rPr>
                <w:rStyle w:val="IndexLink"/>
                <w:rtl w:val="true"/>
              </w:rPr>
              <w:tab/>
            </w:r>
            <w:r>
              <w:rPr>
                <w:rStyle w:val="IndexLink"/>
              </w:rPr>
              <w:t>181</w:t>
            </w:r>
          </w:hyperlink>
        </w:p>
        <w:p>
          <w:pPr>
            <w:pStyle w:val="Contents3"/>
            <w:tabs>
              <w:tab w:val="clear" w:pos="8459"/>
              <w:tab w:val="right" w:pos="9026" w:leader="dot"/>
            </w:tabs>
            <w:rPr/>
          </w:pPr>
          <w:hyperlink w:anchor="__RefHeading___Toc828368_2320776876">
            <w:r>
              <w:rPr>
                <w:webHidden/>
                <w:rStyle w:val="IndexLink"/>
                <w:rtl w:val="true"/>
              </w:rPr>
              <w:t>رسائل جامعيّة حول الشافي</w:t>
            </w:r>
            <w:r>
              <w:rPr>
                <w:rStyle w:val="IndexLink"/>
                <w:rtl w:val="true"/>
              </w:rPr>
              <w:tab/>
            </w:r>
            <w:r>
              <w:rPr>
                <w:rStyle w:val="IndexLink"/>
              </w:rPr>
              <w:t>188</w:t>
            </w:r>
          </w:hyperlink>
        </w:p>
        <w:p>
          <w:pPr>
            <w:pStyle w:val="Contents3"/>
            <w:tabs>
              <w:tab w:val="clear" w:pos="8459"/>
              <w:tab w:val="right" w:pos="9026" w:leader="dot"/>
            </w:tabs>
            <w:rPr/>
          </w:pPr>
          <w:hyperlink w:anchor="__RefHeading___Toc828370_2320776876">
            <w:r>
              <w:rPr>
                <w:webHidden/>
                <w:rStyle w:val="IndexLink"/>
                <w:rtl w:val="true"/>
              </w:rPr>
              <w:t>طبعات الشافي</w:t>
            </w:r>
            <w:r>
              <w:rPr>
                <w:rStyle w:val="IndexLink"/>
                <w:rtl w:val="true"/>
              </w:rPr>
              <w:tab/>
            </w:r>
            <w:r>
              <w:rPr>
                <w:rStyle w:val="IndexLink"/>
              </w:rPr>
              <w:t>190</w:t>
            </w:r>
          </w:hyperlink>
        </w:p>
        <w:p>
          <w:pPr>
            <w:pStyle w:val="Contents3"/>
            <w:tabs>
              <w:tab w:val="clear" w:pos="8459"/>
              <w:tab w:val="right" w:pos="9026" w:leader="dot"/>
            </w:tabs>
            <w:rPr/>
          </w:pPr>
          <w:hyperlink w:anchor="__RefHeading___Toc828372_2320776876">
            <w:r>
              <w:rPr>
                <w:webHidden/>
                <w:rStyle w:val="IndexLink"/>
                <w:rtl w:val="true"/>
              </w:rPr>
              <w:t>وصيّة الشريف المرتضى لقارئ كتابه</w:t>
            </w:r>
            <w:r>
              <w:rPr>
                <w:rStyle w:val="IndexLink"/>
                <w:rtl w:val="true"/>
              </w:rPr>
              <w:tab/>
            </w:r>
            <w:r>
              <w:rPr>
                <w:rStyle w:val="IndexLink"/>
              </w:rPr>
              <w:t>191</w:t>
            </w:r>
          </w:hyperlink>
        </w:p>
        <w:p>
          <w:pPr>
            <w:pStyle w:val="Contents2"/>
            <w:tabs>
              <w:tab w:val="clear" w:pos="8743"/>
              <w:tab w:val="right" w:pos="9026" w:leader="dot"/>
            </w:tabs>
            <w:rPr/>
          </w:pPr>
          <w:hyperlink w:anchor="__RefHeading___Toc828374_2320776876">
            <w:r>
              <w:rPr>
                <w:webHidden/>
                <w:rStyle w:val="IndexLink"/>
                <w:rtl w:val="true"/>
              </w:rPr>
              <w:t>الفصل الخامس مخطوطات الكتاب و العمل عليه</w:t>
            </w:r>
            <w:r>
              <w:rPr>
                <w:rStyle w:val="IndexLink"/>
                <w:rtl w:val="true"/>
              </w:rPr>
              <w:tab/>
            </w:r>
            <w:r>
              <w:rPr>
                <w:rStyle w:val="IndexLink"/>
              </w:rPr>
              <w:t>193</w:t>
            </w:r>
          </w:hyperlink>
        </w:p>
        <w:p>
          <w:pPr>
            <w:pStyle w:val="Contents3"/>
            <w:tabs>
              <w:tab w:val="clear" w:pos="8459"/>
              <w:tab w:val="right" w:pos="9026" w:leader="dot"/>
            </w:tabs>
            <w:rPr/>
          </w:pPr>
          <w:hyperlink w:anchor="__RefHeading___Toc828376_2320776876">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828378_2320776876">
            <w:r>
              <w:rPr>
                <w:webHidden/>
                <w:rStyle w:val="IndexLink"/>
                <w:rtl w:val="true"/>
              </w:rPr>
              <w:t>الف</w:t>
            </w:r>
            <w:r>
              <w:rPr>
                <w:rStyle w:val="IndexLink"/>
                <w:rtl w:val="true"/>
              </w:rPr>
              <w:t xml:space="preserve">: </w:t>
            </w:r>
            <w:r>
              <w:rPr>
                <w:rStyle w:val="IndexLink"/>
                <w:rtl w:val="true"/>
              </w:rPr>
              <w:t>النسخ المعتمدة</w:t>
            </w:r>
            <w:r>
              <w:rPr>
                <w:rStyle w:val="IndexLink"/>
                <w:rtl w:val="true"/>
              </w:rPr>
              <w:tab/>
            </w:r>
            <w:r>
              <w:rPr>
                <w:rStyle w:val="IndexLink"/>
              </w:rPr>
              <w:t>193</w:t>
            </w:r>
          </w:hyperlink>
        </w:p>
        <w:p>
          <w:pPr>
            <w:pStyle w:val="Contents3"/>
            <w:tabs>
              <w:tab w:val="clear" w:pos="8459"/>
              <w:tab w:val="right" w:pos="9026" w:leader="dot"/>
            </w:tabs>
            <w:rPr/>
          </w:pPr>
          <w:hyperlink w:anchor="__RefHeading___Toc828380_2320776876">
            <w:r>
              <w:rPr>
                <w:webHidden/>
                <w:rStyle w:val="IndexLink"/>
                <w:rtl w:val="true"/>
              </w:rPr>
              <w:t>ب</w:t>
            </w:r>
            <w:r>
              <w:rPr>
                <w:rStyle w:val="IndexLink"/>
                <w:rtl w:val="true"/>
              </w:rPr>
              <w:t xml:space="preserve">: </w:t>
            </w:r>
            <w:r>
              <w:rPr>
                <w:rStyle w:val="IndexLink"/>
                <w:rtl w:val="true"/>
              </w:rPr>
              <w:t>سائر النسخ</w:t>
            </w:r>
            <w:r>
              <w:rPr>
                <w:rStyle w:val="IndexLink"/>
                <w:rtl w:val="true"/>
              </w:rPr>
              <w:tab/>
            </w:r>
            <w:r>
              <w:rPr>
                <w:rStyle w:val="IndexLink"/>
              </w:rPr>
              <w:t>205</w:t>
            </w:r>
          </w:hyperlink>
        </w:p>
        <w:p>
          <w:pPr>
            <w:pStyle w:val="Contents3"/>
            <w:tabs>
              <w:tab w:val="clear" w:pos="8459"/>
              <w:tab w:val="right" w:pos="9026" w:leader="dot"/>
            </w:tabs>
            <w:rPr/>
          </w:pPr>
          <w:hyperlink w:anchor="__RefHeading___Toc828382_2320776876">
            <w:r>
              <w:rPr>
                <w:webHidden/>
                <w:rStyle w:val="IndexLink"/>
                <w:rtl w:val="true"/>
              </w:rPr>
              <w:t>عملنا في الكتاب</w:t>
            </w:r>
            <w:r>
              <w:rPr>
                <w:rStyle w:val="IndexLink"/>
                <w:rtl w:val="true"/>
              </w:rPr>
              <w:tab/>
            </w:r>
            <w:r>
              <w:rPr>
                <w:rStyle w:val="IndexLink"/>
              </w:rPr>
              <w:t>215</w:t>
            </w:r>
          </w:hyperlink>
        </w:p>
        <w:p>
          <w:pPr>
            <w:pStyle w:val="Contents4"/>
            <w:tabs>
              <w:tab w:val="clear" w:pos="8176"/>
              <w:tab w:val="right" w:pos="9026" w:leader="dot"/>
            </w:tabs>
            <w:rPr/>
          </w:pPr>
          <w:hyperlink w:anchor="__RefHeading___Toc828384_2320776876">
            <w:r>
              <w:rPr>
                <w:webHidden/>
                <w:rStyle w:val="IndexLink"/>
                <w:rtl w:val="true"/>
              </w:rPr>
              <w:t>أوّلاً</w:t>
            </w:r>
            <w:r>
              <w:rPr>
                <w:rStyle w:val="IndexLink"/>
                <w:rtl w:val="true"/>
              </w:rPr>
              <w:t xml:space="preserve">: </w:t>
            </w:r>
            <w:r>
              <w:rPr>
                <w:rStyle w:val="IndexLink"/>
                <w:rtl w:val="true"/>
              </w:rPr>
              <w:t>المقابلة</w:t>
            </w:r>
            <w:r>
              <w:rPr>
                <w:rStyle w:val="IndexLink"/>
                <w:rtl w:val="true"/>
              </w:rPr>
              <w:tab/>
            </w:r>
            <w:r>
              <w:rPr>
                <w:rStyle w:val="IndexLink"/>
              </w:rPr>
              <w:t>215</w:t>
            </w:r>
          </w:hyperlink>
        </w:p>
        <w:p>
          <w:pPr>
            <w:pStyle w:val="Contents4"/>
            <w:tabs>
              <w:tab w:val="clear" w:pos="8176"/>
              <w:tab w:val="right" w:pos="9026" w:leader="dot"/>
            </w:tabs>
            <w:rPr/>
          </w:pPr>
          <w:hyperlink w:anchor="__RefHeading___Toc828386_2320776876">
            <w:r>
              <w:rPr>
                <w:webHidden/>
                <w:rStyle w:val="IndexLink"/>
                <w:rtl w:val="true"/>
              </w:rPr>
              <w:t>ثانياً</w:t>
            </w:r>
            <w:r>
              <w:rPr>
                <w:rStyle w:val="IndexLink"/>
                <w:rtl w:val="true"/>
              </w:rPr>
              <w:t xml:space="preserve">: </w:t>
            </w:r>
            <w:r>
              <w:rPr>
                <w:rStyle w:val="IndexLink"/>
                <w:rtl w:val="true"/>
              </w:rPr>
              <w:t>تقويم النصّ</w:t>
            </w:r>
            <w:r>
              <w:rPr>
                <w:rStyle w:val="IndexLink"/>
                <w:rtl w:val="true"/>
              </w:rPr>
              <w:tab/>
            </w:r>
            <w:r>
              <w:rPr>
                <w:rStyle w:val="IndexLink"/>
              </w:rPr>
              <w:t>216</w:t>
            </w:r>
          </w:hyperlink>
        </w:p>
        <w:p>
          <w:pPr>
            <w:pStyle w:val="Contents4"/>
            <w:tabs>
              <w:tab w:val="clear" w:pos="8176"/>
              <w:tab w:val="right" w:pos="9026" w:leader="dot"/>
            </w:tabs>
            <w:rPr/>
          </w:pPr>
          <w:hyperlink w:anchor="__RefHeading___Toc828388_2320776876">
            <w:r>
              <w:rPr>
                <w:webHidden/>
                <w:rStyle w:val="IndexLink"/>
                <w:rtl w:val="true"/>
              </w:rPr>
              <w:t>ثالثاً</w:t>
            </w:r>
            <w:r>
              <w:rPr>
                <w:rStyle w:val="IndexLink"/>
                <w:rtl w:val="true"/>
              </w:rPr>
              <w:t xml:space="preserve">: </w:t>
            </w:r>
            <w:r>
              <w:rPr>
                <w:rStyle w:val="IndexLink"/>
                <w:rtl w:val="true"/>
              </w:rPr>
              <w:t>التخريجات و الإرجاعات</w:t>
            </w:r>
            <w:r>
              <w:rPr>
                <w:rStyle w:val="IndexLink"/>
                <w:rtl w:val="true"/>
              </w:rPr>
              <w:tab/>
            </w:r>
            <w:r>
              <w:rPr>
                <w:rStyle w:val="IndexLink"/>
              </w:rPr>
              <w:t>218</w:t>
            </w:r>
          </w:hyperlink>
        </w:p>
        <w:p>
          <w:pPr>
            <w:pStyle w:val="Contents4"/>
            <w:tabs>
              <w:tab w:val="clear" w:pos="8176"/>
              <w:tab w:val="right" w:pos="9026" w:leader="dot"/>
            </w:tabs>
            <w:rPr/>
          </w:pPr>
          <w:hyperlink w:anchor="__RefHeading___Toc828390_2320776876">
            <w:r>
              <w:rPr>
                <w:webHidden/>
                <w:rStyle w:val="IndexLink"/>
                <w:rtl w:val="true"/>
              </w:rPr>
              <w:t>رابعاً</w:t>
            </w:r>
            <w:r>
              <w:rPr>
                <w:rStyle w:val="IndexLink"/>
                <w:rtl w:val="true"/>
              </w:rPr>
              <w:t xml:space="preserve">: </w:t>
            </w:r>
            <w:r>
              <w:rPr>
                <w:rStyle w:val="IndexLink"/>
                <w:rtl w:val="true"/>
              </w:rPr>
              <w:t>التراجم و التعليقات</w:t>
            </w:r>
            <w:r>
              <w:rPr>
                <w:rStyle w:val="IndexLink"/>
                <w:rtl w:val="true"/>
              </w:rPr>
              <w:tab/>
            </w:r>
            <w:r>
              <w:rPr>
                <w:rStyle w:val="IndexLink"/>
              </w:rPr>
              <w:t>219</w:t>
            </w:r>
          </w:hyperlink>
        </w:p>
        <w:p>
          <w:pPr>
            <w:pStyle w:val="Contents4"/>
            <w:tabs>
              <w:tab w:val="clear" w:pos="8176"/>
              <w:tab w:val="right" w:pos="9026" w:leader="dot"/>
            </w:tabs>
            <w:rPr/>
          </w:pPr>
          <w:hyperlink w:anchor="__RefHeading___Toc828392_2320776876">
            <w:r>
              <w:rPr>
                <w:webHidden/>
                <w:rStyle w:val="IndexLink"/>
                <w:rtl w:val="true"/>
              </w:rPr>
              <w:t>خامساً</w:t>
            </w:r>
            <w:r>
              <w:rPr>
                <w:rStyle w:val="IndexLink"/>
                <w:rtl w:val="true"/>
              </w:rPr>
              <w:t xml:space="preserve">: </w:t>
            </w:r>
            <w:r>
              <w:rPr>
                <w:rStyle w:val="IndexLink"/>
                <w:rtl w:val="true"/>
              </w:rPr>
              <w:t>التوضيحات الواردة في حواشي النُّسَخ</w:t>
            </w:r>
            <w:r>
              <w:rPr>
                <w:rStyle w:val="IndexLink"/>
                <w:rtl w:val="true"/>
              </w:rPr>
              <w:tab/>
            </w:r>
            <w:r>
              <w:rPr>
                <w:rStyle w:val="IndexLink"/>
              </w:rPr>
              <w:t>219</w:t>
            </w:r>
          </w:hyperlink>
        </w:p>
        <w:p>
          <w:pPr>
            <w:pStyle w:val="Contents4"/>
            <w:tabs>
              <w:tab w:val="clear" w:pos="8176"/>
              <w:tab w:val="right" w:pos="9026" w:leader="dot"/>
            </w:tabs>
            <w:rPr/>
          </w:pPr>
          <w:hyperlink w:anchor="__RefHeading___Toc828394_2320776876">
            <w:r>
              <w:rPr>
                <w:webHidden/>
                <w:rStyle w:val="IndexLink"/>
                <w:rtl w:val="true"/>
              </w:rPr>
              <w:t>سادساً</w:t>
            </w:r>
            <w:r>
              <w:rPr>
                <w:rStyle w:val="IndexLink"/>
                <w:rtl w:val="true"/>
              </w:rPr>
              <w:t xml:space="preserve">: </w:t>
            </w:r>
            <w:r>
              <w:rPr>
                <w:rStyle w:val="IndexLink"/>
                <w:rtl w:val="true"/>
              </w:rPr>
              <w:t>إعراب المتن</w:t>
            </w:r>
            <w:r>
              <w:rPr>
                <w:rStyle w:val="IndexLink"/>
                <w:rtl w:val="true"/>
              </w:rPr>
              <w:tab/>
            </w:r>
            <w:r>
              <w:rPr>
                <w:rStyle w:val="IndexLink"/>
              </w:rPr>
              <w:t>220</w:t>
            </w:r>
          </w:hyperlink>
        </w:p>
        <w:p>
          <w:pPr>
            <w:pStyle w:val="Contents4"/>
            <w:tabs>
              <w:tab w:val="clear" w:pos="8176"/>
              <w:tab w:val="right" w:pos="9026" w:leader="dot"/>
            </w:tabs>
            <w:rPr/>
          </w:pPr>
          <w:hyperlink w:anchor="__RefHeading___Toc828396_2320776876">
            <w:r>
              <w:rPr>
                <w:webHidden/>
                <w:rStyle w:val="IndexLink"/>
                <w:rtl w:val="true"/>
              </w:rPr>
              <w:t>سابعاً</w:t>
            </w:r>
            <w:r>
              <w:rPr>
                <w:rStyle w:val="IndexLink"/>
                <w:rtl w:val="true"/>
              </w:rPr>
              <w:t xml:space="preserve">: </w:t>
            </w:r>
            <w:r>
              <w:rPr>
                <w:rStyle w:val="IndexLink"/>
                <w:rtl w:val="true"/>
              </w:rPr>
              <w:t>جعل العلائم</w:t>
            </w:r>
            <w:r>
              <w:rPr>
                <w:rStyle w:val="IndexLink"/>
                <w:rtl w:val="true"/>
              </w:rPr>
              <w:tab/>
            </w:r>
            <w:r>
              <w:rPr>
                <w:rStyle w:val="IndexLink"/>
              </w:rPr>
              <w:t>220</w:t>
            </w:r>
          </w:hyperlink>
        </w:p>
        <w:p>
          <w:pPr>
            <w:pStyle w:val="Contents4"/>
            <w:tabs>
              <w:tab w:val="clear" w:pos="8176"/>
              <w:tab w:val="right" w:pos="9026" w:leader="dot"/>
            </w:tabs>
            <w:rPr/>
          </w:pPr>
          <w:hyperlink w:anchor="__RefHeading___Toc828398_2320776876">
            <w:r>
              <w:rPr>
                <w:webHidden/>
                <w:rStyle w:val="IndexLink"/>
                <w:rtl w:val="true"/>
              </w:rPr>
              <w:t>ثامناً</w:t>
            </w:r>
            <w:r>
              <w:rPr>
                <w:rStyle w:val="IndexLink"/>
                <w:rtl w:val="true"/>
              </w:rPr>
              <w:t xml:space="preserve">: </w:t>
            </w:r>
            <w:r>
              <w:rPr>
                <w:rStyle w:val="IndexLink"/>
                <w:rtl w:val="true"/>
              </w:rPr>
              <w:t>وضع العناوين</w:t>
            </w:r>
            <w:r>
              <w:rPr>
                <w:rStyle w:val="IndexLink"/>
                <w:rtl w:val="true"/>
              </w:rPr>
              <w:tab/>
            </w:r>
            <w:r>
              <w:rPr>
                <w:rStyle w:val="IndexLink"/>
              </w:rPr>
              <w:t>220</w:t>
            </w:r>
          </w:hyperlink>
        </w:p>
        <w:p>
          <w:pPr>
            <w:pStyle w:val="Contents4"/>
            <w:tabs>
              <w:tab w:val="clear" w:pos="8176"/>
              <w:tab w:val="right" w:pos="9026" w:leader="dot"/>
            </w:tabs>
            <w:rPr/>
          </w:pPr>
          <w:hyperlink w:anchor="__RefHeading___Toc828400_2320776876">
            <w:r>
              <w:rPr>
                <w:webHidden/>
                <w:rStyle w:val="IndexLink"/>
                <w:rtl w:val="true"/>
              </w:rPr>
              <w:t>تاسعاً</w:t>
            </w:r>
            <w:r>
              <w:rPr>
                <w:rStyle w:val="IndexLink"/>
                <w:rtl w:val="true"/>
              </w:rPr>
              <w:t xml:space="preserve">: </w:t>
            </w:r>
            <w:r>
              <w:rPr>
                <w:rStyle w:val="IndexLink"/>
                <w:rtl w:val="true"/>
              </w:rPr>
              <w:t>الفهارس العامّة</w:t>
            </w:r>
            <w:r>
              <w:rPr>
                <w:rStyle w:val="IndexLink"/>
                <w:rtl w:val="true"/>
              </w:rPr>
              <w:tab/>
            </w:r>
            <w:r>
              <w:rPr>
                <w:rStyle w:val="IndexLink"/>
              </w:rPr>
              <w:t>221</w:t>
            </w:r>
          </w:hyperlink>
        </w:p>
        <w:p>
          <w:pPr>
            <w:pStyle w:val="Contents3"/>
            <w:tabs>
              <w:tab w:val="clear" w:pos="8459"/>
              <w:tab w:val="right" w:pos="9026" w:leader="dot"/>
            </w:tabs>
            <w:rPr/>
          </w:pPr>
          <w:hyperlink w:anchor="__RefHeading___Toc828402_2320776876">
            <w:r>
              <w:rPr>
                <w:webHidden/>
                <w:rStyle w:val="IndexLink"/>
                <w:rtl w:val="true"/>
              </w:rPr>
              <w:t>كلمة الشكر</w:t>
            </w:r>
            <w:r>
              <w:rPr>
                <w:rStyle w:val="IndexLink"/>
                <w:rtl w:val="true"/>
              </w:rPr>
              <w:tab/>
            </w:r>
            <w:r>
              <w:rPr>
                <w:rStyle w:val="IndexLink"/>
              </w:rPr>
              <w:t>221</w:t>
            </w:r>
          </w:hyperlink>
        </w:p>
        <w:p>
          <w:pPr>
            <w:pStyle w:val="Contents2"/>
            <w:tabs>
              <w:tab w:val="clear" w:pos="8743"/>
              <w:tab w:val="right" w:pos="9026" w:leader="dot"/>
            </w:tabs>
            <w:rPr/>
          </w:pPr>
          <w:hyperlink w:anchor="__RefHeading___Toc828404_2320776876">
            <w:r>
              <w:rPr>
                <w:webHidden/>
                <w:rStyle w:val="IndexLink"/>
                <w:rtl w:val="true"/>
              </w:rPr>
              <w:t>نماذج من تصاوير النسخ</w:t>
            </w:r>
            <w:r>
              <w:rPr>
                <w:rStyle w:val="IndexLink"/>
                <w:rtl w:val="true"/>
              </w:rPr>
              <w:tab/>
            </w:r>
            <w:r>
              <w:rPr>
                <w:rStyle w:val="IndexLink"/>
              </w:rPr>
              <w:t>223</w:t>
            </w:r>
          </w:hyperlink>
        </w:p>
        <w:p>
          <w:pPr>
            <w:pStyle w:val="Contents2"/>
            <w:tabs>
              <w:tab w:val="clear" w:pos="8743"/>
              <w:tab w:val="right" w:pos="9026" w:leader="dot"/>
            </w:tabs>
            <w:rPr/>
          </w:pPr>
          <w:hyperlink w:anchor="__RefHeading___Toc828406_2320776876">
            <w:r>
              <w:rPr>
                <w:webHidden/>
                <w:rStyle w:val="IndexLink"/>
                <w:rtl w:val="true"/>
              </w:rPr>
              <w:t>الشافي في الإمامة</w:t>
            </w:r>
            <w:r>
              <w:rPr>
                <w:rStyle w:val="IndexLink"/>
                <w:rtl w:val="true"/>
              </w:rPr>
              <w:tab/>
            </w:r>
            <w:r>
              <w:rPr>
                <w:rStyle w:val="IndexLink"/>
              </w:rPr>
              <w:t>247</w:t>
            </w:r>
          </w:hyperlink>
        </w:p>
        <w:p>
          <w:pPr>
            <w:pStyle w:val="Contents3"/>
            <w:tabs>
              <w:tab w:val="clear" w:pos="8459"/>
              <w:tab w:val="right" w:pos="9026" w:leader="dot"/>
            </w:tabs>
            <w:rPr/>
          </w:pPr>
          <w:hyperlink w:anchor="__RefHeading___Toc828408_2320776876">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828410_2320776876">
            <w:r>
              <w:rPr>
                <w:webHidden/>
                <w:rStyle w:val="IndexLink"/>
                <w:rtl w:val="true"/>
              </w:rPr>
              <w:t>مقدّمة المؤلّف</w:t>
            </w:r>
            <w:r>
              <w:rPr>
                <w:rStyle w:val="IndexLink"/>
                <w:rtl w:val="true"/>
              </w:rPr>
              <w:tab/>
            </w:r>
            <w:r>
              <w:rPr>
                <w:rStyle w:val="IndexLink"/>
              </w:rPr>
              <w:t>249</w:t>
            </w:r>
          </w:hyperlink>
        </w:p>
        <w:p>
          <w:pPr>
            <w:pStyle w:val="Contents3"/>
            <w:tabs>
              <w:tab w:val="clear" w:pos="8459"/>
              <w:tab w:val="right" w:pos="9026" w:leader="dot"/>
            </w:tabs>
            <w:rPr/>
          </w:pPr>
          <w:hyperlink w:anchor="__RefHeading___Toc828412_2320776876">
            <w:r>
              <w:rPr>
                <w:webHidden/>
                <w:rStyle w:val="IndexLink"/>
              </w:rPr>
              <w:t>1</w:t>
            </w:r>
            <w:r>
              <w:rPr>
                <w:rStyle w:val="IndexLink"/>
                <w:rtl w:val="true"/>
              </w:rPr>
              <w:t xml:space="preserve"> </w:t>
            </w:r>
            <w:r>
              <w:rPr>
                <w:rStyle w:val="IndexLink"/>
                <w:rtl w:val="true"/>
              </w:rPr>
              <w:t>فصلٌ في تتبُّعِ ما ذَكرَه ممّا يَتعلَّقُ بوجوبِ الإمامةِ</w:t>
            </w:r>
            <w:r>
              <w:rPr>
                <w:rStyle w:val="IndexLink"/>
                <w:rtl w:val="true"/>
              </w:rPr>
              <w:tab/>
            </w:r>
            <w:r>
              <w:rPr>
                <w:rStyle w:val="IndexLink"/>
              </w:rPr>
              <w:t>251</w:t>
            </w:r>
          </w:hyperlink>
        </w:p>
        <w:p>
          <w:pPr>
            <w:pStyle w:val="Contents4"/>
            <w:tabs>
              <w:tab w:val="clear" w:pos="8176"/>
              <w:tab w:val="right" w:pos="9026" w:leader="dot"/>
            </w:tabs>
            <w:rPr/>
          </w:pPr>
          <w:hyperlink w:anchor="__RefHeading___Toc828414_2320776876">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828416_2320776876">
            <w:r>
              <w:rPr>
                <w:webHidden/>
                <w:rStyle w:val="IndexLink"/>
                <w:rtl w:val="true"/>
              </w:rPr>
              <w:t>دخولُ الإماميّة في النزاع حول الإمامة، و عدمُ اختصاص ذلك بالمعتزلة و الزيديّة</w:t>
            </w:r>
            <w:r>
              <w:rPr>
                <w:rStyle w:val="IndexLink"/>
                <w:rtl w:val="true"/>
              </w:rPr>
              <w:tab/>
            </w:r>
            <w:r>
              <w:rPr>
                <w:rStyle w:val="IndexLink"/>
              </w:rPr>
              <w:t>254</w:t>
            </w:r>
          </w:hyperlink>
        </w:p>
        <w:p>
          <w:pPr>
            <w:pStyle w:val="Contents4"/>
            <w:tabs>
              <w:tab w:val="clear" w:pos="8176"/>
              <w:tab w:val="right" w:pos="9026" w:leader="dot"/>
            </w:tabs>
            <w:rPr/>
          </w:pPr>
          <w:hyperlink w:anchor="__RefHeading___Toc828418_2320776876">
            <w:r>
              <w:rPr>
                <w:webHidden/>
                <w:rStyle w:val="IndexLink"/>
                <w:rtl w:val="true"/>
              </w:rPr>
              <w:t>فساد إلزام الإماميّة بما قاله الشذّاذ منهم</w:t>
            </w:r>
            <w:r>
              <w:rPr>
                <w:rStyle w:val="IndexLink"/>
                <w:rtl w:val="true"/>
              </w:rPr>
              <w:tab/>
            </w:r>
            <w:r>
              <w:rPr>
                <w:rStyle w:val="IndexLink"/>
              </w:rPr>
              <w:t>258</w:t>
            </w:r>
          </w:hyperlink>
        </w:p>
        <w:p>
          <w:pPr>
            <w:pStyle w:val="Contents4"/>
            <w:tabs>
              <w:tab w:val="clear" w:pos="8176"/>
              <w:tab w:val="right" w:pos="9026" w:leader="dot"/>
            </w:tabs>
            <w:rPr/>
          </w:pPr>
          <w:hyperlink w:anchor="__RefHeading___Toc828420_2320776876">
            <w:r>
              <w:rPr>
                <w:webHidden/>
                <w:rStyle w:val="IndexLink"/>
                <w:rtl w:val="true"/>
              </w:rPr>
              <w:t>بيانُ ما يتميّز به النبيّ عن المعرفة و الإمام و الأُمّة</w:t>
            </w:r>
            <w:r>
              <w:rPr>
                <w:rStyle w:val="IndexLink"/>
                <w:rtl w:val="true"/>
              </w:rPr>
              <w:tab/>
            </w:r>
            <w:r>
              <w:rPr>
                <w:rStyle w:val="IndexLink"/>
              </w:rPr>
              <w:t>259</w:t>
            </w:r>
          </w:hyperlink>
        </w:p>
        <w:p>
          <w:pPr>
            <w:pStyle w:val="Contents4"/>
            <w:tabs>
              <w:tab w:val="clear" w:pos="8176"/>
              <w:tab w:val="right" w:pos="9026" w:leader="dot"/>
            </w:tabs>
            <w:rPr/>
          </w:pPr>
          <w:hyperlink w:anchor="__RefHeading___Toc828422_2320776876">
            <w:r>
              <w:rPr>
                <w:webHidden/>
                <w:rStyle w:val="IndexLink"/>
                <w:rtl w:val="true"/>
              </w:rPr>
              <w:t>بيانُ اعتقاد الإماميّة بأفضليّة النبيّ على الإمام</w:t>
            </w:r>
            <w:r>
              <w:rPr>
                <w:rStyle w:val="IndexLink"/>
                <w:rtl w:val="true"/>
              </w:rPr>
              <w:tab/>
            </w:r>
            <w:r>
              <w:rPr>
                <w:rStyle w:val="IndexLink"/>
              </w:rPr>
              <w:t>261</w:t>
            </w:r>
          </w:hyperlink>
        </w:p>
        <w:p>
          <w:pPr>
            <w:pStyle w:val="Contents4"/>
            <w:tabs>
              <w:tab w:val="clear" w:pos="8176"/>
              <w:tab w:val="right" w:pos="9026" w:leader="dot"/>
            </w:tabs>
            <w:rPr/>
          </w:pPr>
          <w:hyperlink w:anchor="__RefHeading___Toc828424_2320776876">
            <w:r>
              <w:rPr>
                <w:webHidden/>
                <w:rStyle w:val="IndexLink"/>
                <w:rtl w:val="true"/>
              </w:rPr>
              <w:t>وجوه وجوب الإمامة، و بيان الصحيح منها</w:t>
            </w:r>
            <w:r>
              <w:rPr>
                <w:rStyle w:val="IndexLink"/>
                <w:rtl w:val="true"/>
              </w:rPr>
              <w:tab/>
            </w:r>
            <w:r>
              <w:rPr>
                <w:rStyle w:val="IndexLink"/>
              </w:rPr>
              <w:t>265</w:t>
            </w:r>
          </w:hyperlink>
        </w:p>
        <w:p>
          <w:pPr>
            <w:pStyle w:val="Contents5"/>
            <w:tabs>
              <w:tab w:val="clear" w:pos="7892"/>
              <w:tab w:val="right" w:pos="9026" w:leader="dot"/>
            </w:tabs>
            <w:rPr/>
          </w:pPr>
          <w:hyperlink w:anchor="__RefHeading___Toc828426_2320776876">
            <w:r>
              <w:rPr>
                <w:webHidden/>
                <w:rStyle w:val="IndexLink"/>
              </w:rPr>
              <w:t>1</w:t>
            </w:r>
            <w:r>
              <w:rPr>
                <w:rStyle w:val="IndexLink"/>
                <w:rtl w:val="true"/>
              </w:rPr>
              <w:t xml:space="preserve">. </w:t>
            </w:r>
            <w:r>
              <w:rPr>
                <w:rStyle w:val="IndexLink"/>
                <w:rtl w:val="true"/>
              </w:rPr>
              <w:t>كونُ الإمام تمكيناً، و بيان المعنىٰ الصحيح في ذلك</w:t>
            </w:r>
            <w:r>
              <w:rPr>
                <w:rStyle w:val="IndexLink"/>
                <w:rtl w:val="true"/>
              </w:rPr>
              <w:tab/>
            </w:r>
            <w:r>
              <w:rPr>
                <w:rStyle w:val="IndexLink"/>
              </w:rPr>
              <w:t>265</w:t>
            </w:r>
          </w:hyperlink>
        </w:p>
        <w:p>
          <w:pPr>
            <w:pStyle w:val="Contents5"/>
            <w:tabs>
              <w:tab w:val="clear" w:pos="7892"/>
              <w:tab w:val="right" w:pos="9026" w:leader="dot"/>
            </w:tabs>
            <w:rPr/>
          </w:pPr>
          <w:hyperlink w:anchor="__RefHeading___Toc828428_2320776876">
            <w:r>
              <w:rPr>
                <w:webHidden/>
                <w:rStyle w:val="IndexLink"/>
              </w:rPr>
              <w:t>2</w:t>
            </w:r>
            <w:r>
              <w:rPr>
                <w:rStyle w:val="IndexLink"/>
                <w:rtl w:val="true"/>
              </w:rPr>
              <w:t xml:space="preserve">. </w:t>
            </w:r>
            <w:r>
              <w:rPr>
                <w:rStyle w:val="IndexLink"/>
                <w:rtl w:val="true"/>
              </w:rPr>
              <w:t>تعلُّقُ بقاء السماء و الأرض بوجود الإمام، و مناقشةُ ذلك</w:t>
            </w:r>
            <w:r>
              <w:rPr>
                <w:rStyle w:val="IndexLink"/>
                <w:rtl w:val="true"/>
              </w:rPr>
              <w:tab/>
            </w:r>
            <w:r>
              <w:rPr>
                <w:rStyle w:val="IndexLink"/>
              </w:rPr>
              <w:t>265</w:t>
            </w:r>
          </w:hyperlink>
        </w:p>
        <w:p>
          <w:pPr>
            <w:pStyle w:val="Contents5"/>
            <w:tabs>
              <w:tab w:val="clear" w:pos="7892"/>
              <w:tab w:val="right" w:pos="9026" w:leader="dot"/>
            </w:tabs>
            <w:rPr/>
          </w:pPr>
          <w:hyperlink w:anchor="__RefHeading___Toc828430_2320776876">
            <w:r>
              <w:rPr>
                <w:webHidden/>
                <w:rStyle w:val="IndexLink"/>
              </w:rPr>
              <w:t>3</w:t>
            </w:r>
            <w:r>
              <w:rPr>
                <w:rStyle w:val="IndexLink"/>
                <w:rtl w:val="true"/>
              </w:rPr>
              <w:t xml:space="preserve">. </w:t>
            </w:r>
            <w:r>
              <w:rPr>
                <w:rStyle w:val="IndexLink"/>
                <w:rtl w:val="true"/>
              </w:rPr>
              <w:t>كونُ الإمام بياناً، و عدمُ استلزام ذلك وجوبَ الإمام في كلّ زمان</w:t>
            </w:r>
            <w:r>
              <w:rPr>
                <w:rStyle w:val="IndexLink"/>
                <w:rtl w:val="true"/>
              </w:rPr>
              <w:tab/>
            </w:r>
            <w:r>
              <w:rPr>
                <w:rStyle w:val="IndexLink"/>
              </w:rPr>
              <w:t>268</w:t>
            </w:r>
          </w:hyperlink>
        </w:p>
        <w:p>
          <w:pPr>
            <w:pStyle w:val="Contents5"/>
            <w:tabs>
              <w:tab w:val="clear" w:pos="7892"/>
              <w:tab w:val="right" w:pos="9026" w:leader="dot"/>
            </w:tabs>
            <w:rPr/>
          </w:pPr>
          <w:hyperlink w:anchor="__RefHeading___Toc828432_2320776876">
            <w:r>
              <w:rPr>
                <w:webHidden/>
                <w:rStyle w:val="IndexLink"/>
              </w:rPr>
              <w:t>4</w:t>
            </w:r>
            <w:r>
              <w:rPr>
                <w:rStyle w:val="IndexLink"/>
                <w:rtl w:val="true"/>
              </w:rPr>
              <w:t xml:space="preserve">. </w:t>
            </w:r>
            <w:r>
              <w:rPr>
                <w:rStyle w:val="IndexLink"/>
                <w:rtl w:val="true"/>
              </w:rPr>
              <w:t>كونُ الإمام منبِّهاً على الأدلّة و النظرِ فيها، و عدمُ اختصاص ذلك بالإمام</w:t>
            </w:r>
            <w:r>
              <w:rPr>
                <w:rStyle w:val="IndexLink"/>
                <w:rtl w:val="true"/>
              </w:rPr>
              <w:tab/>
            </w:r>
            <w:r>
              <w:rPr>
                <w:rStyle w:val="IndexLink"/>
              </w:rPr>
              <w:t>269</w:t>
            </w:r>
          </w:hyperlink>
        </w:p>
        <w:p>
          <w:pPr>
            <w:pStyle w:val="Contents6"/>
            <w:tabs>
              <w:tab w:val="clear" w:pos="7609"/>
              <w:tab w:val="right" w:pos="9026" w:leader="dot"/>
            </w:tabs>
            <w:rPr/>
          </w:pPr>
          <w:hyperlink w:anchor="__RefHeading___Toc828434_2320776876">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828436_2320776876">
            <w:r>
              <w:rPr>
                <w:webHidden/>
                <w:rStyle w:val="IndexLink"/>
                <w:rtl w:val="true"/>
              </w:rPr>
              <w:t>نفيُ أن يكونَ المكلّفُ معذوراً إذا فرّط في معرفة الإمام</w:t>
            </w:r>
            <w:r>
              <w:rPr>
                <w:rStyle w:val="IndexLink"/>
                <w:rtl w:val="true"/>
              </w:rPr>
              <w:tab/>
            </w:r>
            <w:r>
              <w:rPr>
                <w:rStyle w:val="IndexLink"/>
              </w:rPr>
              <w:t>272</w:t>
            </w:r>
          </w:hyperlink>
        </w:p>
        <w:p>
          <w:pPr>
            <w:pStyle w:val="Contents6"/>
            <w:tabs>
              <w:tab w:val="clear" w:pos="7609"/>
              <w:tab w:val="right" w:pos="9026" w:leader="dot"/>
            </w:tabs>
            <w:rPr/>
          </w:pPr>
          <w:hyperlink w:anchor="__RefHeading___Toc828438_2320776876">
            <w:r>
              <w:rPr>
                <w:webHidden/>
                <w:rStyle w:val="IndexLink"/>
                <w:rtl w:val="true"/>
              </w:rPr>
              <w:t>عدم وجوب عدد معيّن في الأئمّة</w:t>
            </w:r>
            <w:r>
              <w:rPr>
                <w:rStyle w:val="IndexLink"/>
                <w:rtl w:val="true"/>
              </w:rPr>
              <w:tab/>
            </w:r>
            <w:r>
              <w:rPr>
                <w:rStyle w:val="IndexLink"/>
              </w:rPr>
              <w:t>274</w:t>
            </w:r>
          </w:hyperlink>
        </w:p>
        <w:p>
          <w:pPr>
            <w:pStyle w:val="Contents6"/>
            <w:tabs>
              <w:tab w:val="clear" w:pos="7609"/>
              <w:tab w:val="right" w:pos="9026" w:leader="dot"/>
            </w:tabs>
            <w:rPr/>
          </w:pPr>
          <w:hyperlink w:anchor="__RefHeading___Toc828440_2320776876">
            <w:r>
              <w:rPr>
                <w:webHidden/>
                <w:rStyle w:val="IndexLink"/>
                <w:rtl w:val="true"/>
              </w:rPr>
              <w:t>كيفيّة إزاحة علّة المكلّفين في معرفة الإمام</w:t>
            </w:r>
            <w:r>
              <w:rPr>
                <w:rStyle w:val="IndexLink"/>
                <w:rtl w:val="true"/>
              </w:rPr>
              <w:tab/>
            </w:r>
            <w:r>
              <w:rPr>
                <w:rStyle w:val="IndexLink"/>
              </w:rPr>
              <w:t>274</w:t>
            </w:r>
          </w:hyperlink>
        </w:p>
        <w:p>
          <w:pPr>
            <w:pStyle w:val="Contents6"/>
            <w:tabs>
              <w:tab w:val="clear" w:pos="7609"/>
              <w:tab w:val="right" w:pos="9026" w:leader="dot"/>
            </w:tabs>
            <w:rPr/>
          </w:pPr>
          <w:hyperlink w:anchor="__RefHeading___Toc828442_2320776876">
            <w:r>
              <w:rPr>
                <w:webHidden/>
                <w:rStyle w:val="IndexLink"/>
                <w:rtl w:val="true"/>
              </w:rPr>
              <w:t>عدم التلازم بين ثبوت الفترة في الرسل، و ثبوتها في الأئمّة</w:t>
            </w:r>
            <w:r>
              <w:rPr>
                <w:rStyle w:val="IndexLink"/>
                <w:rtl w:val="true"/>
              </w:rPr>
              <w:tab/>
            </w:r>
            <w:r>
              <w:rPr>
                <w:rStyle w:val="IndexLink"/>
              </w:rPr>
              <w:t>277</w:t>
            </w:r>
          </w:hyperlink>
        </w:p>
        <w:p>
          <w:pPr>
            <w:pStyle w:val="Contents6"/>
            <w:tabs>
              <w:tab w:val="clear" w:pos="7609"/>
              <w:tab w:val="right" w:pos="9026" w:leader="dot"/>
            </w:tabs>
            <w:rPr/>
          </w:pPr>
          <w:hyperlink w:anchor="__RefHeading___Toc828444_2320776876">
            <w:r>
              <w:rPr>
                <w:webHidden/>
                <w:rStyle w:val="IndexLink"/>
                <w:rtl w:val="true"/>
              </w:rPr>
              <w:t>في بيان أنّ الإمامة لطف</w:t>
            </w:r>
            <w:r>
              <w:rPr>
                <w:rStyle w:val="IndexLink"/>
                <w:rtl w:val="true"/>
              </w:rPr>
              <w:tab/>
            </w:r>
            <w:r>
              <w:rPr>
                <w:rStyle w:val="IndexLink"/>
              </w:rPr>
              <w:t>277</w:t>
            </w:r>
          </w:hyperlink>
        </w:p>
        <w:p>
          <w:pPr>
            <w:pStyle w:val="Contents6"/>
            <w:tabs>
              <w:tab w:val="clear" w:pos="7609"/>
              <w:tab w:val="right" w:pos="9026" w:leader="dot"/>
            </w:tabs>
            <w:rPr/>
          </w:pPr>
          <w:hyperlink w:anchor="__RefHeading___Toc828446_2320776876">
            <w:r>
              <w:rPr>
                <w:webHidden/>
                <w:rStyle w:val="IndexLink"/>
                <w:rtl w:val="true"/>
              </w:rPr>
              <w:t>عدم لزوم التسوية بين الإمامة و المعرفة من كلّ وجه</w:t>
            </w:r>
            <w:r>
              <w:rPr>
                <w:rStyle w:val="IndexLink"/>
                <w:rtl w:val="true"/>
              </w:rPr>
              <w:tab/>
            </w:r>
            <w:r>
              <w:rPr>
                <w:rStyle w:val="IndexLink"/>
              </w:rPr>
              <w:t>279</w:t>
            </w:r>
          </w:hyperlink>
        </w:p>
        <w:p>
          <w:pPr>
            <w:pStyle w:val="Contents6"/>
            <w:tabs>
              <w:tab w:val="clear" w:pos="7609"/>
              <w:tab w:val="right" w:pos="9026" w:leader="dot"/>
            </w:tabs>
            <w:rPr/>
          </w:pPr>
          <w:hyperlink w:anchor="__RefHeading___Toc828448_2320776876">
            <w:r>
              <w:rPr>
                <w:webHidden/>
                <w:rStyle w:val="IndexLink"/>
                <w:rtl w:val="true"/>
              </w:rPr>
              <w:t>عدم دلالة العقل علىٰ عدد الرؤساء و لا صفاتهم</w:t>
            </w:r>
            <w:r>
              <w:rPr>
                <w:rStyle w:val="IndexLink"/>
                <w:rtl w:val="true"/>
              </w:rPr>
              <w:tab/>
            </w:r>
            <w:r>
              <w:rPr>
                <w:rStyle w:val="IndexLink"/>
              </w:rPr>
              <w:t>283</w:t>
            </w:r>
          </w:hyperlink>
        </w:p>
        <w:p>
          <w:pPr>
            <w:pStyle w:val="Contents6"/>
            <w:tabs>
              <w:tab w:val="clear" w:pos="7609"/>
              <w:tab w:val="right" w:pos="9026" w:leader="dot"/>
            </w:tabs>
            <w:rPr/>
          </w:pPr>
          <w:hyperlink w:anchor="__RefHeading___Toc828450_2320776876">
            <w:r>
              <w:rPr>
                <w:webHidden/>
                <w:rStyle w:val="IndexLink"/>
                <w:rtl w:val="true"/>
              </w:rPr>
              <w:t>إمكان معرفة الجميع بالإمام</w:t>
            </w:r>
            <w:r>
              <w:rPr>
                <w:rStyle w:val="IndexLink"/>
                <w:rtl w:val="true"/>
              </w:rPr>
              <w:tab/>
            </w:r>
            <w:r>
              <w:rPr>
                <w:rStyle w:val="IndexLink"/>
              </w:rPr>
              <w:t>284</w:t>
            </w:r>
          </w:hyperlink>
        </w:p>
        <w:p>
          <w:pPr>
            <w:pStyle w:val="Contents6"/>
            <w:tabs>
              <w:tab w:val="clear" w:pos="7609"/>
              <w:tab w:val="right" w:pos="9026" w:leader="dot"/>
            </w:tabs>
            <w:rPr/>
          </w:pPr>
          <w:hyperlink w:anchor="__RefHeading___Toc828452_2320776876">
            <w:r>
              <w:rPr>
                <w:webHidden/>
                <w:rStyle w:val="IndexLink"/>
                <w:rtl w:val="true"/>
              </w:rPr>
              <w:t>الفرق بين خبر الإمام في حياته، و خبر الرسول بعد وفاته</w:t>
            </w:r>
            <w:r>
              <w:rPr>
                <w:rStyle w:val="IndexLink"/>
                <w:rtl w:val="true"/>
              </w:rPr>
              <w:tab/>
            </w:r>
            <w:r>
              <w:rPr>
                <w:rStyle w:val="IndexLink"/>
              </w:rPr>
              <w:t>285</w:t>
            </w:r>
          </w:hyperlink>
        </w:p>
        <w:p>
          <w:pPr>
            <w:pStyle w:val="Contents6"/>
            <w:tabs>
              <w:tab w:val="clear" w:pos="7609"/>
              <w:tab w:val="right" w:pos="9026" w:leader="dot"/>
            </w:tabs>
            <w:rPr/>
          </w:pPr>
          <w:hyperlink w:anchor="__RefHeading___Toc828454_2320776876">
            <w:r>
              <w:rPr>
                <w:webHidden/>
                <w:rStyle w:val="IndexLink"/>
                <w:rtl w:val="true"/>
              </w:rPr>
              <w:t>عودة إلى البحث عن المقارنة بين المعرفة و الإمامة في كونهما لطفاً</w:t>
            </w:r>
            <w:r>
              <w:rPr>
                <w:rStyle w:val="IndexLink"/>
                <w:rtl w:val="true"/>
              </w:rPr>
              <w:tab/>
            </w:r>
            <w:r>
              <w:rPr>
                <w:rStyle w:val="IndexLink"/>
              </w:rPr>
              <w:t>288</w:t>
            </w:r>
          </w:hyperlink>
        </w:p>
        <w:p>
          <w:pPr>
            <w:pStyle w:val="Contents6"/>
            <w:tabs>
              <w:tab w:val="clear" w:pos="7609"/>
              <w:tab w:val="right" w:pos="9026" w:leader="dot"/>
            </w:tabs>
            <w:rPr/>
          </w:pPr>
          <w:hyperlink w:anchor="__RefHeading___Toc828456_2320776876">
            <w:r>
              <w:rPr>
                <w:webHidden/>
                <w:rStyle w:val="IndexLink"/>
                <w:rtl w:val="true"/>
              </w:rPr>
              <w:t>عدم حاجة الإمام إلى إمام</w:t>
            </w:r>
            <w:r>
              <w:rPr>
                <w:rStyle w:val="IndexLink"/>
                <w:rtl w:val="true"/>
              </w:rPr>
              <w:tab/>
            </w:r>
            <w:r>
              <w:rPr>
                <w:rStyle w:val="IndexLink"/>
              </w:rPr>
              <w:t>290</w:t>
            </w:r>
          </w:hyperlink>
        </w:p>
        <w:p>
          <w:pPr>
            <w:pStyle w:val="Contents6"/>
            <w:tabs>
              <w:tab w:val="clear" w:pos="7609"/>
              <w:tab w:val="right" w:pos="9026" w:leader="dot"/>
            </w:tabs>
            <w:rPr/>
          </w:pPr>
          <w:hyperlink w:anchor="__RefHeading___Toc828458_2320776876">
            <w:r>
              <w:rPr>
                <w:webHidden/>
                <w:rStyle w:val="IndexLink"/>
                <w:rtl w:val="true"/>
              </w:rPr>
              <w:t>عدم اقتصار الحاجة إلى الإمام علىٰ دفع الفُرقة</w:t>
            </w:r>
            <w:r>
              <w:rPr>
                <w:rStyle w:val="IndexLink"/>
                <w:rtl w:val="true"/>
              </w:rPr>
              <w:tab/>
            </w:r>
            <w:r>
              <w:rPr>
                <w:rStyle w:val="IndexLink"/>
              </w:rPr>
              <w:t>294</w:t>
            </w:r>
          </w:hyperlink>
        </w:p>
        <w:p>
          <w:pPr>
            <w:pStyle w:val="Contents6"/>
            <w:tabs>
              <w:tab w:val="clear" w:pos="7609"/>
              <w:tab w:val="right" w:pos="9026" w:leader="dot"/>
            </w:tabs>
            <w:rPr/>
          </w:pPr>
          <w:hyperlink w:anchor="__RefHeading___Toc828460_2320776876">
            <w:r>
              <w:rPr>
                <w:webHidden/>
                <w:rStyle w:val="IndexLink"/>
                <w:rtl w:val="true"/>
              </w:rPr>
              <w:t>استغناء المعصوم عن إمام يَصرفه عن فعل القبيح</w:t>
            </w:r>
            <w:r>
              <w:rPr>
                <w:rStyle w:val="IndexLink"/>
                <w:rtl w:val="true"/>
              </w:rPr>
              <w:tab/>
            </w:r>
            <w:r>
              <w:rPr>
                <w:rStyle w:val="IndexLink"/>
              </w:rPr>
              <w:t>295</w:t>
            </w:r>
          </w:hyperlink>
        </w:p>
        <w:p>
          <w:pPr>
            <w:pStyle w:val="Contents6"/>
            <w:tabs>
              <w:tab w:val="clear" w:pos="7609"/>
              <w:tab w:val="right" w:pos="9026" w:leader="dot"/>
            </w:tabs>
            <w:rPr/>
          </w:pPr>
          <w:hyperlink w:anchor="__RefHeading___Toc828462_2320776876">
            <w:r>
              <w:rPr>
                <w:webHidden/>
                <w:rStyle w:val="IndexLink"/>
                <w:rtl w:val="true"/>
              </w:rPr>
              <w:t>لزوم الرئاسة علىٰ كلّ حال</w:t>
            </w:r>
            <w:r>
              <w:rPr>
                <w:rStyle w:val="IndexLink"/>
                <w:rtl w:val="true"/>
              </w:rPr>
              <w:tab/>
            </w:r>
            <w:r>
              <w:rPr>
                <w:rStyle w:val="IndexLink"/>
              </w:rPr>
              <w:t>296</w:t>
            </w:r>
          </w:hyperlink>
        </w:p>
        <w:p>
          <w:pPr>
            <w:pStyle w:val="Contents6"/>
            <w:tabs>
              <w:tab w:val="clear" w:pos="7609"/>
              <w:tab w:val="right" w:pos="9026" w:leader="dot"/>
            </w:tabs>
            <w:rPr/>
          </w:pPr>
          <w:hyperlink w:anchor="__RefHeading___Toc828464_2320776876">
            <w:r>
              <w:rPr>
                <w:webHidden/>
                <w:rStyle w:val="IndexLink"/>
                <w:rtl w:val="true"/>
              </w:rPr>
              <w:t>نفي الدليل العقلي علىٰ عدد الأئمّة، و معنىٰ لزوم وجود رئيس في كلّ بلد</w:t>
            </w:r>
            <w:r>
              <w:rPr>
                <w:rStyle w:val="IndexLink"/>
                <w:rtl w:val="true"/>
              </w:rPr>
              <w:tab/>
            </w:r>
            <w:r>
              <w:rPr>
                <w:rStyle w:val="IndexLink"/>
              </w:rPr>
              <w:t>299</w:t>
            </w:r>
          </w:hyperlink>
        </w:p>
        <w:p>
          <w:pPr>
            <w:pStyle w:val="Contents6"/>
            <w:tabs>
              <w:tab w:val="clear" w:pos="7609"/>
              <w:tab w:val="right" w:pos="9026" w:leader="dot"/>
            </w:tabs>
            <w:rPr/>
          </w:pPr>
          <w:hyperlink w:anchor="__RefHeading___Toc828466_2320776876">
            <w:r>
              <w:rPr>
                <w:webHidden/>
                <w:rStyle w:val="IndexLink"/>
                <w:rtl w:val="true"/>
              </w:rPr>
              <w:t>تجويز العقل أن يكون لكلّ بلد إمام</w:t>
            </w:r>
            <w:r>
              <w:rPr>
                <w:rStyle w:val="IndexLink"/>
                <w:rtl w:val="true"/>
              </w:rPr>
              <w:tab/>
            </w:r>
            <w:r>
              <w:rPr>
                <w:rStyle w:val="IndexLink"/>
              </w:rPr>
              <w:t>301</w:t>
            </w:r>
          </w:hyperlink>
        </w:p>
        <w:p>
          <w:pPr>
            <w:pStyle w:val="Contents6"/>
            <w:tabs>
              <w:tab w:val="clear" w:pos="7609"/>
              <w:tab w:val="right" w:pos="9026" w:leader="dot"/>
            </w:tabs>
            <w:rPr/>
          </w:pPr>
          <w:hyperlink w:anchor="__RefHeading___Toc828468_2320776876">
            <w:r>
              <w:rPr>
                <w:webHidden/>
                <w:rStyle w:val="IndexLink"/>
                <w:rtl w:val="true"/>
              </w:rPr>
              <w:t>الفرق بين دليل وجوب النصّ على الإمام، و دليل وجوب الرئاسة في الجملة</w:t>
            </w:r>
            <w:r>
              <w:rPr>
                <w:rStyle w:val="IndexLink"/>
                <w:rtl w:val="true"/>
              </w:rPr>
              <w:tab/>
            </w:r>
            <w:r>
              <w:rPr>
                <w:rStyle w:val="IndexLink"/>
              </w:rPr>
              <w:t>302</w:t>
            </w:r>
          </w:hyperlink>
        </w:p>
        <w:p>
          <w:pPr>
            <w:pStyle w:val="Contents6"/>
            <w:tabs>
              <w:tab w:val="clear" w:pos="7609"/>
              <w:tab w:val="right" w:pos="9026" w:leader="dot"/>
            </w:tabs>
            <w:rPr/>
          </w:pPr>
          <w:hyperlink w:anchor="__RefHeading___Toc828470_2320776876">
            <w:r>
              <w:rPr>
                <w:webHidden/>
                <w:rStyle w:val="IndexLink"/>
                <w:rtl w:val="true"/>
              </w:rPr>
              <w:t>إلزام صاحبِ المغني القولَ بتبعيّة الإمام للرعيّة</w:t>
            </w:r>
            <w:r>
              <w:rPr>
                <w:rStyle w:val="IndexLink"/>
                <w:rtl w:val="true"/>
              </w:rPr>
              <w:tab/>
            </w:r>
            <w:r>
              <w:rPr>
                <w:rStyle w:val="IndexLink"/>
              </w:rPr>
              <w:t>303</w:t>
            </w:r>
          </w:hyperlink>
        </w:p>
        <w:p>
          <w:pPr>
            <w:pStyle w:val="Contents6"/>
            <w:tabs>
              <w:tab w:val="clear" w:pos="7609"/>
              <w:tab w:val="right" w:pos="9026" w:leader="dot"/>
            </w:tabs>
            <w:rPr/>
          </w:pPr>
          <w:hyperlink w:anchor="__RefHeading___Toc828472_2320776876">
            <w:r>
              <w:rPr>
                <w:webHidden/>
                <w:rStyle w:val="IndexLink"/>
                <w:rtl w:val="true"/>
              </w:rPr>
              <w:t>في بيان أنّ الحاجة إلى الرئيس من الضروريّات البديهيّة</w:t>
            </w:r>
            <w:r>
              <w:rPr>
                <w:rStyle w:val="IndexLink"/>
                <w:rtl w:val="true"/>
              </w:rPr>
              <w:tab/>
            </w:r>
            <w:r>
              <w:rPr>
                <w:rStyle w:val="IndexLink"/>
              </w:rPr>
              <w:t>305</w:t>
            </w:r>
          </w:hyperlink>
        </w:p>
        <w:p>
          <w:pPr>
            <w:pStyle w:val="Contents6"/>
            <w:tabs>
              <w:tab w:val="clear" w:pos="7609"/>
              <w:tab w:val="right" w:pos="9026" w:leader="dot"/>
            </w:tabs>
            <w:rPr/>
          </w:pPr>
          <w:hyperlink w:anchor="__RefHeading___Toc828474_2320776876">
            <w:r>
              <w:rPr>
                <w:webHidden/>
                <w:rStyle w:val="IndexLink"/>
                <w:rtl w:val="true"/>
              </w:rPr>
              <w:t>إشارة إلىٰ ما تقدّم من عدم دلالة العقل علىٰ عدد الأئمّة و صفاتهم</w:t>
            </w:r>
            <w:r>
              <w:rPr>
                <w:rStyle w:val="IndexLink"/>
                <w:rtl w:val="true"/>
              </w:rPr>
              <w:tab/>
            </w:r>
            <w:r>
              <w:rPr>
                <w:rStyle w:val="IndexLink"/>
              </w:rPr>
              <w:t>312</w:t>
            </w:r>
          </w:hyperlink>
        </w:p>
        <w:p>
          <w:pPr>
            <w:pStyle w:val="Contents6"/>
            <w:tabs>
              <w:tab w:val="clear" w:pos="7609"/>
              <w:tab w:val="right" w:pos="9026" w:leader="dot"/>
            </w:tabs>
            <w:rPr/>
          </w:pPr>
          <w:hyperlink w:anchor="__RefHeading___Toc828476_2320776876">
            <w:r>
              <w:rPr>
                <w:webHidden/>
                <w:rStyle w:val="IndexLink"/>
                <w:rtl w:val="true"/>
              </w:rPr>
              <w:t>تأكيد ما تقدّم من ذهاب العقلاء إلىٰ ضرورة وجود رئيس</w:t>
            </w:r>
            <w:r>
              <w:rPr>
                <w:rStyle w:val="IndexLink"/>
                <w:rtl w:val="true"/>
              </w:rPr>
              <w:tab/>
            </w:r>
            <w:r>
              <w:rPr>
                <w:rStyle w:val="IndexLink"/>
              </w:rPr>
              <w:t>313</w:t>
            </w:r>
          </w:hyperlink>
        </w:p>
        <w:p>
          <w:pPr>
            <w:pStyle w:val="Contents6"/>
            <w:tabs>
              <w:tab w:val="clear" w:pos="7609"/>
              <w:tab w:val="right" w:pos="9026" w:leader="dot"/>
            </w:tabs>
            <w:rPr/>
          </w:pPr>
          <w:hyperlink w:anchor="__RefHeading___Toc828478_2320776876">
            <w:r>
              <w:rPr>
                <w:webHidden/>
                <w:rStyle w:val="IndexLink"/>
                <w:rtl w:val="true"/>
              </w:rPr>
              <w:t>في بيان أنّ الحاجة إلى الإمام عامّة لجميع الأحوال</w:t>
            </w:r>
            <w:r>
              <w:rPr>
                <w:rStyle w:val="IndexLink"/>
                <w:rtl w:val="true"/>
              </w:rPr>
              <w:tab/>
            </w:r>
            <w:r>
              <w:rPr>
                <w:rStyle w:val="IndexLink"/>
              </w:rPr>
              <w:t>314</w:t>
            </w:r>
          </w:hyperlink>
        </w:p>
        <w:p>
          <w:pPr>
            <w:pStyle w:val="Contents6"/>
            <w:tabs>
              <w:tab w:val="clear" w:pos="7609"/>
              <w:tab w:val="right" w:pos="9026" w:leader="dot"/>
            </w:tabs>
            <w:rPr/>
          </w:pPr>
          <w:hyperlink w:anchor="__RefHeading___Toc828480_2320776876">
            <w:r>
              <w:rPr>
                <w:webHidden/>
                <w:rStyle w:val="IndexLink"/>
                <w:rtl w:val="true"/>
              </w:rPr>
              <w:t>تجويز ترك العقلاءِ نصبَ الإمام مع إدراكهم لقبح ذلك عقلاً</w:t>
            </w:r>
            <w:r>
              <w:rPr>
                <w:rStyle w:val="IndexLink"/>
                <w:rtl w:val="true"/>
              </w:rPr>
              <w:tab/>
            </w:r>
            <w:r>
              <w:rPr>
                <w:rStyle w:val="IndexLink"/>
              </w:rPr>
              <w:t>316</w:t>
            </w:r>
          </w:hyperlink>
        </w:p>
        <w:p>
          <w:pPr>
            <w:pStyle w:val="Contents6"/>
            <w:tabs>
              <w:tab w:val="clear" w:pos="7609"/>
              <w:tab w:val="right" w:pos="9026" w:leader="dot"/>
            </w:tabs>
            <w:rPr/>
          </w:pPr>
          <w:hyperlink w:anchor="__RefHeading___Toc828482_2320776876">
            <w:r>
              <w:rPr>
                <w:webHidden/>
                <w:rStyle w:val="IndexLink"/>
                <w:rtl w:val="true"/>
              </w:rPr>
              <w:t>إشارة إلىٰ ما تقدّم من عدم التلازم بين دليل إثبات الإمامة، و إثبات صفات الإمام</w:t>
            </w:r>
            <w:r>
              <w:rPr>
                <w:rStyle w:val="IndexLink"/>
                <w:rtl w:val="true"/>
              </w:rPr>
              <w:tab/>
            </w:r>
            <w:r>
              <w:rPr>
                <w:rStyle w:val="IndexLink"/>
              </w:rPr>
              <w:t>318</w:t>
            </w:r>
          </w:hyperlink>
        </w:p>
        <w:p>
          <w:pPr>
            <w:pStyle w:val="Contents6"/>
            <w:tabs>
              <w:tab w:val="clear" w:pos="7609"/>
              <w:tab w:val="right" w:pos="9026" w:leader="dot"/>
            </w:tabs>
            <w:rPr/>
          </w:pPr>
          <w:hyperlink w:anchor="__RefHeading___Toc828484_2320776876">
            <w:r>
              <w:rPr>
                <w:webHidden/>
                <w:rStyle w:val="IndexLink"/>
                <w:rtl w:val="true"/>
              </w:rPr>
              <w:t>في بيان أنّنا نحتجّ بما يعلمه العقلاء من وجوب الإمامة، لا بفعلهم فقط</w:t>
            </w:r>
            <w:r>
              <w:rPr>
                <w:rStyle w:val="IndexLink"/>
                <w:rtl w:val="true"/>
              </w:rPr>
              <w:tab/>
            </w:r>
            <w:r>
              <w:rPr>
                <w:rStyle w:val="IndexLink"/>
              </w:rPr>
              <w:t>321</w:t>
            </w:r>
          </w:hyperlink>
        </w:p>
        <w:p>
          <w:pPr>
            <w:pStyle w:val="Contents6"/>
            <w:tabs>
              <w:tab w:val="clear" w:pos="7609"/>
              <w:tab w:val="right" w:pos="9026" w:leader="dot"/>
            </w:tabs>
            <w:rPr/>
          </w:pPr>
          <w:hyperlink w:anchor="__RefHeading___Toc828486_2320776876">
            <w:r>
              <w:rPr>
                <w:webHidden/>
                <w:rStyle w:val="IndexLink"/>
                <w:rtl w:val="true"/>
              </w:rPr>
              <w:t>نفي معرفة مَن يستغني بتناصُف الناس عن الإمام</w:t>
            </w:r>
            <w:r>
              <w:rPr>
                <w:rStyle w:val="IndexLink"/>
                <w:rtl w:val="true"/>
              </w:rPr>
              <w:tab/>
            </w:r>
            <w:r>
              <w:rPr>
                <w:rStyle w:val="IndexLink"/>
              </w:rPr>
              <w:t>322</w:t>
            </w:r>
          </w:hyperlink>
        </w:p>
        <w:p>
          <w:pPr>
            <w:pStyle w:val="Contents6"/>
            <w:tabs>
              <w:tab w:val="clear" w:pos="7609"/>
              <w:tab w:val="right" w:pos="9026" w:leader="dot"/>
            </w:tabs>
            <w:rPr/>
          </w:pPr>
          <w:hyperlink w:anchor="__RefHeading___Toc828488_2320776876">
            <w:r>
              <w:rPr>
                <w:webHidden/>
                <w:rStyle w:val="IndexLink"/>
                <w:rtl w:val="true"/>
              </w:rPr>
              <w:t>عدم التنافي بين القول بالشورىٰ ، و القول بوجوب الإمام</w:t>
            </w:r>
            <w:r>
              <w:rPr>
                <w:rStyle w:val="IndexLink"/>
                <w:rtl w:val="true"/>
              </w:rPr>
              <w:tab/>
            </w:r>
            <w:r>
              <w:rPr>
                <w:rStyle w:val="IndexLink"/>
              </w:rPr>
              <w:t>323</w:t>
            </w:r>
          </w:hyperlink>
        </w:p>
        <w:p>
          <w:pPr>
            <w:pStyle w:val="Contents6"/>
            <w:tabs>
              <w:tab w:val="clear" w:pos="7609"/>
              <w:tab w:val="right" w:pos="9026" w:leader="dot"/>
            </w:tabs>
            <w:rPr/>
          </w:pPr>
          <w:hyperlink w:anchor="__RefHeading___Toc828490_2320776876">
            <w:r>
              <w:rPr>
                <w:webHidden/>
                <w:rStyle w:val="IndexLink"/>
                <w:rtl w:val="true"/>
              </w:rPr>
              <w:t>شمول الإمامة لشؤون الدين و الدنيا، و عدم اختصاصها بالدنيا</w:t>
            </w:r>
            <w:r>
              <w:rPr>
                <w:rStyle w:val="IndexLink"/>
                <w:rtl w:val="true"/>
              </w:rPr>
              <w:tab/>
            </w:r>
            <w:r>
              <w:rPr>
                <w:rStyle w:val="IndexLink"/>
              </w:rPr>
              <w:t>324</w:t>
            </w:r>
          </w:hyperlink>
        </w:p>
        <w:p>
          <w:pPr>
            <w:pStyle w:val="Contents6"/>
            <w:tabs>
              <w:tab w:val="clear" w:pos="7609"/>
              <w:tab w:val="right" w:pos="9026" w:leader="dot"/>
            </w:tabs>
            <w:rPr/>
          </w:pPr>
          <w:hyperlink w:anchor="__RefHeading___Toc828492_2320776876">
            <w:r>
              <w:rPr>
                <w:webHidden/>
                <w:rStyle w:val="IndexLink"/>
                <w:rtl w:val="true"/>
              </w:rPr>
              <w:t>بيان وجوب نصب الإمام على اللّٰه تعالىٰ ، لا على الناس</w:t>
            </w:r>
            <w:r>
              <w:rPr>
                <w:rStyle w:val="IndexLink"/>
                <w:rtl w:val="true"/>
              </w:rPr>
              <w:tab/>
            </w:r>
            <w:r>
              <w:rPr>
                <w:rStyle w:val="IndexLink"/>
              </w:rPr>
              <w:t>327</w:t>
            </w:r>
          </w:hyperlink>
        </w:p>
        <w:p>
          <w:pPr>
            <w:pStyle w:val="Contents6"/>
            <w:tabs>
              <w:tab w:val="clear" w:pos="7609"/>
              <w:tab w:val="right" w:pos="9026" w:leader="dot"/>
            </w:tabs>
            <w:rPr/>
          </w:pPr>
          <w:hyperlink w:anchor="__RefHeading___Toc828494_2320776876">
            <w:r>
              <w:rPr>
                <w:webHidden/>
                <w:rStyle w:val="IndexLink"/>
                <w:rtl w:val="true"/>
              </w:rPr>
              <w:t>بيان الفرق بين الحاجة إلى الإمام، و الحاجة إلى الوكيل</w:t>
            </w:r>
            <w:r>
              <w:rPr>
                <w:rStyle w:val="IndexLink"/>
                <w:rtl w:val="true"/>
              </w:rPr>
              <w:tab/>
            </w:r>
            <w:r>
              <w:rPr>
                <w:rStyle w:val="IndexLink"/>
              </w:rPr>
              <w:t>328</w:t>
            </w:r>
          </w:hyperlink>
        </w:p>
        <w:p>
          <w:pPr>
            <w:pStyle w:val="Contents6"/>
            <w:tabs>
              <w:tab w:val="clear" w:pos="7609"/>
              <w:tab w:val="right" w:pos="9026" w:leader="dot"/>
            </w:tabs>
            <w:rPr/>
          </w:pPr>
          <w:hyperlink w:anchor="__RefHeading___Toc828496_2320776876">
            <w:r>
              <w:rPr>
                <w:webHidden/>
                <w:rStyle w:val="IndexLink"/>
                <w:rtl w:val="true"/>
              </w:rPr>
              <w:t>عدم المنافاة بين جواز اجتماع الناس علىٰ رئيس كافر، و بين وجوب الرئاسة في الجملة</w:t>
            </w:r>
            <w:r>
              <w:rPr>
                <w:rStyle w:val="IndexLink"/>
                <w:rtl w:val="true"/>
              </w:rPr>
              <w:tab/>
            </w:r>
            <w:r>
              <w:rPr>
                <w:rStyle w:val="IndexLink"/>
              </w:rPr>
              <w:t>329</w:t>
            </w:r>
          </w:hyperlink>
        </w:p>
        <w:p>
          <w:pPr>
            <w:pStyle w:val="Contents6"/>
            <w:tabs>
              <w:tab w:val="clear" w:pos="7609"/>
              <w:tab w:val="right" w:pos="9026" w:leader="dot"/>
            </w:tabs>
            <w:rPr/>
          </w:pPr>
          <w:hyperlink w:anchor="__RefHeading___Toc828498_2320776876">
            <w:r>
              <w:rPr>
                <w:webHidden/>
                <w:rStyle w:val="IndexLink"/>
                <w:rtl w:val="true"/>
              </w:rPr>
              <w:t>نفي بعض الوجوه المذكورة لإثبات الحاجة إلى الإمام</w:t>
            </w:r>
            <w:r>
              <w:rPr>
                <w:rStyle w:val="IndexLink"/>
                <w:rtl w:val="true"/>
              </w:rPr>
              <w:tab/>
            </w:r>
            <w:r>
              <w:rPr>
                <w:rStyle w:val="IndexLink"/>
              </w:rPr>
              <w:t>331</w:t>
            </w:r>
          </w:hyperlink>
        </w:p>
        <w:p>
          <w:pPr>
            <w:pStyle w:val="Contents6"/>
            <w:tabs>
              <w:tab w:val="clear" w:pos="7609"/>
              <w:tab w:val="right" w:pos="9026" w:leader="dot"/>
            </w:tabs>
            <w:rPr/>
          </w:pPr>
          <w:hyperlink w:anchor="__RefHeading___Toc828500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الخاطر و التنبيه على النظر</w:t>
            </w:r>
            <w:r>
              <w:rPr>
                <w:rStyle w:val="IndexLink"/>
                <w:rtl w:val="true"/>
              </w:rPr>
              <w:tab/>
            </w:r>
            <w:r>
              <w:rPr>
                <w:rStyle w:val="IndexLink"/>
              </w:rPr>
              <w:t>331</w:t>
            </w:r>
          </w:hyperlink>
        </w:p>
        <w:p>
          <w:pPr>
            <w:pStyle w:val="Contents6"/>
            <w:tabs>
              <w:tab w:val="clear" w:pos="7609"/>
              <w:tab w:val="right" w:pos="9026" w:leader="dot"/>
            </w:tabs>
            <w:rPr/>
          </w:pPr>
          <w:hyperlink w:anchor="__RefHeading___Toc828502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شكر النعمة و التواتر</w:t>
            </w:r>
            <w:r>
              <w:rPr>
                <w:rStyle w:val="IndexLink"/>
                <w:rtl w:val="true"/>
              </w:rPr>
              <w:tab/>
            </w:r>
            <w:r>
              <w:rPr>
                <w:rStyle w:val="IndexLink"/>
              </w:rPr>
              <w:t>332</w:t>
            </w:r>
          </w:hyperlink>
        </w:p>
        <w:p>
          <w:pPr>
            <w:pStyle w:val="Contents5"/>
            <w:tabs>
              <w:tab w:val="clear" w:pos="7892"/>
              <w:tab w:val="right" w:pos="9026" w:leader="dot"/>
            </w:tabs>
            <w:rPr/>
          </w:pPr>
          <w:hyperlink w:anchor="__RefHeading___Toc828504_2320776876">
            <w:r>
              <w:rPr>
                <w:webHidden/>
                <w:rStyle w:val="IndexLink"/>
              </w:rPr>
              <w:t>5</w:t>
            </w:r>
            <w:r>
              <w:rPr>
                <w:rStyle w:val="IndexLink"/>
                <w:rtl w:val="true"/>
              </w:rPr>
              <w:t xml:space="preserve">. </w:t>
            </w:r>
            <w:r>
              <w:rPr>
                <w:rStyle w:val="IndexLink"/>
                <w:rtl w:val="true"/>
              </w:rPr>
              <w:t>تعريف السموم و الأغذية</w:t>
            </w:r>
            <w:r>
              <w:rPr>
                <w:rStyle w:val="IndexLink"/>
                <w:rtl w:val="true"/>
              </w:rPr>
              <w:tab/>
            </w:r>
            <w:r>
              <w:rPr>
                <w:rStyle w:val="IndexLink"/>
              </w:rPr>
              <w:t>333</w:t>
            </w:r>
          </w:hyperlink>
        </w:p>
        <w:p>
          <w:pPr>
            <w:pStyle w:val="Contents6"/>
            <w:tabs>
              <w:tab w:val="clear" w:pos="7609"/>
              <w:tab w:val="right" w:pos="9026" w:leader="dot"/>
            </w:tabs>
            <w:rPr/>
          </w:pPr>
          <w:hyperlink w:anchor="__RefHeading___Toc828506_2320776876">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828508_2320776876">
            <w:r>
              <w:rPr>
                <w:webHidden/>
                <w:rStyle w:val="IndexLink"/>
                <w:rtl w:val="true"/>
              </w:rPr>
              <w:t>عدم جواز كتمان الناس لمضارّ السموم و فوائد الأغذية، خلافاً لباب الدين و العبادات</w:t>
            </w:r>
            <w:r>
              <w:rPr>
                <w:rStyle w:val="IndexLink"/>
                <w:rtl w:val="true"/>
              </w:rPr>
              <w:tab/>
            </w:r>
            <w:r>
              <w:rPr>
                <w:rStyle w:val="IndexLink"/>
              </w:rPr>
              <w:t>333</w:t>
            </w:r>
          </w:hyperlink>
        </w:p>
        <w:p>
          <w:pPr>
            <w:pStyle w:val="Contents6"/>
            <w:tabs>
              <w:tab w:val="clear" w:pos="7609"/>
              <w:tab w:val="right" w:pos="9026" w:leader="dot"/>
            </w:tabs>
            <w:rPr/>
          </w:pPr>
          <w:hyperlink w:anchor="__RefHeading___Toc828510_2320776876">
            <w:r>
              <w:rPr>
                <w:webHidden/>
                <w:rStyle w:val="IndexLink"/>
                <w:rtl w:val="true"/>
              </w:rPr>
              <w:t>بناء الحاجة إلى الإمام على العادات، و جواز ارتفاع الحاجة إلى الإمام من وجه دون آخر</w:t>
            </w:r>
            <w:r>
              <w:rPr>
                <w:rStyle w:val="IndexLink"/>
                <w:rtl w:val="true"/>
              </w:rPr>
              <w:tab/>
            </w:r>
            <w:r>
              <w:rPr>
                <w:rStyle w:val="IndexLink"/>
              </w:rPr>
              <w:t>334</w:t>
            </w:r>
          </w:hyperlink>
        </w:p>
        <w:p>
          <w:pPr>
            <w:pStyle w:val="Contents6"/>
            <w:tabs>
              <w:tab w:val="clear" w:pos="7609"/>
              <w:tab w:val="right" w:pos="9026" w:leader="dot"/>
            </w:tabs>
            <w:rPr/>
          </w:pPr>
          <w:hyperlink w:anchor="__RefHeading___Toc828512_2320776876">
            <w:r>
              <w:rPr>
                <w:webHidden/>
                <w:rStyle w:val="IndexLink"/>
                <w:rtl w:val="true"/>
              </w:rPr>
              <w:t>وجوه الحاجة إلى الإمام في الأُمور المتواترة</w:t>
            </w:r>
            <w:r>
              <w:rPr>
                <w:rStyle w:val="IndexLink"/>
                <w:rtl w:val="true"/>
              </w:rPr>
              <w:tab/>
            </w:r>
            <w:r>
              <w:rPr>
                <w:rStyle w:val="IndexLink"/>
              </w:rPr>
              <w:t>335</w:t>
            </w:r>
          </w:hyperlink>
        </w:p>
        <w:p>
          <w:pPr>
            <w:pStyle w:val="Contents6"/>
            <w:tabs>
              <w:tab w:val="clear" w:pos="7609"/>
              <w:tab w:val="right" w:pos="9026" w:leader="dot"/>
            </w:tabs>
            <w:rPr/>
          </w:pPr>
          <w:hyperlink w:anchor="__RefHeading___Toc828514_2320776876">
            <w:r>
              <w:rPr>
                <w:webHidden/>
                <w:rStyle w:val="IndexLink"/>
                <w:rtl w:val="true"/>
              </w:rPr>
              <w:t>بيان الفرق بين سماع كلام الرسول صلّى اللّٰه عليه و آلِه، و بين نقل كلامه بالواسطة</w:t>
            </w:r>
            <w:r>
              <w:rPr>
                <w:rStyle w:val="IndexLink"/>
                <w:rtl w:val="true"/>
              </w:rPr>
              <w:tab/>
            </w:r>
            <w:r>
              <w:rPr>
                <w:rStyle w:val="IndexLink"/>
              </w:rPr>
              <w:t>336</w:t>
            </w:r>
          </w:hyperlink>
        </w:p>
        <w:p>
          <w:pPr>
            <w:pStyle w:val="Contents6"/>
            <w:tabs>
              <w:tab w:val="clear" w:pos="7609"/>
              <w:tab w:val="right" w:pos="9026" w:leader="dot"/>
            </w:tabs>
            <w:rPr/>
          </w:pPr>
          <w:hyperlink w:anchor="__RefHeading___Toc828516_2320776876">
            <w:r>
              <w:rPr>
                <w:webHidden/>
                <w:rStyle w:val="IndexLink"/>
                <w:rtl w:val="true"/>
              </w:rPr>
              <w:t>عدم المنافاة بين تجويز إعراض المتواتِرين عن النقل، و بين حجّيّة التواتر</w:t>
            </w:r>
            <w:r>
              <w:rPr>
                <w:rStyle w:val="IndexLink"/>
                <w:rtl w:val="true"/>
              </w:rPr>
              <w:tab/>
            </w:r>
            <w:r>
              <w:rPr>
                <w:rStyle w:val="IndexLink"/>
              </w:rPr>
              <w:t>338</w:t>
            </w:r>
          </w:hyperlink>
        </w:p>
        <w:p>
          <w:pPr>
            <w:pStyle w:val="Contents4"/>
            <w:tabs>
              <w:tab w:val="clear" w:pos="8176"/>
              <w:tab w:val="right" w:pos="9026" w:leader="dot"/>
            </w:tabs>
            <w:rPr/>
          </w:pPr>
          <w:hyperlink w:anchor="__RefHeading___Toc828518_2320776876">
            <w:r>
              <w:rPr>
                <w:webHidden/>
                <w:rStyle w:val="IndexLink"/>
                <w:rtl w:val="true"/>
              </w:rPr>
              <w:t>إبطال ما ادّعاه صاحب الكتاب من لوازم تلزم الإماميّة القائلين بالحاجة إلى الإمام</w:t>
            </w:r>
            <w:r>
              <w:rPr>
                <w:rStyle w:val="IndexLink"/>
                <w:rtl w:val="true"/>
              </w:rPr>
              <w:tab/>
            </w:r>
            <w:r>
              <w:rPr>
                <w:rStyle w:val="IndexLink"/>
              </w:rPr>
              <w:t>339</w:t>
            </w:r>
          </w:hyperlink>
        </w:p>
        <w:p>
          <w:pPr>
            <w:pStyle w:val="Contents5"/>
            <w:tabs>
              <w:tab w:val="clear" w:pos="7892"/>
              <w:tab w:val="right" w:pos="9026" w:leader="dot"/>
            </w:tabs>
            <w:rPr/>
          </w:pPr>
          <w:hyperlink w:anchor="__RefHeading___Toc828520_2320776876">
            <w:r>
              <w:rPr>
                <w:webHidden/>
                <w:rStyle w:val="IndexLink"/>
              </w:rPr>
              <w:t>1</w:t>
            </w:r>
            <w:r>
              <w:rPr>
                <w:rStyle w:val="IndexLink"/>
                <w:rtl w:val="true"/>
              </w:rPr>
              <w:t xml:space="preserve">. </w:t>
            </w:r>
            <w:r>
              <w:rPr>
                <w:rStyle w:val="IndexLink"/>
                <w:rtl w:val="true"/>
              </w:rPr>
              <w:t>جواز الكتمان على الخلق العظيم</w:t>
            </w:r>
            <w:r>
              <w:rPr>
                <w:rStyle w:val="IndexLink"/>
                <w:rtl w:val="true"/>
              </w:rPr>
              <w:tab/>
            </w:r>
            <w:r>
              <w:rPr>
                <w:rStyle w:val="IndexLink"/>
              </w:rPr>
              <w:t>339</w:t>
            </w:r>
          </w:hyperlink>
        </w:p>
        <w:p>
          <w:pPr>
            <w:pStyle w:val="Contents5"/>
            <w:tabs>
              <w:tab w:val="clear" w:pos="7892"/>
              <w:tab w:val="right" w:pos="9026" w:leader="dot"/>
            </w:tabs>
            <w:rPr/>
          </w:pPr>
          <w:hyperlink w:anchor="__RefHeading___Toc828522_2320776876">
            <w:r>
              <w:rPr>
                <w:webHidden/>
                <w:rStyle w:val="IndexLink"/>
              </w:rPr>
              <w:t>2</w:t>
            </w:r>
            <w:r>
              <w:rPr>
                <w:rStyle w:val="IndexLink"/>
                <w:rtl w:val="true"/>
              </w:rPr>
              <w:t xml:space="preserve">. </w:t>
            </w:r>
            <w:r>
              <w:rPr>
                <w:rStyle w:val="IndexLink"/>
                <w:rtl w:val="true"/>
              </w:rPr>
              <w:t>إنكار العقليّات أو بعضها</w:t>
            </w:r>
            <w:r>
              <w:rPr>
                <w:rStyle w:val="IndexLink"/>
                <w:rtl w:val="true"/>
              </w:rPr>
              <w:tab/>
            </w:r>
            <w:r>
              <w:rPr>
                <w:rStyle w:val="IndexLink"/>
              </w:rPr>
              <w:t>340</w:t>
            </w:r>
          </w:hyperlink>
        </w:p>
        <w:p>
          <w:pPr>
            <w:pStyle w:val="Contents5"/>
            <w:tabs>
              <w:tab w:val="clear" w:pos="7892"/>
              <w:tab w:val="right" w:pos="9026" w:leader="dot"/>
            </w:tabs>
            <w:rPr/>
          </w:pPr>
          <w:hyperlink w:anchor="__RefHeading___Toc828524_2320776876">
            <w:r>
              <w:rPr>
                <w:webHidden/>
                <w:rStyle w:val="IndexLink"/>
              </w:rPr>
              <w:t>3</w:t>
            </w:r>
            <w:r>
              <w:rPr>
                <w:rStyle w:val="IndexLink"/>
                <w:rtl w:val="true"/>
              </w:rPr>
              <w:t xml:space="preserve">. </w:t>
            </w:r>
            <w:r>
              <w:rPr>
                <w:rStyle w:val="IndexLink"/>
                <w:rtl w:val="true"/>
              </w:rPr>
              <w:t>إثبات أشخاص لا أصل لهم</w:t>
            </w:r>
            <w:r>
              <w:rPr>
                <w:rStyle w:val="IndexLink"/>
                <w:rtl w:val="true"/>
              </w:rPr>
              <w:tab/>
            </w:r>
            <w:r>
              <w:rPr>
                <w:rStyle w:val="IndexLink"/>
              </w:rPr>
              <w:t>341</w:t>
            </w:r>
          </w:hyperlink>
        </w:p>
        <w:p>
          <w:pPr>
            <w:pStyle w:val="Contents5"/>
            <w:tabs>
              <w:tab w:val="clear" w:pos="7892"/>
              <w:tab w:val="right" w:pos="9026" w:leader="dot"/>
            </w:tabs>
            <w:rPr/>
          </w:pPr>
          <w:hyperlink w:anchor="__RefHeading___Toc828526_2320776876">
            <w:r>
              <w:rPr>
                <w:webHidden/>
                <w:rStyle w:val="IndexLink"/>
              </w:rPr>
              <w:t>4</w:t>
            </w:r>
            <w:r>
              <w:rPr>
                <w:rStyle w:val="IndexLink"/>
                <w:rtl w:val="true"/>
              </w:rPr>
              <w:t xml:space="preserve">. </w:t>
            </w:r>
            <w:r>
              <w:rPr>
                <w:rStyle w:val="IndexLink"/>
                <w:rtl w:val="true"/>
              </w:rPr>
              <w:t>ادّعاء الضرورة في النصوص</w:t>
            </w:r>
            <w:r>
              <w:rPr>
                <w:rStyle w:val="IndexLink"/>
                <w:rtl w:val="true"/>
              </w:rPr>
              <w:tab/>
            </w:r>
            <w:r>
              <w:rPr>
                <w:rStyle w:val="IndexLink"/>
              </w:rPr>
              <w:t>342</w:t>
            </w:r>
          </w:hyperlink>
        </w:p>
        <w:p>
          <w:pPr>
            <w:pStyle w:val="Contents4"/>
            <w:tabs>
              <w:tab w:val="clear" w:pos="8176"/>
              <w:tab w:val="right" w:pos="9026" w:leader="dot"/>
            </w:tabs>
            <w:rPr/>
          </w:pPr>
          <w:hyperlink w:anchor="__RefHeading___Toc828528_2320776876">
            <w:r>
              <w:rPr>
                <w:webHidden/>
                <w:rStyle w:val="IndexLink"/>
                <w:rtl w:val="true"/>
              </w:rPr>
              <w:t>تَعرُّضُ صاحبِ الكتاب لهشام بن الحَكَم و ابن الراونديّ و أبي عيسى الورّاق</w:t>
            </w:r>
            <w:r>
              <w:rPr>
                <w:rStyle w:val="IndexLink"/>
                <w:rtl w:val="true"/>
              </w:rPr>
              <w:tab/>
            </w:r>
            <w:r>
              <w:rPr>
                <w:rStyle w:val="IndexLink"/>
              </w:rPr>
              <w:t>344</w:t>
            </w:r>
          </w:hyperlink>
        </w:p>
        <w:p>
          <w:pPr>
            <w:pStyle w:val="Contents5"/>
            <w:tabs>
              <w:tab w:val="clear" w:pos="7892"/>
              <w:tab w:val="right" w:pos="9026" w:leader="dot"/>
            </w:tabs>
            <w:rPr/>
          </w:pPr>
          <w:hyperlink w:anchor="__RefHeading___Toc828530_232077687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828532_2320776876">
            <w:r>
              <w:rPr>
                <w:webHidden/>
                <w:rStyle w:val="IndexLink"/>
                <w:rtl w:val="true"/>
              </w:rPr>
              <w:t>أوّلاً</w:t>
            </w:r>
            <w:r>
              <w:rPr>
                <w:rStyle w:val="IndexLink"/>
                <w:rtl w:val="true"/>
              </w:rPr>
              <w:t xml:space="preserve">: </w:t>
            </w:r>
            <w:r>
              <w:rPr>
                <w:rStyle w:val="IndexLink"/>
                <w:rtl w:val="true"/>
              </w:rPr>
              <w:t>دفاعُ المؤلِّفِ عن هِشامِ بنِ الحَكَمِ و دَفعُه لِما نُسِبَ إليه</w:t>
            </w:r>
            <w:r>
              <w:rPr>
                <w:rStyle w:val="IndexLink"/>
                <w:rtl w:val="true"/>
              </w:rPr>
              <w:tab/>
            </w:r>
            <w:r>
              <w:rPr>
                <w:rStyle w:val="IndexLink"/>
              </w:rPr>
              <w:t>347</w:t>
            </w:r>
          </w:hyperlink>
        </w:p>
        <w:p>
          <w:pPr>
            <w:pStyle w:val="Contents5"/>
            <w:tabs>
              <w:tab w:val="clear" w:pos="7892"/>
              <w:tab w:val="right" w:pos="9026" w:leader="dot"/>
            </w:tabs>
            <w:rPr/>
          </w:pPr>
          <w:hyperlink w:anchor="__RefHeading___Toc828534_2320776876">
            <w:r>
              <w:rPr>
                <w:webHidden/>
                <w:rStyle w:val="IndexLink"/>
                <w:rtl w:val="true"/>
              </w:rPr>
              <w:t>ثانياً</w:t>
            </w:r>
            <w:r>
              <w:rPr>
                <w:rStyle w:val="IndexLink"/>
                <w:rtl w:val="true"/>
              </w:rPr>
              <w:t xml:space="preserve">: </w:t>
            </w:r>
            <w:r>
              <w:rPr>
                <w:rStyle w:val="IndexLink"/>
                <w:rtl w:val="true"/>
              </w:rPr>
              <w:t>دفاعُ المؤلِّفِ عن ابنِ الراوَنديِّ</w:t>
            </w:r>
            <w:r>
              <w:rPr>
                <w:rStyle w:val="IndexLink"/>
                <w:rtl w:val="true"/>
              </w:rPr>
              <w:tab/>
            </w:r>
            <w:r>
              <w:rPr>
                <w:rStyle w:val="IndexLink"/>
              </w:rPr>
              <w:t>352</w:t>
            </w:r>
          </w:hyperlink>
        </w:p>
        <w:p>
          <w:pPr>
            <w:pStyle w:val="Contents6"/>
            <w:tabs>
              <w:tab w:val="clear" w:pos="7609"/>
              <w:tab w:val="right" w:pos="9026" w:leader="dot"/>
            </w:tabs>
            <w:rPr/>
          </w:pPr>
          <w:hyperlink w:anchor="__RefHeading___Toc828536_2320776876">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828538_2320776876">
            <w:r>
              <w:rPr>
                <w:webHidden/>
                <w:rStyle w:val="IndexLink"/>
                <w:rtl w:val="true"/>
              </w:rPr>
              <w:t>تَعرُّضُ المؤلّف لآراء الجاحظ و كُتُبه</w:t>
            </w:r>
            <w:r>
              <w:rPr>
                <w:rStyle w:val="IndexLink"/>
                <w:rtl w:val="true"/>
              </w:rPr>
              <w:tab/>
            </w:r>
            <w:r>
              <w:rPr>
                <w:rStyle w:val="IndexLink"/>
              </w:rPr>
              <w:t>352</w:t>
            </w:r>
          </w:hyperlink>
        </w:p>
        <w:p>
          <w:pPr>
            <w:pStyle w:val="Contents6"/>
            <w:tabs>
              <w:tab w:val="clear" w:pos="7609"/>
              <w:tab w:val="right" w:pos="9026" w:leader="dot"/>
            </w:tabs>
            <w:rPr/>
          </w:pPr>
          <w:hyperlink w:anchor="__RefHeading___Toc828540_2320776876">
            <w:r>
              <w:rPr>
                <w:webHidden/>
                <w:rStyle w:val="IndexLink"/>
                <w:rtl w:val="true"/>
              </w:rPr>
              <w:t>نفي نسبة أبي حفص الحدّاد إلى الشيعة</w:t>
            </w:r>
            <w:r>
              <w:rPr>
                <w:rStyle w:val="IndexLink"/>
                <w:rtl w:val="true"/>
              </w:rPr>
              <w:tab/>
            </w:r>
            <w:r>
              <w:rPr>
                <w:rStyle w:val="IndexLink"/>
              </w:rPr>
              <w:t>355</w:t>
            </w:r>
          </w:hyperlink>
        </w:p>
        <w:p>
          <w:pPr>
            <w:pStyle w:val="Contents5"/>
            <w:tabs>
              <w:tab w:val="clear" w:pos="7892"/>
              <w:tab w:val="right" w:pos="9026" w:leader="dot"/>
            </w:tabs>
            <w:rPr/>
          </w:pPr>
          <w:hyperlink w:anchor="__RefHeading___Toc828542_2320776876">
            <w:r>
              <w:rPr>
                <w:webHidden/>
                <w:rStyle w:val="IndexLink"/>
                <w:rtl w:val="true"/>
              </w:rPr>
              <w:t>ثالثاً</w:t>
            </w:r>
            <w:r>
              <w:rPr>
                <w:rStyle w:val="IndexLink"/>
                <w:rtl w:val="true"/>
              </w:rPr>
              <w:t xml:space="preserve">: </w:t>
            </w:r>
            <w:r>
              <w:rPr>
                <w:rStyle w:val="IndexLink"/>
                <w:rtl w:val="true"/>
              </w:rPr>
              <w:t>دفاعُ المصنّف عن أبي عيسى الورّاق</w:t>
            </w:r>
            <w:r>
              <w:rPr>
                <w:rStyle w:val="IndexLink"/>
                <w:rtl w:val="true"/>
              </w:rPr>
              <w:tab/>
            </w:r>
            <w:r>
              <w:rPr>
                <w:rStyle w:val="IndexLink"/>
              </w:rPr>
              <w:t>355</w:t>
            </w:r>
          </w:hyperlink>
        </w:p>
        <w:p>
          <w:pPr>
            <w:pStyle w:val="Contents6"/>
            <w:tabs>
              <w:tab w:val="clear" w:pos="7609"/>
              <w:tab w:val="right" w:pos="9026" w:leader="dot"/>
            </w:tabs>
            <w:rPr/>
          </w:pPr>
          <w:hyperlink w:anchor="__RefHeading___Toc828544_2320776876">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828546_2320776876">
            <w:r>
              <w:rPr>
                <w:webHidden/>
                <w:rStyle w:val="IndexLink"/>
                <w:rtl w:val="true"/>
              </w:rPr>
              <w:t>نَماذِجُ مِن العقائدِ الباطلةِ لأبي الهُذَيلِ ، و النَّظّامِ ، و مُعَمَّرٍ، و غيرِهم مِن المُعتَزِلةِ</w:t>
            </w:r>
            <w:r>
              <w:rPr>
                <w:rStyle w:val="IndexLink"/>
                <w:rtl w:val="true"/>
              </w:rPr>
              <w:tab/>
            </w:r>
            <w:r>
              <w:rPr>
                <w:rStyle w:val="IndexLink"/>
              </w:rPr>
              <w:t>356</w:t>
            </w:r>
          </w:hyperlink>
        </w:p>
        <w:p>
          <w:pPr>
            <w:pStyle w:val="Contents6"/>
            <w:tabs>
              <w:tab w:val="clear" w:pos="7609"/>
              <w:tab w:val="right" w:pos="9026" w:leader="dot"/>
            </w:tabs>
            <w:rPr/>
          </w:pPr>
          <w:hyperlink w:anchor="__RefHeading___Toc828548_2320776876">
            <w:r>
              <w:rPr>
                <w:webHidden/>
                <w:rStyle w:val="IndexLink"/>
                <w:rtl w:val="true"/>
              </w:rPr>
              <w:t>اعتمادُ الإماميّةٍ علَى العقلِ في وجوبِ الإمامةِ و أوصافِ الإمامِ</w:t>
            </w:r>
            <w:r>
              <w:rPr>
                <w:rStyle w:val="IndexLink"/>
                <w:rtl w:val="true"/>
              </w:rPr>
              <w:tab/>
            </w:r>
            <w:r>
              <w:rPr>
                <w:rStyle w:val="IndexLink"/>
              </w:rPr>
              <w:t>365</w:t>
            </w:r>
          </w:hyperlink>
        </w:p>
        <w:p>
          <w:pPr>
            <w:pStyle w:val="Contents6"/>
            <w:tabs>
              <w:tab w:val="clear" w:pos="7609"/>
              <w:tab w:val="right" w:pos="9026" w:leader="dot"/>
            </w:tabs>
            <w:rPr/>
          </w:pPr>
          <w:hyperlink w:anchor="__RefHeading___Toc828550_2320776876">
            <w:r>
              <w:rPr>
                <w:webHidden/>
                <w:rStyle w:val="IndexLink"/>
                <w:rtl w:val="true"/>
              </w:rPr>
              <w:t>بيانُ تناقضِ كلام صاحب الكتاب و خطئِه فيما نَسَبَه إلىٰ أبي الأحوص و النوبختيّين</w:t>
            </w:r>
            <w:r>
              <w:rPr>
                <w:rStyle w:val="IndexLink"/>
                <w:rtl w:val="true"/>
              </w:rPr>
              <w:tab/>
            </w:r>
            <w:r>
              <w:rPr>
                <w:rStyle w:val="IndexLink"/>
              </w:rPr>
              <w:t>366</w:t>
            </w:r>
          </w:hyperlink>
        </w:p>
        <w:p>
          <w:pPr>
            <w:pStyle w:val="Contents6"/>
            <w:tabs>
              <w:tab w:val="clear" w:pos="7609"/>
              <w:tab w:val="right" w:pos="9026" w:leader="dot"/>
            </w:tabs>
            <w:rPr/>
          </w:pPr>
          <w:hyperlink w:anchor="__RefHeading___Toc828552_2320776876">
            <w:r>
              <w:rPr>
                <w:webHidden/>
                <w:rStyle w:val="IndexLink"/>
                <w:rtl w:val="true"/>
              </w:rPr>
              <w:t>بيانُ أنّ بعضَ وجوهِ الحاجةِ إلى الإمام تتعلّق بواجبات العقل</w:t>
            </w:r>
            <w:r>
              <w:rPr>
                <w:rStyle w:val="IndexLink"/>
                <w:rtl w:val="true"/>
              </w:rPr>
              <w:tab/>
            </w:r>
            <w:r>
              <w:rPr>
                <w:rStyle w:val="IndexLink"/>
              </w:rPr>
              <w:t>368</w:t>
            </w:r>
          </w:hyperlink>
        </w:p>
        <w:p>
          <w:pPr>
            <w:pStyle w:val="Contents4"/>
            <w:tabs>
              <w:tab w:val="clear" w:pos="8176"/>
              <w:tab w:val="right" w:pos="9026" w:leader="dot"/>
            </w:tabs>
            <w:rPr/>
          </w:pPr>
          <w:hyperlink w:anchor="__RefHeading___Toc828554_2320776876">
            <w:r>
              <w:rPr>
                <w:webHidden/>
                <w:rStyle w:val="IndexLink"/>
                <w:rtl w:val="true"/>
              </w:rPr>
              <w:t>بعض وجوه الحاجة إلى الإمام</w:t>
            </w:r>
            <w:r>
              <w:rPr>
                <w:rStyle w:val="IndexLink"/>
                <w:rtl w:val="true"/>
              </w:rPr>
              <w:tab/>
            </w:r>
            <w:r>
              <w:rPr>
                <w:rStyle w:val="IndexLink"/>
              </w:rPr>
              <w:t>369</w:t>
            </w:r>
          </w:hyperlink>
        </w:p>
        <w:p>
          <w:pPr>
            <w:pStyle w:val="Contents5"/>
            <w:tabs>
              <w:tab w:val="clear" w:pos="7892"/>
              <w:tab w:val="right" w:pos="9026" w:leader="dot"/>
            </w:tabs>
            <w:rPr/>
          </w:pPr>
          <w:hyperlink w:anchor="__RefHeading___Toc828556_2320776876">
            <w:r>
              <w:rPr>
                <w:webHidden/>
                <w:rStyle w:val="IndexLink"/>
              </w:rPr>
              <w:t>1</w:t>
            </w:r>
            <w:r>
              <w:rPr>
                <w:rStyle w:val="IndexLink"/>
                <w:rtl w:val="true"/>
              </w:rPr>
              <w:t xml:space="preserve">. </w:t>
            </w:r>
            <w:r>
              <w:rPr>
                <w:rStyle w:val="IndexLink"/>
                <w:rtl w:val="true"/>
              </w:rPr>
              <w:t>أداء الشريعة، و عدم الاستغناءِ بالتواتر و الإجماع</w:t>
            </w:r>
            <w:r>
              <w:rPr>
                <w:rStyle w:val="IndexLink"/>
                <w:rtl w:val="true"/>
              </w:rPr>
              <w:tab/>
            </w:r>
            <w:r>
              <w:rPr>
                <w:rStyle w:val="IndexLink"/>
              </w:rPr>
              <w:t>369</w:t>
            </w:r>
          </w:hyperlink>
        </w:p>
        <w:p>
          <w:pPr>
            <w:pStyle w:val="Contents6"/>
            <w:tabs>
              <w:tab w:val="clear" w:pos="7609"/>
              <w:tab w:val="right" w:pos="9026" w:leader="dot"/>
            </w:tabs>
            <w:rPr/>
          </w:pPr>
          <w:hyperlink w:anchor="__RefHeading___Toc828558_2320776876">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828560_2320776876">
            <w:r>
              <w:rPr>
                <w:webHidden/>
                <w:rStyle w:val="IndexLink"/>
                <w:rtl w:val="true"/>
              </w:rPr>
              <w:t>بيان أنّ فائدة التواتر إثبات أعيان الأئمّة، لا ضرورة وجودهم في الجملة</w:t>
            </w:r>
            <w:r>
              <w:rPr>
                <w:rStyle w:val="IndexLink"/>
                <w:rtl w:val="true"/>
              </w:rPr>
              <w:tab/>
            </w:r>
            <w:r>
              <w:rPr>
                <w:rStyle w:val="IndexLink"/>
              </w:rPr>
              <w:t>370</w:t>
            </w:r>
          </w:hyperlink>
        </w:p>
        <w:p>
          <w:pPr>
            <w:pStyle w:val="Contents5"/>
            <w:tabs>
              <w:tab w:val="clear" w:pos="7892"/>
              <w:tab w:val="right" w:pos="9026" w:leader="dot"/>
            </w:tabs>
            <w:rPr/>
          </w:pPr>
          <w:hyperlink w:anchor="__RefHeading___Toc828562_2320776876">
            <w:r>
              <w:rPr>
                <w:webHidden/>
                <w:rStyle w:val="IndexLink"/>
              </w:rPr>
              <w:t>2</w:t>
            </w:r>
            <w:r>
              <w:rPr>
                <w:rStyle w:val="IndexLink"/>
                <w:rtl w:val="true"/>
              </w:rPr>
              <w:t xml:space="preserve">. </w:t>
            </w:r>
            <w:r>
              <w:rPr>
                <w:rStyle w:val="IndexLink"/>
                <w:rtl w:val="true"/>
              </w:rPr>
              <w:t>رفع السهو و الخطإ</w:t>
            </w:r>
            <w:r>
              <w:rPr>
                <w:rStyle w:val="IndexLink"/>
                <w:rtl w:val="true"/>
              </w:rPr>
              <w:tab/>
            </w:r>
            <w:r>
              <w:rPr>
                <w:rStyle w:val="IndexLink"/>
              </w:rPr>
              <w:t>371</w:t>
            </w:r>
          </w:hyperlink>
        </w:p>
        <w:p>
          <w:pPr>
            <w:pStyle w:val="Contents5"/>
            <w:tabs>
              <w:tab w:val="clear" w:pos="7892"/>
              <w:tab w:val="right" w:pos="9026" w:leader="dot"/>
            </w:tabs>
            <w:rPr/>
          </w:pPr>
          <w:hyperlink w:anchor="__RefHeading___Toc828564_2320776876">
            <w:r>
              <w:rPr>
                <w:webHidden/>
                <w:rStyle w:val="IndexLink"/>
              </w:rPr>
              <w:t>3</w:t>
            </w:r>
            <w:r>
              <w:rPr>
                <w:rStyle w:val="IndexLink"/>
                <w:rtl w:val="true"/>
              </w:rPr>
              <w:t xml:space="preserve">. </w:t>
            </w:r>
            <w:r>
              <w:rPr>
                <w:rStyle w:val="IndexLink"/>
                <w:rtl w:val="true"/>
              </w:rPr>
              <w:t>رفعُ الاختلافِ في الدياناتِ ، و بيانُ وجوهِ الاختلافِ في ذلكَ</w:t>
            </w:r>
            <w:r>
              <w:rPr>
                <w:rStyle w:val="IndexLink"/>
                <w:rtl w:val="true"/>
              </w:rPr>
              <w:tab/>
            </w:r>
            <w:r>
              <w:rPr>
                <w:rStyle w:val="IndexLink"/>
              </w:rPr>
              <w:t>372</w:t>
            </w:r>
          </w:hyperlink>
        </w:p>
        <w:p>
          <w:pPr>
            <w:pStyle w:val="Contents3"/>
            <w:tabs>
              <w:tab w:val="clear" w:pos="8459"/>
              <w:tab w:val="right" w:pos="9026" w:leader="dot"/>
            </w:tabs>
            <w:rPr/>
          </w:pPr>
          <w:hyperlink w:anchor="__RefHeading___Toc828566_2320776876">
            <w:r>
              <w:rPr>
                <w:webHidden/>
                <w:rStyle w:val="IndexLink"/>
              </w:rPr>
              <w:t>2</w:t>
            </w:r>
            <w:r>
              <w:rPr>
                <w:rStyle w:val="IndexLink"/>
                <w:rtl w:val="true"/>
              </w:rPr>
              <w:t xml:space="preserve"> </w:t>
            </w:r>
            <w:r>
              <w:rPr>
                <w:rStyle w:val="IndexLink"/>
                <w:rtl w:val="true"/>
              </w:rPr>
              <w:t>فصلٌ في تَتبُّعِ كلامِه في الاستِدلالِ علىٰ وجوبِ الإمامةِ مِن جهةِ السَّمعِ</w:t>
            </w:r>
            <w:r>
              <w:rPr>
                <w:rStyle w:val="IndexLink"/>
                <w:rtl w:val="true"/>
              </w:rPr>
              <w:tab/>
            </w:r>
            <w:r>
              <w:rPr>
                <w:rStyle w:val="IndexLink"/>
              </w:rPr>
              <w:t>375</w:t>
            </w:r>
          </w:hyperlink>
        </w:p>
        <w:p>
          <w:pPr>
            <w:pStyle w:val="Contents4"/>
            <w:tabs>
              <w:tab w:val="clear" w:pos="8176"/>
              <w:tab w:val="right" w:pos="9026" w:leader="dot"/>
            </w:tabs>
            <w:rPr/>
          </w:pPr>
          <w:hyperlink w:anchor="__RefHeading___Toc828568_2320776876">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828570_2320776876">
            <w:r>
              <w:rPr>
                <w:webHidden/>
                <w:rStyle w:val="IndexLink"/>
                <w:rtl w:val="true"/>
              </w:rPr>
              <w:t>الدليل الأوّل وجوب إقامة الحدود علىٰ الإمام</w:t>
            </w:r>
            <w:r>
              <w:rPr>
                <w:rStyle w:val="IndexLink"/>
                <w:rtl w:val="true"/>
              </w:rPr>
              <w:tab/>
            </w:r>
            <w:r>
              <w:rPr>
                <w:rStyle w:val="IndexLink"/>
              </w:rPr>
              <w:t>377</w:t>
            </w:r>
          </w:hyperlink>
        </w:p>
        <w:p>
          <w:pPr>
            <w:pStyle w:val="Contents5"/>
            <w:tabs>
              <w:tab w:val="clear" w:pos="7892"/>
              <w:tab w:val="right" w:pos="9026" w:leader="dot"/>
            </w:tabs>
            <w:rPr/>
          </w:pPr>
          <w:hyperlink w:anchor="__RefHeading___Toc828572_2320776876">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828574_2320776876">
            <w:r>
              <w:rPr>
                <w:webHidden/>
                <w:rStyle w:val="IndexLink"/>
                <w:rtl w:val="true"/>
              </w:rPr>
              <w:t>إبطال الاستدلال بوجوب إقامة الحدود علىٰ وجوب الإمامة</w:t>
            </w:r>
            <w:r>
              <w:rPr>
                <w:rStyle w:val="IndexLink"/>
                <w:rtl w:val="true"/>
              </w:rPr>
              <w:tab/>
            </w:r>
            <w:r>
              <w:rPr>
                <w:rStyle w:val="IndexLink"/>
              </w:rPr>
              <w:t>379</w:t>
            </w:r>
          </w:hyperlink>
        </w:p>
        <w:p>
          <w:pPr>
            <w:pStyle w:val="Contents5"/>
            <w:tabs>
              <w:tab w:val="clear" w:pos="7892"/>
              <w:tab w:val="right" w:pos="9026" w:leader="dot"/>
            </w:tabs>
            <w:rPr/>
          </w:pPr>
          <w:hyperlink w:anchor="__RefHeading___Toc828576_2320776876">
            <w:r>
              <w:rPr>
                <w:webHidden/>
                <w:rStyle w:val="IndexLink"/>
                <w:rtl w:val="true"/>
              </w:rPr>
              <w:t>عدم دلالة اشتراط الإيجاب بصفة، علىٰ وجوب تحصيل تلك الصفة أو عدم ذلك</w:t>
            </w:r>
            <w:r>
              <w:rPr>
                <w:rStyle w:val="IndexLink"/>
                <w:rtl w:val="true"/>
              </w:rPr>
              <w:tab/>
            </w:r>
            <w:r>
              <w:rPr>
                <w:rStyle w:val="IndexLink"/>
              </w:rPr>
              <w:t>380</w:t>
            </w:r>
          </w:hyperlink>
        </w:p>
        <w:p>
          <w:pPr>
            <w:pStyle w:val="Contents5"/>
            <w:tabs>
              <w:tab w:val="clear" w:pos="7892"/>
              <w:tab w:val="right" w:pos="9026" w:leader="dot"/>
            </w:tabs>
            <w:rPr/>
          </w:pPr>
          <w:hyperlink w:anchor="__RefHeading___Toc828578_2320776876">
            <w:r>
              <w:rPr>
                <w:webHidden/>
                <w:rStyle w:val="IndexLink"/>
                <w:rtl w:val="true"/>
              </w:rPr>
              <w:t>بيان الفرق بين إيجاب السبب، و إيجاب إقامة الحدود</w:t>
            </w:r>
            <w:r>
              <w:rPr>
                <w:rStyle w:val="IndexLink"/>
                <w:rtl w:val="true"/>
              </w:rPr>
              <w:tab/>
            </w:r>
            <w:r>
              <w:rPr>
                <w:rStyle w:val="IndexLink"/>
              </w:rPr>
              <w:t>382</w:t>
            </w:r>
          </w:hyperlink>
        </w:p>
        <w:p>
          <w:pPr>
            <w:pStyle w:val="Contents5"/>
            <w:tabs>
              <w:tab w:val="clear" w:pos="7892"/>
              <w:tab w:val="right" w:pos="9026" w:leader="dot"/>
            </w:tabs>
            <w:rPr/>
          </w:pPr>
          <w:hyperlink w:anchor="__RefHeading___Toc828580_2320776876">
            <w:r>
              <w:rPr>
                <w:webHidden/>
                <w:rStyle w:val="IndexLink"/>
                <w:rtl w:val="true"/>
              </w:rPr>
              <w:t>بيان الفرق بين إيجاب العبادات، و إيجاب شروطها</w:t>
            </w:r>
            <w:r>
              <w:rPr>
                <w:rStyle w:val="IndexLink"/>
                <w:rtl w:val="true"/>
              </w:rPr>
              <w:tab/>
            </w:r>
            <w:r>
              <w:rPr>
                <w:rStyle w:val="IndexLink"/>
              </w:rPr>
              <w:t>384</w:t>
            </w:r>
          </w:hyperlink>
        </w:p>
        <w:p>
          <w:pPr>
            <w:pStyle w:val="Contents5"/>
            <w:tabs>
              <w:tab w:val="clear" w:pos="7892"/>
              <w:tab w:val="right" w:pos="9026" w:leader="dot"/>
            </w:tabs>
            <w:rPr/>
          </w:pPr>
          <w:hyperlink w:anchor="__RefHeading___Toc828582_2320776876">
            <w:r>
              <w:rPr>
                <w:webHidden/>
                <w:rStyle w:val="IndexLink"/>
                <w:rtl w:val="true"/>
              </w:rPr>
              <w:t>مُناقَشةُ دَعوىٰ صاحبِ المغني من أنّ الإمامة إن لَم تَكُن واجبةً فقبولُ العَقدِ لَيسَ بواجبٍ</w:t>
            </w:r>
            <w:r>
              <w:rPr>
                <w:rStyle w:val="IndexLink"/>
                <w:rtl w:val="true"/>
              </w:rPr>
              <w:tab/>
            </w:r>
            <w:r>
              <w:rPr>
                <w:rStyle w:val="IndexLink"/>
              </w:rPr>
              <w:t>384</w:t>
            </w:r>
          </w:hyperlink>
        </w:p>
        <w:p>
          <w:pPr>
            <w:pStyle w:val="Contents5"/>
            <w:tabs>
              <w:tab w:val="clear" w:pos="7892"/>
              <w:tab w:val="right" w:pos="9026" w:leader="dot"/>
            </w:tabs>
            <w:rPr/>
          </w:pPr>
          <w:hyperlink w:anchor="__RefHeading___Toc828584_2320776876">
            <w:r>
              <w:rPr>
                <w:webHidden/>
                <w:rStyle w:val="IndexLink"/>
                <w:rtl w:val="true"/>
              </w:rPr>
              <w:t>مُناقَشةُ دَعوىٰ صاحبِ المُغني في أنّ الإمامَ قَبلَ أن يَصيرَ إماماً مُخاطَبٌ بإقامةِ الحُدودِ</w:t>
            </w:r>
            <w:r>
              <w:rPr>
                <w:rStyle w:val="IndexLink"/>
                <w:rtl w:val="true"/>
              </w:rPr>
              <w:tab/>
            </w:r>
            <w:r>
              <w:rPr>
                <w:rStyle w:val="IndexLink"/>
              </w:rPr>
              <w:t>387</w:t>
            </w:r>
          </w:hyperlink>
        </w:p>
        <w:p>
          <w:pPr>
            <w:pStyle w:val="Contents5"/>
            <w:tabs>
              <w:tab w:val="clear" w:pos="7892"/>
              <w:tab w:val="right" w:pos="9026" w:leader="dot"/>
            </w:tabs>
            <w:rPr/>
          </w:pPr>
          <w:hyperlink w:anchor="__RefHeading___Toc828586_2320776876">
            <w:r>
              <w:rPr>
                <w:webHidden/>
                <w:rStyle w:val="IndexLink"/>
                <w:rtl w:val="true"/>
              </w:rPr>
              <w:t>حرمة تضييع الحدود على الإمام دون الأُمّة</w:t>
            </w:r>
            <w:r>
              <w:rPr>
                <w:rStyle w:val="IndexLink"/>
                <w:rtl w:val="true"/>
              </w:rPr>
              <w:tab/>
            </w:r>
            <w:r>
              <w:rPr>
                <w:rStyle w:val="IndexLink"/>
              </w:rPr>
              <w:t>390</w:t>
            </w:r>
          </w:hyperlink>
        </w:p>
        <w:p>
          <w:pPr>
            <w:pStyle w:val="Contents5"/>
            <w:tabs>
              <w:tab w:val="clear" w:pos="7892"/>
              <w:tab w:val="right" w:pos="9026" w:leader="dot"/>
            </w:tabs>
            <w:rPr/>
          </w:pPr>
          <w:hyperlink w:anchor="__RefHeading___Toc828588_2320776876">
            <w:r>
              <w:rPr>
                <w:webHidden/>
                <w:rStyle w:val="IndexLink"/>
                <w:rtl w:val="true"/>
              </w:rPr>
              <w:t>دليل وجوب إزالة الغلبة عن الإمام على الأُمّة</w:t>
            </w:r>
            <w:r>
              <w:rPr>
                <w:rStyle w:val="IndexLink"/>
                <w:rtl w:val="true"/>
              </w:rPr>
              <w:tab/>
            </w:r>
            <w:r>
              <w:rPr>
                <w:rStyle w:val="IndexLink"/>
              </w:rPr>
              <w:t>392</w:t>
            </w:r>
          </w:hyperlink>
        </w:p>
        <w:p>
          <w:pPr>
            <w:pStyle w:val="Contents5"/>
            <w:tabs>
              <w:tab w:val="clear" w:pos="7892"/>
              <w:tab w:val="right" w:pos="9026" w:leader="dot"/>
            </w:tabs>
            <w:rPr/>
          </w:pPr>
          <w:hyperlink w:anchor="__RefHeading___Toc828590_2320776876">
            <w:r>
              <w:rPr>
                <w:webHidden/>
                <w:rStyle w:val="IndexLink"/>
                <w:rtl w:val="true"/>
              </w:rPr>
              <w:t>عدم وجوب نصب الأُمراء على الأُمّة لأجل إقامة الحدود</w:t>
            </w:r>
            <w:r>
              <w:rPr>
                <w:rStyle w:val="IndexLink"/>
                <w:rtl w:val="true"/>
              </w:rPr>
              <w:tab/>
            </w:r>
            <w:r>
              <w:rPr>
                <w:rStyle w:val="IndexLink"/>
              </w:rPr>
              <w:t>394</w:t>
            </w:r>
          </w:hyperlink>
        </w:p>
        <w:p>
          <w:pPr>
            <w:pStyle w:val="Contents5"/>
            <w:tabs>
              <w:tab w:val="clear" w:pos="7892"/>
              <w:tab w:val="right" w:pos="9026" w:leader="dot"/>
            </w:tabs>
            <w:rPr/>
          </w:pPr>
          <w:hyperlink w:anchor="__RefHeading___Toc828592_2320776876">
            <w:r>
              <w:rPr>
                <w:webHidden/>
                <w:rStyle w:val="IndexLink"/>
                <w:rtl w:val="true"/>
              </w:rPr>
              <w:t>عدم التلازم بين وجوب قبول الإمامة و وجوب الثبات عليها</w:t>
            </w:r>
            <w:r>
              <w:rPr>
                <w:rStyle w:val="IndexLink"/>
                <w:rtl w:val="true"/>
              </w:rPr>
              <w:tab/>
            </w:r>
            <w:r>
              <w:rPr>
                <w:rStyle w:val="IndexLink"/>
              </w:rPr>
              <w:t>397</w:t>
            </w:r>
          </w:hyperlink>
        </w:p>
        <w:p>
          <w:pPr>
            <w:pStyle w:val="Contents5"/>
            <w:tabs>
              <w:tab w:val="clear" w:pos="7892"/>
              <w:tab w:val="right" w:pos="9026" w:leader="dot"/>
            </w:tabs>
            <w:rPr/>
          </w:pPr>
          <w:hyperlink w:anchor="__RefHeading___Toc828594_2320776876">
            <w:r>
              <w:rPr>
                <w:webHidden/>
                <w:rStyle w:val="IndexLink"/>
                <w:rtl w:val="true"/>
              </w:rPr>
              <w:t>الوجوه التي تجب لها الإمامة، و بطلان قياس الإمامة على الأمر بالمعروف</w:t>
            </w:r>
            <w:r>
              <w:rPr>
                <w:rStyle w:val="IndexLink"/>
                <w:rtl w:val="true"/>
              </w:rPr>
              <w:tab/>
            </w:r>
            <w:r>
              <w:rPr>
                <w:rStyle w:val="IndexLink"/>
              </w:rPr>
              <w:t>401</w:t>
            </w:r>
          </w:hyperlink>
        </w:p>
        <w:p>
          <w:pPr>
            <w:pStyle w:val="Contents4"/>
            <w:tabs>
              <w:tab w:val="clear" w:pos="8176"/>
              <w:tab w:val="right" w:pos="9026" w:leader="dot"/>
            </w:tabs>
            <w:rPr/>
          </w:pPr>
          <w:hyperlink w:anchor="__RefHeading___Toc828596_2320776876">
            <w:r>
              <w:rPr>
                <w:webHidden/>
                <w:rStyle w:val="IndexLink"/>
                <w:rtl w:val="true"/>
              </w:rPr>
              <w:t>الدليل الثاني إجماع الصحابة</w:t>
            </w:r>
            <w:r>
              <w:rPr>
                <w:rStyle w:val="IndexLink"/>
                <w:rtl w:val="true"/>
              </w:rPr>
              <w:tab/>
            </w:r>
            <w:r>
              <w:rPr>
                <w:rStyle w:val="IndexLink"/>
              </w:rPr>
              <w:t>404</w:t>
            </w:r>
          </w:hyperlink>
        </w:p>
        <w:p>
          <w:pPr>
            <w:pStyle w:val="Contents5"/>
            <w:tabs>
              <w:tab w:val="clear" w:pos="7892"/>
              <w:tab w:val="right" w:pos="9026" w:leader="dot"/>
            </w:tabs>
            <w:rPr/>
          </w:pPr>
          <w:hyperlink w:anchor="__RefHeading___Toc828598_2320776876">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828600_2320776876">
            <w:r>
              <w:rPr>
                <w:webHidden/>
                <w:rStyle w:val="IndexLink"/>
                <w:rtl w:val="true"/>
              </w:rPr>
              <w:t>عدم دلالة سلوك الصحابة علىٰ وجوب الإمامة</w:t>
            </w:r>
            <w:r>
              <w:rPr>
                <w:rStyle w:val="IndexLink"/>
                <w:rtl w:val="true"/>
              </w:rPr>
              <w:tab/>
            </w:r>
            <w:r>
              <w:rPr>
                <w:rStyle w:val="IndexLink"/>
              </w:rPr>
              <w:t>405</w:t>
            </w:r>
          </w:hyperlink>
        </w:p>
        <w:p>
          <w:pPr>
            <w:pStyle w:val="Contents5"/>
            <w:tabs>
              <w:tab w:val="clear" w:pos="7892"/>
              <w:tab w:val="right" w:pos="9026" w:leader="dot"/>
            </w:tabs>
            <w:rPr/>
          </w:pPr>
          <w:hyperlink w:anchor="__RefHeading___Toc828602_2320776876">
            <w:r>
              <w:rPr>
                <w:webHidden/>
                <w:rStyle w:val="IndexLink"/>
                <w:rtl w:val="true"/>
              </w:rPr>
              <w:t>مناقشة وجود إجماع علىٰ وجوب الإمامة</w:t>
            </w:r>
            <w:r>
              <w:rPr>
                <w:rStyle w:val="IndexLink"/>
                <w:rtl w:val="true"/>
              </w:rPr>
              <w:tab/>
            </w:r>
            <w:r>
              <w:rPr>
                <w:rStyle w:val="IndexLink"/>
              </w:rPr>
              <w:t>407</w:t>
            </w:r>
          </w:hyperlink>
        </w:p>
        <w:p>
          <w:pPr>
            <w:pStyle w:val="Contents4"/>
            <w:tabs>
              <w:tab w:val="clear" w:pos="8176"/>
              <w:tab w:val="right" w:pos="9026" w:leader="dot"/>
            </w:tabs>
            <w:rPr/>
          </w:pPr>
          <w:hyperlink w:anchor="__RefHeading___Toc828604_2320776876">
            <w:r>
              <w:rPr>
                <w:webHidden/>
                <w:rStyle w:val="IndexLink"/>
                <w:rtl w:val="true"/>
              </w:rPr>
              <w:t>الدليل الثالث خبر</w:t>
            </w:r>
            <w:r>
              <w:rPr>
                <w:rStyle w:val="IndexLink"/>
                <w:rtl w:val="true"/>
              </w:rPr>
              <w:t>: «</w:t>
            </w:r>
            <w:r>
              <w:rPr>
                <w:rStyle w:val="IndexLink"/>
                <w:rtl w:val="true"/>
              </w:rPr>
              <w:t>الأئمّة من قريش</w:t>
            </w:r>
            <w:r>
              <w:rPr>
                <w:rStyle w:val="IndexLink"/>
                <w:rtl w:val="true"/>
              </w:rPr>
              <w:t>»</w:t>
              <w:tab/>
            </w:r>
            <w:r>
              <w:rPr>
                <w:rStyle w:val="IndexLink"/>
              </w:rPr>
              <w:t>410</w:t>
            </w:r>
          </w:hyperlink>
        </w:p>
        <w:p>
          <w:pPr>
            <w:pStyle w:val="Contents5"/>
            <w:tabs>
              <w:tab w:val="clear" w:pos="7892"/>
              <w:tab w:val="right" w:pos="9026" w:leader="dot"/>
            </w:tabs>
            <w:rPr/>
          </w:pPr>
          <w:hyperlink w:anchor="__RefHeading___Toc828606_2320776876">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828608_2320776876">
            <w:r>
              <w:rPr>
                <w:webHidden/>
                <w:rStyle w:val="IndexLink"/>
                <w:rtl w:val="true"/>
              </w:rPr>
              <w:t>جوابٌ نقضيّ للمصنّف</w:t>
            </w:r>
            <w:r>
              <w:rPr>
                <w:rStyle w:val="IndexLink"/>
                <w:rtl w:val="true"/>
              </w:rPr>
              <w:tab/>
            </w:r>
            <w:r>
              <w:rPr>
                <w:rStyle w:val="IndexLink"/>
              </w:rPr>
              <w:t>411</w:t>
            </w:r>
          </w:hyperlink>
        </w:p>
        <w:p>
          <w:pPr>
            <w:pStyle w:val="Contents4"/>
            <w:tabs>
              <w:tab w:val="clear" w:pos="8176"/>
              <w:tab w:val="right" w:pos="9026" w:leader="dot"/>
            </w:tabs>
            <w:rPr/>
          </w:pPr>
          <w:hyperlink w:anchor="__RefHeading___Toc828610_2320776876">
            <w:r>
              <w:rPr>
                <w:webHidden/>
                <w:rStyle w:val="IndexLink"/>
                <w:rtl w:val="true"/>
              </w:rPr>
              <w:t>الدليل الرابع تأمير خالد بن الوليد يومَ مؤتة</w:t>
            </w:r>
            <w:r>
              <w:rPr>
                <w:rStyle w:val="IndexLink"/>
                <w:rtl w:val="true"/>
              </w:rPr>
              <w:tab/>
            </w:r>
            <w:r>
              <w:rPr>
                <w:rStyle w:val="IndexLink"/>
              </w:rPr>
              <w:t>413</w:t>
            </w:r>
          </w:hyperlink>
        </w:p>
        <w:p>
          <w:pPr>
            <w:pStyle w:val="Contents5"/>
            <w:tabs>
              <w:tab w:val="clear" w:pos="7892"/>
              <w:tab w:val="right" w:pos="9026" w:leader="dot"/>
            </w:tabs>
            <w:rPr/>
          </w:pPr>
          <w:hyperlink w:anchor="__RefHeading___Toc828612_2320776876">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828614_2320776876">
            <w:r>
              <w:rPr>
                <w:webHidden/>
                <w:rStyle w:val="IndexLink"/>
                <w:rtl w:val="true"/>
              </w:rPr>
              <w:t>اعتماد صاحب الكتاب في كلامه علىٰ طريقة القياس</w:t>
            </w:r>
            <w:r>
              <w:rPr>
                <w:rStyle w:val="IndexLink"/>
                <w:rtl w:val="true"/>
              </w:rPr>
              <w:tab/>
            </w:r>
            <w:r>
              <w:rPr>
                <w:rStyle w:val="IndexLink"/>
              </w:rPr>
              <w:t>414</w:t>
            </w:r>
          </w:hyperlink>
        </w:p>
        <w:p>
          <w:pPr>
            <w:pStyle w:val="Contents4"/>
            <w:tabs>
              <w:tab w:val="clear" w:pos="8176"/>
              <w:tab w:val="right" w:pos="9026" w:leader="dot"/>
            </w:tabs>
            <w:rPr/>
          </w:pPr>
          <w:hyperlink w:anchor="__RefHeading___Toc828616_2320776876">
            <w:r>
              <w:rPr>
                <w:webHidden/>
                <w:rStyle w:val="IndexLink"/>
                <w:rtl w:val="true"/>
              </w:rPr>
              <w:t>الدليل الخامس خبر</w:t>
            </w:r>
            <w:r>
              <w:rPr>
                <w:rStyle w:val="IndexLink"/>
                <w:rtl w:val="true"/>
              </w:rPr>
              <w:t>: «</w:t>
            </w:r>
            <w:r>
              <w:rPr>
                <w:rStyle w:val="IndexLink"/>
                <w:rtl w:val="true"/>
              </w:rPr>
              <w:t>إن ولّيتم أبا بكر</w:t>
            </w:r>
            <w:r>
              <w:rPr>
                <w:rStyle w:val="IndexLink"/>
                <w:rtl w:val="true"/>
              </w:rPr>
              <w:t>...»</w:t>
              <w:tab/>
            </w:r>
            <w:r>
              <w:rPr>
                <w:rStyle w:val="IndexLink"/>
              </w:rPr>
              <w:t>414</w:t>
            </w:r>
          </w:hyperlink>
        </w:p>
        <w:p>
          <w:pPr>
            <w:pStyle w:val="Contents5"/>
            <w:tabs>
              <w:tab w:val="clear" w:pos="7892"/>
              <w:tab w:val="right" w:pos="9026" w:leader="dot"/>
            </w:tabs>
            <w:rPr/>
          </w:pPr>
          <w:hyperlink w:anchor="__RefHeading___Toc828618_2320776876">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828620_2320776876">
            <w:r>
              <w:rPr>
                <w:webHidden/>
                <w:rStyle w:val="IndexLink"/>
                <w:rtl w:val="true"/>
              </w:rPr>
              <w:t>عدم دلالة الحديث المذكور علىٰ وجوب الإمامة</w:t>
            </w:r>
            <w:r>
              <w:rPr>
                <w:rStyle w:val="IndexLink"/>
                <w:rtl w:val="true"/>
              </w:rPr>
              <w:tab/>
            </w:r>
            <w:r>
              <w:rPr>
                <w:rStyle w:val="IndexLink"/>
              </w:rPr>
              <w:t>415</w:t>
            </w:r>
          </w:hyperlink>
        </w:p>
        <w:p>
          <w:pPr>
            <w:pStyle w:val="Contents5"/>
            <w:tabs>
              <w:tab w:val="clear" w:pos="7892"/>
              <w:tab w:val="right" w:pos="9026" w:leader="dot"/>
            </w:tabs>
            <w:rPr/>
          </w:pPr>
          <w:hyperlink w:anchor="__RefHeading___Toc828622_2320776876">
            <w:r>
              <w:rPr>
                <w:webHidden/>
                <w:rStyle w:val="IndexLink"/>
                <w:rtl w:val="true"/>
              </w:rPr>
              <w:t>بيان عدم الحاجة إلى النصّ علىٰ وجوبِ الإمامة و معرفةِ صفات الإمام</w:t>
            </w:r>
            <w:r>
              <w:rPr>
                <w:rStyle w:val="IndexLink"/>
                <w:rtl w:val="true"/>
              </w:rPr>
              <w:tab/>
            </w:r>
            <w:r>
              <w:rPr>
                <w:rStyle w:val="IndexLink"/>
              </w:rPr>
              <w:t>417</w:t>
            </w:r>
          </w:hyperlink>
        </w:p>
        <w:p>
          <w:pPr>
            <w:pStyle w:val="Contents5"/>
            <w:tabs>
              <w:tab w:val="clear" w:pos="7892"/>
              <w:tab w:val="right" w:pos="9026" w:leader="dot"/>
            </w:tabs>
            <w:rPr/>
          </w:pPr>
          <w:hyperlink w:anchor="__RefHeading___Toc828624_2320776876">
            <w:r>
              <w:rPr>
                <w:webHidden/>
                <w:rStyle w:val="IndexLink"/>
                <w:rtl w:val="true"/>
              </w:rPr>
              <w:t>عدم جواز خفاء النصّ علىٰ صفات الإمام على الأنصار</w:t>
            </w:r>
            <w:r>
              <w:rPr>
                <w:rStyle w:val="IndexLink"/>
                <w:rtl w:val="true"/>
              </w:rPr>
              <w:tab/>
            </w:r>
            <w:r>
              <w:rPr>
                <w:rStyle w:val="IndexLink"/>
              </w:rPr>
              <w:t>420</w:t>
            </w:r>
          </w:hyperlink>
        </w:p>
        <w:p>
          <w:pPr>
            <w:pStyle w:val="Contents5"/>
            <w:tabs>
              <w:tab w:val="clear" w:pos="7892"/>
              <w:tab w:val="right" w:pos="9026" w:leader="dot"/>
            </w:tabs>
            <w:rPr/>
          </w:pPr>
          <w:hyperlink w:anchor="__RefHeading___Toc828626_2320776876">
            <w:r>
              <w:rPr>
                <w:webHidden/>
                <w:rStyle w:val="IndexLink"/>
                <w:rtl w:val="true"/>
              </w:rPr>
              <w:t>عدم دلالة القرآن علىٰ صفات الإمام و ما يتولّاه</w:t>
            </w:r>
            <w:r>
              <w:rPr>
                <w:rStyle w:val="IndexLink"/>
                <w:rtl w:val="true"/>
              </w:rPr>
              <w:tab/>
            </w:r>
            <w:r>
              <w:rPr>
                <w:rStyle w:val="IndexLink"/>
              </w:rPr>
              <w:t>425</w:t>
            </w:r>
          </w:hyperlink>
        </w:p>
        <w:p>
          <w:pPr>
            <w:pStyle w:val="Contents5"/>
            <w:tabs>
              <w:tab w:val="clear" w:pos="7892"/>
              <w:tab w:val="right" w:pos="9026" w:leader="dot"/>
            </w:tabs>
            <w:rPr/>
          </w:pPr>
          <w:hyperlink w:anchor="__RefHeading___Toc828628_2320776876">
            <w:r>
              <w:rPr>
                <w:webHidden/>
                <w:rStyle w:val="IndexLink"/>
                <w:rtl w:val="true"/>
              </w:rPr>
              <w:t>بيان أنّ أُصول الصلاة و الزكاة ثابتة بالاضطرار، لا بالأخبار</w:t>
            </w:r>
            <w:r>
              <w:rPr>
                <w:rStyle w:val="IndexLink"/>
                <w:rtl w:val="true"/>
              </w:rPr>
              <w:tab/>
            </w:r>
            <w:r>
              <w:rPr>
                <w:rStyle w:val="IndexLink"/>
              </w:rPr>
              <w:t>426</w:t>
            </w:r>
          </w:hyperlink>
        </w:p>
        <w:p>
          <w:pPr>
            <w:pStyle w:val="Contents5"/>
            <w:tabs>
              <w:tab w:val="clear" w:pos="7892"/>
              <w:tab w:val="right" w:pos="9026" w:leader="dot"/>
            </w:tabs>
            <w:rPr/>
          </w:pPr>
          <w:hyperlink w:anchor="__RefHeading___Toc828630_2320776876">
            <w:r>
              <w:rPr>
                <w:webHidden/>
                <w:rStyle w:val="IndexLink"/>
                <w:rtl w:val="true"/>
              </w:rPr>
              <w:t>تناقض كلام صاحب الكتاب</w:t>
            </w:r>
            <w:r>
              <w:rPr>
                <w:rStyle w:val="IndexLink"/>
                <w:rtl w:val="true"/>
              </w:rPr>
              <w:tab/>
            </w:r>
            <w:r>
              <w:rPr>
                <w:rStyle w:val="IndexLink"/>
              </w:rPr>
              <w:t>428</w:t>
            </w:r>
          </w:hyperlink>
        </w:p>
        <w:p>
          <w:pPr>
            <w:pStyle w:val="Contents3"/>
            <w:tabs>
              <w:tab w:val="clear" w:pos="8459"/>
              <w:tab w:val="right" w:pos="9026" w:leader="dot"/>
            </w:tabs>
            <w:rPr/>
          </w:pPr>
          <w:hyperlink w:anchor="__RefHeading___Toc828632_2320776876">
            <w:r>
              <w:rPr>
                <w:webHidden/>
                <w:rStyle w:val="IndexLink"/>
              </w:rPr>
              <w:t>3</w:t>
            </w:r>
            <w:r>
              <w:rPr>
                <w:rStyle w:val="IndexLink"/>
                <w:rtl w:val="true"/>
              </w:rPr>
              <w:t xml:space="preserve"> </w:t>
            </w:r>
            <w:r>
              <w:rPr>
                <w:rStyle w:val="IndexLink"/>
                <w:rtl w:val="true"/>
              </w:rPr>
              <w:t>فَصلٌ في الكلامِ علَى اعتِراضِه علىٰ ما حَكاه مِن أدلّتِنا في وجوبِ الإمامةِ و العصمةِ</w:t>
            </w:r>
            <w:r>
              <w:rPr>
                <w:rStyle w:val="IndexLink"/>
                <w:rtl w:val="true"/>
              </w:rPr>
              <w:tab/>
            </w:r>
            <w:r>
              <w:rPr>
                <w:rStyle w:val="IndexLink"/>
              </w:rPr>
              <w:t>431</w:t>
            </w:r>
          </w:hyperlink>
        </w:p>
        <w:p>
          <w:pPr>
            <w:pStyle w:val="Contents4"/>
            <w:tabs>
              <w:tab w:val="clear" w:pos="8176"/>
              <w:tab w:val="right" w:pos="9026" w:leader="dot"/>
            </w:tabs>
            <w:rPr/>
          </w:pPr>
          <w:hyperlink w:anchor="__RefHeading___Toc828634_2320776876">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828636_2320776876">
            <w:r>
              <w:rPr>
                <w:webHidden/>
                <w:rStyle w:val="IndexLink"/>
                <w:rtl w:val="true"/>
              </w:rPr>
              <w:t>الدليل الأوّل عموم النقص بين الناس</w:t>
            </w:r>
            <w:r>
              <w:rPr>
                <w:rStyle w:val="IndexLink"/>
                <w:rtl w:val="true"/>
              </w:rPr>
              <w:tab/>
            </w:r>
            <w:r>
              <w:rPr>
                <w:rStyle w:val="IndexLink"/>
              </w:rPr>
              <w:t>433</w:t>
            </w:r>
          </w:hyperlink>
        </w:p>
        <w:p>
          <w:pPr>
            <w:pStyle w:val="Contents5"/>
            <w:tabs>
              <w:tab w:val="clear" w:pos="7892"/>
              <w:tab w:val="right" w:pos="9026" w:leader="dot"/>
            </w:tabs>
            <w:rPr/>
          </w:pPr>
          <w:hyperlink w:anchor="__RefHeading___Toc828638_2320776876">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828640_2320776876">
            <w:r>
              <w:rPr>
                <w:webHidden/>
                <w:rStyle w:val="IndexLink"/>
                <w:rtl w:val="true"/>
              </w:rPr>
              <w:t>بيان التقرير الصحيح لدليل اللطف علىٰ وجوب الإمامة</w:t>
            </w:r>
            <w:r>
              <w:rPr>
                <w:rStyle w:val="IndexLink"/>
                <w:rtl w:val="true"/>
              </w:rPr>
              <w:tab/>
            </w:r>
            <w:r>
              <w:rPr>
                <w:rStyle w:val="IndexLink"/>
              </w:rPr>
              <w:t>433</w:t>
            </w:r>
          </w:hyperlink>
        </w:p>
        <w:p>
          <w:pPr>
            <w:pStyle w:val="Contents5"/>
            <w:tabs>
              <w:tab w:val="clear" w:pos="7892"/>
              <w:tab w:val="right" w:pos="9026" w:leader="dot"/>
            </w:tabs>
            <w:rPr/>
          </w:pPr>
          <w:hyperlink w:anchor="__RefHeading___Toc828642_2320776876">
            <w:r>
              <w:rPr>
                <w:webHidden/>
                <w:rStyle w:val="IndexLink"/>
                <w:rtl w:val="true"/>
              </w:rPr>
              <w:t>عدم دلالة جواز السهو على الحاجة إلى الإمام، علىٰ تفصيل في ذلك</w:t>
            </w:r>
            <w:r>
              <w:rPr>
                <w:rStyle w:val="IndexLink"/>
                <w:rtl w:val="true"/>
              </w:rPr>
              <w:tab/>
            </w:r>
            <w:r>
              <w:rPr>
                <w:rStyle w:val="IndexLink"/>
              </w:rPr>
              <w:t>434</w:t>
            </w:r>
          </w:hyperlink>
        </w:p>
        <w:p>
          <w:pPr>
            <w:pStyle w:val="Contents5"/>
            <w:tabs>
              <w:tab w:val="clear" w:pos="7892"/>
              <w:tab w:val="right" w:pos="9026" w:leader="dot"/>
            </w:tabs>
            <w:rPr/>
          </w:pPr>
          <w:hyperlink w:anchor="__RefHeading___Toc828644_2320776876">
            <w:r>
              <w:rPr>
                <w:webHidden/>
                <w:rStyle w:val="IndexLink"/>
                <w:rtl w:val="true"/>
              </w:rPr>
              <w:t xml:space="preserve">معنىٰ </w:t>
            </w:r>
            <w:r>
              <w:rPr>
                <w:rStyle w:val="IndexLink"/>
                <w:rtl w:val="true"/>
              </w:rPr>
              <w:t>«</w:t>
            </w:r>
            <w:r>
              <w:rPr>
                <w:rStyle w:val="IndexLink"/>
                <w:rtl w:val="true"/>
              </w:rPr>
              <w:t>اتّباع الشهوات</w:t>
            </w:r>
            <w:r>
              <w:rPr>
                <w:rStyle w:val="IndexLink"/>
                <w:rtl w:val="true"/>
              </w:rPr>
              <w:t xml:space="preserve">» </w:t>
            </w:r>
            <w:r>
              <w:rPr>
                <w:rStyle w:val="IndexLink"/>
                <w:rtl w:val="true"/>
              </w:rPr>
              <w:t>في دليل وجوب الإمامة</w:t>
            </w:r>
            <w:r>
              <w:rPr>
                <w:rStyle w:val="IndexLink"/>
                <w:rtl w:val="true"/>
              </w:rPr>
              <w:tab/>
            </w:r>
            <w:r>
              <w:rPr>
                <w:rStyle w:val="IndexLink"/>
              </w:rPr>
              <w:t>436</w:t>
            </w:r>
          </w:hyperlink>
        </w:p>
        <w:p>
          <w:pPr>
            <w:pStyle w:val="Contents5"/>
            <w:tabs>
              <w:tab w:val="clear" w:pos="7892"/>
              <w:tab w:val="right" w:pos="9026" w:leader="dot"/>
            </w:tabs>
            <w:rPr/>
          </w:pPr>
          <w:hyperlink w:anchor="__RefHeading___Toc828646_2320776876">
            <w:r>
              <w:rPr>
                <w:webHidden/>
                <w:rStyle w:val="IndexLink"/>
                <w:rtl w:val="true"/>
              </w:rPr>
              <w:t>التقرير الصحيح للاستدلال بجواز الشُّبَه علىٰ وجوب الإمامة</w:t>
            </w:r>
            <w:r>
              <w:rPr>
                <w:rStyle w:val="IndexLink"/>
                <w:rtl w:val="true"/>
              </w:rPr>
              <w:tab/>
            </w:r>
            <w:r>
              <w:rPr>
                <w:rStyle w:val="IndexLink"/>
              </w:rPr>
              <w:t>436</w:t>
            </w:r>
          </w:hyperlink>
        </w:p>
        <w:p>
          <w:pPr>
            <w:pStyle w:val="Contents5"/>
            <w:tabs>
              <w:tab w:val="clear" w:pos="7892"/>
              <w:tab w:val="right" w:pos="9026" w:leader="dot"/>
            </w:tabs>
            <w:rPr/>
          </w:pPr>
          <w:hyperlink w:anchor="__RefHeading___Toc828648_2320776876">
            <w:r>
              <w:rPr>
                <w:webHidden/>
                <w:rStyle w:val="IndexLink"/>
                <w:rtl w:val="true"/>
              </w:rPr>
              <w:t>استلزام وجودِ النقص بين الناس حاجتَهم إلى الإمام، على تفصيل في ذلك</w:t>
            </w:r>
            <w:r>
              <w:rPr>
                <w:rStyle w:val="IndexLink"/>
                <w:rtl w:val="true"/>
              </w:rPr>
              <w:tab/>
            </w:r>
            <w:r>
              <w:rPr>
                <w:rStyle w:val="IndexLink"/>
              </w:rPr>
              <w:t>437</w:t>
            </w:r>
          </w:hyperlink>
        </w:p>
        <w:p>
          <w:pPr>
            <w:pStyle w:val="Contents5"/>
            <w:tabs>
              <w:tab w:val="clear" w:pos="7892"/>
              <w:tab w:val="right" w:pos="9026" w:leader="dot"/>
            </w:tabs>
            <w:rPr/>
          </w:pPr>
          <w:hyperlink w:anchor="__RefHeading___Toc828650_2320776876">
            <w:r>
              <w:rPr>
                <w:webHidden/>
                <w:rStyle w:val="IndexLink"/>
                <w:rtl w:val="true"/>
              </w:rPr>
              <w:t>عدم اقتضاء كون الإمام لطفاً نفيَ القدرة عن اللّٰه تعالىٰ</w:t>
            </w:r>
            <w:r>
              <w:rPr>
                <w:rStyle w:val="IndexLink"/>
                <w:rtl w:val="true"/>
              </w:rPr>
              <w:tab/>
            </w:r>
            <w:r>
              <w:rPr>
                <w:rStyle w:val="IndexLink"/>
              </w:rPr>
              <w:t>438</w:t>
            </w:r>
          </w:hyperlink>
        </w:p>
        <w:p>
          <w:pPr>
            <w:pStyle w:val="Contents5"/>
            <w:tabs>
              <w:tab w:val="clear" w:pos="7892"/>
              <w:tab w:val="right" w:pos="9026" w:leader="dot"/>
            </w:tabs>
            <w:rPr/>
          </w:pPr>
          <w:hyperlink w:anchor="__RefHeading___Toc828652_2320776876">
            <w:r>
              <w:rPr>
                <w:webHidden/>
                <w:rStyle w:val="IndexLink"/>
                <w:rtl w:val="true"/>
              </w:rPr>
              <w:t>بيان دقيق في كيفيّة الاستدلال بالنقص علىٰ وجوب الإمام</w:t>
            </w:r>
            <w:r>
              <w:rPr>
                <w:rStyle w:val="IndexLink"/>
                <w:rtl w:val="true"/>
              </w:rPr>
              <w:tab/>
            </w:r>
            <w:r>
              <w:rPr>
                <w:rStyle w:val="IndexLink"/>
              </w:rPr>
              <w:t>440</w:t>
            </w:r>
          </w:hyperlink>
        </w:p>
        <w:p>
          <w:pPr>
            <w:pStyle w:val="Contents5"/>
            <w:tabs>
              <w:tab w:val="clear" w:pos="7892"/>
              <w:tab w:val="right" w:pos="9026" w:leader="dot"/>
            </w:tabs>
            <w:rPr/>
          </w:pPr>
          <w:hyperlink w:anchor="__RefHeading___Toc828654_2320776876">
            <w:r>
              <w:rPr>
                <w:webHidden/>
                <w:rStyle w:val="IndexLink"/>
                <w:rtl w:val="true"/>
              </w:rPr>
              <w:t>عدم المنافاة بين العلم الضروريّ بأُمور الدين، و الحاجة إلى الإمام</w:t>
            </w:r>
            <w:r>
              <w:rPr>
                <w:rStyle w:val="IndexLink"/>
                <w:rtl w:val="true"/>
              </w:rPr>
              <w:tab/>
            </w:r>
            <w:r>
              <w:rPr>
                <w:rStyle w:val="IndexLink"/>
              </w:rPr>
              <w:t>442</w:t>
            </w:r>
          </w:hyperlink>
        </w:p>
        <w:p>
          <w:pPr>
            <w:pStyle w:val="Contents5"/>
            <w:tabs>
              <w:tab w:val="clear" w:pos="7892"/>
              <w:tab w:val="right" w:pos="9026" w:leader="dot"/>
            </w:tabs>
            <w:rPr/>
          </w:pPr>
          <w:hyperlink w:anchor="__RefHeading___Toc828656_2320776876">
            <w:r>
              <w:rPr>
                <w:webHidden/>
                <w:rStyle w:val="IndexLink"/>
                <w:rtl w:val="true"/>
              </w:rPr>
              <w:t>اختلاف أنواع الألطاف من حيث الخصوص و العموم</w:t>
            </w:r>
            <w:r>
              <w:rPr>
                <w:rStyle w:val="IndexLink"/>
                <w:rtl w:val="true"/>
              </w:rPr>
              <w:tab/>
            </w:r>
            <w:r>
              <w:rPr>
                <w:rStyle w:val="IndexLink"/>
              </w:rPr>
              <w:t>442</w:t>
            </w:r>
          </w:hyperlink>
        </w:p>
        <w:p>
          <w:pPr>
            <w:pStyle w:val="Contents5"/>
            <w:tabs>
              <w:tab w:val="clear" w:pos="7892"/>
              <w:tab w:val="right" w:pos="9026" w:leader="dot"/>
            </w:tabs>
            <w:rPr/>
          </w:pPr>
          <w:hyperlink w:anchor="__RefHeading___Toc828658_2320776876">
            <w:r>
              <w:rPr>
                <w:webHidden/>
                <w:rStyle w:val="IndexLink"/>
                <w:rtl w:val="true"/>
              </w:rPr>
              <w:t>استحالة توقّف معرفة جميع الأئمّة علىٰ معرفة الإمام</w:t>
            </w:r>
            <w:r>
              <w:rPr>
                <w:rStyle w:val="IndexLink"/>
                <w:rtl w:val="true"/>
              </w:rPr>
              <w:tab/>
            </w:r>
            <w:r>
              <w:rPr>
                <w:rStyle w:val="IndexLink"/>
              </w:rPr>
              <w:t>443</w:t>
            </w:r>
          </w:hyperlink>
        </w:p>
        <w:p>
          <w:pPr>
            <w:pStyle w:val="Contents5"/>
            <w:tabs>
              <w:tab w:val="clear" w:pos="7892"/>
              <w:tab w:val="right" w:pos="9026" w:leader="dot"/>
            </w:tabs>
            <w:rPr/>
          </w:pPr>
          <w:hyperlink w:anchor="__RefHeading___Toc828660_2320776876">
            <w:r>
              <w:rPr>
                <w:webHidden/>
                <w:rStyle w:val="IndexLink"/>
                <w:rtl w:val="true"/>
              </w:rPr>
              <w:t>عدم تساوي وجود الإمام و عدمه في معرفة الناس التكاليفَ و قيامهم بها</w:t>
            </w:r>
            <w:r>
              <w:rPr>
                <w:rStyle w:val="IndexLink"/>
                <w:rtl w:val="true"/>
              </w:rPr>
              <w:tab/>
            </w:r>
            <w:r>
              <w:rPr>
                <w:rStyle w:val="IndexLink"/>
              </w:rPr>
              <w:t>444</w:t>
            </w:r>
          </w:hyperlink>
        </w:p>
        <w:p>
          <w:pPr>
            <w:pStyle w:val="Contents5"/>
            <w:tabs>
              <w:tab w:val="clear" w:pos="7892"/>
              <w:tab w:val="right" w:pos="9026" w:leader="dot"/>
            </w:tabs>
            <w:rPr/>
          </w:pPr>
          <w:hyperlink w:anchor="__RefHeading___Toc828662_2320776876">
            <w:r>
              <w:rPr>
                <w:webHidden/>
                <w:rStyle w:val="IndexLink"/>
                <w:rtl w:val="true"/>
              </w:rPr>
              <w:t xml:space="preserve">إشكالٌ لصاحِبِ </w:t>
            </w:r>
            <w:r>
              <w:rPr>
                <w:rStyle w:val="IndexLink"/>
                <w:rtl w:val="true"/>
              </w:rPr>
              <w:t>«</w:t>
            </w:r>
            <w:r>
              <w:rPr>
                <w:rStyle w:val="IndexLink"/>
                <w:rtl w:val="true"/>
              </w:rPr>
              <w:t>المُغني</w:t>
            </w:r>
            <w:r>
              <w:rPr>
                <w:rStyle w:val="IndexLink"/>
                <w:rtl w:val="true"/>
              </w:rPr>
              <w:t xml:space="preserve">» </w:t>
            </w:r>
            <w:r>
              <w:rPr>
                <w:rStyle w:val="IndexLink"/>
                <w:rtl w:val="true"/>
              </w:rPr>
              <w:t>حَولَ غَيبةِ الإمامِ ، و ردُّه</w:t>
            </w:r>
            <w:r>
              <w:rPr>
                <w:rStyle w:val="IndexLink"/>
                <w:rtl w:val="true"/>
              </w:rPr>
              <w:tab/>
            </w:r>
            <w:r>
              <w:rPr>
                <w:rStyle w:val="IndexLink"/>
              </w:rPr>
              <w:t>446</w:t>
            </w:r>
          </w:hyperlink>
        </w:p>
        <w:p>
          <w:pPr>
            <w:pStyle w:val="Contents5"/>
            <w:tabs>
              <w:tab w:val="clear" w:pos="7892"/>
              <w:tab w:val="right" w:pos="9026" w:leader="dot"/>
            </w:tabs>
            <w:rPr/>
          </w:pPr>
          <w:hyperlink w:anchor="__RefHeading___Toc828664_2320776876">
            <w:r>
              <w:rPr>
                <w:webHidden/>
                <w:rStyle w:val="IndexLink"/>
                <w:rtl w:val="true"/>
              </w:rPr>
              <w:t>بيان الفرق بين عدم ظهور الإمام و عدم عينه</w:t>
            </w:r>
            <w:r>
              <w:rPr>
                <w:rStyle w:val="IndexLink"/>
                <w:rtl w:val="true"/>
              </w:rPr>
              <w:tab/>
            </w:r>
            <w:r>
              <w:rPr>
                <w:rStyle w:val="IndexLink"/>
              </w:rPr>
              <w:t>446</w:t>
            </w:r>
          </w:hyperlink>
        </w:p>
        <w:p>
          <w:pPr>
            <w:pStyle w:val="Contents5"/>
            <w:tabs>
              <w:tab w:val="clear" w:pos="7892"/>
              <w:tab w:val="right" w:pos="9026" w:leader="dot"/>
            </w:tabs>
            <w:rPr/>
          </w:pPr>
          <w:hyperlink w:anchor="__RefHeading___Toc828666_2320776876">
            <w:r>
              <w:rPr>
                <w:webHidden/>
                <w:rStyle w:val="IndexLink"/>
                <w:rtl w:val="true"/>
              </w:rPr>
              <w:t>بيان المانع الحقيقي من ظهور الإمام</w:t>
            </w:r>
            <w:r>
              <w:rPr>
                <w:rStyle w:val="IndexLink"/>
                <w:rtl w:val="true"/>
              </w:rPr>
              <w:tab/>
            </w:r>
            <w:r>
              <w:rPr>
                <w:rStyle w:val="IndexLink"/>
              </w:rPr>
              <w:t>448</w:t>
            </w:r>
          </w:hyperlink>
        </w:p>
        <w:p>
          <w:pPr>
            <w:pStyle w:val="Contents5"/>
            <w:tabs>
              <w:tab w:val="clear" w:pos="7892"/>
              <w:tab w:val="right" w:pos="9026" w:leader="dot"/>
            </w:tabs>
            <w:rPr/>
          </w:pPr>
          <w:hyperlink w:anchor="__RefHeading___Toc828668_2320776876">
            <w:r>
              <w:rPr>
                <w:webHidden/>
                <w:rStyle w:val="IndexLink"/>
                <w:rtl w:val="true"/>
              </w:rPr>
              <w:t>بيان الفرق بين علّة الاستتار من الأعداء و من الأولياء</w:t>
            </w:r>
            <w:r>
              <w:rPr>
                <w:rStyle w:val="IndexLink"/>
                <w:rtl w:val="true"/>
              </w:rPr>
              <w:tab/>
            </w:r>
            <w:r>
              <w:rPr>
                <w:rStyle w:val="IndexLink"/>
              </w:rPr>
              <w:t>450</w:t>
            </w:r>
          </w:hyperlink>
        </w:p>
        <w:p>
          <w:pPr>
            <w:pStyle w:val="Contents5"/>
            <w:tabs>
              <w:tab w:val="clear" w:pos="7892"/>
              <w:tab w:val="right" w:pos="9026" w:leader="dot"/>
            </w:tabs>
            <w:rPr/>
          </w:pPr>
          <w:hyperlink w:anchor="__RefHeading___Toc828670_2320776876">
            <w:r>
              <w:rPr>
                <w:webHidden/>
                <w:rStyle w:val="IndexLink"/>
                <w:rtl w:val="true"/>
              </w:rPr>
              <w:t>عدم لزوم كون الإمام في كلّ بلد و جَمْع</w:t>
            </w:r>
            <w:r>
              <w:rPr>
                <w:rStyle w:val="IndexLink"/>
                <w:rtl w:val="true"/>
              </w:rPr>
              <w:tab/>
            </w:r>
            <w:r>
              <w:rPr>
                <w:rStyle w:val="IndexLink"/>
              </w:rPr>
              <w:t>454</w:t>
            </w:r>
          </w:hyperlink>
        </w:p>
        <w:p>
          <w:pPr>
            <w:pStyle w:val="Contents5"/>
            <w:tabs>
              <w:tab w:val="clear" w:pos="7892"/>
              <w:tab w:val="right" w:pos="9026" w:leader="dot"/>
            </w:tabs>
            <w:rPr/>
          </w:pPr>
          <w:hyperlink w:anchor="__RefHeading___Toc828672_2320776876">
            <w:r>
              <w:rPr>
                <w:webHidden/>
                <w:rStyle w:val="IndexLink"/>
                <w:rtl w:val="true"/>
              </w:rPr>
              <w:t>تمكُّن المكلَّفين من أداء التكليف في زمن الغيبة</w:t>
            </w:r>
            <w:r>
              <w:rPr>
                <w:rStyle w:val="IndexLink"/>
                <w:rtl w:val="true"/>
              </w:rPr>
              <w:tab/>
            </w:r>
            <w:r>
              <w:rPr>
                <w:rStyle w:val="IndexLink"/>
              </w:rPr>
              <w:t>456</w:t>
            </w:r>
          </w:hyperlink>
        </w:p>
        <w:p>
          <w:pPr>
            <w:pStyle w:val="Contents5"/>
            <w:tabs>
              <w:tab w:val="clear" w:pos="7892"/>
              <w:tab w:val="right" w:pos="9026" w:leader="dot"/>
            </w:tabs>
            <w:rPr/>
          </w:pPr>
          <w:hyperlink w:anchor="__RefHeading___Toc828674_2320776876">
            <w:r>
              <w:rPr>
                <w:webHidden/>
                <w:rStyle w:val="IndexLink"/>
                <w:rtl w:val="true"/>
              </w:rPr>
              <w:t>نفي السهو عن الإمام</w:t>
            </w:r>
            <w:r>
              <w:rPr>
                <w:rStyle w:val="IndexLink"/>
                <w:rtl w:val="true"/>
              </w:rPr>
              <w:tab/>
            </w:r>
            <w:r>
              <w:rPr>
                <w:rStyle w:val="IndexLink"/>
              </w:rPr>
              <w:t>457</w:t>
            </w:r>
          </w:hyperlink>
        </w:p>
        <w:p>
          <w:pPr>
            <w:pStyle w:val="Contents5"/>
            <w:tabs>
              <w:tab w:val="clear" w:pos="7892"/>
              <w:tab w:val="right" w:pos="9026" w:leader="dot"/>
            </w:tabs>
            <w:rPr/>
          </w:pPr>
          <w:hyperlink w:anchor="__RefHeading___Toc828676_2320776876">
            <w:r>
              <w:rPr>
                <w:webHidden/>
                <w:rStyle w:val="IndexLink"/>
                <w:rtl w:val="true"/>
              </w:rPr>
              <w:t>جواز عدول الناقلين للأخبار عن النقل</w:t>
            </w:r>
            <w:r>
              <w:rPr>
                <w:rStyle w:val="IndexLink"/>
                <w:rtl w:val="true"/>
              </w:rPr>
              <w:tab/>
            </w:r>
            <w:r>
              <w:rPr>
                <w:rStyle w:val="IndexLink"/>
              </w:rPr>
              <w:t>457</w:t>
            </w:r>
          </w:hyperlink>
        </w:p>
        <w:p>
          <w:pPr>
            <w:pStyle w:val="Contents5"/>
            <w:tabs>
              <w:tab w:val="clear" w:pos="7892"/>
              <w:tab w:val="right" w:pos="9026" w:leader="dot"/>
            </w:tabs>
            <w:rPr/>
          </w:pPr>
          <w:hyperlink w:anchor="__RefHeading___Toc828678_2320776876">
            <w:r>
              <w:rPr>
                <w:webHidden/>
                <w:rStyle w:val="IndexLink"/>
                <w:rtl w:val="true"/>
              </w:rPr>
              <w:t>عدم التلازم بين سقوط التكليف عن الناقل إذا سها، و بين سقوطه عن الآخرين</w:t>
            </w:r>
            <w:r>
              <w:rPr>
                <w:rStyle w:val="IndexLink"/>
                <w:rtl w:val="true"/>
              </w:rPr>
              <w:tab/>
            </w:r>
            <w:r>
              <w:rPr>
                <w:rStyle w:val="IndexLink"/>
              </w:rPr>
              <w:t>459</w:t>
            </w:r>
          </w:hyperlink>
        </w:p>
        <w:p>
          <w:pPr>
            <w:pStyle w:val="Contents5"/>
            <w:tabs>
              <w:tab w:val="clear" w:pos="7892"/>
              <w:tab w:val="right" w:pos="9026" w:leader="dot"/>
            </w:tabs>
            <w:rPr/>
          </w:pPr>
          <w:hyperlink w:anchor="__RefHeading___Toc828680_2320776876">
            <w:r>
              <w:rPr>
                <w:webHidden/>
                <w:rStyle w:val="IndexLink"/>
                <w:rtl w:val="true"/>
              </w:rPr>
              <w:t>وجه دلالة جواز دخول الشبهة على الحاجة إلى الإمام</w:t>
            </w:r>
            <w:r>
              <w:rPr>
                <w:rStyle w:val="IndexLink"/>
                <w:rtl w:val="true"/>
              </w:rPr>
              <w:tab/>
            </w:r>
            <w:r>
              <w:rPr>
                <w:rStyle w:val="IndexLink"/>
              </w:rPr>
              <w:t>461</w:t>
            </w:r>
          </w:hyperlink>
        </w:p>
        <w:p>
          <w:pPr>
            <w:pStyle w:val="Contents5"/>
            <w:tabs>
              <w:tab w:val="clear" w:pos="7892"/>
              <w:tab w:val="right" w:pos="9026" w:leader="dot"/>
            </w:tabs>
            <w:rPr/>
          </w:pPr>
          <w:hyperlink w:anchor="__RefHeading___Toc828682_2320776876">
            <w:r>
              <w:rPr>
                <w:webHidden/>
                <w:rStyle w:val="IndexLink"/>
                <w:rtl w:val="true"/>
              </w:rPr>
              <w:t>وجه دلالة اتّباع الشهوات على الحاجة إلى الإمام</w:t>
            </w:r>
            <w:r>
              <w:rPr>
                <w:rStyle w:val="IndexLink"/>
                <w:rtl w:val="true"/>
              </w:rPr>
              <w:tab/>
            </w:r>
            <w:r>
              <w:rPr>
                <w:rStyle w:val="IndexLink"/>
              </w:rPr>
              <w:t>466</w:t>
            </w:r>
          </w:hyperlink>
        </w:p>
        <w:p>
          <w:pPr>
            <w:pStyle w:val="Contents4"/>
            <w:tabs>
              <w:tab w:val="clear" w:pos="8176"/>
              <w:tab w:val="right" w:pos="9026" w:leader="dot"/>
            </w:tabs>
            <w:rPr/>
          </w:pPr>
          <w:hyperlink w:anchor="__RefHeading___Toc828684_2320776876">
            <w:r>
              <w:rPr>
                <w:webHidden/>
                <w:rStyle w:val="IndexLink"/>
                <w:rtl w:val="true"/>
              </w:rPr>
              <w:t>الدليل الثاني جواز السهو و الغفلة و الشبهة و التقصير على المكلّفين</w:t>
            </w:r>
            <w:r>
              <w:rPr>
                <w:rStyle w:val="IndexLink"/>
                <w:rtl w:val="true"/>
              </w:rPr>
              <w:tab/>
            </w:r>
            <w:r>
              <w:rPr>
                <w:rStyle w:val="IndexLink"/>
              </w:rPr>
              <w:t>471</w:t>
            </w:r>
          </w:hyperlink>
        </w:p>
        <w:p>
          <w:pPr>
            <w:pStyle w:val="Contents5"/>
            <w:tabs>
              <w:tab w:val="clear" w:pos="7892"/>
              <w:tab w:val="right" w:pos="9026" w:leader="dot"/>
            </w:tabs>
            <w:rPr/>
          </w:pPr>
          <w:hyperlink w:anchor="__RefHeading___Toc828686_2320776876">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828688_2320776876">
            <w:r>
              <w:rPr>
                <w:webHidden/>
                <w:rStyle w:val="IndexLink"/>
                <w:rtl w:val="true"/>
              </w:rPr>
              <w:t>إشارات إلىٰ مسألة كون الإمامة لطفاً</w:t>
            </w:r>
            <w:r>
              <w:rPr>
                <w:rStyle w:val="IndexLink"/>
                <w:rtl w:val="true"/>
              </w:rPr>
              <w:tab/>
            </w:r>
            <w:r>
              <w:rPr>
                <w:rStyle w:val="IndexLink"/>
              </w:rPr>
              <w:t>472</w:t>
            </w:r>
          </w:hyperlink>
        </w:p>
        <w:p>
          <w:pPr>
            <w:pStyle w:val="Contents5"/>
            <w:tabs>
              <w:tab w:val="clear" w:pos="7892"/>
              <w:tab w:val="right" w:pos="9026" w:leader="dot"/>
            </w:tabs>
            <w:rPr/>
          </w:pPr>
          <w:hyperlink w:anchor="__RefHeading___Toc828690_2320776876">
            <w:r>
              <w:rPr>
                <w:webHidden/>
                <w:rStyle w:val="IndexLink"/>
                <w:rtl w:val="true"/>
              </w:rPr>
              <w:t>عدم وجوب كون الإمام لطفاً في كلّ تكليف</w:t>
            </w:r>
            <w:r>
              <w:rPr>
                <w:rStyle w:val="IndexLink"/>
                <w:rtl w:val="true"/>
              </w:rPr>
              <w:tab/>
            </w:r>
            <w:r>
              <w:rPr>
                <w:rStyle w:val="IndexLink"/>
              </w:rPr>
              <w:t>475</w:t>
            </w:r>
          </w:hyperlink>
        </w:p>
        <w:p>
          <w:pPr>
            <w:pStyle w:val="Contents5"/>
            <w:tabs>
              <w:tab w:val="clear" w:pos="7892"/>
              <w:tab w:val="right" w:pos="9026" w:leader="dot"/>
            </w:tabs>
            <w:rPr/>
          </w:pPr>
          <w:hyperlink w:anchor="__RefHeading___Toc828692_2320776876">
            <w:r>
              <w:rPr>
                <w:webHidden/>
                <w:rStyle w:val="IndexLink"/>
                <w:rtl w:val="true"/>
              </w:rPr>
              <w:t>الفرق بين وجوب كون الإمام لطفاً في كلّ تكليف و جواز ذلك</w:t>
            </w:r>
            <w:r>
              <w:rPr>
                <w:rStyle w:val="IndexLink"/>
                <w:rtl w:val="true"/>
              </w:rPr>
              <w:tab/>
            </w:r>
            <w:r>
              <w:rPr>
                <w:rStyle w:val="IndexLink"/>
              </w:rPr>
              <w:t>476</w:t>
            </w:r>
          </w:hyperlink>
        </w:p>
        <w:p>
          <w:pPr>
            <w:pStyle w:val="Contents5"/>
            <w:tabs>
              <w:tab w:val="clear" w:pos="7892"/>
              <w:tab w:val="right" w:pos="9026" w:leader="dot"/>
            </w:tabs>
            <w:rPr/>
          </w:pPr>
          <w:hyperlink w:anchor="__RefHeading___Toc828694_2320776876">
            <w:r>
              <w:rPr>
                <w:webHidden/>
                <w:rStyle w:val="IndexLink"/>
                <w:rtl w:val="true"/>
              </w:rPr>
              <w:t>هل يوجِبُ اللُّطفُ في الإمامةِ كَونَ الناسِ مُلجَئينَ إلَى الطاعةِ؟</w:t>
            </w:r>
            <w:r>
              <w:rPr>
                <w:rStyle w:val="IndexLink"/>
                <w:rtl w:val="true"/>
              </w:rPr>
              <w:tab/>
            </w:r>
            <w:r>
              <w:rPr>
                <w:rStyle w:val="IndexLink"/>
              </w:rPr>
              <w:t>477</w:t>
            </w:r>
          </w:hyperlink>
        </w:p>
        <w:p>
          <w:pPr>
            <w:pStyle w:val="Contents5"/>
            <w:tabs>
              <w:tab w:val="clear" w:pos="7892"/>
              <w:tab w:val="right" w:pos="9026" w:leader="dot"/>
            </w:tabs>
            <w:rPr/>
          </w:pPr>
          <w:hyperlink w:anchor="__RefHeading___Toc828696_2320776876">
            <w:r>
              <w:rPr>
                <w:webHidden/>
                <w:rStyle w:val="IndexLink"/>
                <w:rtl w:val="true"/>
              </w:rPr>
              <w:t>عدم قيام غير الإمام مقامه فيما هو لطف فيه</w:t>
            </w:r>
            <w:r>
              <w:rPr>
                <w:rStyle w:val="IndexLink"/>
                <w:rtl w:val="true"/>
              </w:rPr>
              <w:tab/>
            </w:r>
            <w:r>
              <w:rPr>
                <w:rStyle w:val="IndexLink"/>
              </w:rPr>
              <w:t>479</w:t>
            </w:r>
          </w:hyperlink>
        </w:p>
        <w:p>
          <w:pPr>
            <w:pStyle w:val="Contents5"/>
            <w:tabs>
              <w:tab w:val="clear" w:pos="7892"/>
              <w:tab w:val="right" w:pos="9026" w:leader="dot"/>
            </w:tabs>
            <w:rPr/>
          </w:pPr>
          <w:hyperlink w:anchor="__RefHeading___Toc828698_2320776876">
            <w:r>
              <w:rPr>
                <w:webHidden/>
                <w:rStyle w:val="IndexLink"/>
                <w:rtl w:val="true"/>
              </w:rPr>
              <w:t>عدم استغناء المكلّفين عن الإمام فيما هو لطف فيه</w:t>
            </w:r>
            <w:r>
              <w:rPr>
                <w:rStyle w:val="IndexLink"/>
                <w:rtl w:val="true"/>
              </w:rPr>
              <w:tab/>
            </w:r>
            <w:r>
              <w:rPr>
                <w:rStyle w:val="IndexLink"/>
              </w:rPr>
              <w:t>480</w:t>
            </w:r>
          </w:hyperlink>
        </w:p>
        <w:p>
          <w:pPr>
            <w:pStyle w:val="Contents4"/>
            <w:tabs>
              <w:tab w:val="clear" w:pos="8176"/>
              <w:tab w:val="right" w:pos="9026" w:leader="dot"/>
            </w:tabs>
            <w:rPr/>
          </w:pPr>
          <w:hyperlink w:anchor="__RefHeading___Toc828700_2320776876">
            <w:r>
              <w:rPr>
                <w:webHidden/>
                <w:rStyle w:val="IndexLink"/>
                <w:rtl w:val="true"/>
              </w:rPr>
              <w:t>الدليل الثالث قطع الاختلاف في المذاهب</w:t>
            </w:r>
            <w:r>
              <w:rPr>
                <w:rStyle w:val="IndexLink"/>
                <w:rtl w:val="true"/>
              </w:rPr>
              <w:tab/>
            </w:r>
            <w:r>
              <w:rPr>
                <w:rStyle w:val="IndexLink"/>
              </w:rPr>
              <w:t>483</w:t>
            </w:r>
          </w:hyperlink>
        </w:p>
        <w:p>
          <w:pPr>
            <w:pStyle w:val="Contents4"/>
            <w:tabs>
              <w:tab w:val="clear" w:pos="8176"/>
              <w:tab w:val="right" w:pos="9026" w:leader="dot"/>
            </w:tabs>
            <w:rPr/>
          </w:pPr>
          <w:hyperlink w:anchor="__RefHeading___Toc828702_2320776876">
            <w:r>
              <w:rPr>
                <w:webHidden/>
                <w:rStyle w:val="IndexLink"/>
                <w:rtl w:val="true"/>
              </w:rPr>
              <w:t>الدليل الرابع قطع الاختلاف في الفقه و الاجتهاد</w:t>
            </w:r>
            <w:r>
              <w:rPr>
                <w:rStyle w:val="IndexLink"/>
                <w:rtl w:val="true"/>
              </w:rPr>
              <w:tab/>
            </w:r>
            <w:r>
              <w:rPr>
                <w:rStyle w:val="IndexLink"/>
              </w:rPr>
              <w:t>485</w:t>
            </w:r>
          </w:hyperlink>
        </w:p>
        <w:p>
          <w:pPr>
            <w:pStyle w:val="Contents5"/>
            <w:tabs>
              <w:tab w:val="clear" w:pos="7892"/>
              <w:tab w:val="right" w:pos="9026" w:leader="dot"/>
            </w:tabs>
            <w:rPr/>
          </w:pPr>
          <w:hyperlink w:anchor="__RefHeading___Toc828704_2320776876">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828706_2320776876">
            <w:r>
              <w:rPr>
                <w:webHidden/>
                <w:rStyle w:val="IndexLink"/>
                <w:rtl w:val="true"/>
              </w:rPr>
              <w:t>إبطال صحّة الاجتهاد بمعنىٰ طلب غلبة الظنّ فيما لا دليل عليه</w:t>
            </w:r>
            <w:r>
              <w:rPr>
                <w:rStyle w:val="IndexLink"/>
                <w:rtl w:val="true"/>
              </w:rPr>
              <w:tab/>
            </w:r>
            <w:r>
              <w:rPr>
                <w:rStyle w:val="IndexLink"/>
              </w:rPr>
              <w:t>486</w:t>
            </w:r>
          </w:hyperlink>
        </w:p>
        <w:p>
          <w:pPr>
            <w:pStyle w:val="Contents5"/>
            <w:tabs>
              <w:tab w:val="clear" w:pos="7892"/>
              <w:tab w:val="right" w:pos="9026" w:leader="dot"/>
            </w:tabs>
            <w:rPr/>
          </w:pPr>
          <w:hyperlink w:anchor="__RefHeading___Toc828708_2320776876">
            <w:r>
              <w:rPr>
                <w:webHidden/>
                <w:rStyle w:val="IndexLink"/>
                <w:rtl w:val="true"/>
              </w:rPr>
              <w:t>عدم وجود أدلّة قاطعة علىٰ كلّ الشريعة</w:t>
            </w:r>
            <w:r>
              <w:rPr>
                <w:rStyle w:val="IndexLink"/>
                <w:rtl w:val="true"/>
              </w:rPr>
              <w:tab/>
            </w:r>
            <w:r>
              <w:rPr>
                <w:rStyle w:val="IndexLink"/>
              </w:rPr>
              <w:t>490</w:t>
            </w:r>
          </w:hyperlink>
        </w:p>
        <w:p>
          <w:pPr>
            <w:pStyle w:val="Contents5"/>
            <w:tabs>
              <w:tab w:val="clear" w:pos="7892"/>
              <w:tab w:val="right" w:pos="9026" w:leader="dot"/>
            </w:tabs>
            <w:rPr/>
          </w:pPr>
          <w:hyperlink w:anchor="__RefHeading___Toc828710_2320776876">
            <w:r>
              <w:rPr>
                <w:webHidden/>
                <w:rStyle w:val="IndexLink"/>
                <w:rtl w:val="true"/>
              </w:rPr>
              <w:t>عدم بطلان فتاوى الشيعة و عدم استغنائهم عن إمام يكون من ورائهم</w:t>
            </w:r>
            <w:r>
              <w:rPr>
                <w:rStyle w:val="IndexLink"/>
                <w:rtl w:val="true"/>
              </w:rPr>
              <w:tab/>
            </w:r>
            <w:r>
              <w:rPr>
                <w:rStyle w:val="IndexLink"/>
              </w:rPr>
              <w:t>492</w:t>
            </w:r>
          </w:hyperlink>
        </w:p>
        <w:p>
          <w:pPr>
            <w:pStyle w:val="Contents5"/>
            <w:tabs>
              <w:tab w:val="clear" w:pos="7892"/>
              <w:tab w:val="right" w:pos="9026" w:leader="dot"/>
            </w:tabs>
            <w:rPr/>
          </w:pPr>
          <w:hyperlink w:anchor="__RefHeading___Toc828712_2320776876">
            <w:r>
              <w:rPr>
                <w:webHidden/>
                <w:rStyle w:val="IndexLink"/>
                <w:rtl w:val="true"/>
              </w:rPr>
              <w:t>منعُ أمير المؤمنين من الاجتهاد و الاختلاف</w:t>
            </w:r>
            <w:r>
              <w:rPr>
                <w:rStyle w:val="IndexLink"/>
                <w:rtl w:val="true"/>
              </w:rPr>
              <w:tab/>
            </w:r>
            <w:r>
              <w:rPr>
                <w:rStyle w:val="IndexLink"/>
              </w:rPr>
              <w:t>494</w:t>
            </w:r>
          </w:hyperlink>
        </w:p>
        <w:p>
          <w:pPr>
            <w:pStyle w:val="Contents4"/>
            <w:tabs>
              <w:tab w:val="clear" w:pos="8176"/>
              <w:tab w:val="right" w:pos="9026" w:leader="dot"/>
            </w:tabs>
            <w:rPr/>
          </w:pPr>
          <w:hyperlink w:anchor="__RefHeading___Toc828714_2320776876">
            <w:r>
              <w:rPr>
                <w:webHidden/>
                <w:rStyle w:val="IndexLink"/>
                <w:rtl w:val="true"/>
              </w:rPr>
              <w:t>الدليل الخامس معرفة ما يتّصل بمصالح أبدان المكلّفين و معايشهم</w:t>
            </w:r>
            <w:r>
              <w:rPr>
                <w:rStyle w:val="IndexLink"/>
                <w:rtl w:val="true"/>
              </w:rPr>
              <w:tab/>
            </w:r>
            <w:r>
              <w:rPr>
                <w:rStyle w:val="IndexLink"/>
              </w:rPr>
              <w:t>503</w:t>
            </w:r>
          </w:hyperlink>
        </w:p>
        <w:p>
          <w:pPr>
            <w:pStyle w:val="Contents4"/>
            <w:tabs>
              <w:tab w:val="clear" w:pos="8176"/>
              <w:tab w:val="right" w:pos="9026" w:leader="dot"/>
            </w:tabs>
            <w:rPr/>
          </w:pPr>
          <w:hyperlink w:anchor="__RefHeading___Toc828716_2320776876">
            <w:r>
              <w:rPr>
                <w:webHidden/>
                <w:rStyle w:val="IndexLink"/>
                <w:rtl w:val="true"/>
              </w:rPr>
              <w:t>الدليل السادس قيام الإمام مقام الرسول في حفظ الشريعة</w:t>
            </w:r>
            <w:r>
              <w:rPr>
                <w:rStyle w:val="IndexLink"/>
                <w:rtl w:val="true"/>
              </w:rPr>
              <w:tab/>
            </w:r>
            <w:r>
              <w:rPr>
                <w:rStyle w:val="IndexLink"/>
              </w:rPr>
              <w:t>505</w:t>
            </w:r>
          </w:hyperlink>
        </w:p>
        <w:p>
          <w:pPr>
            <w:pStyle w:val="Contents5"/>
            <w:tabs>
              <w:tab w:val="clear" w:pos="7892"/>
              <w:tab w:val="right" w:pos="9026" w:leader="dot"/>
            </w:tabs>
            <w:rPr/>
          </w:pPr>
          <w:hyperlink w:anchor="__RefHeading___Toc828718_2320776876">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828720_2320776876">
            <w:r>
              <w:rPr>
                <w:webHidden/>
                <w:rStyle w:val="IndexLink"/>
                <w:rtl w:val="true"/>
              </w:rPr>
              <w:t>تقرير المصنّف للدليل السادس على الإمامة</w:t>
            </w:r>
            <w:r>
              <w:rPr>
                <w:rStyle w:val="IndexLink"/>
                <w:rtl w:val="true"/>
              </w:rPr>
              <w:tab/>
            </w:r>
            <w:r>
              <w:rPr>
                <w:rStyle w:val="IndexLink"/>
              </w:rPr>
              <w:t>507</w:t>
            </w:r>
          </w:hyperlink>
        </w:p>
        <w:p>
          <w:pPr>
            <w:pStyle w:val="Contents5"/>
            <w:tabs>
              <w:tab w:val="clear" w:pos="7892"/>
              <w:tab w:val="right" w:pos="9026" w:leader="dot"/>
            </w:tabs>
            <w:rPr/>
          </w:pPr>
          <w:hyperlink w:anchor="__RefHeading___Toc828722_2320776876">
            <w:r>
              <w:rPr>
                <w:webHidden/>
                <w:rStyle w:val="IndexLink"/>
                <w:rtl w:val="true"/>
              </w:rPr>
              <w:t>ضرورة وجود حجّةٍ يقف من وراء الناقلين</w:t>
            </w:r>
            <w:r>
              <w:rPr>
                <w:rStyle w:val="IndexLink"/>
                <w:rtl w:val="true"/>
              </w:rPr>
              <w:tab/>
            </w:r>
            <w:r>
              <w:rPr>
                <w:rStyle w:val="IndexLink"/>
              </w:rPr>
              <w:t>510</w:t>
            </w:r>
          </w:hyperlink>
        </w:p>
        <w:p>
          <w:pPr>
            <w:pStyle w:val="Contents5"/>
            <w:tabs>
              <w:tab w:val="clear" w:pos="7892"/>
              <w:tab w:val="right" w:pos="9026" w:leader="dot"/>
            </w:tabs>
            <w:rPr/>
          </w:pPr>
          <w:hyperlink w:anchor="__RefHeading___Toc828724_2320776876">
            <w:r>
              <w:rPr>
                <w:webHidden/>
                <w:rStyle w:val="IndexLink"/>
                <w:rtl w:val="true"/>
              </w:rPr>
              <w:t>وجوب معرفة الإمام لأجل معرفة الشرع</w:t>
            </w:r>
            <w:r>
              <w:rPr>
                <w:rStyle w:val="IndexLink"/>
                <w:rtl w:val="true"/>
              </w:rPr>
              <w:tab/>
            </w:r>
            <w:r>
              <w:rPr>
                <w:rStyle w:val="IndexLink"/>
              </w:rPr>
              <w:t>513</w:t>
            </w:r>
          </w:hyperlink>
        </w:p>
        <w:p>
          <w:pPr>
            <w:pStyle w:val="Contents5"/>
            <w:tabs>
              <w:tab w:val="clear" w:pos="7892"/>
              <w:tab w:val="right" w:pos="9026" w:leader="dot"/>
            </w:tabs>
            <w:rPr/>
          </w:pPr>
          <w:hyperlink w:anchor="__RefHeading___Toc828726_2320776876">
            <w:r>
              <w:rPr>
                <w:webHidden/>
                <w:rStyle w:val="IndexLink"/>
                <w:rtl w:val="true"/>
              </w:rPr>
              <w:t>بيان الطريق إلىٰ معرفة الإمام، و عدم الاستغناء بالتواتر عنه</w:t>
            </w:r>
            <w:r>
              <w:rPr>
                <w:rStyle w:val="IndexLink"/>
                <w:rtl w:val="true"/>
              </w:rPr>
              <w:tab/>
            </w:r>
            <w:r>
              <w:rPr>
                <w:rStyle w:val="IndexLink"/>
              </w:rPr>
              <w:t>514</w:t>
            </w:r>
          </w:hyperlink>
        </w:p>
        <w:p>
          <w:pPr>
            <w:pStyle w:val="Contents5"/>
            <w:tabs>
              <w:tab w:val="clear" w:pos="7892"/>
              <w:tab w:val="right" w:pos="9026" w:leader="dot"/>
            </w:tabs>
            <w:rPr/>
          </w:pPr>
          <w:hyperlink w:anchor="__RefHeading___Toc828728_2320776876">
            <w:r>
              <w:rPr>
                <w:webHidden/>
                <w:rStyle w:val="IndexLink"/>
                <w:rtl w:val="true"/>
              </w:rPr>
              <w:t>عدم الاستغناء عن الإمام في معرفة الشريعة</w:t>
            </w:r>
            <w:r>
              <w:rPr>
                <w:rStyle w:val="IndexLink"/>
                <w:rtl w:val="true"/>
              </w:rPr>
              <w:tab/>
            </w:r>
            <w:r>
              <w:rPr>
                <w:rStyle w:val="IndexLink"/>
              </w:rPr>
              <w:t>517</w:t>
            </w:r>
          </w:hyperlink>
        </w:p>
        <w:p>
          <w:pPr>
            <w:pStyle w:val="Contents5"/>
            <w:tabs>
              <w:tab w:val="clear" w:pos="7892"/>
              <w:tab w:val="right" w:pos="9026" w:leader="dot"/>
            </w:tabs>
            <w:rPr/>
          </w:pPr>
          <w:hyperlink w:anchor="__RefHeading___Toc828730_2320776876">
            <w:r>
              <w:rPr>
                <w:webHidden/>
                <w:rStyle w:val="IndexLink"/>
                <w:rtl w:val="true"/>
              </w:rPr>
              <w:t>إبطال ما ادّعاه صاحب الكتاب من أدلّةٍ تُغني عن الإمام</w:t>
            </w:r>
            <w:r>
              <w:rPr>
                <w:rStyle w:val="IndexLink"/>
                <w:rtl w:val="true"/>
              </w:rPr>
              <w:tab/>
            </w:r>
            <w:r>
              <w:rPr>
                <w:rStyle w:val="IndexLink"/>
              </w:rPr>
              <w:t>520</w:t>
            </w:r>
          </w:hyperlink>
        </w:p>
        <w:p>
          <w:pPr>
            <w:pStyle w:val="Contents5"/>
            <w:tabs>
              <w:tab w:val="clear" w:pos="7892"/>
              <w:tab w:val="right" w:pos="9026" w:leader="dot"/>
            </w:tabs>
            <w:rPr/>
          </w:pPr>
          <w:hyperlink w:anchor="__RefHeading___Toc828732_2320776876">
            <w:r>
              <w:rPr>
                <w:webHidden/>
                <w:rStyle w:val="IndexLink"/>
                <w:rtl w:val="true"/>
              </w:rPr>
              <w:t>جواز سهو العقلاء عن بعض العلوم الضروريّة</w:t>
            </w:r>
            <w:r>
              <w:rPr>
                <w:rStyle w:val="IndexLink"/>
                <w:rtl w:val="true"/>
              </w:rPr>
              <w:tab/>
            </w:r>
            <w:r>
              <w:rPr>
                <w:rStyle w:val="IndexLink"/>
              </w:rPr>
              <w:t>524</w:t>
            </w:r>
          </w:hyperlink>
        </w:p>
        <w:p>
          <w:pPr>
            <w:pStyle w:val="Contents5"/>
            <w:tabs>
              <w:tab w:val="clear" w:pos="7892"/>
              <w:tab w:val="right" w:pos="9026" w:leader="dot"/>
            </w:tabs>
            <w:rPr/>
          </w:pPr>
          <w:hyperlink w:anchor="__RefHeading___Toc828734_2320776876">
            <w:r>
              <w:rPr>
                <w:webHidden/>
                <w:rStyle w:val="IndexLink"/>
                <w:rtl w:val="true"/>
              </w:rPr>
              <w:t>بيان ما يجوز كتمانه و السهو عنه من الأُمور المتواترة، و ما لا يجوز</w:t>
            </w:r>
            <w:r>
              <w:rPr>
                <w:rStyle w:val="IndexLink"/>
                <w:rtl w:val="true"/>
              </w:rPr>
              <w:tab/>
            </w:r>
            <w:r>
              <w:rPr>
                <w:rStyle w:val="IndexLink"/>
              </w:rPr>
              <w:t>526</w:t>
            </w:r>
          </w:hyperlink>
        </w:p>
        <w:p>
          <w:pPr>
            <w:pStyle w:val="Contents5"/>
            <w:tabs>
              <w:tab w:val="clear" w:pos="7892"/>
              <w:tab w:val="right" w:pos="9026" w:leader="dot"/>
            </w:tabs>
            <w:rPr/>
          </w:pPr>
          <w:hyperlink w:anchor="__RefHeading___Toc828736_2320776876">
            <w:r>
              <w:rPr>
                <w:webHidden/>
                <w:rStyle w:val="IndexLink"/>
                <w:rtl w:val="true"/>
              </w:rPr>
              <w:t>عدم جواز كتمان معارضة القرآن</w:t>
            </w:r>
            <w:r>
              <w:rPr>
                <w:rStyle w:val="IndexLink"/>
                <w:rtl w:val="true"/>
              </w:rPr>
              <w:tab/>
            </w:r>
            <w:r>
              <w:rPr>
                <w:rStyle w:val="IndexLink"/>
              </w:rPr>
              <w:t>529</w:t>
            </w:r>
          </w:hyperlink>
        </w:p>
        <w:p>
          <w:pPr>
            <w:pStyle w:val="Contents5"/>
            <w:tabs>
              <w:tab w:val="clear" w:pos="7892"/>
              <w:tab w:val="right" w:pos="9026" w:leader="dot"/>
            </w:tabs>
            <w:rPr/>
          </w:pPr>
          <w:hyperlink w:anchor="__RefHeading___Toc828738_2320776876">
            <w:r>
              <w:rPr>
                <w:webHidden/>
                <w:rStyle w:val="IndexLink"/>
                <w:rtl w:val="true"/>
              </w:rPr>
              <w:t>عدم الاستغناء بالإجماع عن الإمام في حفظ الشريعة</w:t>
            </w:r>
            <w:r>
              <w:rPr>
                <w:rStyle w:val="IndexLink"/>
                <w:rtl w:val="true"/>
              </w:rPr>
              <w:tab/>
            </w:r>
            <w:r>
              <w:rPr>
                <w:rStyle w:val="IndexLink"/>
              </w:rPr>
              <w:t>530</w:t>
            </w:r>
          </w:hyperlink>
        </w:p>
        <w:p>
          <w:pPr>
            <w:pStyle w:val="Contents5"/>
            <w:tabs>
              <w:tab w:val="clear" w:pos="7892"/>
              <w:tab w:val="right" w:pos="9026" w:leader="dot"/>
            </w:tabs>
            <w:rPr/>
          </w:pPr>
          <w:hyperlink w:anchor="__RefHeading___Toc828740_2320776876">
            <w:r>
              <w:rPr>
                <w:webHidden/>
                <w:rStyle w:val="IndexLink"/>
                <w:rtl w:val="true"/>
              </w:rPr>
              <w:t>بيان الطريق إلىٰ معرفة عين الإمام</w:t>
            </w:r>
            <w:r>
              <w:rPr>
                <w:rStyle w:val="IndexLink"/>
                <w:rtl w:val="true"/>
              </w:rPr>
              <w:tab/>
            </w:r>
            <w:r>
              <w:rPr>
                <w:rStyle w:val="IndexLink"/>
              </w:rPr>
              <w:t>534</w:t>
            </w:r>
          </w:hyperlink>
        </w:p>
        <w:p>
          <w:pPr>
            <w:pStyle w:val="Contents5"/>
            <w:tabs>
              <w:tab w:val="clear" w:pos="7892"/>
              <w:tab w:val="right" w:pos="9026" w:leader="dot"/>
            </w:tabs>
            <w:rPr/>
          </w:pPr>
          <w:hyperlink w:anchor="__RefHeading___Toc828742_2320776876">
            <w:r>
              <w:rPr>
                <w:webHidden/>
                <w:rStyle w:val="IndexLink"/>
                <w:rtl w:val="true"/>
              </w:rPr>
              <w:t>بحث مفصّل حول جواز ظهور المعجزات علىٰ يد غير الأنبياء</w:t>
            </w:r>
            <w:r>
              <w:rPr>
                <w:rStyle w:val="IndexLink"/>
                <w:rtl w:val="true"/>
              </w:rPr>
              <w:tab/>
            </w:r>
            <w:r>
              <w:rPr>
                <w:rStyle w:val="IndexLink"/>
              </w:rPr>
              <w:t>535</w:t>
            </w:r>
          </w:hyperlink>
        </w:p>
        <w:p>
          <w:pPr>
            <w:pStyle w:val="Contents5"/>
            <w:tabs>
              <w:tab w:val="clear" w:pos="7892"/>
              <w:tab w:val="right" w:pos="9026" w:leader="dot"/>
            </w:tabs>
            <w:rPr/>
          </w:pPr>
          <w:hyperlink w:anchor="__RefHeading___Toc828744_2320776876">
            <w:r>
              <w:rPr>
                <w:webHidden/>
                <w:rStyle w:val="IndexLink"/>
                <w:rtl w:val="true"/>
              </w:rPr>
              <w:t>نفي أن يكون العلمُ بأكثر الشرع أظهرَ من النصّ على الإمام</w:t>
            </w:r>
            <w:r>
              <w:rPr>
                <w:rStyle w:val="IndexLink"/>
                <w:rtl w:val="true"/>
              </w:rPr>
              <w:tab/>
            </w:r>
            <w:r>
              <w:rPr>
                <w:rStyle w:val="IndexLink"/>
              </w:rPr>
              <w:t>543</w:t>
            </w:r>
          </w:hyperlink>
        </w:p>
        <w:p>
          <w:pPr>
            <w:pStyle w:val="Contents5"/>
            <w:tabs>
              <w:tab w:val="clear" w:pos="7892"/>
              <w:tab w:val="right" w:pos="9026" w:leader="dot"/>
            </w:tabs>
            <w:rPr/>
          </w:pPr>
          <w:hyperlink w:anchor="__RefHeading___Toc828746_2320776876">
            <w:r>
              <w:rPr>
                <w:webHidden/>
                <w:rStyle w:val="IndexLink"/>
                <w:rtl w:val="true"/>
              </w:rPr>
              <w:t>شُبهةٌ لصاحبِ المُغني في رُجوعِ الإمامِ أميرِ المؤمِنينَ في معرفةِ بعضِ الشرائعِ إلىٰ غيرِه مِن الصحابةِ ، و ردُّها</w:t>
            </w:r>
            <w:r>
              <w:rPr>
                <w:rStyle w:val="IndexLink"/>
                <w:rtl w:val="true"/>
              </w:rPr>
              <w:tab/>
            </w:r>
            <w:r>
              <w:rPr>
                <w:rStyle w:val="IndexLink"/>
              </w:rPr>
              <w:t>545</w:t>
            </w:r>
          </w:hyperlink>
        </w:p>
        <w:p>
          <w:pPr>
            <w:pStyle w:val="Contents4"/>
            <w:tabs>
              <w:tab w:val="clear" w:pos="8176"/>
              <w:tab w:val="right" w:pos="9026" w:leader="dot"/>
            </w:tabs>
            <w:rPr/>
          </w:pPr>
          <w:hyperlink w:anchor="__RefHeading___Toc828748_2320776876">
            <w:r>
              <w:rPr>
                <w:webHidden/>
                <w:rStyle w:val="IndexLink"/>
                <w:rtl w:val="true"/>
              </w:rPr>
              <w:t>الدليل السابع إقامة الحدود و</w:t>
            </w:r>
            <w:r>
              <w:rPr>
                <w:rStyle w:val="IndexLink"/>
                <w:rtl w:val="true"/>
              </w:rPr>
              <w:t>...</w:t>
              <w:tab/>
            </w:r>
            <w:r>
              <w:rPr>
                <w:rStyle w:val="IndexLink"/>
              </w:rPr>
              <w:t>551</w:t>
            </w:r>
          </w:hyperlink>
        </w:p>
        <w:p>
          <w:pPr>
            <w:pStyle w:val="Contents5"/>
            <w:tabs>
              <w:tab w:val="clear" w:pos="7892"/>
              <w:tab w:val="right" w:pos="9026" w:leader="dot"/>
            </w:tabs>
            <w:rPr/>
          </w:pPr>
          <w:hyperlink w:anchor="__RefHeading___Toc828750_2320776876">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828752_2320776876">
            <w:r>
              <w:rPr>
                <w:webHidden/>
                <w:rStyle w:val="IndexLink"/>
                <w:rtl w:val="true"/>
              </w:rPr>
              <w:t>رفض المصنّف لدلالة الدليل السابع علىٰ وجوب الإمامة</w:t>
            </w:r>
            <w:r>
              <w:rPr>
                <w:rStyle w:val="IndexLink"/>
                <w:rtl w:val="true"/>
              </w:rPr>
              <w:tab/>
            </w:r>
            <w:r>
              <w:rPr>
                <w:rStyle w:val="IndexLink"/>
              </w:rPr>
              <w:t>552</w:t>
            </w:r>
          </w:hyperlink>
        </w:p>
        <w:p>
          <w:pPr>
            <w:pStyle w:val="Contents5"/>
            <w:tabs>
              <w:tab w:val="clear" w:pos="7892"/>
              <w:tab w:val="right" w:pos="9026" w:leader="dot"/>
            </w:tabs>
            <w:rPr/>
          </w:pPr>
          <w:hyperlink w:anchor="__RefHeading___Toc828754_2320776876">
            <w:r>
              <w:rPr>
                <w:webHidden/>
                <w:rStyle w:val="IndexLink"/>
                <w:rtl w:val="true"/>
              </w:rPr>
              <w:t>إمكان الاستدلال بالدليل السابع علىٰ عصمة الإمام</w:t>
            </w:r>
            <w:r>
              <w:rPr>
                <w:rStyle w:val="IndexLink"/>
                <w:rtl w:val="true"/>
              </w:rPr>
              <w:tab/>
            </w:r>
            <w:r>
              <w:rPr>
                <w:rStyle w:val="IndexLink"/>
              </w:rPr>
              <w:t>552</w:t>
            </w:r>
          </w:hyperlink>
        </w:p>
        <w:p>
          <w:pPr>
            <w:pStyle w:val="Contents5"/>
            <w:tabs>
              <w:tab w:val="clear" w:pos="7892"/>
              <w:tab w:val="right" w:pos="9026" w:leader="dot"/>
            </w:tabs>
            <w:rPr/>
          </w:pPr>
          <w:hyperlink w:anchor="__RefHeading___Toc828756_2320776876">
            <w:r>
              <w:rPr>
                <w:webHidden/>
                <w:rStyle w:val="IndexLink"/>
                <w:rtl w:val="true"/>
              </w:rPr>
              <w:t>تناقض كلام صاحب الكتاب</w:t>
            </w:r>
            <w:r>
              <w:rPr>
                <w:rStyle w:val="IndexLink"/>
                <w:rtl w:val="true"/>
              </w:rPr>
              <w:tab/>
            </w:r>
            <w:r>
              <w:rPr>
                <w:rStyle w:val="IndexLink"/>
              </w:rPr>
              <w:t>554</w:t>
            </w:r>
          </w:hyperlink>
        </w:p>
        <w:p>
          <w:pPr>
            <w:pStyle w:val="Contents5"/>
            <w:tabs>
              <w:tab w:val="clear" w:pos="7892"/>
              <w:tab w:val="right" w:pos="9026" w:leader="dot"/>
            </w:tabs>
            <w:rPr/>
          </w:pPr>
          <w:hyperlink w:anchor="__RefHeading___Toc828758_2320776876">
            <w:r>
              <w:rPr>
                <w:webHidden/>
                <w:rStyle w:val="IndexLink"/>
                <w:rtl w:val="true"/>
              </w:rPr>
              <w:t>حالُ الحدود في زمن الغيبة</w:t>
            </w:r>
            <w:r>
              <w:rPr>
                <w:rStyle w:val="IndexLink"/>
                <w:rtl w:val="true"/>
              </w:rPr>
              <w:tab/>
            </w:r>
            <w:r>
              <w:rPr>
                <w:rStyle w:val="IndexLink"/>
              </w:rPr>
              <w:t>556</w:t>
            </w:r>
          </w:hyperlink>
        </w:p>
        <w:p>
          <w:pPr>
            <w:pStyle w:val="Contents5"/>
            <w:tabs>
              <w:tab w:val="clear" w:pos="7892"/>
              <w:tab w:val="right" w:pos="9026" w:leader="dot"/>
            </w:tabs>
            <w:rPr/>
          </w:pPr>
          <w:hyperlink w:anchor="__RefHeading___Toc828760_2320776876">
            <w:r>
              <w:rPr>
                <w:webHidden/>
                <w:rStyle w:val="IndexLink"/>
                <w:rtl w:val="true"/>
              </w:rPr>
              <w:t>إشارة إلى الفرق بين عدم إقامة الحدود من قِبَل الظلمة، و من قِبَله تعالىٰ</w:t>
            </w:r>
            <w:r>
              <w:rPr>
                <w:rStyle w:val="IndexLink"/>
                <w:rtl w:val="true"/>
              </w:rPr>
              <w:tab/>
            </w:r>
            <w:r>
              <w:rPr>
                <w:rStyle w:val="IndexLink"/>
              </w:rPr>
              <w:t>559</w:t>
            </w:r>
          </w:hyperlink>
        </w:p>
        <w:p>
          <w:pPr>
            <w:pStyle w:val="Contents5"/>
            <w:tabs>
              <w:tab w:val="clear" w:pos="7892"/>
              <w:tab w:val="right" w:pos="9026" w:leader="dot"/>
            </w:tabs>
            <w:rPr/>
          </w:pPr>
          <w:hyperlink w:anchor="__RefHeading___Toc828762_2320776876">
            <w:r>
              <w:rPr>
                <w:webHidden/>
                <w:rStyle w:val="IndexLink"/>
                <w:rtl w:val="true"/>
              </w:rPr>
              <w:t>عدم لزوم عصمة الأُمراء المنصوبين من قِبَل الإمام</w:t>
            </w:r>
            <w:r>
              <w:rPr>
                <w:rStyle w:val="IndexLink"/>
                <w:rtl w:val="true"/>
              </w:rPr>
              <w:tab/>
            </w:r>
            <w:r>
              <w:rPr>
                <w:rStyle w:val="IndexLink"/>
              </w:rPr>
              <w:t>560</w:t>
            </w:r>
          </w:hyperlink>
        </w:p>
        <w:p>
          <w:pPr>
            <w:pStyle w:val="Contents5"/>
            <w:tabs>
              <w:tab w:val="clear" w:pos="7892"/>
              <w:tab w:val="right" w:pos="9026" w:leader="dot"/>
            </w:tabs>
            <w:rPr/>
          </w:pPr>
          <w:hyperlink w:anchor="__RefHeading___Toc828764_2320776876">
            <w:r>
              <w:rPr>
                <w:webHidden/>
                <w:rStyle w:val="IndexLink"/>
                <w:rtl w:val="true"/>
              </w:rPr>
              <w:t>عدم لزوم عصمة الشاهد</w:t>
            </w:r>
            <w:r>
              <w:rPr>
                <w:rStyle w:val="IndexLink"/>
                <w:rtl w:val="true"/>
              </w:rPr>
              <w:tab/>
            </w:r>
            <w:r>
              <w:rPr>
                <w:rStyle w:val="IndexLink"/>
              </w:rPr>
              <w:t>566</w:t>
            </w:r>
          </w:hyperlink>
        </w:p>
        <w:p>
          <w:pPr>
            <w:pStyle w:val="Contents4"/>
            <w:tabs>
              <w:tab w:val="clear" w:pos="8176"/>
              <w:tab w:val="right" w:pos="9026" w:leader="dot"/>
            </w:tabs>
            <w:rPr/>
          </w:pPr>
          <w:hyperlink w:anchor="__RefHeading___Toc828766_2320776876">
            <w:r>
              <w:rPr>
                <w:webHidden/>
                <w:rStyle w:val="IndexLink"/>
                <w:rtl w:val="true"/>
              </w:rPr>
              <w:t>الدليل الثامن في بيان أنّ الحافظ للشرع هو الإمام، لا الأُمّة</w:t>
            </w:r>
            <w:r>
              <w:rPr>
                <w:rStyle w:val="IndexLink"/>
                <w:rtl w:val="true"/>
              </w:rPr>
              <w:tab/>
            </w:r>
            <w:r>
              <w:rPr>
                <w:rStyle w:val="IndexLink"/>
              </w:rPr>
              <w:t>567</w:t>
            </w:r>
          </w:hyperlink>
        </w:p>
        <w:p>
          <w:pPr>
            <w:pStyle w:val="Contents5"/>
            <w:tabs>
              <w:tab w:val="clear" w:pos="7892"/>
              <w:tab w:val="right" w:pos="9026" w:leader="dot"/>
            </w:tabs>
            <w:rPr/>
          </w:pPr>
          <w:hyperlink w:anchor="__RefHeading___Toc828768_2320776876">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828770_2320776876">
            <w:r>
              <w:rPr>
                <w:webHidden/>
                <w:rStyle w:val="IndexLink"/>
                <w:rtl w:val="true"/>
              </w:rPr>
              <w:t>جواز ورود السمع الدالّ علىٰ حجّيّة إجماع الأُمّة، و عدم استحالة ذلك</w:t>
            </w:r>
            <w:r>
              <w:rPr>
                <w:rStyle w:val="IndexLink"/>
                <w:rtl w:val="true"/>
              </w:rPr>
              <w:tab/>
            </w:r>
            <w:r>
              <w:rPr>
                <w:rStyle w:val="IndexLink"/>
              </w:rPr>
              <w:t>570</w:t>
            </w:r>
          </w:hyperlink>
        </w:p>
        <w:p>
          <w:pPr>
            <w:pStyle w:val="Contents2"/>
            <w:tabs>
              <w:tab w:val="clear" w:pos="8743"/>
              <w:tab w:val="right" w:pos="9026" w:leader="dot"/>
            </w:tabs>
            <w:rPr/>
          </w:pPr>
          <w:hyperlink w:anchor="__RefHeading___Toc828772_2320776876">
            <w:r>
              <w:rPr>
                <w:webHidden/>
                <w:rStyle w:val="IndexLink"/>
                <w:rtl w:val="true"/>
              </w:rPr>
              <w:t>فهرس المطالب</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43_770548"/>
      <w:bookmarkStart w:id="1" w:name="pg20043_770548"/>
      <w:bookmarkEnd w:id="1"/>
    </w:p>
    <w:p>
      <w:pPr>
        <w:pStyle w:val="Heading2"/>
        <w:numPr>
          <w:ilvl w:val="1"/>
          <w:numId w:val="1"/>
        </w:numPr>
        <w:rPr/>
      </w:pPr>
      <w:bookmarkStart w:id="2" w:name="pg20043_770548"/>
      <w:bookmarkStart w:id="3" w:name="__RefHeading___Toc828272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للشریف المرتضی علی‌بن الحسین الموسوی، علم‌الهدی؛ تحقیق محمدحسین الدرایتی؛ تهیه‌کننده مرکز همایش‌های علمی و پژوهش‌های آزاد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الموتمر 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مولفات‌الشریف‌المرتضی؛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0405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0406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060409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الصادق،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5946228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8274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الشَّافِي فِي الْإِمَامَةِ</w:t>
      </w:r>
    </w:p>
    <w:p>
      <w:pPr>
        <w:pStyle w:val="BookText"/>
        <w:rPr/>
      </w:pPr>
      <w:r>
        <w:rPr>
          <w:rFonts w:ascii="Amiri" w:hAnsi="Amiri" w:eastAsia="Amiri" w:cs="Amiri"/>
          <w:color w:val="111111"/>
          <w:sz w:val="28"/>
          <w:sz w:val="28"/>
          <w:szCs w:val="28"/>
          <w:rtl w:val="true"/>
          <w:lang w:bidi="ar-SA"/>
        </w:rPr>
        <w:t>لِلشَّرِيفِ الْمُرْتَضِیٰ</w:t>
      </w:r>
    </w:p>
    <w:p>
      <w:pPr>
        <w:pStyle w:val="BookText"/>
        <w:rPr/>
      </w:pPr>
      <w:r>
        <w:rPr>
          <w:rFonts w:ascii="Amiri" w:hAnsi="Amiri" w:eastAsia="Amiri" w:cs="Amiri"/>
          <w:color w:val="111111"/>
          <w:sz w:val="28"/>
          <w:sz w:val="28"/>
          <w:szCs w:val="28"/>
          <w:rtl w:val="true"/>
          <w:lang w:bidi="ar-SA"/>
        </w:rPr>
        <w:t>عَلِي‌بْنِ الْحُسَيْنِ الْمَوْسُوِيّ، عَلَم‌ُ الْهُدیٰ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الْأَوَّلُ</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مُحَمَّدُحُسَيْنُ الدَّرَائِتِيُّ </w:t>
      </w:r>
      <w:bookmarkStart w:id="7" w:name="pg20043_770550"/>
    </w:p>
    <w:p>
      <w:pPr>
        <w:pStyle w:val="Heading2"/>
        <w:numPr>
          <w:ilvl w:val="1"/>
          <w:numId w:val="1"/>
        </w:numPr>
        <w:rPr/>
      </w:pPr>
      <w:bookmarkStart w:id="8" w:name="__RefHeading___Toc828276_2320776876"/>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عن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يُحيِي أمرَكم؟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نحمد الله العظيم العليم، حمداً لا أمد له ولا حدّ، إذ جعل غاية خلق الإنسان معرفة صفاته، وعبادة ذاته، فقال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3"/>
      </w:r>
      <w:r>
        <w:rPr>
          <w:rFonts w:ascii="Amiri" w:hAnsi="Amiri" w:eastAsia="Amiri" w:cs="Amiri"/>
          <w:color w:val="111111"/>
          <w:sz w:val="28"/>
          <w:sz w:val="28"/>
          <w:szCs w:val="28"/>
          <w:rtl w:val="true"/>
          <w:lang w:bidi="ar-SA"/>
        </w:rPr>
        <w:t>، ونصلي على أنبياء الله أجمعين، لاسيّما خاتم الأنبياء والمرسلين محمّد المصطفى صلى الله عليه وآله، إذ مهّدوا الطريق لهذا الهدف السامي بالتزكية وتعليم الكتاب والحكمة، ونسلّم على الأئمّة المعصومين عليهم السلام، ونخصّ بالسلام منهم عالم آل محمّد صلى الله عليه وآله، الإمام عليّ بن موسى الرضا عليه السلام، الكوكب الساطع في سماء المعرفة والعبوديّة، ودليل الخلق إلى صراط العلم والوحدانيّة، ونحيّي العلماء والباحثين الذين عكفوا على إحياء أمر إمامة المسلمين وولاية أمير المؤمنين من خلال نشر العلوم والمعارف الإسلاميّة على مدى العصور، وأطلعوا الناس على معالم وعوالم وثقافة أهل البيت عليهم السلام، وعلى مكارم أخلاقهم ومحامد صفاتهم و محاسن أفعالهم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النظرة الحكيمة للفقيد المتولّي لهذه البقعة المباركة، وبتوجيه من سماحته تأسس مجمع البحوث الإسلاميّة التابع للعتبة الرضويّة المقدّسة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واستلهاماً لما كان ينشده قائد الثورة الإسلاميّة الكبير سماحة الإمام الخميني رحمه الله عليه، واستمداداً من الرؤية المستقبليّة المدروسة لخلفه الصالح، مرشد الثورة الإسلاميّة سماحة </w:t>
      </w:r>
    </w:p>
    <w:p>
      <w:pPr>
        <w:pStyle w:val="BookText"/>
        <w:rPr/>
      </w:pPr>
      <w:r>
        <w:rPr>
          <w:rFonts w:ascii="Amiri" w:hAnsi="Amiri" w:eastAsia="Amiri" w:cs="Amiri"/>
          <w:color w:val="111111"/>
          <w:sz w:val="28"/>
          <w:sz w:val="28"/>
          <w:szCs w:val="28"/>
          <w:rtl w:val="true"/>
          <w:lang w:bidi="ar-SA"/>
        </w:rPr>
        <w:t xml:space="preserve">آيةِ الله العظمى السّيّد الخامنئيّ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واستجابة للتوجيهات الرشيدة للمتولّي المُبجّل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استأنف المجمع عمله في التحقيق ونشر العلوم الإسلاميّة والمعارف النبويّة وسيرة أهل البيت عليهم السلام من أجل تأمين ما يحتاج إليه المجتمع والنظام الإسلاميّ وجيل الشباب وزائر والرحاب الشريف للإمام الرضا عليه السلام، بعد إيجاد أقسام تحقيقيّة في مختلف الدراسات، والاستفادة من الكوادر الكفوءة من أساتذة الحوزات العلميّة والجامعات الإسلاميّة، فسجّل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نجاحاً باهراً في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يفتخر مجمع البحوث الإسلاميّة التابع للعتبة الرضويّة المقدّسة بإصدار الكتب والمقالات التي تمّ تحقيقها وتأليفها بجهود مضنية، لتقديمها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لذكرى ألفية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تنفيذاً لما وافق عليه سماحة حجة الإسلام والمسلمين الشيخ أحمد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سادن العتبة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واستمراراً لما قام به المجمع في نشر العلوم والمعارف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الشريف المرتضى من أبرز الوجوه في تأسيس العلوم الإسلاميّة طوال القرنين الثالث والرابع الهجريين، في الفترة التي تلي عصر الحضور، أي عصر حياة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الإنتاج العلميّ الضخم حصيلة جهود مشكورة لنخبة من الباحثين وأساتذة مركز المؤتمرات العلميّة والبحوث الحرّة لمؤسسة دار الحديث، وهذا قسط وافر من التراث الشيعي نقدّمه إلى القرّاء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أخذ مجمع البحوث الإسلاميّة على عاتقه أن يقوم بطبع هذه المؤلّفات القيّمة في ما يقارب الستين مجلّداً، نرجو أن يكون ما قمنا به من إصدار هذه المجموعة الثمينة ممّا يرضي الإمام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الثناء والتحيات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البحوث الإسلاميّة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 للعتبة الرضويّة المقدّسة </w:t>
      </w:r>
      <w:bookmarkStart w:id="10" w:name="pg20043_770552"/>
    </w:p>
    <w:p>
      <w:pPr>
        <w:pStyle w:val="Heading2"/>
        <w:numPr>
          <w:ilvl w:val="1"/>
          <w:numId w:val="1"/>
        </w:numPr>
        <w:rPr/>
      </w:pPr>
      <w:bookmarkStart w:id="11" w:name="__RefHeading___Toc828278_2320776876"/>
      <w:bookmarkStart w:id="12" w:name="_Toc4"/>
      <w:bookmarkEnd w:id="10"/>
      <w:bookmarkEnd w:id="11"/>
      <w:r>
        <w:rPr>
          <w:rtl w:val="true"/>
        </w:rPr>
        <w:t>مذكّرة الأمين العام للمؤتمر</w:t>
      </w:r>
      <w:bookmarkEnd w:id="12"/>
    </w:p>
    <w:p>
      <w:pPr>
        <w:pStyle w:val="Heading3"/>
        <w:numPr>
          <w:ilvl w:val="2"/>
          <w:numId w:val="1"/>
        </w:numPr>
        <w:rPr/>
      </w:pPr>
      <w:bookmarkStart w:id="13" w:name="__RefHeading___Toc828280_232077687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828282_2320776876"/>
      <w:bookmarkStart w:id="16" w:name="_Toc6"/>
      <w:bookmarkEnd w:id="15"/>
      <w:r>
        <w:rPr>
          <w:rtl w:val="true"/>
        </w:rPr>
        <w:t>أوّلاً</w:t>
      </w:r>
      <w:r>
        <w:rPr>
          <w:rtl w:val="true"/>
        </w:rPr>
        <w:t xml:space="preserve">: </w:t>
      </w:r>
      <w:r>
        <w:rPr>
          <w:rtl w:val="true"/>
        </w:rPr>
        <w:t>الشريف المرتضى</w:t>
      </w:r>
      <w:bookmarkEnd w:id="16"/>
    </w:p>
    <w:p>
      <w:pPr>
        <w:pStyle w:val="BookText"/>
        <w:rPr/>
      </w:pPr>
      <w:r>
        <w:rPr>
          <w:rFonts w:ascii="Amiri" w:hAnsi="Amiri" w:eastAsia="Amiri" w:cs="Amiri"/>
          <w:color w:val="111111"/>
          <w:sz w:val="28"/>
          <w:sz w:val="28"/>
          <w:szCs w:val="28"/>
          <w:rtl w:val="true"/>
          <w:lang w:bidi="ar-SA"/>
        </w:rPr>
        <w:t>يعتبر القرن الرابع و الخامس الهجريَّين من أكثر القرون ازدهاراً في تاريخ الشيعة بعد ابتداء عصر الغيبة، و يمكن أن نعدّ من ثمار هذين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و تدوين المجاميع و كتب الحديث الأربعة، و كذلك تأليف و تدوين أُولى المصنّفات المهمّة و البارزة لعلماء الشيعة في مختلف مجالات كالتفسير، و الكلام، و الفقه و أُصوله، و حازت حوزتا قم و بغداد على السهم الأوفر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خمسةٌ من أبرز علماء الشيعة بتأسيس العلوم الإسلاميّة على أساس مدرسة أهل البيت عليهم السلام، و ذلك في خلال مئتي عام بعد انتهاء عصر حضور الأئمّة عليهم السلام، أي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دوّنوا جملةً من العلوم الإسلاميّة التي كانت رائجةً في ذلك العصر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الحديث، و الرجال، و الكلام، و الفقه و الأُصول، على أُسس معارف أهل البيت عليهم السلام و مبادئهم،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عليّ ابن بابويه،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محمّد بن النعمان،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بن الحسين الموسويّ، المعروف بالشريف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الحسن الطوسيّ، المعروف بشيخ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الخمسة الأبرار تناولوا هذه العلوم على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النقليّ ، و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منهج الشخصيَّتَين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الشيخ الكليني و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النقليّ ، أمّا الثلاثة الآخرون،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 الشريف المرتضى، و الشيخ الطوسيّ ، فاتّخذوا المنهج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النقليّ في التأليف في هذه العلوم</w:t>
      </w:r>
      <w:r>
        <w:rPr>
          <w:rFonts w:eastAsia="Amiri" w:cs="Amiri" w:ascii="Amiri" w:hAnsi="Amiri"/>
          <w:color w:val="111111"/>
          <w:sz w:val="28"/>
          <w:szCs w:val="28"/>
          <w:rtl w:val="true"/>
          <w:lang w:bidi="ar-SA"/>
        </w:rPr>
        <w:t xml:space="preserve">. </w:t>
      </w:r>
      <w:bookmarkStart w:id="17" w:name="pg20043_770553"/>
    </w:p>
    <w:p>
      <w:pPr>
        <w:pStyle w:val="BookText"/>
        <w:rPr/>
      </w:pPr>
      <w:bookmarkEnd w:id="17"/>
      <w:r>
        <w:rPr>
          <w:rFonts w:ascii="Amiri" w:hAnsi="Amiri" w:eastAsia="Amiri" w:cs="Amiri"/>
          <w:color w:val="111111"/>
          <w:sz w:val="28"/>
          <w:sz w:val="28"/>
          <w:szCs w:val="28"/>
          <w:rtl w:val="true"/>
          <w:lang w:bidi="ar-SA"/>
        </w:rPr>
        <w:t>و كان أبوالقاسم عليّ بن الحسين بن موسي،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 المعروف بالسيّد و الشريف المرتضى رابع هذه النجوم اللامعة، ولد في أُسرةٍ علميّة ذات مكانة اجتماعيّة مرموقة، و هو شخصيّة ذات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جهةٍ أحد العلماء الأفذاذ في علوم التفسير و الكلام و الفقه و الأُصول، و من جهة أُخرى من الوجوه السياسيّة و الاجتماعيّة، فقد تقلّد مناصب حكوميّة عديدة و لسنوات طويلة كنقابة الأشراف الطالبيِّين و إمارة الحاجّ ، و من جهةٍ ثالثة أديبٌ لامع صاحب ذوقٍ رفيع و إحساسٍ مرهف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نعدّ من خصائص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المصنّف الخالد في علم أُصول الفقه الذي يعدّ منطق الفقه و الحقوق، و هو كتاب الذريعة إلى أُصول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العقلانيّة و مواجهة أهل الحديث و التيّارات الأخباريّة و نقدهم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المعايشة الحسنة مع أتباع المذاهب الإسلاميّة الأُخرى، خاصّة مع علمائهم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أعلام الشعراء و الأُدباء، فقد كان ديوانه و رسائله الأدبيّة موضع اهتمام أُدباء العرب و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الجامعيّة في العلوم الإسلاميّة التي كانت رائجةً آنذاك، كالفقه و الأُصول و الكلام و التفسير و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بالفقه المقارن، فقد ألّف كتاب الانتصار الذي يعدّ من أوّل المصنّفات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بالمسائل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كنقابة الأشراف الطالبيِّين، و رئاسة ديوان المظالم، و حلّ النزاعات و المشاغبات و الخلافات السياسيّة و المذهبيّة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28284_2320776876"/>
      <w:bookmarkStart w:id="19" w:name="_Toc7"/>
      <w:bookmarkEnd w:id="18"/>
      <w:r>
        <w:rPr>
          <w:rtl w:val="true"/>
        </w:rPr>
        <w:t>ثانياً</w:t>
      </w:r>
      <w:r>
        <w:rPr>
          <w:rtl w:val="true"/>
        </w:rPr>
        <w:t xml:space="preserve">: </w:t>
      </w:r>
      <w:r>
        <w:rPr>
          <w:rtl w:val="true"/>
        </w:rPr>
        <w:t>مؤتمر الشريف المرتضى</w:t>
      </w:r>
      <w:bookmarkEnd w:id="19"/>
    </w:p>
    <w:p>
      <w:pPr>
        <w:pStyle w:val="BookText"/>
        <w:rPr/>
      </w:pPr>
      <w:r>
        <w:rPr>
          <w:rFonts w:ascii="Amiri" w:hAnsi="Amiri" w:eastAsia="Amiri" w:cs="Amiri"/>
          <w:color w:val="111111"/>
          <w:sz w:val="28"/>
          <w:sz w:val="28"/>
          <w:szCs w:val="28"/>
          <w:rtl w:val="true"/>
          <w:lang w:bidi="ar-SA"/>
        </w:rPr>
        <w:t xml:space="preserve">تزامنت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المساوقة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مرور ألف عامٍ على وفاة الشريف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فقد أعلنت عتبة السيّد عبد العظيم الحسني عليه السلام و مؤسّسة دار الحديث العلميّة و الثقافيّة حين إقامة المؤتمر العالمي لتكريم ثقة الإسلام الكليني في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فكرة المؤتمر العالمي للشريف المرتضى رحمه 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منذ عام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أُقيمت عدّة ندوات حول كيفيّة إقامة هذا المؤتمر، و استشرنا خبراء من مؤسّسات حوزويّة و جامعيّة و مراكز علميّة و ثقافيّة مختلفة، إلّاأنّ إقامة مؤتمر الشيخ عبد الجليل الرازي القزويني في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حفل تكريم آية اللّٰه الميرزا عليّ </w:t>
      </w:r>
    </w:p>
    <w:p>
      <w:pPr>
        <w:pStyle w:val="BookText"/>
        <w:rPr/>
      </w:pPr>
      <w:r>
        <w:rPr>
          <w:rFonts w:ascii="Amiri" w:hAnsi="Amiri" w:eastAsia="Amiri" w:cs="Amiri"/>
          <w:color w:val="111111"/>
          <w:sz w:val="28"/>
          <w:sz w:val="28"/>
          <w:szCs w:val="28"/>
          <w:rtl w:val="true"/>
          <w:lang w:bidi="ar-SA"/>
        </w:rPr>
        <w:t xml:space="preserve">المشكينيّ في 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عدّة أُمور لا إراديّة أُخرى حالت دون القيام بمؤتمر الشريف المرتضى رحمه الله، إلّاأنّ العمل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عزمٍ و جدّية من ابتداء فصل الصيف من 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الأعمال التي تبنّتها الأمانة العلميّة للمؤتمر، عبارة عن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جميع تراث الشريف المرتضى، و نشره في مجموعة واحدة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الشريف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نشر دراسات و مقالات و بحوث حول تحليل شخصيّة الشريف المرتضى و تراثه و أفكاره، تطبع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دراسات حول 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نامۀ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 تشتمل على العناوين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ديوان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نشر عمل المرحوم رشيد الصفّار في ترتيب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الكلاميّة المستخرج من تراث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المقالات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من المقالات العربيّة المنشورة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مجلّد واحد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مقالات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المقالات الفارسيّة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نامۀ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اى از مقالات منتشر شدۀ 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مختارات من المقالات الفارسيّة المنشورة سابقاً حول الشريف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 واحد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پايان نامه هاى مرتبط با سيّد مرتضى در يك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الرسالات و الأُطروحات الجامعيّة حول الشريف المرتضى في نظرة عابرة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چكيدۀ مقالات به سه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عربى و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المقالات بثلاث 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الفارسيّة و العربيّة و الإنجليزيّة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مجلّد واحد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بأعمال ثقافيّة في سبيل تكريم الشريف المرتضى، نحو نشر الطابع التذكاري لألفيّة الشريف المرتضى، و تسجيل اسمه في ضمن الشخصيّات الثقافيّة في منظّمة اليونسكو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نشرات إعلامية و تأسيس الموقع الإلكتروني لنشر أخبار المؤتمر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 تهيئة قرص ليزري يحتوي على مكتبة الشريف المرتضى و تراثه المطبوع من أعمال المؤتمر و المخطوط و الكتب المصنّفة حوله</w:t>
      </w:r>
      <w:r>
        <w:rPr>
          <w:rFonts w:eastAsia="Amiri" w:cs="Amiri" w:ascii="Amiri" w:hAnsi="Amiri"/>
          <w:color w:val="111111"/>
          <w:sz w:val="28"/>
          <w:szCs w:val="28"/>
          <w:rtl w:val="true"/>
          <w:lang w:bidi="ar-SA"/>
        </w:rPr>
        <w:t xml:space="preserve">. </w:t>
      </w:r>
      <w:bookmarkStart w:id="20" w:name="pg20043_770555"/>
    </w:p>
    <w:p>
      <w:pPr>
        <w:pStyle w:val="Heading3"/>
        <w:numPr>
          <w:ilvl w:val="2"/>
          <w:numId w:val="1"/>
        </w:numPr>
        <w:rPr/>
      </w:pPr>
      <w:bookmarkStart w:id="21" w:name="__RefHeading___Toc828286_2320776876"/>
      <w:bookmarkStart w:id="22" w:name="_Toc8"/>
      <w:bookmarkEnd w:id="20"/>
      <w:bookmarkEnd w:id="21"/>
      <w:r>
        <w:rPr>
          <w:rtl w:val="true"/>
        </w:rPr>
        <w:t>ثالثاً</w:t>
      </w:r>
      <w:r>
        <w:rPr>
          <w:rtl w:val="true"/>
        </w:rPr>
        <w:t xml:space="preserve">: </w:t>
      </w:r>
      <w:r>
        <w:rPr>
          <w:rtl w:val="true"/>
        </w:rPr>
        <w:t>مراحل تحقيق تراث الشريف المرتضى</w:t>
      </w:r>
      <w:bookmarkEnd w:id="22"/>
    </w:p>
    <w:p>
      <w:pPr>
        <w:pStyle w:val="BookText"/>
        <w:rPr/>
      </w:pPr>
      <w:r>
        <w:rPr>
          <w:rFonts w:ascii="Amiri" w:hAnsi="Amiri" w:eastAsia="Amiri" w:cs="Amiri"/>
          <w:color w:val="111111"/>
          <w:sz w:val="28"/>
          <w:sz w:val="28"/>
          <w:szCs w:val="28"/>
          <w:rtl w:val="true"/>
          <w:lang w:bidi="ar-SA"/>
        </w:rPr>
        <w:t>لقد قامت الأمانة العلميّة بالخطوات التالية في سبيل تحقيق تراث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توفير ما طبع من تراث الشريف المرتضى، ففي المرحلة الأُولى جمعنا كلّ الطبعات السابقة لمصنّفات الشريف المرتضى، و حاز كتاب تنزيه الأنبياء و الأئمّة على المرتبة الأُولى، فقد طبع ما يقارب من عشر طبعات مختلفة، من طباعة حجريّة و حروفيّة و تحقيقيّة، إلّاأنّ أغلب مصنّفات الشريف المرتضى لم تطبع أكثر من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الفهرس الذي يحتوي على التعريف بطبعات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دار طباعة الحاجي عبد المحمّد،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كتبت من نسخة الميرزا فرهاد المصحّحة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صحّحها و 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الدين النعساني الحلبي،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في مجلّدين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الجواهري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أبو الفضل إبراهيم،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الصرفة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 الدراسات الإسلاميّة التابع للآستانة الرضويّة المقدّسة،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تحتوي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دارالقرآن الكريم،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و السيّد،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الملخّص في أُصول الدين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الجامعي و مكتبة مجلس الشوري الإسلامي،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في علم الكلام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التابعة للحوزة العلميّة بقم، مكتب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و الأئمّة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دار طباعة الحاجي إبراهيم،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بخط عبد الرحيم بن محمّد تقي التبريزي،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مدرسة الشهيد المطهّري،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تحقيق و تعليق فاطمه قاضي شعار،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الأعلمي،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محمّدصادق الكتبي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باهتمام المير أبو القاسم بن محمّدصادق الخوانساري، طبع معه تلخيص الشافي للشيخ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مجلّدين،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محمّدعلي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غير مؤرّخة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من العيون و 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مجلّدان في مجلّد واحد، غير مؤرّخة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للشيخ المفيد،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 العمل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مطعبة النعمان،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الشريف المرتضى،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مدرسة آية اللّٰه الگلپايگاني، في ضمن رسائل الشريف المرتضى،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جُمل العلم و العمل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 النشر،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الجعفري المراغي،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أُصول الشريعة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تحقيق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گرجي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محمّدعلي بن محمّدرضا، في ضمن الجوامع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شكر اللّٰه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مكتب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الناصريات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باهتمام محمّدعلي بن محمّدرضا، في ضمن الجوامع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 الدراسات العلميّة في المجمع العالمي للتقريب بين المذاهب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طيف الخيال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شركة مكتبة و مطبعة مصطفي البابي الحلبي،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كامل الصيرفي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التربية، محمّدحسن أبو ناجي، غير مؤرّخة،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في الشيب و الشباب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القسطنطنيّة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الجوائب،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مدرسة آية اللّٰه الگلپايگاني،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ضمن رسائل الشريف المرتضى،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وليد السراقبي، منشورات الهيئة العامّة السوريّة للكتاب، دمشق،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المذهّبة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بومباي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الصفدري،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إعداد حبيب محمّد قاهري،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العباسيّة،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المرتضى</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الصفّار، راجعه و ترجم أعيانه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جواد،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الشبيبي،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الإسلاميّة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الصفّار،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محمّد التونجي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الصفّار،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أنّه طبع في 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مجموعة مصنّفات الشريف المرتضى بالأُفسِت عن الطبعات السابقة من دون تحقيقٍ جديد في بيروت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الطبعات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توفير جميع الطبعات قمنا بدراستها و تقييمها ضمن ثلاثة محاور عامّة،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 التي اعتمدت عليها الطبعات، نواقصها، و محاسنها، و كانت نتائج التقييم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مصنّفات الشريف المرتضى لم تَحظَ بالتحقيق العلميّ الصحيح، و هي تواجه نواقص واضحة مهمّة من حيث المحتوى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الطبعات السابقة اعتمدت على مخطوطات لم تكن هي الأقدم و الأهم، و أغفلت المخطوطات القديمة و المصحّحة و النفيسة، و نستثني من ذلك بعض المصنّفات حيث طبعت بتحقيقٍ 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بتحقيق الأُستاذ محمّد أبو الفضل إبراهيم، طيف الخيال بتحقيق حسن كامل الصيرفي، الناصريات بتحقيق المجمع العالمي للتقريب بين المذاهب الإسلاميّة، و الانتصار بتحقيق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فهي بحاجة إلى تحقيقٍ جديد، مع العثور على مخطوطات جديدة و نواقص أُخرى و أُمور مهمّة أغفلت في التحقيق، مضافاً إلى توحيد المنهج في تحقيق المصنّفات كلّها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الدقيق في فهارس المخطوطات من مختلف المكتبات في إيران و غيرها من الدول، أعددنا فهرساً كاملاً لجميع مخطوطات </w:t>
      </w:r>
    </w:p>
    <w:p>
      <w:pPr>
        <w:pStyle w:val="BookText"/>
        <w:rPr/>
      </w:pPr>
      <w:r>
        <w:rPr>
          <w:rFonts w:ascii="Amiri" w:hAnsi="Amiri" w:eastAsia="Amiri" w:cs="Amiri"/>
          <w:color w:val="111111"/>
          <w:sz w:val="28"/>
          <w:sz w:val="28"/>
          <w:szCs w:val="28"/>
          <w:rtl w:val="true"/>
          <w:lang w:bidi="ar-SA"/>
        </w:rPr>
        <w:t>تراث الشريف المرتضى، و بعد ترتيبها حسب الأهمّية و الأولويّة انتخبنا لكلّ عنوانٍ عشرين مخطوطة على أكثر التقادير، حتّى يتمّ اختيار أجود النسخ 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المخطوطات من أكثر مكتبات إيران، و ثمّ تليها مكتبات العراق، و تركيا، و ألمانيا، و اسبانيا، و أمريكا، و روسية، و مصر، و إيرلند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أقدم النسخ تتعلّق حسب الترتيب بالكتب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تنزية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طيف الخيال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المصنّفات التي حازت على أكبر عدد من المخطوطات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الفصول المختارة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المجموع فقد اعتمدنا على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في تحقيق تراث الشريف المرتضى، و للتوضيح نورد فهرس الكتب و عدد المخطوطات التي اعتمدت عليها في تحقيقها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خمس 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المجموعة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المسائل التبّانيّات؛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المسائل الرازيّة؛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المسائل الطبريّة؛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المسائل الموصليّات الثانية؛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المسائل الموصليّات الثالثة؛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المسائل المَيافَارقيّات؛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المسائل الطرابلسيّات الثانية؛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الطرابلسيّات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في المنامات؛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أصحاب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الباء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وجه التكرار في الآيتين؛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الاستثناء؛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العلم بتناول الوعيد كافّة الكفّار؛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مع السلطان؛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بعدم الدليل عليه؛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الخصوم و كيفيّة الاستدلال عليهم؛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أهل الآخرة؛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توارد الأدلّة؛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الأنبياء على الملائكة؛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تفضيل الملائكة على الأنبياء؛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إنقاذ البشر من الجبر و القدر؛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الباهرة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رسالة على معدّل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ممّا</w:t>
      </w:r>
    </w:p>
    <w:p>
      <w:pPr>
        <w:pStyle w:val="BookText"/>
        <w:rPr/>
      </w:pP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مخطوطة أو مخطوطتين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جمل العلم و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ثلاث 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الملخّص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تنزية الأنبياء و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الطبعة السابقة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السابقة المجلّدات الثلاثة الأُولى على مخطوطة و المجلّد الرابع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تكملته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الطرابلسيّات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السابقة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السابقة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العترة الطاهرة؛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و الحقائق؛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غيبة الحجّة؛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الردّ على المنجّمين؛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الرسيّة الأُولى؛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الرسيّة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العلم و العمل؛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القرآنيّة؛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متفرّقة من الحديث و غيره؛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فيمن يتولّى غسل الإمام؛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غسل الرجلين في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الحسن و القبح العقلي؛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المسح على الخفّين؛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خلق الأعمال؛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الإجماع؛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خذلان أهل البيت عليهم السلام؛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أقاويل العرب في الجاهليّة؛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مبايعة علي عليه 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الشبهات في خبر الغدير؛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إرث الأولاد؛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تخطئة العامل بخبر الواحد؛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استلام الحجر؛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نفي الرؤية؛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الآيات المتشابهة من القرآن؛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العمل بأخبار الآحاد؛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امتناع عليّ عن محاربة الغاصبين؛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العصمة؛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من يثبت حدود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جوابات المسائل المصريّات؛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الواسطيّات؛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الرمليّة؛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القصيدة المذهّبة؛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في الشيب و الشباب؛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معجزات الأنبياء عليهم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نكاح المتعة؛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النيسابوري في تقسيمه للأعراض؛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bookmarkStart w:id="23" w:name="pg20043_770561"/>
    </w:p>
    <w:p>
      <w:pPr>
        <w:pStyle w:val="BookText"/>
        <w:rPr/>
      </w:pPr>
      <w:bookmarkEnd w:id="23"/>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السابقة 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طيف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في الشيب و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المذهّبة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السابقة على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مصنّفات الشريف المرتضى بخصلَتَين ممّا جعلتنا نواجه صعوبات في اختيار المحقّقين،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 المصنّفات، و لغة الشريف المرتضى في مصنّفاته، فمع كون أكثر مصنّفات الشريف المرتضى في مجال الكلام و الأدب، و أنّ لغة الشريف المرتضى لغةٌ أدبيّةٌ صعبة، يندر وجود المحقّقين ممّن يتمكّن من فهم النصّ الكلامي خاصّة الكلام القديم، و يتمكّن من فهم أدب الشريف المرتضى و لغته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تمّ اختيار المحقّقين على دقّة و بطء حتّى تمّ تغيير المحقّقين أكثر من مرّة، إلى أن تمّ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ما يرام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28288_2320776876"/>
      <w:bookmarkStart w:id="25" w:name="_Toc9"/>
      <w:bookmarkEnd w:id="24"/>
      <w:r>
        <w:rPr>
          <w:rtl w:val="true"/>
        </w:rPr>
        <w:t>رابعاً</w:t>
      </w:r>
      <w:r>
        <w:rPr>
          <w:rtl w:val="true"/>
        </w:rPr>
        <w:t xml:space="preserve">: </w:t>
      </w:r>
      <w:r>
        <w:rPr>
          <w:rtl w:val="true"/>
        </w:rPr>
        <w:t>مراحل أعمال التحقيق</w:t>
      </w:r>
      <w:bookmarkEnd w:id="25"/>
    </w:p>
    <w:p>
      <w:pPr>
        <w:pStyle w:val="BookText"/>
        <w:rPr/>
      </w:pPr>
      <w:r>
        <w:rPr>
          <w:rFonts w:ascii="Amiri" w:hAnsi="Amiri" w:eastAsia="Amiri" w:cs="Amiri"/>
          <w:color w:val="111111"/>
          <w:sz w:val="28"/>
          <w:sz w:val="28"/>
          <w:szCs w:val="28"/>
          <w:rtl w:val="true"/>
          <w:lang w:bidi="ar-SA"/>
        </w:rPr>
        <w:t>بعد التعرّف على المخطوطات، و ترتيبها حسب الأولويّة، و الاطّلاع على أهمّها، و تحديد المخطوطات، اتّخذنا الخطوات التالية في تحقيق مصنّفات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مقابلة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المرحلة قابلنا المصنّفات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على أقل، التقادير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على أكثرها، في فرض وجود النسخة و إمكانيّة الوصول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و الروايات و الأقوال و الآثار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استلزم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الكلمات و اللغات المشكلة و الغريبة و توضيح الأعلام و الأماكن و المذاهب و القبائل و الكتب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توضيحه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إدراج التوضيحات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موارد الإبهام والإجمال ممّا لم يرتفع إجماله و إبهامه بعلائم الترقيم و وضع الحركات الضروريّة أوضحنا مراد المصنّف في الهامش على نحو الاختصار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ضبط النصّ استناداً إلى ما ورد في المخطوطات، و ذكر موارد الاختلاف في النسخ ممّا </w:t>
      </w:r>
      <w:bookmarkStart w:id="26" w:name="pg20043_770562"/>
    </w:p>
    <w:p>
      <w:pPr>
        <w:pStyle w:val="BookText"/>
        <w:rPr/>
      </w:pPr>
      <w:bookmarkEnd w:id="26"/>
      <w:r>
        <w:rPr>
          <w:rFonts w:ascii="Amiri" w:hAnsi="Amiri" w:eastAsia="Amiri" w:cs="Amiri"/>
          <w:color w:val="111111"/>
          <w:sz w:val="28"/>
          <w:sz w:val="28"/>
          <w:szCs w:val="28"/>
          <w:rtl w:val="true"/>
          <w:lang w:bidi="ar-SA"/>
        </w:rPr>
        <w:t>تحتمل الصحّة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تنزيل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المرحلة قمنا بتنسيق الهوامش و توحيد المنهج فيها، و تمّ تنظيمها و إصلاحها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علائم الترقيم و ضبط النصّ و تقويمه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الحركات و إعراب الكلمات بنحو متوسّطٍ لتسهيل فهم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عناوين البحوث و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المراجعة العلميّة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مقدّمة التحقيق التي تشتمل على التعريف بالكتاب و مخطوطاته و كيفيّة تحقيقه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تنضيد الكتاب و مقابلة التنضيد و إخراج الكتاب فنّيّاً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المراجعة الفنّيّة و تدقيق المراحل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الفهارس الفنّيّة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 الفهرس الموضوعي للكتاب</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28290_2320776876"/>
      <w:bookmarkStart w:id="28" w:name="_Toc10"/>
      <w:bookmarkEnd w:id="27"/>
      <w:r>
        <w:rPr>
          <w:rtl w:val="true"/>
        </w:rPr>
        <w:t>خامساً</w:t>
      </w:r>
      <w:r>
        <w:rPr>
          <w:rtl w:val="true"/>
        </w:rPr>
        <w:t xml:space="preserve">: </w:t>
      </w:r>
      <w:r>
        <w:rPr>
          <w:rtl w:val="true"/>
        </w:rPr>
        <w:t xml:space="preserve">تحقيق العناوين و التنظيم الموضوعي للمصنّفات في </w:t>
      </w:r>
      <w:r>
        <w:rPr>
          <w:rtl w:val="true"/>
        </w:rPr>
        <w:t>«</w:t>
      </w:r>
      <w:r>
        <w:rPr>
          <w:rtl w:val="true"/>
        </w:rPr>
        <w:t>مؤلّفات الشريف المرتضى</w:t>
      </w:r>
      <w:r>
        <w:rPr>
          <w:rtl w:val="true"/>
        </w:rPr>
        <w:t>»</w:t>
      </w:r>
      <w:bookmarkEnd w:id="28"/>
    </w:p>
    <w:p>
      <w:pPr>
        <w:pStyle w:val="BookText"/>
        <w:rPr/>
      </w:pPr>
      <w:r>
        <w:rPr>
          <w:rFonts w:ascii="Amiri" w:hAnsi="Amiri" w:eastAsia="Amiri" w:cs="Amiri"/>
          <w:color w:val="111111"/>
          <w:sz w:val="28"/>
          <w:sz w:val="28"/>
          <w:szCs w:val="28"/>
          <w:rtl w:val="true"/>
          <w:lang w:bidi="ar-SA"/>
        </w:rPr>
        <w:t xml:space="preserve">لقد طبع من تراث الشريف المرتضى ما يقرب من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 من كتاب و رسالة، و قد ذكرت فيما مضي، ولكن توجد في عناوينها و أسمائهما مشاكل مهمّة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التكرار و التداخل بين الرسائل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طباعة المصنّف تارةً ضمن مجموعة و أُخرى مستقلاً،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الطرابلسيّات، و الشهاب في الشيب و الشباب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فقدان التنظيم و الترتيب الموضوعي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فرز الرسائل المنسوبة إليه خطأً، و المشكوكة الانتساب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الاشتباه في اسم الكتاب أو الرسالة، بما أنّ العنوان المنتخب للرسالة لا يرتبط مع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روعيت الملاكات التالية في تنظيم مصنّفات الشريف المرتضى و تنسيقها مع تشتّتها و نواقصها في ترتيب موسوعة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التنظيم الموضوعي للمصنّفات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الرسائل و المصنّفات التي ليست للشريف المرتضى و طبعت باسمه أو نسبت له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إفراز الرسائل المشكوكة الانتساب من سائر المصنّفات</w:t>
      </w:r>
      <w:r>
        <w:rPr>
          <w:rFonts w:eastAsia="Amiri" w:cs="Amiri" w:ascii="Amiri" w:hAnsi="Amiri"/>
          <w:color w:val="111111"/>
          <w:sz w:val="28"/>
          <w:szCs w:val="28"/>
          <w:rtl w:val="true"/>
          <w:lang w:bidi="ar-SA"/>
        </w:rPr>
        <w:t xml:space="preserve">. </w:t>
      </w:r>
      <w:bookmarkStart w:id="29" w:name="pg20043_770563"/>
    </w:p>
    <w:p>
      <w:pPr>
        <w:pStyle w:val="BookText"/>
        <w:rPr/>
      </w:pPr>
      <w:bookmarkEnd w:id="2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موارد التكرار و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تمّ تنظيم المؤلّفات بهذا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الشريف المرتضى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الموضح عن جهة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العلم و العمل و شرح جُمَل العلم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الملخّص في أُصول الدين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في علم الكلام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الأنبياء و الأئمّة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في الغيبة مع تكملته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 من العيون و المحاسن و الحكايات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الطرابلسيّات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 الثانية و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أُصول الشريعة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لما انفردت به الإماميّة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المسائل الطبريّة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طيف الخيال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في الشيب و الشباب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القصيدة المذهّبة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المرتضى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و المسائل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المتبقّى من التراث المفقود للشريف المرتضى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الفهارس العامّة</w:t>
      </w:r>
    </w:p>
    <w:p>
      <w:pPr>
        <w:pStyle w:val="Heading3"/>
        <w:numPr>
          <w:ilvl w:val="2"/>
          <w:numId w:val="1"/>
        </w:numPr>
        <w:rPr/>
      </w:pPr>
      <w:bookmarkStart w:id="30" w:name="__RefHeading___Toc828292_2320776876"/>
      <w:bookmarkStart w:id="31" w:name="_Toc11"/>
      <w:bookmarkEnd w:id="30"/>
      <w:r>
        <w:rPr>
          <w:rtl w:val="true"/>
        </w:rPr>
        <w:t>سادساً</w:t>
      </w:r>
      <w:r>
        <w:rPr>
          <w:rtl w:val="true"/>
        </w:rPr>
        <w:t xml:space="preserve">: </w:t>
      </w:r>
      <w:r>
        <w:rPr>
          <w:rtl w:val="true"/>
        </w:rPr>
        <w:t>ملاحظات حول تراث الشريف المرتضى</w:t>
      </w:r>
      <w:bookmarkEnd w:id="31"/>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حول تراث الشريف المرتضى</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الشريف المرتضى على أساس ترتيب السيّد المرتضى، يُطبع لأوّل مرّة حسب ترتيب الشريف المرتضى و على أساس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 السابقة للديوان بتحقيق الأُستاذ رشيد الصفّار عبارةٌ عن جمع شعره و ترتيبه حسب حروف الهجاء، و سوف تطبع ضمن أعمال المؤتمر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الطرابلسيّات الثانية و الثالثة طبعت سابقاً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الطرابلسيّات الأُولى عثر عليها في السنوات الأخيرة، و هي تطبع لأوّل مرّة، و لمّا كان حجم هذه الرسائل الثلاث يبلغ كتاباً لذلك سوف يطبع مستقلاًّ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المحكم و المتشابه لم تنشر لأنّها ليست من مصنّفات الشريف المرتضى قطعاً</w:t>
      </w:r>
      <w:r>
        <w:rPr>
          <w:rFonts w:eastAsia="Amiri" w:cs="Amiri" w:ascii="Amiri" w:hAnsi="Amiri"/>
          <w:color w:val="111111"/>
          <w:sz w:val="28"/>
          <w:szCs w:val="28"/>
          <w:rtl w:val="true"/>
          <w:lang w:bidi="ar-SA"/>
        </w:rPr>
        <w:t xml:space="preserve">. </w:t>
      </w:r>
      <w:bookmarkStart w:id="32" w:name="pg20043_770564"/>
    </w:p>
    <w:p>
      <w:pPr>
        <w:pStyle w:val="BookText"/>
        <w:rPr/>
      </w:pPr>
      <w:bookmarkEnd w:id="3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 المقطوعة الصحّة تنشر على الترتيب الموضوعي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مصنّفات الشريف المرتضى المفقودة، ممّا ورد نصوص منها في سائر المصنّفات، تجمع نصوصها في مجلّدٍ واحدٍ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المتبقّى من التراث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تشتمل على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المحمديّات الأُولى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المحمديّات الثانية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الخلاف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في الفقه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الرسالة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الملكي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الصيداويّات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الرمليّات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إلى الكراجكي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لفاطمة الزهراء</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الدمشقيّات أو الناصريّات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الموصليّات الأُولى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الوعيد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المامطيريّات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علم النجوم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الإجازات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فتاوى المرتضى</w:t>
      </w:r>
    </w:p>
    <w:p>
      <w:pPr>
        <w:pStyle w:val="Heading3"/>
        <w:numPr>
          <w:ilvl w:val="2"/>
          <w:numId w:val="1"/>
        </w:numPr>
        <w:rPr/>
      </w:pPr>
      <w:bookmarkStart w:id="33" w:name="__RefHeading___Toc828294_2320776876"/>
      <w:bookmarkStart w:id="34" w:name="_Toc12"/>
      <w:bookmarkEnd w:id="33"/>
      <w:r>
        <w:rPr>
          <w:rtl w:val="true"/>
        </w:rPr>
        <w:t>سابعاً</w:t>
      </w:r>
      <w:r>
        <w:rPr>
          <w:rtl w:val="true"/>
        </w:rPr>
        <w:t xml:space="preserve">: </w:t>
      </w:r>
      <w:r>
        <w:rPr>
          <w:rtl w:val="true"/>
        </w:rPr>
        <w:t>المراكز و الجهات المساهمة في المؤتمر</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العتبة الرضويّة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العتبة الكاظميّة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السيّد عبدالعظيم الحسني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مؤسّسة دارالحديث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البحوث الاسلاميّة التابعة للعتبة الرضويّة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مؤسّسة وارث الأنبياء للدراسات التخصّصيّة في النهضة الحسينيّة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معاونيّة التحقيق في مركز مديريّة الحوزات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المصطفى العالميّة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الأبحاث و العلوم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الأديان و 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البحوث الكمبيوتريّة للعلوم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منظّمة الثقافة و العلاقات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المكتبات التخصّصيّة التابعة لمكتب آية اللّٰه العظمى السيّد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اللجنة الوطنيّة لمنظّمة اليونسكو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التقريب بين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الذخائر الإسلاميّة</w:t>
      </w:r>
      <w:r>
        <w:rPr>
          <w:rFonts w:eastAsia="Amiri" w:cs="Amiri" w:ascii="Amiri" w:hAnsi="Amiri"/>
          <w:color w:val="111111"/>
          <w:sz w:val="28"/>
          <w:szCs w:val="28"/>
          <w:rtl w:val="true"/>
          <w:lang w:bidi="ar-SA"/>
        </w:rPr>
        <w:t xml:space="preserve">. </w:t>
      </w:r>
      <w:bookmarkStart w:id="35" w:name="pg20043_770565"/>
    </w:p>
    <w:p>
      <w:pPr>
        <w:pStyle w:val="BookText"/>
        <w:rPr/>
      </w:pPr>
      <w:bookmarkEnd w:id="35"/>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نشر الآثار العلميّة و تكريم المفاخر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مؤسّسة تراث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دارالتراث، النجف الأشرف</w:t>
      </w:r>
      <w:r>
        <w:rPr>
          <w:rFonts w:eastAsia="IRNazanin" w:cs="IRNazanin"/>
          <w:color w:val="111111"/>
          <w:sz w:val="28"/>
          <w:szCs w:val="28"/>
          <w:rtl w:val="true"/>
          <w:lang w:bidi="fa-IR"/>
        </w:rPr>
        <w:t>.</w:t>
      </w:r>
    </w:p>
    <w:p>
      <w:pPr>
        <w:pStyle w:val="Heading3"/>
        <w:numPr>
          <w:ilvl w:val="2"/>
          <w:numId w:val="1"/>
        </w:numPr>
        <w:rPr/>
      </w:pPr>
      <w:bookmarkStart w:id="36" w:name="__RefHeading___Toc828296_2320776876"/>
      <w:bookmarkStart w:id="37" w:name="_Toc13"/>
      <w:bookmarkEnd w:id="36"/>
      <w:r>
        <w:rPr>
          <w:rtl w:val="true"/>
        </w:rPr>
        <w:t>ثامناً</w:t>
      </w:r>
      <w:r>
        <w:rPr>
          <w:rtl w:val="true"/>
        </w:rPr>
        <w:t xml:space="preserve">: </w:t>
      </w:r>
      <w:r>
        <w:rPr>
          <w:rtl w:val="true"/>
        </w:rPr>
        <w:t>الأمانة العامّة و الأمانة العلميّة للمؤتمر</w:t>
      </w:r>
      <w:bookmarkEnd w:id="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الأمانة العامّة للمؤتمر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ترتيب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تتشكّل من رؤساء المراكز العلميّة المساهمة في المؤتمر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رضا الأُستادي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محسن الأراكي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عليرضا الأعرافي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محمّد المحمّدي الريشهري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عباسعلي الأختري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السيّد صادق الإشكوري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حميد الشهرياري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محسن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عبدالمهدي الكربلائي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رضا المختاري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أحمد المروي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السيّد حسن الموسوي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الشيخ مهدي المهريزي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السيّد أبو الحسن النوّاب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الشيخ أحمد الواعظي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أبوذر إبراهيمي تركمان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جمال الدبّاغ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سعداللّٰه القيداري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مهدي 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السيّد جعفر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أعضاء الأمانة العلميّة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تتألّف من رئيس المؤتمر و أعضاء الأمانة العلميّة،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ترتيب الحروف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رضا الأُستادي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الإسلام و المسلمين الشيخ رافد التميمي</w:t>
      </w:r>
      <w:r>
        <w:rPr>
          <w:rFonts w:eastAsia="Amiri" w:cs="Amiri" w:ascii="Amiri" w:hAnsi="Amiri"/>
          <w:color w:val="111111"/>
          <w:sz w:val="28"/>
          <w:szCs w:val="28"/>
          <w:rtl w:val="true"/>
          <w:lang w:bidi="ar-SA"/>
        </w:rPr>
        <w:t xml:space="preserve">. </w:t>
      </w:r>
      <w:bookmarkStart w:id="38" w:name="pg20043_770566"/>
    </w:p>
    <w:p>
      <w:pPr>
        <w:pStyle w:val="BookText"/>
        <w:rPr/>
      </w:pPr>
      <w:bookmarkEnd w:id="3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رسول جعفريان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محمّد الحسّون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محمّدحسين الدرايتي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محمّدتقي السبحاني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السيّد محمّدكاظم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رضا المختاري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السيّد محمود مرويان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محمّدمهدي المعراجي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محمّدعلي مهدوي 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مهدي المهريزي</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28298_2320776876"/>
      <w:bookmarkStart w:id="40" w:name="_Toc14"/>
      <w:bookmarkEnd w:id="39"/>
      <w:r>
        <w:rPr>
          <w:rtl w:val="true"/>
        </w:rPr>
        <w:t>تاسعاً</w:t>
      </w:r>
      <w:r>
        <w:rPr>
          <w:rtl w:val="true"/>
        </w:rPr>
        <w:t xml:space="preserve">: </w:t>
      </w:r>
      <w:r>
        <w:rPr>
          <w:rtl w:val="true"/>
        </w:rPr>
        <w:t>مشاركة العتبة الرضويّة المقدّسة</w:t>
      </w:r>
      <w:bookmarkEnd w:id="40"/>
    </w:p>
    <w:p>
      <w:pPr>
        <w:pStyle w:val="BookText"/>
        <w:rPr/>
      </w:pPr>
      <w:r>
        <w:rPr>
          <w:rFonts w:ascii="Amiri" w:hAnsi="Amiri" w:eastAsia="Amiri" w:cs="Amiri"/>
          <w:color w:val="111111"/>
          <w:sz w:val="28"/>
          <w:sz w:val="28"/>
          <w:szCs w:val="28"/>
          <w:rtl w:val="true"/>
          <w:lang w:bidi="ar-SA"/>
        </w:rPr>
        <w:t>لمّا كان مجموع مصنّفات الشريف المرتضى و أعمال المؤتمر يبلغ ستّين مجلّداً، و كانت تواجهنا صعوبات طباعة هذه المجموعة من حيث الأُمور الفنّيّة و الماليّة؛ لذلك أوكلنا هذه المهمّة إلى العتبة الرضويّة المقدّسة، و قد تقبّلها برحابة صدر متولّيها حجّة الإسلام و المسلمين الشيخ أحمد المروي</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28300_2320776876"/>
      <w:bookmarkStart w:id="42" w:name="_Toc15"/>
      <w:bookmarkEnd w:id="41"/>
      <w:r>
        <w:rPr>
          <w:rtl w:val="true"/>
        </w:rPr>
        <w:t>عاشراً</w:t>
      </w:r>
      <w:r>
        <w:rPr>
          <w:rtl w:val="true"/>
        </w:rPr>
        <w:t xml:space="preserve">: </w:t>
      </w:r>
      <w:r>
        <w:rPr>
          <w:rtl w:val="true"/>
        </w:rPr>
        <w:t>شكرٌ و تقدير</w:t>
      </w:r>
      <w:bookmarkEnd w:id="42"/>
    </w:p>
    <w:p>
      <w:pPr>
        <w:pStyle w:val="BookText"/>
        <w:rPr/>
      </w:pPr>
      <w:r>
        <w:rPr>
          <w:rFonts w:ascii="Amiri" w:hAnsi="Amiri" w:eastAsia="Amiri" w:cs="Amiri"/>
          <w:color w:val="111111"/>
          <w:sz w:val="28"/>
          <w:sz w:val="28"/>
          <w:szCs w:val="28"/>
          <w:rtl w:val="true"/>
          <w:lang w:bidi="ar-SA"/>
        </w:rPr>
        <w:t>لم تكن الأعمال العلميّة الضخمة كتحقيق مصنّفات الشريف المرتضى في حوالي أربعين مجلّداً، و أعمال المؤتمر في أكثر من عشرين جزءاً تثمر لولا تكاتف الجهود المضنية ليتمّ العمل على أحسن ما يرام، لذا ينبغي أن أتقدّم بالشكر الجزيل و الثناء الجميل إلى الذين كان لهم دور و تأثير في تحقيق هذا الغرض السامي، و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قائد الثورة الإسلاميّة آية اللّٰه العظمى السيّد علي الحسيني الخامنئي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لتشجيعه علىٰ إقامة المؤتمر مادّياً و معنوياً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متولّي عتبة السيّد عبد العظيم الحسني عليه السلام و رئيس و مؤسّس مؤسّسة دار الحديث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آية اللّٰه الشيخ محمّد المحمّدي الريشهري؛ حيث تبنّى هذا المشروع العظيم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متولّي عتبة الرضويّة المقدّسة حجّة الإسلام و المسلمين الشيخ أحمد المروي لتقبّله طباعة الكتب و نشرها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الإسلام و المسلمين السيّد جواد الشهرستاني وكيل آية اللّٰه العظمى السيّد علي الحسيني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لحمايته المادّية و المعنويّة في جميع مراحل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أعضاء الأمانة العلميّة و الأمانة العامّة للمؤتمر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المحقّقون لمصنّفات الشريف المرتضى و الباحثون و كاتبو البحوث و المقالات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محمّدحسين الدرايتي، حيث كان على عاتقه إدارة و تحقيق مصنّفات الشريف المرتضى و متابعة الأُمور في جميع مراحلها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 المسلمين الشيخ محمّدمهدي خوش قلب، حيث كان على عاتقه إدارة تأليف و تدوين أعمال المؤتمر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اللّجان الفنّيّة و العلميّة لإعداد مصنّفات الشريف المرتضى،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المقابلة، لجنة المراجعة الفنّيّة و العلميّة، لجنة التدقيق المطبعي و اللغوي، لجنة التنضيد و الإخراج الفنّي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المشاورون علميّاً في جميع مراحل العمل، و قد استفدنا من آرائهم و انظارهم،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محمّدهادي الخالقي و رضا بابائي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اللجنة المتابعة في الأمانة العامّة للمؤتمر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المعاونيّة العلميّة و الإداريّة في مؤسّسة دار الحديث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لتهيئة ظروف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آملين أن يكون تحقيق و نشر هذه الأعمال العلميّة و إقامة المؤتمر مساهمةً جادّةً في سبيل إعلاء كلمة أهل البيت عليهم السلام و ترويج العقلانيّة و المعايشة السلميّة اللذين هما من أهمّ خصائص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الأمين العلميّ للمؤتمر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0044_770572"/>
      <w:bookmarkStart w:id="44" w:name="pg20044_770572"/>
      <w:bookmarkEnd w:id="44"/>
    </w:p>
    <w:p>
      <w:pPr>
        <w:pStyle w:val="Heading2"/>
        <w:numPr>
          <w:ilvl w:val="1"/>
          <w:numId w:val="1"/>
        </w:numPr>
        <w:rPr/>
      </w:pPr>
      <w:bookmarkStart w:id="45" w:name="pg20044_770572"/>
      <w:bookmarkStart w:id="46" w:name="__RefHeading___Toc828302_2320776876"/>
      <w:bookmarkStart w:id="47" w:name="_Toc16"/>
      <w:bookmarkEnd w:id="45"/>
      <w:bookmarkEnd w:id="46"/>
      <w:r>
        <w:rPr>
          <w:rtl w:val="true"/>
        </w:rPr>
        <w:t>الفهرس الإجمالي</w:t>
      </w:r>
      <w:bookmarkEnd w:id="47"/>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المؤلّفة في الإمامة قبل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و كتابه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 تلخيصه للشافي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و كتابه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الكتاب و العمل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الشافي في الإمامة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تتبّع ما ذكره ممّا يتعلّق بوجوب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وجوه وجوب الإمامة، و بيان الصحيح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نفي بعض الوجوه المذكورة لإثبات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إبطال ما ادّعاه صاحب الكتاب من لوازم تلزم الإماميّة القائلين بالحاجة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صاحبِ الكتاب لهشام بن الحَكَم و ابن الراونديّ و أبي عيسى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وجوه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تتبّع كلامه في الاستدلال علىٰ وجوب الإمامة من جهة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إقامة الحدود علىٰ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تأمير خالد بن الوليد يومَ 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 أبا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الكلام على اعتراضه علىٰ ما حكاه من أدلّتنا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النقص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السهو و الغفلة و الشبهة و التقصير على المكلّفين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الاختلاف في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الاختلاف في الفقه و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يتّصل بمصالح أبدان المكلّفين و معايشهم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الإمام مقام الرسول في حفظ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الحافظ للشرع هو الإمام، لا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bookmarkStart w:id="48" w:name="pg20044_770574"/>
    </w:p>
    <w:p>
      <w:pPr>
        <w:pStyle w:val="Heading2"/>
        <w:numPr>
          <w:ilvl w:val="1"/>
          <w:numId w:val="1"/>
        </w:numPr>
        <w:rPr/>
      </w:pPr>
      <w:bookmarkStart w:id="49" w:name="__RefHeading___Toc828304_2320776876"/>
      <w:bookmarkStart w:id="50" w:name="_Toc17"/>
      <w:bookmarkEnd w:id="48"/>
      <w:bookmarkEnd w:id="49"/>
      <w:r>
        <w:rPr>
          <w:rtl w:val="true"/>
        </w:rPr>
        <w:t>مقدّمة التحقيق</w:t>
      </w:r>
      <w:bookmarkEnd w:id="50"/>
    </w:p>
    <w:p>
      <w:pPr>
        <w:pStyle w:val="Heading3"/>
        <w:numPr>
          <w:ilvl w:val="2"/>
          <w:numId w:val="1"/>
        </w:numPr>
        <w:rPr/>
      </w:pPr>
      <w:bookmarkStart w:id="51" w:name="__RefHeading___Toc828306_2320776876"/>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3" w:name="__RefHeading___Toc828308_2320776876"/>
      <w:bookmarkStart w:id="54" w:name="_Toc19"/>
      <w:bookmarkEnd w:id="53"/>
      <w:r>
        <w:rPr>
          <w:rtl w:val="true"/>
        </w:rPr>
        <w:t>تمهيد</w:t>
      </w:r>
      <w:bookmarkEnd w:id="54"/>
    </w:p>
    <w:p>
      <w:pPr>
        <w:pStyle w:val="BookText"/>
        <w:rPr/>
      </w:pPr>
      <w:r>
        <w:rPr>
          <w:rFonts w:ascii="Amiri" w:hAnsi="Amiri" w:eastAsia="Amiri" w:cs="Amiri"/>
          <w:color w:val="111111"/>
          <w:sz w:val="28"/>
          <w:sz w:val="28"/>
          <w:szCs w:val="28"/>
          <w:rtl w:val="true"/>
          <w:lang w:bidi="ar-SA"/>
        </w:rPr>
        <w:t>لم تكن ولادة علم الكلام و مسائله ناشئةً من تَرَفٍ فكريّ ، و ولعٍ بملئ الوقت بمجموعة من الأحاجي و الألغاز الفكريّة التي يستعصي فهمها إلّاعلى عددٍ قليلٍ من الناس، و إنّما نبعَ علم الكلام من صميم حاجات المجتمع الإسلامي، و كانت كلّ مسألةٍ منه انعكاساً لتحوّلٍ خطيرٍ في المجتمع، أو إجابةٍ على سؤال أخذ يشغل أفكار الناس، أو غير ذلك ممّا له مساسٌ مباشر بمتطلّبات المجتمع و العصر، ممّا يدلّ على نضجٍ فكريٍّ لدى مسلمي القرون الأُولى، و احترامٍ للوقت و أفكار الآخرين، خلافاً للقرون التالية التي أخذ البعض يشغل ذهنه ببحوث و مسائل لا تطال الواقع و لا يطالها إلّاعن بُعد، حيث تفصل بينهما مسافات شاسعة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تربّعت مسألةُ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سائر مسائل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قمّة مسائل علم الكلام من حيث الأهمّية، و خطورة آثارها على المجتمع، فهي تمسّ بالصميم قلبَ النظام السياسي الحاكم، و تتوجّه بسهامها نحو أُسّه، فوفقاً لهذه النظريّة في الإمامة أو تلك، يحصل النظام الحاكم على شرعيّته أو يفقدها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أدّى الاختلافُ في نظريّةٍ حول الإمامة إلى سلّ السيوف، و نشوب المعارك، و إراقة الدماء، حتّى قال الشهرستاني مقالته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 سيفٌ في الإسلام على قاعدةٍ دينيّةٍ ، 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ساعد على إبقاء مسألة الإمامة حيّةً على طول التاريخ مذهبٌ عُرف على طول تاريخه بأنّه مذهب معارض للنظام الحاكم، و له نظريّته الخاصّة في الإمامة، إنّه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ما زال يفرض وجوده بقوّةٍ على الواقع، على الرغم من أنّه عاش طول تاريخه مغضوباً عليه من قِبَل الحكّام، فناله ما ناله من تهميشٍ و إقصاء، و قتلٍ و تشريد لأتباعه، ولكنّه وقف صامداً أمام كلّ التحدّيات، فيما فنيت فرقٌ أُخرى عديدة بأقلَّ بكثير ممّا أصابه، و هذا من عجائب الزمان التي تستوقف النبيه، و تدعوه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للأهمّية التي تمتّعت بها مسألة الإمامة دورٌ في كثرة التأليف حولها، فقد أُلّفت حول هذه المسألة العشرات، بل المئات، و ربما الأُلوف من الكتب و الرسائل من قِبَل جميع الفرق الكلاميّة، فقد كان لكلّ فرقةٍ رأيها في الإمامة، و طبيعة الحكم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تنوّع الإنتاج الفكريّ حول الإمامة بين كتبٍ مطوّلة و متوسّطة و مختصرة، و رسائل، بعضها يدور حول بحوث الإمامة بصورةٍ عامّة، و آخر يحاول أن يستوعب أكبر قدر ممكن من مسائلها، و ثالث يتخصّص في مسألةٍ معيّنة منها، إلى غير ذلك من صور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هذه الصور و التي كان لها شأنٌ كبير و ما زال، هي الردود، و الجدل، و النقض، و النقض على النقض، و النقض على نقض النقض</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من المحتّم أن أبا جعفر ابن قِبَة إذا كان قد بقي حيّاً آنذاك، لكان قد كتب نقضاً على نقض المستثبت، فيكون في الحقيقة نقضاً على نقض نقض النقض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تمكّن</w:t>
      </w:r>
    </w:p>
    <w:p>
      <w:pPr>
        <w:pStyle w:val="BookText"/>
        <w:rPr/>
      </w:pPr>
      <w:r>
        <w:rPr>
          <w:rFonts w:ascii="Amiri" w:hAnsi="Amiri" w:eastAsia="Amiri" w:cs="Amiri"/>
          <w:color w:val="111111"/>
          <w:sz w:val="28"/>
          <w:sz w:val="28"/>
          <w:szCs w:val="28"/>
          <w:rtl w:val="true"/>
          <w:lang w:bidi="ar-SA"/>
        </w:rPr>
        <w:t xml:space="preserve">المتكلّمون المسلمون أن يعرضوا من خلال هذا النوع من التأليفات قدرة منقطعة النظير على الجدل، و نقض أفكار الآخرين، و الانتصار لرأيهم، بحيث لو اطّلع مجادلو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الحاذقون في صناعة الجدل، و الذين كانت لهم اليد الطولى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لانحنوا إجلالاً أمام كلّ هذا التفوّق الكبير الذي أبداه متكلّمو الإسلام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كثرة التأليف في هذا المجال ليس من الترفِ الفكريّ بشيء، بل هو عقيدة و إصرار لا مجال للمَلل فيه على إثبات العقيدة التي ينتمي إليها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الكلام عن إمامة أمير المؤمنين عليه السلام أو غيره أمرٌ قد عفا عليه الزمن، كما قد يحلو للبعض أن يقول، فإنّ المتكلّم في الإمامة على علم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إنسان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أمير المؤمنين عليه السلام قد مات، و انقضى كلّ شيء، و لا يمكن إعادة حقّه إليه، و لو كان البحث في الإمامة يدور حول إعادة الحقّ إلى أمير المؤمنين عليه السلام لكان صاحب المقولة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الأمر قد عفا عليه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في كلامه، ولكان الباحث في الإمامة لأجل ذلك من أتفه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الحقيقة ليس النزاع حول الإمامة محاولة لإعادة الحقّ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الحقّ ثابتٌ له، و إن خالف 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النزاع يدور حول تحديد المرجعيّة الفكريّة التي ينبغي على المسلمين الرجوع إليها في جميع تفاصيل حياتهم السياسيّة و الاجتماعيّة و الفكريّة، فهل هذه المرجعيّة الفكريّة هي أمير المؤمنين عليه السلام و أولاده من أئمّة أهل البيت عليهم السلام أو أشخاص آخرون ؟</w:t>
      </w:r>
    </w:p>
    <w:p>
      <w:pPr>
        <w:pStyle w:val="BookText"/>
        <w:rPr/>
      </w:pPr>
      <w:r>
        <w:rPr>
          <w:rFonts w:ascii="Amiri" w:hAnsi="Amiri" w:eastAsia="Amiri" w:cs="Amiri"/>
          <w:color w:val="111111"/>
          <w:sz w:val="28"/>
          <w:sz w:val="28"/>
          <w:szCs w:val="28"/>
          <w:rtl w:val="true"/>
          <w:lang w:bidi="ar-SA"/>
        </w:rPr>
        <w:t>فإذا طُرح النزاع بهذه الصورة، فسوف يكون له ارتباطٌ وثيقٌ بكلّ عصر، و سوف لن يبلى على طول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بطبيعة الحال، فهذا البحث لا يتمّ إلّابإثبات إمامة أمير المؤمنين عليه السلام، و أنّه و أولاده صلوات اللّٰه عليهم يكوّنون المرجعيّة الفكريّة لجميع المسلمين على طول الزمن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عوداً إلى بحثنا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للإماميّة دورٌ مهمٌّ في كتابة النقوض و الردود في </w:t>
      </w:r>
    </w:p>
    <w:p>
      <w:pPr>
        <w:pStyle w:val="BookText"/>
        <w:rPr/>
      </w:pPr>
      <w:r>
        <w:rPr>
          <w:rFonts w:ascii="Amiri" w:hAnsi="Amiri" w:eastAsia="Amiri" w:cs="Amiri"/>
          <w:color w:val="111111"/>
          <w:sz w:val="28"/>
          <w:sz w:val="28"/>
          <w:szCs w:val="28"/>
          <w:rtl w:val="true"/>
          <w:lang w:bidi="ar-SA"/>
        </w:rPr>
        <w:t>مجال الإمامة، و من أهمّ تلك الردود التي أُلّفت في هذا المجال، الكتاب الخالد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للشريف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رأس الإماميّة و سيّدهم في عصره بلا منازع، و الذي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الإماميّة قدراً، و أكثرهم علماً، و أعوصهم فكراً و نظراً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قام في هذا الكتاب الكبير بالردّ على ما ذكره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المهمّ المعروف بكتاب المغني في أبواب التوحيد و العدل، فقد خصّص القاضي الجزء الأخير من كتابه لبحث الإمامة، و طرح فيه آخرَ ما توصّل إليه الفكر المعتزلي الخصب من أبحاث حول هذا الموضوع، فقام الشريف المرتضى بالتصدّي له، و نقض كلامه الذي اختلف فيه مع الإماميّة واحداً واحداً، بطريقةٍ علميّة فذّة، و أُسلوبٍ فكريّ عميق، شرح فيه آراء الإماميّة حول الإمامة، و بيّنها و دافع عنها بكلّ ما أُوتي من قوّةٍ و خبرةٍ علميّة؛ و بذلك قدّم لنا مصدراً غايةً في الأهمّيّة في مجال الإمامة، صار في عصره و ما بعده من أهمّ المصادر التي يرجع إليها الموافق و المخالف، و بذلك يحقّ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بحقّ قد أنسى مَن قبله، و أتعب 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حاولنا في هذه المقدّمة إلقاء بعض الضوء على هذا التراث الضخم الذي تركه لنا الشريف المرتضى، مستعرضين بعض خصوصيّاته، وجهات أهمّيّته المتوزّعة بين ثناياه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قسّمنا المقدّمة إلى فصول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المؤلّفة في الإمامة قبل الشافي</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و كتابه المغني</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 تلخيصه للشافي</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و كتابه الشافي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مخطوطات الكتاب و العمل عليه </w:t>
      </w:r>
      <w:bookmarkStart w:id="55" w:name="pg20044_770578"/>
    </w:p>
    <w:p>
      <w:pPr>
        <w:pStyle w:val="Heading2"/>
        <w:numPr>
          <w:ilvl w:val="1"/>
          <w:numId w:val="1"/>
        </w:numPr>
        <w:rPr/>
      </w:pPr>
      <w:bookmarkStart w:id="56" w:name="__RefHeading___Toc828310_2320776876"/>
      <w:bookmarkStart w:id="57" w:name="_Toc20"/>
      <w:bookmarkEnd w:id="55"/>
      <w:bookmarkEnd w:id="56"/>
      <w:r>
        <w:rPr>
          <w:rtl w:val="true"/>
        </w:rPr>
        <w:t>الفصل الأوّل الكتب المؤلّفة في الإمامة قبل الشافي</w:t>
      </w:r>
      <w:bookmarkEnd w:id="57"/>
    </w:p>
    <w:p>
      <w:pPr>
        <w:pStyle w:val="BookText"/>
        <w:rPr/>
      </w:pPr>
      <w:r>
        <w:rPr>
          <w:rFonts w:ascii="Amiri" w:hAnsi="Amiri" w:eastAsia="Amiri" w:cs="Amiri"/>
          <w:color w:val="111111"/>
          <w:sz w:val="28"/>
          <w:sz w:val="28"/>
          <w:szCs w:val="28"/>
          <w:rtl w:val="true"/>
          <w:lang w:bidi="ar-SA"/>
        </w:rPr>
        <w:t>لقد أولى الشيعة أهمّيّة خاصّة ببحث الإمامة، فقاموا بتأليف العشرات، بل المئات من الكتب و الرسائل حول الإمامة بصورةٍ عامّة، أو حول موضوعٍ معيّنٍ متعلّق بها، و لا شكّ في أنّ إمامة أمير المؤمنين عليه السلام كانت تمتلك الحصّة الأكبر من بين تلك المؤلّفات؛ باعتبارها أهمّ موضوع متعلّق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تأليفَ الشافي مؤلّفاتٌ كثيرة جدّاً حول الإمامة، فلا يعتبر الشافي سابقاً في هذا المجال، و لكن يبدو أنّه لأهمّيّته و تفصيله و دقّته قد أنسى ما قبله، فلم يَبْقَ من معظم الكتب المؤلّفة في الإمامة المتقدّمة على الشافي إلّااسمها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بالطبع لقد كان للثقل الذي كانت تتمتّع به شخصيّة الشريف المرتضى بين الإماميّة دورٌ أساسيٌّ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قائمةٌ بأهمّ الكتب المؤلّفة حول الإمامة قبل تأليف الشافي، استخرجناها من فهرست النجاشي فقط، و وضعنا أمام كلّ عنوان رقم الصفحة من هذا الفهرست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الهدف من إيراد هذه القائمة المطوّلة للكتب هو معرفة مدى الجهد الهائل الذي بذله علماء الشيعة للدفاع عن الإمامة، و معرفة الأبحاث التي أثارت اهتمامهم من دون غيرها، إضافة إلى أنه يمكن اعتبار هذه القائمة مقدّمة لدراسة المصادر التي اعتمد عليها الشريف المرتضى عند تأليفه للشافي، إلى غير ذلك من الفوائد التي لا تخفى على القارئ اللبيب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حاولنا بحسب الإمكان أن نقوم بترتيب الكتب وفقاً لعناوينها، و ذلك لأجل بيان المواضيع التي صارت محطّ اهتمام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القائمة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لإسماعيل بن محمّد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للحسين بن عبيد اللّٰه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إسماعيل المِيثمي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الحسن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كتابه بأنّه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عيسى بن عبيد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جعفر الزيّات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أحمد بن يحيى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عيسى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أحمد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أحمد أبي عبد اللّٰه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لمعلّى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ليحيى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العَزاقِر الشلمغاني،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الإمامة لأحمد بن الحسين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لبُندار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لحكم بن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لعبد اللّٰه بن مُسكان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لعبد اللّٰه بن عبد الرحمن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محمّد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وصيف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لعيسى بن 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جعفر السَّكَّاك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خلف أبي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لهبة اللّٰه بن أحمد المعروف بابن برنية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الشداخ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الأحوص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لعبد اللّٰه بن هارون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رسالة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لجعفر بن </w:t>
      </w:r>
    </w:p>
    <w:p>
      <w:pPr>
        <w:pStyle w:val="BookText"/>
        <w:rPr/>
      </w:pPr>
      <w:r>
        <w:rPr>
          <w:rFonts w:ascii="Amiri" w:hAnsi="Amiri" w:eastAsia="Amiri" w:cs="Amiri"/>
          <w:color w:val="111111"/>
          <w:sz w:val="28"/>
          <w:sz w:val="28"/>
          <w:szCs w:val="28"/>
          <w:rtl w:val="true"/>
          <w:lang w:bidi="ar-SA"/>
        </w:rPr>
        <w:t xml:space="preserve">أحمد بن وندك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كتابه بأنّه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للفضل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كتابه أيضاً بأنّه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أيضاً كتابان في الإمامة، كبير و 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للحسن الناصر الأطروش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كتابان في الإمامة، كبير و 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ليعقوب 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الاستيفاء في الإمامة لأبي سهل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في الإمامة لأبي سهل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في الإمامة لأبي سهل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في الإمامة للحسن بن محمّد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في الإمامة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الحُجج في الإمامة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الإمامة لابن جبرويه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الصفوة في الإمامة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في الإمامة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في الإمامة لابن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المُسترشِد في الإمامة 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الإمامة لمحمّد بن بِشر السوسنجردي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المُنقِذ في الإمامة لمحمّد بن بِشر السوسنجردي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الخليلي في الإمامة لمحمّد بن جعفر الهمْداني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في الإمامة 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مختصر في الإمامة لأبي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و الأغراض في الإمامة لأبي الجيش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 الإمامة لابن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كتاب أبي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المفردة في الإمامة لابن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 مسائل في الإمامة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و الجوابات في الإمامة لابن مملك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الوصيّة و الإمامة لعليّ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التبصرة من الحيرة لعليّ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 و الفرّ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الإمامة، مليحُ الوضع، مسألةٌ و قلبُها و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عقيل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في الإمامة، فيه حديث 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الرسالة إلى الأمير أبي عبد اللّٰه و أبي طاهر بن ناصر الدولة في مجلس جرى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إمامة المفضول 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الولاية لعليّ بن الحسن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إلى تحصيل الولاية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ماهية العصمة لابن أبي العَزاقِر 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لإبراهيم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للحسن بن عليّ 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لأحمد بن محمّد بن دُوْل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لأحمد بن محمّد القلّاء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لحُمَيد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محمّد </w:t>
      </w:r>
    </w:p>
    <w:p>
      <w:pPr>
        <w:pStyle w:val="BookText"/>
        <w:rPr/>
      </w:pPr>
      <w:r>
        <w:rPr>
          <w:rFonts w:ascii="Amiri" w:hAnsi="Amiri" w:eastAsia="Amiri" w:cs="Amiri"/>
          <w:color w:val="111111"/>
          <w:sz w:val="28"/>
          <w:sz w:val="28"/>
          <w:szCs w:val="28"/>
          <w:rtl w:val="true"/>
          <w:lang w:bidi="ar-SA"/>
        </w:rPr>
        <w:t xml:space="preserve">السوّاق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عليّ أبي سُمينة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لمعلّى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الأئمّة عليهم السلام لثُبيت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الأئمّة عليهم السلام و معجزاتهم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براهين الأئمّة عليهم السلام لسعيد بن أحمد الغرّاد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النصّ على الأئمّة عليهم السلام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حُجج الأئمّة عليهم السلام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الموازنة لمن استبصر في إمامة الاثني عشر عليهم السلام لمحمّد بن جعفر أبي بكر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إمامة عليّ بن الحسين عليه السلام للعيّاشي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معنى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الأئمّة عليهم السلام و ما شذّ على المصنفين من ذلك للحسين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الأئمّة عليهم السلام لإسحاق بن الحسن العَقْرائي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الأئمّة عليهم السلام من حساب الجُمل لفارس بن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في عدد الأئمّة الاثني عشر عليهم السلام لابن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في عدد الأئمّة عليهم السلام لمحمّد بن عليّ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لأبي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لابن أبي العَزاقِر 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و مقتضاه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خالويه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في إمامة أمير المؤمنين عليه السلام لمؤمن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إمامة أمير المؤمنين عليه السلام من القرآن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المقنعة في إمامة أمير المؤمنين عليه السلام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إثبات الوصية لعليّ بن أبي طالب عليه السلام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لعليّ عليه السلام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الوصية و الردّ على منكريها 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لعيسى بن المستفاد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البرهان في النصّ الجليّ على أمير المؤمنين عليه السلام لعليّ بن محمّد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مسألة في النصّ الجليّ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الاختيار و إثبات النصّ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لعبيد اللّٰه بن أبي زيد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لفارس بن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التفضيل في تأويل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إمامة أمير المؤمنين عليه السلام و تفضيله على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ورقاء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الحسن البصري في التفضيل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قال بالتفضيل من الصحابة و غيرهم لابن أبي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تفضيل أمير المؤمنين عليه السلام على سائر أصحابه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تفضيل الأئمّة عليهم السلام على الملائكة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الشورى لأبي العبّاس بن عقدة السَّبيعي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الشورى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الشورى لعبد العزيز بن يحيى الجَلودي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العَتيقي في الشورى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محمّد بن زاهر في الإمامة لأبي سهل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يحيى بن أصفح في الإمامة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الخالدي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ابن رشيد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ابن الإخشيد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الكرابيسي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الردّ على الحسين بن عليّ الكرابيسي للحسين بن عليّ أبي عبد اللّٰه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على جعفر بن حرب في الإمامة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على ابن عبّاد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على غلام البحراني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على النصيبي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الإمامة على جعفر بن حرب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كتاب الأصمّ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نقض العثمانية لثُبيت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العثمانية على الجاحظ لأبي الجيش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الجاحظ في العثمانية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العباسية لمحمّد بن إبراهيم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المروانية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فضيلة المعتزلة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على الجاحظ فضيلة المعتزلة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مقاتل بن عبد الرحمن عمّا استخرجه من كتب الجاحظ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الكاشفة عن خطأ العُصبة المخالفة لعليّ بن محمّد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كلام على مسائل الخلاف التي بيننا و بين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بحر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التسليم على أمير المؤمنين عليه السلام بإمرة المؤمنين للحسين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الغدير للحسين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الولاية ومَن روى غدير خمّ لأبي العبّاس بن عقدة السَّبيعي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حديث غدير خم لأبي بكر 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المفضّل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حديث الغدير لعبيد اللّٰه بن أبي زيد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طرق خبر يوم الغدير 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خبر الولاية لعليّ بن عبد الرحمن القناني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اللسان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حديث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أبي وقّاص لأبي العبّاس بن عقدة السَّبيعي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أبي زيد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لإبراهيم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مخنف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عيسى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فيما يتعلّق بالسقيفة لأحمد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النصرة لسيّد العترة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الحُرقوصية 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شيعة عليّ عليه السلام لعبد العزيز بن يحيى الجَلودي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الشيعة و المقالات لأبي عيسى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لعبيد اللّٰه بن أبي زيد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لنصر بن 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فرق الشيعة ما خلا الإماميّة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للشيَع من أهل البدَع لعبيد اللّٰه بن أبي زيد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أهل البدع لعليّ بن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البدع لمحمّد بن بحر الرُّهني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الإبانة عن اختلاف الناس في الإمامة لعبيد اللّٰه بن أبي زيد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الناس في الإمامة لهشام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في فرق الشيعة، و أخبار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النعيمي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الزيديّة للحسين بن إشكيب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على الزيديّة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سقاطات العجلية لأحمد بن محمّد القلّاء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العجلية هم ضعفاء الزيديّة، أصحاب هارون بن سعيد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الضياء في الردّ على المحمّدية و الجعفرية، لسعد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في أبي الخطاب محمّد بن أبي زينب لأحمد و عليّ ابنَي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الغالية للحسن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الغالية و أبي الخطّاب لإبراهيم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الغلاة لأبي سهل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للحسن و الحسين ابنَي سعيد الأهوازيَّين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لإسحاق بن الحسن العَقْرائي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مهزيار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أورمة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الغلاة و المفوّضة للحسين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في الردّ على الغلاة لأبي يعلى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الغالية المحمّدية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السلمانيّة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العبّاس الجراذيني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الغلوّ و التقصير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الإسماعيليّة لفارس بن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أبي عمران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فساد أقاويل الإسماعيلية لأبي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القرامطة لعليّ بن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الفطحية لجعفر بن محمّد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سهل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للحسن بن موسى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للحسين بن عليّ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لجعفر بن محمّد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لفارس بن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أحمد أبي عبد اللّٰه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لهارون بن عبد العزيز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الواضح المكشوف في الردّ على أهل الوقوف لمحمّد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الصفة في مذهب الواقفة لأحمد بن الحسين 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ابن رباح الممطور لمحمّد بن أحمد أبي عبد اللّٰه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لإبراهيم الأنماطي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لإبراهيم الأحمري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للحسن بن عليّ 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للحسن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للحسن بن حمزة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لحنظلة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الحسن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عمر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لعليّ بن محمّد السوّاق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للعباس بن هشام الناشري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الغيبة لعبد الوهّاب المادرائي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و ذكر القائم عليه السلام للحسن بن محمّد المعروف بابن أخي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و الحيرة 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و كشف الحيرة لسلامة بن محمّد الأرزني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و كشف الحيرة لمحمّد بن أحمد أبي عبد اللّٰه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الأشفية في معاني الغيبة للحسن بن حمزة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و الجلاء في الغيبة لأحمد بن عليّ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الأوّلة و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المسائل العشر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مختصر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الفارقيّين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على الطلحي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يفعل الناس حين يفقدون الإمام لأحمد بن أبي زاهر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يجب على العبد عند مُضيّ الإمام لمحمّد بن أحمد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إبّانُ حكم الغيبة لأبي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الفَرَج لمحمّد بن عليّ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الجوابات في خروج الإمام المهدي عليه السلام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خروج القائم عليه السلام و ملاحم للحسن بن محمّد الصفّار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القائم الصغير للحسن بن عليّ 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القائم عليه السلام لعليّ بن مهزيار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القائم عليه السلام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القائم عليه السلام لعليّ بن محمّد الكليني، 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القائم عليه السلام لمعلّى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لعيسى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ذكر مَن روى مِن طرق أصحاب الحديث أن المهدي عليه السلام من ولد </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كبير، و فيه أخبار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نزل من القرآن في صاحب الزمان عليه السلام لابن عيّاش الجوهري،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للحسن بن عليّ البطائني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الرجعة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ثبت بأهمّ الكتب التي كتبها الشيعة في الإمامة، و المواضيع المتعلّقة بها، إلى نهاية القرن الرابع تقريباً، و التي ذكرها النجاشي في فهرسته، و قد حذفنا عدداً منها لضيق المجال، و مما حذفناه كتب الفضائل و المناقب و المثالب، و ما تعلّق ببعض خصوصيات أمير المؤمنين عليه السلامُ مثل اسماءه و قضاياه و مواطنه و حروبه، و كتب مناقب الشيعة و فضائلهم، و فدك، و إيمان أبي طالب عليه السلامُ ، و الملاحم و الفتن،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أردنا استقصاء كلّ ما ألّف قبل الشافي لربما وصل عدد القائمة إلى أكثر من ذلك، و إذا أضفنا إلى ذلك الكتب التي أُلّفت فيما بعد ذلك إلى يومنا هذا، لزاد العدد مرّات و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التنويه هنا إلى أنّ معظم الكتب المذكورة في القائمة المتقدّمة لم يصل إلينا، و إنّما وصل إلينا عدد قليل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نشير فيما يلي إلى أهمّ الكتب المتقدّمة على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ذكرناه في القائمة السابقة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وصل إلينا كلّها أو بعض منها، و المتعلّقة بصورة أو بأُخرى ببحث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المنسوب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إثبات الرجعة للفضل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لإبراهيم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في الإمامة لأبي سهل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المنسوب لأبي محمّد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بين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المقالات و الفِرَق لسعد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كتاب الاشهاد لابن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النقض على أبي الحسن بن بشار لابن قبة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التبصرة من الحيرة لعليّ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الاستغاثة لأبي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المسترشد في إمامة أمير المؤمنين عليّ بن أبي طالب عليه السلام للطبري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أوائل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الدين و إتمام النعمة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للشيخ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في النصّ على الأئمّة الاثني عشر للخزّاز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في النصّ على الأئمّة الاثني عشر لابن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في الإمامة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تفضيل أمير المؤمنين عليه السلام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المولى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مسالتان في النصّ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العشر في الغيبة 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رسائل في الغيبة للشيخ المفيد</w:t>
      </w:r>
      <w:r>
        <w:rPr>
          <w:rFonts w:eastAsia="Amiri" w:cs="Amiri" w:ascii="Amiri" w:hAnsi="Amiri"/>
          <w:color w:val="111111"/>
          <w:sz w:val="28"/>
          <w:szCs w:val="28"/>
          <w:rtl w:val="true"/>
          <w:lang w:bidi="ar-SA"/>
        </w:rPr>
        <w:t xml:space="preserve">. </w:t>
      </w:r>
      <w:bookmarkStart w:id="58" w:name="pg20044_770592"/>
    </w:p>
    <w:p>
      <w:pPr>
        <w:pStyle w:val="Heading2"/>
        <w:numPr>
          <w:ilvl w:val="1"/>
          <w:numId w:val="1"/>
        </w:numPr>
        <w:rPr/>
      </w:pPr>
      <w:bookmarkStart w:id="59" w:name="__RefHeading___Toc828312_2320776876"/>
      <w:bookmarkStart w:id="60" w:name="_Toc21"/>
      <w:bookmarkEnd w:id="58"/>
      <w:bookmarkEnd w:id="59"/>
      <w:r>
        <w:rPr>
          <w:rtl w:val="true"/>
        </w:rPr>
        <w:t>الفصل الثاني القاضي عبد الجبّار و كتابه المغني</w:t>
      </w:r>
      <w:bookmarkEnd w:id="60"/>
    </w:p>
    <w:p>
      <w:pPr>
        <w:pStyle w:val="Heading3"/>
        <w:numPr>
          <w:ilvl w:val="2"/>
          <w:numId w:val="1"/>
        </w:numPr>
        <w:rPr/>
      </w:pPr>
      <w:bookmarkStart w:id="61" w:name="__RefHeading___Toc828314_2320776876"/>
      <w:bookmarkStart w:id="62" w:name="_Toc22"/>
      <w:bookmarkEnd w:id="61"/>
      <w:r>
        <w:rPr>
          <w:rtl w:val="true"/>
        </w:rPr>
        <w:t>الف</w:t>
      </w:r>
      <w:r>
        <w:rPr>
          <w:rtl w:val="true"/>
        </w:rPr>
        <w:t xml:space="preserve">. </w:t>
      </w:r>
      <w:r>
        <w:rPr>
          <w:rtl w:val="true"/>
        </w:rPr>
        <w:t>القاضي عبد الجبّار المعتزلي</w:t>
      </w:r>
      <w:bookmarkEnd w:id="62"/>
    </w:p>
    <w:p>
      <w:pPr>
        <w:pStyle w:val="Heading4"/>
        <w:numPr>
          <w:ilvl w:val="3"/>
          <w:numId w:val="1"/>
        </w:numPr>
        <w:rPr/>
      </w:pPr>
      <w:bookmarkStart w:id="63" w:name="__RefHeading___Toc828316_2320776876"/>
      <w:bookmarkStart w:id="64" w:name="_Toc23"/>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هو أبو الحسن عبد الجبّار بن أحمد بن عبد الجبّار بن أحمد بن الخليل</w:t>
      </w:r>
      <w:r>
        <w:rPr>
          <w:rStyle w:val="FootnoteAnchor"/>
          <w:rtl w:val="true"/>
        </w:rPr>
        <w:footnoteReference w:id="10"/>
      </w:r>
      <w:r>
        <w:rPr>
          <w:rFonts w:ascii="Amiri" w:hAnsi="Amiri" w:eastAsia="Amiri" w:cs="Amiri"/>
          <w:color w:val="111111"/>
          <w:sz w:val="28"/>
          <w:sz w:val="28"/>
          <w:szCs w:val="28"/>
          <w:rtl w:val="true"/>
          <w:lang w:bidi="ar-SA"/>
        </w:rPr>
        <w:t>بن عبد اللّٰه الأسدآبادي الهَمَداني،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سيّد معتزلة البصرة في عصره و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أسدآباد هَمَدان، و انتقل إلى البصرة، و اختلف إلى مجالس العلماء، و كان في أوّل أمره أشعريّاً، ثمّ انتقل إلى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في البداية على أبي إسحاق بن عيّاش مدّةً ، ثمّ رحل إلى بغداد، فقرأ على أبي عبد اللّٰه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طويلةً ، حتّى فاق أقرانه، فأخذ يدرّس في بغداد، و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رامهرمز، و التي بدأ فيها إملاء كتاب المغني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في الفقه على مذهب الشافعيّ ، و كان يودّ أن يتفقّه على مذهب أبي حنيفة على شيخه البصري،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علمٌ كلُّ مجتهدٍ فيه مصيبٌ ، و أنا في الحنفيّة، </w:t>
      </w:r>
    </w:p>
    <w:p>
      <w:pPr>
        <w:pStyle w:val="BookText"/>
        <w:rPr/>
      </w:pPr>
      <w:r>
        <w:rPr>
          <w:rFonts w:ascii="Amiri" w:hAnsi="Amiri" w:eastAsia="Amiri" w:cs="Amiri"/>
          <w:color w:val="111111"/>
          <w:sz w:val="28"/>
          <w:sz w:val="28"/>
          <w:szCs w:val="28"/>
          <w:rtl w:val="true"/>
          <w:lang w:bidi="ar-SA"/>
        </w:rPr>
        <w:t>فكن أنت في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فتفقّه على هذا المذهب، و بلغ فيه مبلغاً عظيماً، لكنّه اختار الاهتمام بعلم الكلام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للفقه أقوامٌ يقومون به طلباً لأسباب الدنيا، و علمُ الكلام لا غرض فيه سوى اللّٰه تعالى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اتّصل القاضي بآل بويه الذين كانوا يحكمون العراق و أجزاء كبيرة من إيران، و كان اتّصاله بصورةٍ خاصّة بوزيرهم الكبير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أرسل إلى أبي عبد اللّٰه البصري يطلب منه أن يُنفذ إليه أحد تلاميذه، فأرسل إليه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قد أرسل إليه أبا إسحاق النصيبيني، فلم يَرْضَ الصاحبُ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كما كان يريد في العلم و المعرفة و الأخلاق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مدّةٍ من الزمن ولّاه منصب قاضي القضاة بعد امتناعٍ منه و إباء، و إلحاحٍ من قبل الصاحب</w:t>
      </w:r>
      <w:r>
        <w:rPr>
          <w:rStyle w:val="FootnoteAnchor"/>
          <w:rtl w:val="true"/>
        </w:rPr>
        <w:footnoteReference w:id="15"/>
      </w:r>
      <w:r>
        <w:rPr>
          <w:rFonts w:ascii="Amiri" w:hAnsi="Amiri" w:eastAsia="Amiri" w:cs="Amiri"/>
          <w:color w:val="111111"/>
          <w:sz w:val="28"/>
          <w:sz w:val="28"/>
          <w:szCs w:val="28"/>
          <w:rtl w:val="true"/>
          <w:lang w:bidi="ar-SA"/>
        </w:rPr>
        <w:t xml:space="preserve">، و ذلك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عُرف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إليه كان ينصرف هذا اللقب عند الإطلاق</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تولّى قضاء الريّ و قزوين و غيرها من البلاد، حيث جاء في البيان الذي أنشأه الصاحب بن عبّاد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عهد مؤيّد الدولة أبو منصور بن ركن الدولة أبي عليّ مولى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الجبّار بن أحمد حين ولّاه قضاء القضاة بالريّ ، و قزوين، و أبهر، و زنجان، و سهرورد، و قم، و ساوة، و دنباوند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إسماعيل بن عبّاد في المحرّم سنة سبع و ستّين و ثلاثمائة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الصاحب يجلّه و يعظّمه كثيراً، حتّى يُنقل عنه أنّه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أفضل </w:t>
      </w:r>
    </w:p>
    <w:p>
      <w:pPr>
        <w:pStyle w:val="BookText"/>
        <w:rPr/>
      </w:pP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أهل الأرض</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القاضي قبل تولّيه القضاء ضعيف الحال من الناحية المادّيّة، فلمّا تولّى القضاء ملك الأموال الكثيرة</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مات الصاحب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امتنع من الترحّم عليه؛ لأنّه لم يُظهر توبته، فطعن الناس عليه بذلك، و مقتوه مع كثرة إحسان الصاحب إليه، و كان عاقبة ذلك أن قبض فخر الدولة عليه، و صادر منه ثلاثة آلاف ألف درهم، و عزله عن قضاء الريّ ، و ولّى مكانه القاضي أبا الحسن عليّ بن عبد العزيز الجرجاني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إلّاأنّ القاضي بقي في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قام برحلاتٍ إلى مدنٍ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يترك التدريس و الإملاء إلى آخر عمره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يذهب في مسألة التفضيل مذهب الجبّائيَّيْن في التوقّف، ثمّ رجع في آخر عمره و قال بتفضيل أمير المؤمنين عليه السلام على باقي الخلفاء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القاضي عبد الجبّار دائباً على طلب العلم، حتّى يقال إنّه قبل تولّيه القضاء حيث كان مُعدماً اشترى في إحدى الليالي دهناً ليداوي جرباً كان عليه، فلمّا أظلم الليل تردّد في استعمال الدهن للعلاج أو لإضاءة السراج لأجل المطالعة، ففضّل الأمر الثاني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يمتلك شخصيّةً موسوعيّةً كبيرةً ، و ثقافةً إسلاميّةً متنوّعةً ، يظهر ذلك بوضوح من خلال الكتب التي ألّفها، و التي استعرض فيها مختلف المواضيع في شتّى الحقول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منزلةً رفيعةً بين المعتزلة، حتّى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إليه انتهت </w:t>
      </w:r>
      <w:bookmarkStart w:id="65" w:name="pg20044_770595"/>
    </w:p>
    <w:p>
      <w:pPr>
        <w:pStyle w:val="BookText"/>
        <w:rPr/>
      </w:pPr>
      <w:bookmarkEnd w:id="65"/>
      <w:r>
        <w:rPr>
          <w:rFonts w:ascii="Amiri" w:hAnsi="Amiri" w:eastAsia="Amiri" w:cs="Amiri"/>
          <w:color w:val="111111"/>
          <w:sz w:val="28"/>
          <w:sz w:val="28"/>
          <w:szCs w:val="28"/>
          <w:rtl w:val="true"/>
          <w:lang w:bidi="ar-SA"/>
        </w:rPr>
        <w:t>الرياسة في المعتزلة، حتّى صار شيخَها و عالِمَها غير مدافَع، و صار الاعتماد على كتبه و مسائله، حتّى نَسخ كتبَ من تقدّم من المشايخ</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صار محلّ استقطاب لطلّاب العلم، حتّى إنّ الطلّاب رحلوا إليه للتعلّم على يديه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يعتبر القاضي عبد الجبّار مرحلةً مفصليّةً و مهمّةً في تاريخ الاعتزال، بحيث لا يمكن دراسة هذا الفكر من دون معرفة فكره و آراءه 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أهمّيّة القاضي بقاءُ عددٍ لا يُستهان به من كتبه التي كتبها أو أملاها أو التي قام تلامذته بجمعها من خلال استماعهم لمحاضراته و دروسه، فإنّ هذه المؤلّفات هي النافذة الأساس و الأهمّ التي نطلّ من خلالها على فكر المعتزلة بعد فناء معظم تراثهم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828318_2320776876"/>
      <w:bookmarkStart w:id="67" w:name="_Toc24"/>
      <w:bookmarkEnd w:id="66"/>
      <w:r>
        <w:rPr>
          <w:rtl w:val="true"/>
        </w:rPr>
        <w:t>شيوخه</w:t>
      </w:r>
      <w:bookmarkEnd w:id="67"/>
    </w:p>
    <w:p>
      <w:pPr>
        <w:pStyle w:val="BookText"/>
        <w:rPr/>
      </w:pPr>
      <w:r>
        <w:rPr>
          <w:rFonts w:ascii="Amiri" w:hAnsi="Amiri" w:eastAsia="Amiri" w:cs="Amiri"/>
          <w:color w:val="111111"/>
          <w:sz w:val="28"/>
          <w:sz w:val="28"/>
          <w:szCs w:val="28"/>
          <w:rtl w:val="true"/>
          <w:lang w:bidi="ar-SA"/>
        </w:rPr>
        <w:t>أخذ القاضي العلم من عددٍ من العلماء و الشيوخ من المتكلّمين و أهل الحديث و غيرهم، فممّن أخذ منهم الكلام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إبراهيم بن محمّد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الحسين بن عليّ بن إبراهيم البصري،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ممّن سمع منهم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بن سلمة القطّان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بن أحمد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أحمد القاسم بن أبي صالح بندار بن أبي إسحاق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8" w:name="pg20044_770596"/>
    </w:p>
    <w:p>
      <w:pPr>
        <w:pStyle w:val="BookText"/>
        <w:rPr/>
      </w:pPr>
      <w:bookmarkEnd w:id="6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حمدان بن المرزبان الجلّاب الجزار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 بن عبد الواحد الأسدآبادي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أحمد بن عمرو بن هشام الزئبقي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ابن أخي الساوي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28320_2320776876"/>
      <w:bookmarkStart w:id="70" w:name="_Toc25"/>
      <w:bookmarkEnd w:id="69"/>
      <w:r>
        <w:rPr>
          <w:rtl w:val="true"/>
        </w:rPr>
        <w:t>تلامذته</w:t>
      </w:r>
      <w:bookmarkEnd w:id="70"/>
    </w:p>
    <w:p>
      <w:pPr>
        <w:pStyle w:val="BookText"/>
        <w:rPr/>
      </w:pPr>
      <w:r>
        <w:rPr>
          <w:rFonts w:ascii="Amiri" w:hAnsi="Amiri" w:eastAsia="Amiri" w:cs="Amiri"/>
          <w:color w:val="111111"/>
          <w:sz w:val="28"/>
          <w:sz w:val="28"/>
          <w:szCs w:val="28"/>
          <w:rtl w:val="true"/>
          <w:lang w:bidi="ar-SA"/>
        </w:rPr>
        <w:t xml:space="preserve">تخرّج على يد القاضي عبد الجبّار عددٌ كبير من العلماء من المتكلّمين و المحدّثين و غيرهم، و قد أحصى الرافعي القزويني في ثنايا كتابه التدوين العشرات ممّن سمع الحديث من القاضي عند حضوره في قزوين بين سنتي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و قد يربو عدد الذين ذكرهم الرافعي على الخمسين، كما ذكر الحاكم الجشمي أسماء أكثر من عشرين تلميذاً له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نكتفي هنا بذكر بعضٍ من تلامذته، و خاصّة أهل الكلام منهم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رشيد سعيد بن محمّد بن حسن بن حاتم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عبد اللّٰه بن سعيد اللباد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محمّد بن عليّ بن الطيّب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الحسن بن أحمد بن مَتَّويه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إسماعيل بن عليّ بن أحمد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يوسف عبد السلام بن محمّد بن بندار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الحسين بن أبي هاشم،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مانْكديم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أبو حسن عليّ بن جعفر بن الحسن بن عبيد اللّٰه بن عليّ بن الحسين بن الحسن بن عليّ بن أحمد العلوي الحقيني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1" w:name="pg20044_770597"/>
    </w:p>
    <w:p>
      <w:pPr>
        <w:pStyle w:val="BookText"/>
        <w:rPr/>
      </w:pPr>
      <w:bookmarkEnd w:id="7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الحسين أحمد بن الحسين بن هارون البطحاني،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أبو العبّاس السمّان، من قضاة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أبو الحسن الرفّاء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أبو الحسن عليّ بن عبد العزيز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أبو بشر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شروين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طاهر عبد الحميد بن محمّد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الحيان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نصر الرزماجاني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حامد أحمد بن محمّد النجار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حاتِم أحمد بن حمدان بن أحمد الورسامي الليثي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28322_2320776876"/>
      <w:bookmarkStart w:id="73" w:name="_Toc26"/>
      <w:bookmarkEnd w:id="72"/>
      <w:r>
        <w:rPr>
          <w:rtl w:val="true"/>
        </w:rPr>
        <w:t>مؤلّفاته</w:t>
      </w:r>
      <w:bookmarkEnd w:id="73"/>
    </w:p>
    <w:p>
      <w:pPr>
        <w:pStyle w:val="BookText"/>
        <w:rPr/>
      </w:pPr>
      <w:r>
        <w:rPr>
          <w:rFonts w:ascii="Amiri" w:hAnsi="Amiri" w:eastAsia="Amiri" w:cs="Amiri"/>
          <w:color w:val="111111"/>
          <w:sz w:val="28"/>
          <w:sz w:val="28"/>
          <w:szCs w:val="28"/>
          <w:rtl w:val="true"/>
          <w:lang w:bidi="ar-SA"/>
        </w:rPr>
        <w:t>ألّف القاضي و أملى كتباً عديدة في شتّى العلوم الدينيّة، حتّى يُقال إنّه كتب أربعمائة ألف ورقة</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يلي قائمةً مؤلّفاته حسب تصنيف الحاكم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Style w:val="FootnoteAnchor"/>
          <w:rtl w:val="true"/>
        </w:rPr>
        <w:footnoteReference w:id="30"/>
      </w:r>
      <w:r>
        <w:rPr>
          <w:rFonts w:ascii="Amiri" w:hAnsi="Amiri" w:eastAsia="Amiri" w:cs="Amiri"/>
          <w:color w:val="111111"/>
          <w:sz w:val="28"/>
          <w:sz w:val="28"/>
          <w:szCs w:val="28"/>
          <w:rtl w:val="true"/>
          <w:lang w:bidi="ar-SA"/>
        </w:rPr>
        <w:t>، و ربما أضفنا عليها بعض المؤلّفات التي لم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الدواعي و الصوارف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الخلاف و الوفاق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المنع و التمانع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ما يجوز فيه التزايد و ما لا 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الفعل و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المبسوط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المجموع في المحيط بالتكليف، و هو من جمع أحد تلامذة القاضي، و هو أبو محمّد الحسن بن أحمد بن مَتَّويه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الحكمة و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شرح الأُصول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المطبوع بهذا الاسم هو من تأليف أحد تلامذة القاضي، و هو أحمد بن الحسين بن أبي هاشم مانكديم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يعكس آراء القاضي بصورة جيّدة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الجامعين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القاضي في خاتمة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القاضي في خاتمة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كشف الأعراض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الذي سمّاه القاضي في خاتمة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شرح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النقض على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اللمع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الطَرْميات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طَرْم بلدة بقزوين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الرازيات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العسكريات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القاشانيات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المصريات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النيسابوريات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الخوارزميات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مسائل أبي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وردت على غيره، لكنه تكلّم في جوابها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الواردة على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الواردة على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البلخي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الواردة على أبي عليّ و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الجبائيَّين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الخلاف بين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عليّ و أبي هاشم الجبّائيَّيْن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الكلام على أهل الأهواء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علوم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المحيط، المسمّى أيضاً بالتفسير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مفقود، لكن قام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خضر نبها بتجميع ما تبقّى منه، و نشره في الجزء السادس من موسوعة تفاسير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التنزيه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جزئين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المواعظ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نصيحة المتفقّهة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شهادات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التجريد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المكّيّات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الكوفيّات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الجُمل و 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المقدّمات</w:t>
      </w:r>
      <w:r>
        <w:rPr>
          <w:rFonts w:eastAsia="Amiri" w:cs="Amiri" w:ascii="Amiri" w:hAnsi="Amiri"/>
          <w:color w:val="111111"/>
          <w:sz w:val="28"/>
          <w:szCs w:val="28"/>
          <w:rtl w:val="true"/>
          <w:lang w:bidi="ar-SA"/>
        </w:rPr>
        <w:t xml:space="preserve">. </w:t>
      </w:r>
      <w:bookmarkStart w:id="74" w:name="pg20044_770601"/>
    </w:p>
    <w:p>
      <w:pPr>
        <w:pStyle w:val="BookText"/>
        <w:rPr/>
      </w:pPr>
      <w:bookmarkEnd w:id="74"/>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القاضي في خاتمة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أدب الجدل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قائمة الكتب التي ذكرها الحاكم الجشمي، و لم يَقُمْ باستقصاء جميع مؤلّفات القاضي، وصرّح بعد انتهائه من سرد كتبه بأنّ ذكر جميع مصنّفاته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أضاف القاضي في خاتمة المغني كتابين آخرين،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أضاف البعض كتباً أُخرىٰ ،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الاختلاف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مجموع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تثبيت 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في جزئين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نظم الفوائد و تقريب المراد الرائد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القرآن و 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تفسيرٌ آخر للقاضي، تفرّد السيّد عليّ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 و نقل منه نتفاً مختصرة في كتابه سعد السعود، و قد قام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خضر نبها بتجميع تلك النتف، و نشرها في ذيل تفسير المحيط المتقدّم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أهمّ كتب القاضي، و التي تمكنّا من استقصائها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28324_2320776876"/>
      <w:bookmarkStart w:id="76" w:name="_Toc27"/>
      <w:bookmarkEnd w:id="75"/>
      <w:r>
        <w:rPr>
          <w:rtl w:val="true"/>
        </w:rPr>
        <w:t>وفاته</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طال عمر القاضي حتّى أربى على التسعين، و توفّي في الريّ ، في ذي القعدة</w:t>
      </w:r>
      <w:r>
        <w:rPr>
          <w:rStyle w:val="FootnoteAnchor"/>
          <w:rtl w:val="true"/>
        </w:rPr>
        <w:footnoteReference w:id="33"/>
      </w:r>
      <w:bookmarkStart w:id="77" w:name="pg20044_770602"/>
    </w:p>
    <w:p>
      <w:pPr>
        <w:pStyle w:val="BookText"/>
        <w:rPr/>
      </w:pPr>
      <w:bookmarkEnd w:id="77"/>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4"/>
      </w:r>
      <w:r>
        <w:rPr>
          <w:rFonts w:ascii="Amiri" w:hAnsi="Amiri" w:eastAsia="Amiri" w:cs="Amiri"/>
          <w:color w:val="111111"/>
          <w:sz w:val="28"/>
          <w:sz w:val="28"/>
          <w:szCs w:val="28"/>
          <w:rtl w:val="true"/>
          <w:lang w:bidi="ar-SA"/>
        </w:rPr>
        <w:t>، و دفن في داره</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ولادته كانت في العشرينات من القرن الرابع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يمكن عدّ القاضي ممثّلاً للمرحلة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قبل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الاعتزال الذي كان يلفظ أنفاسه الأخيرة، فعلى الرغم من كلّ الجهود التي بذلها لحفظ هذا الفكر، و رغم كلّ التلامذة النابهين الذين ربّاهم من أمثال أبي رشيد النيسابوري، و أبي الحسين البصري، إلّاأنّ ذلك لم يكن نافعاً في منع انقراض الاعتزال و تقويض بناءه، فلم يَمْضِ قرن أو أكثر بقليل من وفاة القاضي، حتّى فنى المعتزلة و بادوا، و لم يَبْقَ منهم إلّاعددٌ ضئيل، بعد أن سلّموا تركتهم إلى ورثتهم من الزيديّة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28326_2320776876"/>
      <w:bookmarkStart w:id="79" w:name="_Toc28"/>
      <w:bookmarkEnd w:id="78"/>
      <w:r>
        <w:rPr>
          <w:rtl w:val="true"/>
        </w:rPr>
        <w:t>ب</w:t>
      </w:r>
      <w:r>
        <w:rPr>
          <w:rtl w:val="true"/>
        </w:rPr>
        <w:t xml:space="preserve">. </w:t>
      </w:r>
      <w:r>
        <w:rPr>
          <w:rtl w:val="true"/>
        </w:rPr>
        <w:t>كتاب المغني في أبواب التوحيد و العدل</w:t>
      </w:r>
      <w:bookmarkEnd w:id="79"/>
    </w:p>
    <w:p>
      <w:pPr>
        <w:pStyle w:val="Heading4"/>
        <w:numPr>
          <w:ilvl w:val="3"/>
          <w:numId w:val="1"/>
        </w:numPr>
        <w:rPr/>
      </w:pPr>
      <w:bookmarkStart w:id="80" w:name="__RefHeading___Toc828328_2320776876"/>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قدّم المعتزلة على مدى قرونٍ من النشاط العلميّ إنتاجاً علميّاً ضخماً في مجال علم الكلام، و التفسير، و الفقه، و أُصول الفقه، و المقالات و غيرها، و ربما كان إنتاجهم الكلاميّ هو الأكبر، فقد قاموا بتأليف مختلف الكتب في شتّى أبواب الكلام، و تعمّقوا في البحوث، و عرضوا أفكاراً جديدة لم يُسبقوا إليها، و بلغ حجم إنتاجهم الكلامي عشرات و ربما مئات الكتب و الرسائل التي كان لها يوماً صيتٌ و نفوذٌ و تأثيرٌ كبير على المتكلّمين و العلماء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 يكتب لأكثر هذه المؤلّفات البقاء بسبب ما مُني به المعتزلة من زوال عن الساحة الفكريّة الإسلاميّة، و وصول جهات فكريّة مناوئة لهم إلى السلطة، ممّا أدّى إلى إهمال كتبهم و عدم استنساخها، و بالتالي فقدان معظمها بمرور الزمن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كان الاعتقادُ السائدُ بين العلماء إلى وقتٍ ليس ببعيدٍ أنّه لم يَبْقَ شيءٌ معتدٌّ به من تراث المعتزلة، و أنّه قد فُقد أكثره، و لم تَبْقَ منه سوى شذراتٌ متفرّقةٌ منقولةٌ عنه في هذا الكتاب أو ذاك، و لكن أخذت حقائق جديدة تتكشّف شيئاً فشيئاً حول التراث المعتزلي، و هو أنّ هناك في جانب من جوانب هذا العالم الفسيح مكاناً أولى اهتماماً خاصّاً بحفظ عددٍ لا يُستهان به من هذا التراث، و ذلك بسبب التأثّر به من بعض الجهات، إنّه اليمن السعيد الذي احتضن على مدى قرون طويلة مذهب الشيعة الزيديّة، و الذين أخذوا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في زمن الإمام الزيدي المنصور باللّٰه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تبقّى من تراث المعتزلة القريب إلى فكرهم، و يستنسخونه، و يحفظونه في مكتباتهم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ظلّ هذا التراث قابعاً في مكتبات اليمن، دون أن يعلم به أحدٌ سوى أهله اليمنيّين، و ربما بعض مَن جاور بلادهم من العلماء، و لكن بعد قرون من الزمن، و بفضل البعثات العلميّة الغربيّة و العربيّة التي أرسلت إلى اليمن لتفحّص مكتباتها، ظهر للعالم أنّ عدداً كبيراً من التراث المعتزليّ ما زال محفوظاً، فتمّ تصويره و جلبه إلى المراكز العلميّة و المكتبات المختلفة في العالم؛ ليُتاح للباحثين مشاهدته عن قرب و دراسته، و بالتالي نشره؛ و بذلك تمّ نشر عددٍ من مؤلّفات المعتزلة التي كان يُظنُّ أنّه قد عفا عليها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كتابٍ معتزليٍّ تمّ العثور عليه و أضخمه هو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للقاضي عبد الجبّار المعتزلي، فهو يعتبر حصيلة لِمَا شهده الفكر المعتزليّ العميق خلال ثلاثة قرون من آراء و سِجالات و بحوث مُفعَمَة بِحَيَويّة فكريّة، و عقليّة منفتحة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يعتبر بالخصوص خلاصةً لأفكار المدرسة المعتزليّة في شطرها البصريّ بالخصوص المتمثّل في ثلاثة من عمالقة الفكر المعتزليّ البصري، و الذين جاؤوا في فترات زمنيّة متلاحقة، حيث كانوا يشكّلون ثلاث حلقات متّصلة، باعتبار أنّ بعضهم </w:t>
      </w:r>
    </w:p>
    <w:p>
      <w:pPr>
        <w:pStyle w:val="BookText"/>
        <w:rPr/>
      </w:pPr>
      <w:r>
        <w:rPr>
          <w:rFonts w:ascii="Amiri" w:hAnsi="Amiri" w:eastAsia="Amiri" w:cs="Amiri"/>
          <w:color w:val="111111"/>
          <w:sz w:val="28"/>
          <w:sz w:val="28"/>
          <w:szCs w:val="28"/>
          <w:rtl w:val="true"/>
          <w:lang w:bidi="ar-SA"/>
        </w:rPr>
        <w:t>كان تلميذاً للآخر،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ابنه و تلميذه أبو هاشم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عبد اللّٰه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أبي هاشم و أُستاذ القاضي عبد الجبّار</w:t>
      </w:r>
      <w:r>
        <w:rPr>
          <w:rStyle w:val="FootnoteAnchor"/>
          <w:rtl w:val="true"/>
        </w:rPr>
        <w:footnoteReference w:id="36"/>
      </w:r>
      <w:r>
        <w:rPr>
          <w:rFonts w:ascii="Amiri" w:hAnsi="Amiri" w:eastAsia="Amiri" w:cs="Amiri"/>
          <w:color w:val="111111"/>
          <w:sz w:val="28"/>
          <w:sz w:val="28"/>
          <w:szCs w:val="28"/>
          <w:rtl w:val="true"/>
          <w:lang w:bidi="ar-SA"/>
        </w:rPr>
        <w:t xml:space="preserve">، فقد اهتمّ القاضي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زعيم و ممثّل الإعتزال البصري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رئيسيّة بعرض أفكار هؤلاء الثلاثة و الدفاع عن الكثير منها، و خاصّة أفكار شيخه أبي عبد اللّٰه البصري، حيث كان يقدّم أفكاره في كثير من الأحيان على أفكار أبي هاشم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عدُّ المغني أكبر كتابٍ ، بل أكبر موسوعةٍ كلاميّةٍ تمّ تأليفها، فهو مكوّن من عشرين جزءاً، و يحتوي على حوالي ألف باب و فصل، و ربما أكثر من ذلك</w:t>
      </w:r>
      <w:r>
        <w:rPr>
          <w:rStyle w:val="FootnoteAnchor"/>
          <w:rtl w:val="true"/>
        </w:rPr>
        <w:footnoteReference w:id="37"/>
      </w:r>
      <w:r>
        <w:rPr>
          <w:rFonts w:ascii="Amiri" w:hAnsi="Amiri" w:eastAsia="Amiri" w:cs="Amiri"/>
          <w:color w:val="111111"/>
          <w:sz w:val="28"/>
          <w:sz w:val="28"/>
          <w:szCs w:val="28"/>
          <w:rtl w:val="true"/>
          <w:lang w:bidi="ar-SA"/>
        </w:rPr>
        <w:t>، ممّا يرفع من مكانته العلميّة، بحيث لا يكون للمهتمّين بعلم الكلام و تاريخه 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ألّف القاضي هذا الكتاب في النصف الثاني من القرن الرابع، و استغرق تأليفُه أو بالأحرى إملاؤه حوالي عشرين عاماً، فقد كانت بداية تأليفه في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نهايته 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قد أرجع القاضي سبب طول مدّة إملاء الكتاب إلى اشتغاله بأُمور، منها تأليف العديد من الكتب، فقد قام في خلال مدّة كتابة المغني بتأليف كتبٍ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المقالات، و بيان المتشابه في القرآن، و كتاب الإعتماد، و شرح الجوامع، و كتاب التجريد، و شرح كشف الأعراض، و قطعة من شرح أدب الجدل، و شرح الأُصول الخمسة، و غير ذلك من أجوبة المسائل الواردة عليه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المدّة الطويلة حَريّة بأن تؤدّي إلى حصول اختلاف في رأي المؤلّف، كما </w:t>
      </w:r>
    </w:p>
    <w:p>
      <w:pPr>
        <w:pStyle w:val="BookText"/>
        <w:rPr/>
      </w:pPr>
      <w:r>
        <w:rPr>
          <w:rFonts w:ascii="Amiri" w:hAnsi="Amiri" w:eastAsia="Amiri" w:cs="Amiri"/>
          <w:color w:val="111111"/>
          <w:sz w:val="28"/>
          <w:sz w:val="28"/>
          <w:szCs w:val="28"/>
          <w:rtl w:val="true"/>
          <w:lang w:bidi="ar-SA"/>
        </w:rPr>
        <w:t>أشار القاضي بنفسه إلى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الناظرُ في هذا الكتاب يجد في أواخره ما يخالف أوائله من مذهبٍ أو دليلٍ أو غيرهما، فمِن سبيله أن يَعلم أنّ ذلك ليس ببدعٍ في مثل هذا الكتاب الذي يجمع حدود ألف باب و فصل، بل يزيد كثيراً، و الذي يَتصوّر بصورة كتابٍ واحد، و هو في حكم الجامع لكتب الكلام، و قد يَتهذّب للإنسان طريقه في المذاهب و الأدلّة في العهد القريب، فكيف به في العهد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أشار إلى تأليفه الكتاب في مدّة عشرين عاماً،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دون ذلك تتغيّر أحوال التصنيف، في تهذيبٍ لطريقة، أو تنبيهٍ على نكتةٍ و دلالة، و تبيُّنٍ لخطإٍ في طريقة، فإذا رأيتَ بعض ما ذكرناه في هذا الكتاب فلهذه العلّة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 ، إنّ مشروعاً بهذا الحجم الكبير لا يمكن أن يحتوي بأكمله على إبداعات جديدة للمؤلّف لم يُسبق إليها، بل من طبيعة العمل الموسوعي أن يعتمد على ما تقدّم عليه من مؤلّفات، سوى أنّ إبداع المؤلّف يظهر حينئذٍ في تقرير المطالب العلميّة و فهمها، و نقدها أو الدفاع عنها بصورةٍ دقيقة، و توضيح المغلَق منها، و غير ذلك، و قد قال القاضي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قائلاً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ضمّه هذا الكتاب إنّما هو جمعُ المعروف من الكتب، و ليس الأمر كما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إذا تأمّلتَه لم تعدم في كلّ بابٍ منه ضمَّ منتشر، و جمعَ مفترق، و إبانةً لموضع العمدة، و تحرزاً عن موضع الشبهة، و تحصيلَ شروط الدلالة، و بيانَ ما علّته بناء النكتة و العمدة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أكثر ما هلك الناس لذهابهم عن هذه الأُمور، و ظنّهم في الدلالة أنّها مطلقة و هي مقيّدة، فأدّاهم ذلك إلى اعتقاد ما لا يَحلّ ، أو ظنّهم أنّها مقيّدة و </w:t>
      </w:r>
    </w:p>
    <w:p>
      <w:pPr>
        <w:pStyle w:val="BookText"/>
        <w:rPr/>
      </w:pPr>
      <w:r>
        <w:rPr>
          <w:rFonts w:ascii="Amiri" w:hAnsi="Amiri" w:eastAsia="Amiri" w:cs="Amiri"/>
          <w:color w:val="111111"/>
          <w:sz w:val="28"/>
          <w:sz w:val="28"/>
          <w:szCs w:val="28"/>
          <w:rtl w:val="true"/>
          <w:lang w:bidi="ar-SA"/>
        </w:rPr>
        <w:t>هي مطلقة، فامتنعوا من اعتقاد ما يَجب اعتقاده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يُخفي القاضي استفادته من كتب المتقدّمين عليه من كبار المعتزلة،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نجحد فيما أوردناه في هذا الكتاب أن نكون ناقلين لكلام الشيوخ، بل نتبجّح بذلك، و نفتخر به، و نعترف بأنّا على كلامهم نحتذي، و عنهم نأخذ، و لو جُعل مثلُ ذلك طريقاً لِترْك الإملاء و التصنيف لعظمت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نألُ جهداً فيما أوردناه في هذا الكتاب نقلاً من كلام الشيوخ، خصوصاً من كلام الشيخ أبي عليّ ، و أبي هاشم، و أبي عبد اللّٰه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بدأ القاضي إملاء المغني في مدينة رامهرمز</w:t>
      </w:r>
      <w:r>
        <w:rPr>
          <w:rStyle w:val="FootnoteAnchor"/>
          <w:rtl w:val="true"/>
        </w:rPr>
        <w:footnoteReference w:id="43"/>
      </w:r>
      <w:r>
        <w:rPr>
          <w:rFonts w:ascii="Amiri" w:hAnsi="Amiri" w:eastAsia="Amiri" w:cs="Amiri"/>
          <w:color w:val="111111"/>
          <w:sz w:val="28"/>
          <w:sz w:val="28"/>
          <w:szCs w:val="28"/>
          <w:rtl w:val="true"/>
          <w:lang w:bidi="ar-SA"/>
        </w:rPr>
        <w:t>في مسجد الشيخ أبي محمّد عبد اللّٰه بن العبّاس</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رامهرمز مدينة معروفة في الأهواز، و كانت تعدّ يوماً من مَعاقل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انتقل القاضي إلى الريّ لتسلّم منصب قاضي القضاة بطلب من الوزير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بإتمام إملاء الكتاب هناك</w:t>
      </w:r>
      <w:r>
        <w:rPr>
          <w:rStyle w:val="FootnoteAnchor"/>
          <w:rtl w:val="true"/>
        </w:rPr>
        <w:footnoteReference w:id="45"/>
      </w:r>
      <w:r>
        <w:rPr>
          <w:rFonts w:ascii="Amiri" w:hAnsi="Amiri" w:eastAsia="Amiri" w:cs="Amiri"/>
          <w:color w:val="111111"/>
          <w:sz w:val="28"/>
          <w:sz w:val="28"/>
          <w:szCs w:val="28"/>
          <w:rtl w:val="true"/>
          <w:lang w:bidi="ar-SA"/>
        </w:rPr>
        <w:t>، و لهذا أدّى هذا الأمر إلى حصول اختلاف بين بدايات الكتاب و نهايته من حيث التفصيل و الاختصار، أو النظم في تهذيب الألفاظ و ترتيب المعاني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تمّ نسخ كتاب المغني في حياة المنصور باللّٰه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2" w:name="pg20044_770607"/>
    </w:p>
    <w:p>
      <w:pPr>
        <w:pStyle w:val="BookText"/>
        <w:rPr/>
      </w:pPr>
      <w:bookmarkEnd w:id="82"/>
      <w:r>
        <w:rPr>
          <w:rFonts w:ascii="Amiri" w:hAnsi="Amiri" w:eastAsia="Amiri" w:cs="Amiri"/>
          <w:color w:val="111111"/>
          <w:sz w:val="28"/>
          <w:sz w:val="28"/>
          <w:szCs w:val="28"/>
          <w:rtl w:val="true"/>
          <w:lang w:bidi="ar-SA"/>
        </w:rPr>
        <w:t xml:space="preserve">لصالح مكتبةٍ أسّسها في مدينة ظفار، و قد بقي منها اثنى عشر جزءاً محفوظاً في مكتبة الأوقاف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للجامع الكبير في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بعثة مصريّة بتصوير هذه الأجزاء ما بين سنتي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بعد ذلك بقليل اكتشفت بين مخطوطات دار الكتب بالقاهرة خمسة أجزاء من المغني، و هي تشمل الأجزاء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الجزءان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جديدين، حيث لم يكن لهما مماثل فيما بين مخطوطة صنعاء، و بعد سنوات نُشرت أجزاء المغني مع 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مدكور، و 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 في القاهرة، من قِبَل وزارة الثقافة و الإرشاد القومي، الإدارة العامّة للثقافة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828330_2320776876"/>
      <w:bookmarkStart w:id="84" w:name="_Toc30"/>
      <w:bookmarkEnd w:id="83"/>
      <w:r>
        <w:rPr>
          <w:rtl w:val="true"/>
        </w:rPr>
        <w:t>أجزاء المغني</w:t>
      </w:r>
      <w:bookmarkEnd w:id="84"/>
    </w:p>
    <w:p>
      <w:pPr>
        <w:pStyle w:val="BookText"/>
        <w:rPr/>
      </w:pPr>
      <w:r>
        <w:rPr>
          <w:rFonts w:ascii="Amiri" w:hAnsi="Amiri" w:eastAsia="Amiri" w:cs="Amiri"/>
          <w:color w:val="111111"/>
          <w:sz w:val="28"/>
          <w:sz w:val="28"/>
          <w:szCs w:val="28"/>
          <w:rtl w:val="true"/>
          <w:lang w:bidi="ar-SA"/>
        </w:rPr>
        <w:t>نقوم فيما يلي بتعريفٍ مختصر بالأجزاء المتبقّية و المطبوعة من كتاب المغني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حلمي، و أبو الوفا الغنيمي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هذا الجزء على الأبحاث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اللّٰه تعالى لا تجوز عليه الحاجة، و الكلام في نفي الرؤية، و الكلام في أنّه تعالى واحدٌ لا ثاني له في القِدَم و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 في تحقيقه على نسخةٍ واحدة، و هي النسخة اليمنيّة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غير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الخضيري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على قسمَيْن رئيسيَّيْن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الأديان كالثنويّة، و المجوس، و النصارى، و اليهود، و الصابئين، و أهل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يتعلّق بأسماء اللّٰه تعالى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في خاتمة هذا الجزء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الكلام في التوحيد، و يتلوه الكلام في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خاتمته أنّه قد فُرغ من استنساخه في يوم الجمعة، لعشر خلون من شهر رجب المعظّم من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بالمدرسة المنصوريّة بقرية 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التعديل و التجوير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فؤاد الأهواني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الجزء السادس، و القسم الذي يليه، و الذي يبحث في الإرادة، محقّقان على نسختَيْن يمنيّة و 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قنواتي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الجزء ناقصٌ من أوّله، و هو محقّقٌ على نسخةٍ واحدةٍ يمنيّة، و البحث الأصلي فيه يدور حول صفة الكلام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الطويل، و سعيد زايد، و 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مدكور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 في تحقيقه على نسخةٍ واحدةٍ يمنيّة، و هو يتحدّث عن الجبر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الطويل، و سعيد زايد، و تقديم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مدكور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محقَّق وفقاً لنسخة واحدة يمنيّة، و الجزء ناقص، لكن سوف يأتي أنّ كتاب نكت الكتاب المغني يحتوي على بقيّة بحث التوليد، فإنّ هذا الجزء من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 التوليد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كما جاء في مقدّمة الجزء، و الموجود في طبعة القاهرة يحتوي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فقط، مع وجود سقط في الفصل </w:t>
      </w:r>
    </w:p>
    <w:p>
      <w:pPr>
        <w:pStyle w:val="BookText"/>
        <w:rPr/>
      </w:pPr>
      <w:r>
        <w:rPr>
          <w:rFonts w:ascii="Amiri" w:hAnsi="Amiri" w:eastAsia="Amiri" w:cs="Amiri"/>
          <w:color w:val="111111"/>
          <w:sz w:val="28"/>
          <w:sz w:val="28"/>
          <w:szCs w:val="28"/>
          <w:rtl w:val="true"/>
          <w:lang w:bidi="ar-SA"/>
        </w:rPr>
        <w:t>الثاني عشر، لكن نكت الكتاب المغني يحتوي على سبعة فصول إضافية، فيبلغ مجموع الفصول المتبقّية من بحث التوليد تسعة عشر فصلاً، و يبقى فصلان مفقودان، و هما الفصل السادس عشر و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النجّار، و عبد الحليم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هذا الجزء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الآجال، و الأرزاق، و الأسعار، و الكلام في بيان وجه الحكمة في ابتدائه تعالى الخلق، و الكلام في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أطول فصول هذا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الكلام في الفناء و الإعادة، ثمّ عودة إلى بحث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و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مدكور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وفقاً للنسخة اليمنيّة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 عفيفي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اللطف، و الكلام في الآلام، مع بحث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الأصلح، استحقاق الذمّ ،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محقَّق وفقاً لنسخة يمنيّة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التنبؤات و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الخضيري، و بعد وفاة الأخير قبل إكمال العمل، قام محمود محمّد قاسم بإكمال التحقيق، و قد اعتمد على نسختين يمنيّة و 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النبوّات، و الكلام في المعجزات، و الكلام في الأخبار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نسختَيْن يمنيّة و مصريّة، و الأخيرة أوفى و أدقّ ، كما جاء في مقدّمة التحقيق، و يحتوي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الكلام في الأخبار المتقدّم في نهاية الجزء السابق، و الكلام في جواز نسخ الشرائع، و الكلام في ثبوت نبوّة محمّد صلّى اللّٰه عليه و آله و في إعجاز </w:t>
      </w:r>
    </w:p>
    <w:p>
      <w:pPr>
        <w:pStyle w:val="BookText"/>
        <w:rPr/>
      </w:pPr>
      <w:r>
        <w:rPr>
          <w:rFonts w:ascii="Amiri" w:hAnsi="Amiri" w:eastAsia="Amiri" w:cs="Amiri"/>
          <w:color w:val="111111"/>
          <w:sz w:val="28"/>
          <w:sz w:val="28"/>
          <w:szCs w:val="28"/>
          <w:rtl w:val="true"/>
          <w:lang w:bidi="ar-SA"/>
        </w:rPr>
        <w:t>القرآن، و الكلام في إثبات سائر معجزات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نسخةٍ واحدةٍ ، و هي النسخة المصريّة، فإنّ هذا الجزء غير موجود في النسخة اليمنيّة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العشرون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محمود، و سليمان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في ضمن قسمَيْن، و هو يحتوي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الإمامة، و الكلام فيما يتعلّق بوجوب الإمامة، و النصّ ، و صفات الإمام، و ما يصير به الإمام إماماً، و الكلام في إمامة أبي بكر و مَن بعده، و الكلام على الخوارج و مَن نحا نحوهم في البراءة من عثمان، و الكلام في التفضيل، و ذِكر جملة من مذاهب الغلاة و الإماميّة و الزيديّة، و به يتمّ الكلام في الإمامة</w:t>
      </w:r>
      <w:r>
        <w:rPr>
          <w:rStyle w:val="FootnoteAnchor"/>
          <w:rtl w:val="true"/>
        </w:rPr>
        <w:footnoteReference w:id="52"/>
      </w:r>
      <w:r>
        <w:rPr>
          <w:rFonts w:ascii="Amiri" w:hAnsi="Amiri" w:eastAsia="Amiri" w:cs="Amiri"/>
          <w:color w:val="111111"/>
          <w:sz w:val="28"/>
          <w:sz w:val="28"/>
          <w:szCs w:val="28"/>
          <w:rtl w:val="true"/>
          <w:lang w:bidi="ar-SA"/>
        </w:rPr>
        <w:t>، و يأتي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يستحقّه جلّ و عزّ من صفات الأفعال، و الكلام فيما تعبّدنا به من الدعاء و الطلب و المسألة، ثمّ 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لقد احتوت طبعة القاهرة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كتاب المغني، و سقط منها ستّة أجزاء، و هي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كلٌّ من الجزئَيْن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أو قسمَيْن، فتكون طبعة القاهرة مكوّنة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مطبوعة في ضمن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الساقط من مخطوطة المغني مجموعة من الأبحاث،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إثبات الصانع، و الصفات، و هي ساقطة من بدايات الكتاب، و أبحاث الوعد و الوعيد، و المنزلة بين المنزلتين، و الأسماء و الأحكام، و الأمر بالمعروف و النهي عن المنكر، و هي ساقطة من أواخر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أحال القاضي على بعض هذه الأبواب التي لم تصل إلينا، مثل باب الأسماء و الأحكام</w:t>
      </w:r>
      <w:r>
        <w:rPr>
          <w:rStyle w:val="FootnoteAnchor"/>
          <w:rtl w:val="true"/>
        </w:rPr>
        <w:footnoteReference w:id="53"/>
      </w:r>
      <w:r>
        <w:rPr>
          <w:rFonts w:ascii="Amiri" w:hAnsi="Amiri" w:eastAsia="Amiri" w:cs="Amiri"/>
          <w:color w:val="111111"/>
          <w:sz w:val="28"/>
          <w:sz w:val="28"/>
          <w:szCs w:val="28"/>
          <w:rtl w:val="true"/>
          <w:lang w:bidi="ar-SA"/>
        </w:rPr>
        <w:t>، و النهي عن المنكر</w:t>
      </w:r>
      <w:r>
        <w:rPr>
          <w:rStyle w:val="FootnoteAnchor"/>
          <w:rtl w:val="true"/>
        </w:rPr>
        <w:footnoteReference w:id="54"/>
      </w:r>
      <w:r>
        <w:rPr>
          <w:rFonts w:ascii="Amiri" w:hAnsi="Amiri" w:eastAsia="Amiri" w:cs="Amiri"/>
          <w:color w:val="111111"/>
          <w:sz w:val="28"/>
          <w:sz w:val="28"/>
          <w:szCs w:val="28"/>
          <w:rtl w:val="true"/>
          <w:lang w:bidi="ar-SA"/>
        </w:rPr>
        <w:t>، و بعض أبحاث الصفات التي ذكرها في آخر بحث التوحيد</w:t>
      </w:r>
      <w:r>
        <w:rPr>
          <w:rStyle w:val="FootnoteAnchor"/>
          <w:rtl w:val="true"/>
        </w:rPr>
        <w:footnoteReference w:id="55"/>
      </w:r>
      <w:r>
        <w:rPr>
          <w:rFonts w:ascii="Amiri" w:hAnsi="Amiri" w:eastAsia="Amiri" w:cs="Amiri"/>
          <w:color w:val="111111"/>
          <w:sz w:val="28"/>
          <w:sz w:val="28"/>
          <w:szCs w:val="28"/>
          <w:rtl w:val="true"/>
          <w:lang w:bidi="ar-SA"/>
        </w:rPr>
        <w:t>، كما أحال على باب الوعيد</w:t>
      </w:r>
      <w:r>
        <w:rPr>
          <w:rStyle w:val="FootnoteAnchor"/>
          <w:rtl w:val="true"/>
        </w:rPr>
        <w:footnoteReference w:id="56"/>
      </w:r>
      <w:r>
        <w:rPr>
          <w:rFonts w:ascii="Amiri" w:hAnsi="Amiri" w:eastAsia="Amiri" w:cs="Amiri"/>
          <w:color w:val="111111"/>
          <w:sz w:val="28"/>
          <w:sz w:val="28"/>
          <w:szCs w:val="28"/>
          <w:rtl w:val="true"/>
          <w:lang w:bidi="ar-SA"/>
        </w:rPr>
        <w:t>، و هو يدلّ على أنّ هذه الأبواب كانت موجودة في الأصل، و لكنّها فقدت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بالنسبة إلى بحوث الصفات فهي لم تُفقد بالكامل، بل بقي منها بعض البحوث المهمّة و المطوّلة أحياناً، نذكرها مع ذكر الجزء الموجودة فيه،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نفي الرؤية، و نفي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يتعلّق بأسماء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و التجوير،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يستحقّه جلّ و عزّ من صفات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احتوى الكتاب في طيّاته على أبحاث أُخرى حول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تحتوي خاتمة النسخة اليمنيّة على نقضٍ لقسم الإمامة من المغني بعنوان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الحاسم المُفني لِشُبَه كتاب المُغني، تأليف محمّد بن أحمد بن عليّ بن الوليد، و قد ردّ فيه على ما خالف الزيديّة في الإمامة، ممّا هو موجود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المطبوع في خاتمة طبعة القاهرة من المغني مختصر جدّاً، يزيد على عشر صفحات بقليل، و قد سقط من آخره مقدار غير معلوم</w:t>
      </w:r>
      <w:r>
        <w:rPr>
          <w:rFonts w:eastAsia="Amiri" w:cs="Amiri" w:ascii="Amiri" w:hAnsi="Amiri"/>
          <w:color w:val="111111"/>
          <w:sz w:val="28"/>
          <w:szCs w:val="28"/>
          <w:rtl w:val="true"/>
          <w:lang w:bidi="ar-SA"/>
        </w:rPr>
        <w:t xml:space="preserve">. </w:t>
      </w:r>
      <w:bookmarkStart w:id="85" w:name="pg20044_770612"/>
    </w:p>
    <w:p>
      <w:pPr>
        <w:pStyle w:val="Heading4"/>
        <w:numPr>
          <w:ilvl w:val="3"/>
          <w:numId w:val="1"/>
        </w:numPr>
        <w:rPr/>
      </w:pPr>
      <w:bookmarkStart w:id="86" w:name="__RefHeading___Toc828332_2320776876"/>
      <w:bookmarkStart w:id="87" w:name="_Toc31"/>
      <w:bookmarkEnd w:id="85"/>
      <w:bookmarkEnd w:id="86"/>
      <w:r>
        <w:rPr>
          <w:rtl w:val="true"/>
        </w:rPr>
        <w:t>نكت الكتاب المغني</w:t>
      </w:r>
      <w:bookmarkEnd w:id="87"/>
    </w:p>
    <w:p>
      <w:pPr>
        <w:pStyle w:val="BookText"/>
        <w:rPr/>
      </w:pPr>
      <w:r>
        <w:rPr>
          <w:rFonts w:ascii="Amiri" w:hAnsi="Amiri" w:eastAsia="Amiri" w:cs="Amiri"/>
          <w:color w:val="111111"/>
          <w:sz w:val="28"/>
          <w:sz w:val="28"/>
          <w:szCs w:val="28"/>
          <w:rtl w:val="true"/>
          <w:lang w:bidi="ar-SA"/>
        </w:rPr>
        <w:t xml:space="preserve">ظهر بين بعض علماء اليهود في القدس و مصر اهتمامٌ خاصٌّ بأفكار المعتزلة، و خاصّة أفكار أبي هاشم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الحسين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باستنساخ العديد من كتب المعتزلة، و ما زال عددٌ من تلك المخطوطات موجوداً في مكتبات العالم، و من أهمّها مجموعة إبراهام فركوفيتش المحفوظة في المكتبة الوطنيّة الروسيّة بمدينة سان بطرسبورغ</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قامت البروفسورة زابينه اشميدكه بالتعاون مع عمر حمدان بنشر مجموعة من تلك المخطوطات تحتوي على أربع قطع من المغني، يدور موضوعها حول التوليد، و الاستطاعة، و التكليف، و النظر و المعارف، و قد نشرت في بيروت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 الكتاب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المخطوطة المعتمَدة ليست مجموعة في مكانٍ واحد، بل هي قطع موزّعة لمخطوطة واحدة، ثلاث منها في المكتبة الوطنيّة الروسيّة، و واحدة في المتحف البريطاني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يحتوي هذا الكتاب على أجزاء مهمّة من بحث التوليد، و هي ساقطة من طبعة القاهرة كما تقدّم، إضافة إلى بحث الاستطاعة، و هو ساقطٌ بصورةٍ كاملة ممّا نُشر في القاهرة، كما أنّ جزءاً يسيراً جدّاً من خاتمة بحث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سطرَيْن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من طبعة القاهرة، و هو موجودٌ في هذه الطبعة البيروتيّة، كما يوجد في هذه الطبعة أبحاث متناثرة حول صفات اللّٰه تعالى، كانت موجودة في الأجزاء الأُولى من المغني الساقطة بأكملها من طبعة مصر</w:t>
      </w:r>
      <w:r>
        <w:rPr>
          <w:rFonts w:eastAsia="Amiri" w:cs="Amiri" w:ascii="Amiri" w:hAnsi="Amiri"/>
          <w:color w:val="111111"/>
          <w:sz w:val="28"/>
          <w:szCs w:val="28"/>
          <w:rtl w:val="true"/>
          <w:lang w:bidi="ar-SA"/>
        </w:rPr>
        <w:t xml:space="preserve">. </w:t>
      </w:r>
      <w:bookmarkStart w:id="88" w:name="pg20044_770613"/>
    </w:p>
    <w:p>
      <w:pPr>
        <w:pStyle w:val="Heading4"/>
        <w:numPr>
          <w:ilvl w:val="3"/>
          <w:numId w:val="1"/>
        </w:numPr>
        <w:rPr/>
      </w:pPr>
      <w:bookmarkStart w:id="89" w:name="__RefHeading___Toc828334_2320776876"/>
      <w:bookmarkStart w:id="90" w:name="_Toc32"/>
      <w:bookmarkEnd w:id="88"/>
      <w:bookmarkEnd w:id="89"/>
      <w:r>
        <w:rPr>
          <w:rtl w:val="true"/>
        </w:rPr>
        <w:t>جزء الإمامة من كتاب المغني</w:t>
      </w:r>
      <w:bookmarkEnd w:id="90"/>
    </w:p>
    <w:p>
      <w:pPr>
        <w:pStyle w:val="BookText"/>
        <w:rPr/>
      </w:pPr>
      <w:r>
        <w:rPr>
          <w:rFonts w:ascii="Amiri" w:hAnsi="Amiri" w:eastAsia="Amiri" w:cs="Amiri"/>
          <w:color w:val="111111"/>
          <w:sz w:val="28"/>
          <w:sz w:val="28"/>
          <w:szCs w:val="28"/>
          <w:rtl w:val="true"/>
          <w:lang w:bidi="ar-SA"/>
        </w:rPr>
        <w:t>احتوى الجزء العشرون و الأخير من كتاب المغني على بحوث الإمامة مع شيءٍ من بحوث صفات الأفعال، و كلام حول الدعاء و المسألة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تستوعب بحوث الإمامة الحجمَ الأكبرَ من هذا الجزء، فهي تشمل كلّ القسم الأوّل من هذا الجزء المطبوع في قسمَيْن، حسب تقسيم طبعة القاهرة، كما تشمل معظم القسم الثاني، أي إلى الصفحة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حيث يصرّح القاضي بنهاية البحث عن الإمامة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الجملة كافية فيما يتّصل بالإمامة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الكلام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استحقّ أن يحمل الجزء العشرون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الجزء هو الذي قام الشريف المرتضى علم الهدى بنقض ما يتعلّق منه بالإماميّة في كتابه الكبير الشافي في الإمامة بصورةٍ مفصّلة، فقد قام بالردّ على معظم مطالب هذا الجزء التي لا تتوافق مع تعاليم الإماميّة و رؤيتهم إلى موضوع الإمامة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نعرف ممّا تقدّم من معلومات حول تاريخ تأليف المغني و مكان تأليفه، أنّ جزء الإمامة قد انتهى القاضي من تأليفه و إملائه 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تاريخ الانتهاء من تأليف المغني نفسه، باعتبار أنّ هذا الجزء هو آخر جزء من الكتاب، حيث يحتوي على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نعلم أنّه قد تمّت كتابة هذا الجزء في الريّ عندما كان القاضي يمارس مَهامّه كقاضي للقضاة، باعتبار ما تقدّم أيضاً من أنّ الانتهاء من المغني كان في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تنفعنا هذه المعلومات في مستقبل الحديث في هذه المقدّمة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28336_2320776876"/>
      <w:bookmarkStart w:id="92" w:name="_Toc33"/>
      <w:bookmarkEnd w:id="91"/>
      <w:r>
        <w:rPr>
          <w:rtl w:val="true"/>
        </w:rPr>
        <w:t>مصادر كتاب المغني في مباحث الإمامة</w:t>
      </w:r>
      <w:bookmarkEnd w:id="92"/>
    </w:p>
    <w:p>
      <w:pPr>
        <w:pStyle w:val="BookText"/>
        <w:rPr/>
      </w:pPr>
      <w:r>
        <w:rPr>
          <w:rFonts w:ascii="Amiri" w:hAnsi="Amiri" w:eastAsia="Amiri" w:cs="Amiri"/>
          <w:color w:val="111111"/>
          <w:sz w:val="28"/>
          <w:sz w:val="28"/>
          <w:szCs w:val="28"/>
          <w:rtl w:val="true"/>
          <w:lang w:bidi="ar-SA"/>
        </w:rPr>
        <w:t>لقد اعتمد القاضي في تأليف جزء الإمامة على عدّة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أهمّها كتب الإمامة التي ألّفها شيوخه الثلاثة الذين تقدّم ذكرهم، أي الجبّائيَّان و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المصدر الأهمّ من بين هؤلاء الثلاثة هو كتاب الإمامة لأبي عليّ الجبّائي الذي صرّح باسمه القاضي أكثر من مرّة</w:t>
      </w:r>
      <w:r>
        <w:rPr>
          <w:rStyle w:val="FootnoteAnchor"/>
          <w:rtl w:val="true"/>
        </w:rPr>
        <w:footnoteReference w:id="59"/>
      </w:r>
      <w:r>
        <w:rPr>
          <w:rFonts w:ascii="Amiri" w:hAnsi="Amiri" w:eastAsia="Amiri" w:cs="Amiri"/>
          <w:color w:val="111111"/>
          <w:sz w:val="28"/>
          <w:sz w:val="28"/>
          <w:szCs w:val="28"/>
          <w:rtl w:val="true"/>
          <w:lang w:bidi="ar-SA"/>
        </w:rPr>
        <w:t xml:space="preserve">، و نقل منه نصوصاً كثيرةً جدّاً، حتّى ليخال القارئ أنّ القاضي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إملاء بحوث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بهذا الكتاب، و يقرأه على تلاميذه، ثمّ يعلّق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منصبه كقاضي للقضاة في الريّ عند إملائه بحوث الإمامة منعه من مراجعة الكتب المختلفة دائماً؛ لكونه يتطلّب وقتاً لم يكن يمتلكه آنذاك، فاكتفى بكتاب الجبّائي في كثير من الأحيان، مع مراجعة سريعة لكتب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 فهو قد حفظ لنا من خلال ذلك أجزاء كبيرة و مهمّة من كتاب الجبّائي في الإمامة، بحيث يمكن إعادة تجميع هذا الكتاب، و دراسة فكر الجبّائي من خلاله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المصادر التي اعتمدها القاضي في بحث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البغداديّات لأبي هاشم الجبّائي</w:t>
      </w:r>
      <w:r>
        <w:rPr>
          <w:rStyle w:val="FootnoteAnchor"/>
          <w:rtl w:val="true"/>
        </w:rPr>
        <w:footnoteReference w:id="60"/>
      </w:r>
      <w:r>
        <w:rPr>
          <w:rFonts w:ascii="Amiri" w:hAnsi="Amiri" w:eastAsia="Amiri" w:cs="Amiri"/>
          <w:color w:val="111111"/>
          <w:sz w:val="28"/>
          <w:sz w:val="28"/>
          <w:szCs w:val="28"/>
          <w:rtl w:val="true"/>
          <w:lang w:bidi="ar-SA"/>
        </w:rPr>
        <w:t>، و هذا الكتاب عبارة عن مسائل تكلّم فيها الأخير على نقض مذاهب البغداديّين من المعتزلة</w:t>
      </w:r>
      <w:r>
        <w:rPr>
          <w:rStyle w:val="FootnoteAnchor"/>
          <w:rtl w:val="true"/>
        </w:rPr>
        <w:footnoteReference w:id="61"/>
      </w:r>
      <w:r>
        <w:rPr>
          <w:rFonts w:ascii="Amiri" w:hAnsi="Amiri" w:eastAsia="Amiri" w:cs="Amiri"/>
          <w:color w:val="111111"/>
          <w:sz w:val="28"/>
          <w:sz w:val="28"/>
          <w:szCs w:val="28"/>
          <w:rtl w:val="true"/>
          <w:lang w:bidi="ar-SA"/>
        </w:rPr>
        <w:t>، فهو ليس كتاباً خاصّاً بالإمامة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اعتمد على كتاب المقامات للإسكافي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 اسمه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المقامات في تفضيل عليّ عليه السلام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اعتماده في نقل آراء المذاهب على كتاب أبي القاسم البلخي، و كتاب الحسن بن موسى النوبختي</w:t>
      </w:r>
      <w:r>
        <w:rPr>
          <w:rStyle w:val="FootnoteAnchor"/>
          <w:rtl w:val="true"/>
        </w:rPr>
        <w:footnoteReference w:id="64"/>
      </w:r>
      <w:r>
        <w:rPr>
          <w:rFonts w:ascii="Amiri" w:hAnsi="Amiri" w:eastAsia="Amiri" w:cs="Amiri"/>
          <w:color w:val="111111"/>
          <w:sz w:val="28"/>
          <w:sz w:val="28"/>
          <w:szCs w:val="28"/>
          <w:rtl w:val="true"/>
          <w:lang w:bidi="ar-SA"/>
        </w:rPr>
        <w:t>، و الكتاب الأوّل هو المقالات</w:t>
      </w:r>
      <w:r>
        <w:rPr>
          <w:rStyle w:val="FootnoteAnchor"/>
          <w:rtl w:val="true"/>
        </w:rPr>
        <w:footnoteReference w:id="65"/>
      </w:r>
      <w:r>
        <w:rPr>
          <w:rFonts w:ascii="Amiri" w:hAnsi="Amiri" w:eastAsia="Amiri" w:cs="Amiri"/>
          <w:color w:val="111111"/>
          <w:sz w:val="28"/>
          <w:sz w:val="28"/>
          <w:szCs w:val="28"/>
          <w:rtl w:val="true"/>
          <w:lang w:bidi="ar-SA"/>
        </w:rPr>
        <w:t xml:space="preserve">، و الثاني هو الآراء </w:t>
      </w:r>
      <w:bookmarkStart w:id="93" w:name="pg20044_770615"/>
    </w:p>
    <w:p>
      <w:pPr>
        <w:pStyle w:val="BookText"/>
        <w:rPr/>
      </w:pPr>
      <w:bookmarkEnd w:id="93"/>
      <w:r>
        <w:rPr>
          <w:rFonts w:ascii="Amiri" w:hAnsi="Amiri" w:eastAsia="Amiri" w:cs="Amiri"/>
          <w:color w:val="111111"/>
          <w:sz w:val="28"/>
          <w:sz w:val="28"/>
          <w:szCs w:val="28"/>
          <w:rtl w:val="true"/>
          <w:lang w:bidi="ar-SA"/>
        </w:rPr>
        <w:t>و الديانات</w:t>
      </w:r>
      <w:r>
        <w:rPr>
          <w:rStyle w:val="FootnoteAnchor"/>
          <w:rtl w:val="true"/>
        </w:rPr>
        <w:footnoteReference w:id="66"/>
      </w:r>
      <w:r>
        <w:rPr>
          <w:rFonts w:ascii="Amiri" w:hAnsi="Amiri" w:eastAsia="Amiri" w:cs="Amiri"/>
          <w:color w:val="111111"/>
          <w:sz w:val="28"/>
          <w:sz w:val="28"/>
          <w:szCs w:val="28"/>
          <w:rtl w:val="true"/>
          <w:lang w:bidi="ar-SA"/>
        </w:rPr>
        <w:t>، و هما كتابان معروفان في مجال دراسة الأديان و المذاهب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كتب الإماميّة التي كانت في حوزة القاضي و نقل منها بعض المطالب و ناقشها هو كتاب الإنصاف في الإمامة لمحمّد بن عبد الرحمن 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فقد أشار إليه القاضي و لم يصرّح باسمه،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 بعض الإماميّة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صفحات من نفس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عجيب الأُمور في هذا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لم يصرح باسم ابن قِبَة وكتابه، لكن الشريف المرتضى عند مناقشته لهذا الموضع صرّح بذلك،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مَن الذي وَجَّهتَ كِنايَتَكَ في هذا الفَصلِ إليه، و هو شَيخُنا أبو جعفرِ بنُ قِبةَ رَحِمَه اللّٰهُ ، و الذي ذَكَرَه في صَدرِ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و الانتصافِ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ظَنَنتَه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828338_2320776876"/>
      <w:bookmarkStart w:id="95" w:name="_Toc34"/>
      <w:bookmarkEnd w:id="94"/>
      <w:r>
        <w:rPr>
          <w:rtl w:val="true"/>
        </w:rPr>
        <w:t>أبواب و فصول مباحث الإمامة في كتاب المغني</w:t>
      </w:r>
      <w:r>
        <w:rPr>
          <w:rtl w:val="true"/>
        </w:rPr>
        <w:t>:</w:t>
      </w:r>
      <w:bookmarkEnd w:id="95"/>
    </w:p>
    <w:p>
      <w:pPr>
        <w:pStyle w:val="BookText"/>
        <w:rPr/>
      </w:pPr>
      <w:r>
        <w:rPr>
          <w:rFonts w:ascii="Amiri" w:hAnsi="Amiri" w:eastAsia="Amiri" w:cs="Amiri"/>
          <w:color w:val="111111"/>
          <w:sz w:val="28"/>
          <w:sz w:val="28"/>
          <w:szCs w:val="28"/>
          <w:rtl w:val="true"/>
          <w:lang w:bidi="ar-SA"/>
        </w:rPr>
        <w:t>انقسمت بحوث الإمامة في هذا الجزء إلى سبعة أبواب تحمل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بابٍ مقسّم إلى فصول متعدّدة، و الأبواب و فصولها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على فصلٍ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يكشف عن الغرض منها، و معتمَد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يتعلّق بوجوب الإمامة، و وجه وجوبها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الإمامة غير واجبةٍ من جهة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الشريفُ المرتضى على هذا الفصل و الفصل السابق من الباب الأوّل في ضمن فصلٍ واحد، و هو الفصل الأوّل من الشافي، و لعلّ ذلك يرجع إلى كون موضوعَيْهما متقاربَين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ما يدلّ من جهة السمع على وجوب إقامة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ناقشه الشريفُ المرتضى في ضمن الفصل الثاني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شبههم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ضمن الفصل الثالث من كتاب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النصّ الذي يدّعيه المخالف، و 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فصولٌ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الإمامة لا يجبُ أن يكونَ طريقها النصّ من جهة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ناقشه الشريفُ المرتضى في ضمن الفصل الرابع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شبههم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نقضه الشريفُ المرتضى في الفصل الخامس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النصّ على الإمامة غير واجبٍ و لا ثابتٌ من جهة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السادس من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الصفات التي إذا اختصّ بها المرء، صلح أن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فصولٌ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مَن يصلح للإمامة لا بدّ من أن يكون عدلاً، و أنّ إمامة الفاسق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السابع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قدر ما يجب أن يختصّ به من العلم مَن يصلح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الثامن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الكلام في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نقضه الشريفُ المرتضى في الفصل التاسع من الشافي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العاشر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هل يجوز العدول عن قريش في باب الإمامة أم لا؟ و ناقشه الشريف المرتضى في الفصل الحادي عشر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الإمام يجب أن يكون واحداً في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أنّه لا يمتنع أن يجتمع في وقتٍ واحدٍ جماعةٌ يصلحون للإمامة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مَن يصلح للإمامة لا يصير إماماً، و أنّه لا بدّ من تجدُّد أمرٍ به يصير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يناقش الشريف المرتضى هذه الفصول الثلاثة لعدم اختلافه في مطالبها مع القاضي، سوى في مطلبٍ مختصرٍ أشار إليه في نهاية الفصل الحادي عشر من الشافي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يصير به الإمام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فصلٌ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الدلالة على ما قدّمنا ذكره من أنّه لا بدّ من العقد، و عدد مخصوص في العاقدين، و شرط مخصوص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الثاني عشر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إمامة أبي بكر، و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ناقش الشريف المرتضى هذا الباب في الفصل الثالث عشر من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يحتوي على 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شبههم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القاضي إشكالات المخالفين في أنّ الإمام يتعيّن من خلال الاختيار و ناقشها، و قد ردّ عليه الشريف المرتضى في الفصل الرابع عشر باختصار؛ اكتفاءً بما تقدّم من وجوب النصّ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الدلالة على أنّ أبا بكر كان يصلح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الخامس عشر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مطاعنهم في أبي بكر، و بيان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السادس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عمر بن الخطّاب كان يصلح للإمامة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إثبات إمامة عمر، و طريق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 الشريف المرتضى هذين الفصلَيْن في الفصل السابع عشر، و هو فصلٌ مختصرٌ جدّاً، يبلغ حوالي صفحة واحدة، اختصره الشريف المرتضى اكتفاءً بما تقدّم من الكلام حول إمامة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ما أوردوه من المطاعن في إمامة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الثامن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إمامة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التاسع عشر باختصارٍ شديد؛ اكتفاءً بما تقدّم في إمامة أبي بكر 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على الخوارج و مَن نحا نحوهم في البراءة من عثمان و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العشرين، و هو الفصل المخصّص لمطاعن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الكلام على مَن وقف في عثمان و خاذليه و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القاضي في هذا الفصل المختصر في صفحتين رأيَ الواقفين في عثمان مثل أبي الهُذيل العلّاف، و لم يتعرّض الشريف المرتضى لمناقشة هذا الفصل؛ لأنّه لا يعنيه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إمامة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فيه القاضي عن صلاح أمير المؤمنين عليه السلام للإمامة، و لم يناقشه الشريف المرتضى بطبيعة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إثبات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يتّصل بذلك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ناقشه الشريف المرتضى في الفصل الحادي و العشرين، و لم يناقشه طبعاً في أصل إمامة أمير المؤمنين عليه السلام، و إنّما ناقشه في طريق إثباتها، فإنّ القاضي أثبت إمامته عليه السلام بالاختيار و الإجماع، بينما رفض الشريف المرتضى ذلك، و أثبتها بالنصّ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إبطال قول مَن طعن في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بمقاتلة أهل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إبطال قول مَن 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القوم، و زعم أنّهما كالمتلاعنَين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يناقشهما الشريف المرتضى</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توبة طلحة و الزبير و عائشة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الشريف المرتضى في الفصل الثاني و العشرين، و هو الفصل الأخير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بغي معاوية و وجوب محاربته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الكلام على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القاضي إلى تفضيل أمير المؤمنين عليه السلام على سائر الخلفاء، و هذا ممّا لا خلاف فيه بينه و بين الشريف المرتضى، و لذلك ترك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الفصول فلم يتعرّض الشريف المرتضى لمناقشتها؛ إمّا لعدم اختلافه فيها مع القاضي، و إمّا لأنّ بطلانها قد اتّضح ممّا تقدّم من بحوث الشافي، و سوف نذكر عبارة الشريف المرتضى حول ذلك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فصول هذا الباب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جملةٍ من الخلاف في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به يصير الفاضل فاضلاً، و أفضل من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بيان ما به يُعلم الفاضلُ فاضلاً، و الأفضلُ أفضلَ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يدلّ قطعاً على أنّ أمير المؤمنين عليه السلام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ذكره الفريقان في باب الموازنة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إمامة الحسن و الحسين عليهما السلام و غيرهما من العترة و غير العترة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جملة ما يختصّ به الإمام لكونه إماماً، و مفارقته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منع الإمام ممّا يختصّ به لا يخرجه من كونه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يخرج به الإمام من أن يكون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جملةٍ من مذاهب الغلاة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مذاهب الإماميّة، و سائر من يعيّن الأئمّة على اختلاف أقاويلهم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أقاويل الزيديّة، و مَن نحا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انتهاء الشريف المرتضى من مناقشة الفصل الخاص بتوبة أصحاب الجَمَل، و هو آخر بحوث الشافي؛ قال في الخاتمة مبيّناً سبب عدم مناقشته للفصول الأخيرة من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بَعدَ هذا الفَصلِ مِن فصولِ كلامِ صاحبِ الكتابِ في الإمامةِ ما يُحتاجُ إلىٰ تَتبُّعِه؛ لأنّه تَكلَّمَ علىٰ لَعنِ مُعاويةَ و وجوبِ مُحارَبتِه، ثُمّ تَكلَّمَ علَى الخَوارجِ في بابِ التحكيمِ بجُملةٍ مِن الكلامِ واقعةٍ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في تفضيلِ أميرِ المؤمنينَ عليه السلامُ بفَصلٍ، و نَصَرَ أنّه الأفضَلُ بكلامٍ أيضاً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أيضاً في إمامةِ الحَسَنِ و الحُسَينِ عليهما السلامُ بكلامٍ بَناه علىٰ صِحّةِ الاختيارِ، و قد مضىٰ ما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فيما يَختَصُّ به الإمامُ لكَونِه إماماً، و ما يُخرِجُه مِن كَونِه إماماً، و ما لا يُخرِجُه مِن ذلكَ ، بكلامٍ طويلٍ فيه صحيحٌ و باطلٌ ، و الباطلُ مَبنيٌّ علىٰ أُصولٍ قد قَدَّمنا الكلامَ عليها و أفسَدناها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جُملةً مِن مَذاهبِ الغُلاةِ ، و أشارَ إلىٰ جُملةٍ مِن الردِّ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اختلافَ الإماميّةِ في أعيانِ الأئمّةِ من غيرِ احتجاجٍ به لهُم أو عليهم، و أحالَ في الكلامِ عليهم علىٰ ما تَقدَّمَ مِن كلامِه الذي تَتبَّعناه و نَقَضناه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الفصولَ بفَصلٍ يَتضمَّنُ ذِكرَ أقاويلِ الزيديّةِ و 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ممّا لا وجهَ لحِكايتِه و لا تَتَبُّعِه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إذن اتّضح من خلال هذا العرض ترتيب جزء الإمامة من كتاب المغني، و الفصول التي نقضها الشريف المرتضى منه، و التي لم ينقضها، و سبب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ترك لنا القاضي في كتابه المغني مصدراً مهمّاً يمكن الاستعانة به لمعرفة مراحل تطوّر علم الكلام عند المسلمين عامّة، و عند المعتزلة خاصّة</w:t>
      </w:r>
      <w:r>
        <w:rPr>
          <w:rFonts w:eastAsia="Amiri" w:cs="Amiri" w:ascii="Amiri" w:hAnsi="Amiri"/>
          <w:color w:val="111111"/>
          <w:sz w:val="28"/>
          <w:szCs w:val="28"/>
          <w:rtl w:val="true"/>
          <w:lang w:bidi="ar-SA"/>
        </w:rPr>
        <w:t xml:space="preserve">. </w:t>
      </w:r>
      <w:bookmarkStart w:id="96" w:name="pg20044_770622"/>
    </w:p>
    <w:p>
      <w:pPr>
        <w:pStyle w:val="Heading2"/>
        <w:numPr>
          <w:ilvl w:val="1"/>
          <w:numId w:val="1"/>
        </w:numPr>
        <w:rPr/>
      </w:pPr>
      <w:bookmarkStart w:id="97" w:name="__RefHeading___Toc828340_2320776876"/>
      <w:bookmarkStart w:id="98" w:name="_Toc35"/>
      <w:bookmarkEnd w:id="96"/>
      <w:bookmarkEnd w:id="97"/>
      <w:r>
        <w:rPr>
          <w:rtl w:val="true"/>
        </w:rPr>
        <w:t>الفصل الثالث الشيخ الطوسي و تلخيصه للشافي</w:t>
      </w:r>
      <w:bookmarkEnd w:id="98"/>
    </w:p>
    <w:p>
      <w:pPr>
        <w:pStyle w:val="BookText"/>
        <w:rPr/>
      </w:pPr>
      <w:r>
        <w:rPr>
          <w:rFonts w:ascii="Amiri" w:hAnsi="Amiri" w:eastAsia="Amiri" w:cs="Amiri"/>
          <w:color w:val="111111"/>
          <w:sz w:val="28"/>
          <w:sz w:val="28"/>
          <w:szCs w:val="28"/>
          <w:rtl w:val="true"/>
          <w:lang w:bidi="ar-SA"/>
        </w:rPr>
        <w:t>لقد قام الشريف المرتضى بتأليف الشافي ردّاً على كتاب المغني، و لذلك كان همّه مناقشة كلّ ما أورده القاضي عبد الجبّار من مسائل تتنافى مع رؤية الإماميّة حول الإمامة، متتبّعاً في ذلك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يَظهر الشافي بصورة كتاب يقوم ببيان الفكرة على الترتيب الموجود في المصنّفات، حيث يقوم المصنّفون عادةً باستعراض الفكرة التي يتبنّونها أوّلاً، ثمّ يستدلّون عليها، و بعد ذلك يناقشون الإشكالات التي قد ترد عليهم من قِبل المخالفين لهم في تلك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الشريفُ المرتضى لم يقم بذلك على الرغم من أنّه حاول أنْ يقدّم في بداية الكثير من فصول الكتاب مقدّمةً يتعرّض فيها إلى بيان رأيه، و بعض التفاصيل التي تلقي بعض الضوء على الفكرة المراد بحثها و مناقشتها، إلّاأنّ هذا لم يكن كافياً، فقد بقي الشافي على صورته، و لم يخرج عن كونه ردّاً، ممّا جعل الاستفادة ممّا يحتوي عليه من أفكارٍ مهمّةٍ و ثروةٍ علميّةٍ كبيرةٍ أمراً مقتصراً على أهل الاختصاص</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الأمر حدى بشيخ الطائفة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بتلخيصه و تهذيبه و ترتيبه بصورة كتابٍ مصنَّفٍ في الإمامة، و أخرجه من صورة كتاب يُصنَّف في ضمن كتب الردود و النقض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أشار إلى ذلك في مقدّمة تلخيصه،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كتابَ الشريفِ الأجلّ الشريف المرتضى ذي المجدَين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 و عضد المسلمين و أهل العلم بطول أيّامه و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جمهور ما ذكرت، و محتوياً على أكثر أدلّة أصحابنا المعتمدة، و أنّه قد بلغ في تصنيف هذا الكتاب الذروةَ العليا، و الغايةَ القصوى، و أنّ كلّ مَن ألّف فعليه ينزل، و منه يأخذ، و بساحته يحلّ ، مع ما ضمّنه من استيفاء شبه المخالفين القديمة و الحديثة، و الإبانة عن وهيها بغاية ما يمكن من التلخيص، و نهاية ما ينبغي أن يكون عليه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قد سلك في هذا الكتاب مسلك المناقضين لكتب خصومهم، و مناقشتهم على جميع ما يوردونه من شبههم، و لم يقصد فيه قصد المصنّفين الذين يرتّبون الأدلّة على حدتها، و يستوفون أسئلة خصومهم عليها، و الجواب عنها، و إن كان قد اقتصر في أوّل كلّ فصلٍ على ذكر الدليل و الطريق، و ذكر كثيرٍ من الأسئلة عليه، لكنّه لم يستوفِهِ تعويلاً منه على ما يذكره من بعد في النقض على من نقض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وصفناه لم يقف على هذا الكتاب إلّامن برز في العلم، و لا يستمتع به إلّامن حاز طرفاً منه، و المبتديء لا ينتفع به انتفاع ما يوجبه مثل هذا الكتاب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جماعةً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متشوّقين إلى تلخيص هذا الكتاب، و إسقاط ما تكرّر منه، وردّ كلّ شيء منه إلى نظيره، و الجمع بين متفرّقه، و ترتيبه ترتيب المصنّفين، فلمّا رأيتُ حرصهم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إلى تلخيصه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اتّضح معنى التلخيص من خلال ما تقدّم من كلام الشيخ الطوسي، و أنّه لا يعني هنا الاختصار كما قد يُتوهّم، فإنّ تلخيص الشافي لا يقلّ من حيث الحجم عن الشافي نفسه، خاصّة إذا حذفنا من الشافي العبارات المطوّلة المنقولة فيه من المغني، و أبقينا على كلام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المقصود بالتلخيص هنا ما ذكره الشيخ الطوسي في عبارته التي نقلناها عنه،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 ما تكرّر منه، وردّ كل شيء منه إلى نظيره، و الجمع بين متفرّقه، و ترتيبه ترتيب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المقصود بالتلخيص تهذيب الكتاب و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للتلخيص مذكور في كتب اللغة، قال ابن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و الشرح،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لخّصت الشيء و لحصته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استقصيت في بيانه و شرحه و تحبيره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لي خبرك، أي بيِّنه لي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 عليه السلام أنّه قعد لتلخيص ما التبس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و الاختصار،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لخّصت القول، أي اقتصرت فيه، و اختصرت منه ما يُحتاج إليه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اللام و الخاء و الصاد كلمةٌ واحدة، و هي اللخص، و هو لحم الجفن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اللخص أن يكون الجفن الأعلى لحيماً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ألخَص، و ضرع لخص، كثير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لخّصت الشيء، إذا بيّنته، فهو من هذا كأنّه اللحم الخالص إذا أُبرز</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لا يعني أنّ التلخيص لا يدلّ على الاختصار، فإنّ الاختصار هو أحد معنَيَي التلخيص كما تقدّم في كلام ابن منظور، و إنّما المقصود أنّ المراد من التلخيص الذي قام به الشيخ الطوسي هو ما ذكرناه من الترتيب و التهذيب، لا الاختصار و تقليل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 يلتزم الشيخ الطوسي بترتيب فصول الشافي، بل قام أحياناً بدمج عدّة فصولٍ من الشافي في فصلٍ واحد، فمثلاً قام بدمج معظم بحوث الفصول الثلاثة الأُولى من الشافي في الفصل الأوّل من التلخيص، كما أضاف بحوثاً جديدة غير موجودة بصورةٍ مفصّلة في الشافي كما سوف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التزم في أكثر الأحيان بعبارة الشافي، فقد قام بنقل الكثير من عبارات الشريف المرتضى، حتّى لقد استُعين في هذا التحقيق الجديد للشافي بتلخيص الشيخ الطوسي، و عُدَّ واحداً من النسخ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الشيخ الطوسي بالتزامه بعبارة الشريف المرتضى في خاتمة الكتاب،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وفينا بما شرطناه في أوّل الكتاب من تلخيص هذا الكتاب، و حذف ما تكرّر، وردّ كلّ شيءٍ منه إلى نظيره، و رتّبناه ترتيب المصنّفات اللائقة به، و عوّلنا في أكثر الكتاب على نقل معاني كلامه بألفاظه، فإنّه لا مُستزاد عليها، و لا يمكن النقصان منها؛ لأنّها واقعة على غاية ما يُحتاج إليه من الاختصار في اللفظ، و استيفاء المعاني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انتهاءه من تأليف التلخيص في رجب من سنة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أي بعد أكثر من ثلاثين سنة من تأليف الشافي، و ذلك في أُخريات حياة الشريف المرتضىٰ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رتّب الشيخ الطوسي كتابه في أربعة و عشرين فصلاً، و وضع ثمانية فصول </w:t>
      </w:r>
    </w:p>
    <w:p>
      <w:pPr>
        <w:pStyle w:val="BookText"/>
        <w:rPr/>
      </w:pPr>
      <w:r>
        <w:rPr>
          <w:rFonts w:ascii="Amiri" w:hAnsi="Amiri" w:eastAsia="Amiri" w:cs="Amiri"/>
          <w:color w:val="111111"/>
          <w:sz w:val="28"/>
          <w:sz w:val="28"/>
          <w:szCs w:val="28"/>
          <w:rtl w:val="true"/>
          <w:lang w:bidi="ar-SA"/>
        </w:rPr>
        <w:t>مختصرة في نهاية الكتاب استدلّ بها على إمامة الأئمّة الاثني عشر واحداً واحداً، و هي غير موجودة بهذه الصورة في الشافي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في بعض فصول الكتاب نصوصاً مطوّلة من كتابَي تنزيه الأنبياء و الأئمّة عليهم السلام، و كتاب المقنع في الغيبة للشريف المرتضى، و لم يصرّح بنقله من هذين الكتابين عند نقله منهما، و لكن بمقارنة كلامه مع ما جاء فيهما يتّضح أنّه نقل منهما، و لعلّه نقل من غيرهما من كتب و رسائل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في خاتمة الكتاب بأنّه نقل عبارات من بعض كتب الشريف المرتضى،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أوردنا في مواضع من الكتاب زيادات ذكرها في غير هذا الكتاب، لم يكن بدٌّ من إضافتها إلى هذا الكتاب ليكمل الغرض به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يلي استعراضٌ سريع لفصول كتاب تلخيص الشافي و مقارنتها مع فصول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اختلاف الناس في وجوب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فيه على وجوب الإمامة عقلاً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فصلٌ مطوّلٌ يستوعب أكثر من نصف الجزء الأوّل من تلخيص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لا بدّ أنْ يكون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في هذا الفصل المختصر و ما بعده بطرح بحوثٍ مختصرةٍ حول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بحثُ عصمة الإمام مطروحٌ في نهاية الفصل الثالث من الشافي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لا بدّ أن يكون أفضل من كلّ واحدٍ من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في هذا الفصل بعبارات و بحوث الشافي، و إنّما أضاف بحوثاً جديدة، مع نقله في نهاية الفصل لعبارات من الفصل التاسع من الشافي المتعرّض لبحث الأفضليّة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الإمام لا بدّ من أن يكون عالماً بجميع ما إليه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على مطالب و عبارات من الفصلَيْن الرابع و الخامس من الشافي ممّا يتعلّق بعلم الإمام، مع زيادات ليست موجودة في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يجب أن يكون أشجع من رعيّته، و ما يتبع ذلك 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فصلٌ مختصرٌ في نصف صفحة، تعرّض فيه باختصار إلى بعض صفات الإمام، مثل أن يكون أشجع رعيّته، و أن يكون لا يد فوق يده، و أن يكون واحداً بلا ثانٍ في الزمان، و أن يكون أعقل رعيّته، و أصبح الناس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 النصّ على الإمام أو ما يقوم مقامه من المعجز الدالّ على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فصلٌ مختصرٌ تعرّض فيه إلى مباحث بداية الفصل الرابع من الشافي المتعلّقة بوجوب النصّ ، مع 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الفصل ينتهي الجزء الأوّل من تلخيص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أمير المؤمنين عليه السلام منصوصٌ على إمامته بعد النبيّ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يستوعب هذا الفصل المطوّل معظم صفحات الجزء الثاني من تلخيص الشافي، و هو تلخيصٌ و تهذيبٌ للفصل السادس من الشافي، و قد تطرّق فيه بالتفصيل إلى الأدلّة الدالّة على إمامة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أمير المؤمنين عليه السلام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مطالب قليلة من الفصل السادس من الشافي، و بعد ذلك نقل الشيخ الطوسي مقطعاً مطوّلاً من كتاب تنزيه الأنبياء و الأئمّة عليهم السلام للشريف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اعتبار هذا الفصل من الزيادات على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الفصل ينتهي الجزء الثاني من تلخيص الشافي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أمير المؤمنين عليه السلام أفضل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محتوياته مأخوذٌ من الفصل السادس من الشافي، حيث ذكر الأدلّة التي تدلّ على أفضلية أمير </w:t>
      </w:r>
    </w:p>
    <w:p>
      <w:pPr>
        <w:pStyle w:val="BookText"/>
        <w:rPr/>
      </w:pPr>
      <w:r>
        <w:rPr>
          <w:rFonts w:ascii="Amiri" w:hAnsi="Amiri" w:eastAsia="Amiri" w:cs="Amiri"/>
          <w:color w:val="111111"/>
          <w:sz w:val="28"/>
          <w:sz w:val="28"/>
          <w:szCs w:val="28"/>
          <w:rtl w:val="true"/>
          <w:lang w:bidi="ar-SA"/>
        </w:rPr>
        <w:t>المؤمنين عليه السلام، مثل سورة المباهلة، و حديث الراية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أمير المؤمنين عليه السلام أعلم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مقتبسٌ من بدايات الفصل الثامن عشر من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قول من خالف في إمامة أمير المؤمنين بعد النبيّ عليهما السلام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 إمامة أبي بكر، و قد استفاد مطالب هذا الفصل من فصول مختلفة من الشافي، كالفصل السادس و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طعن به على أبي بكر من الأُمور التي تمنع من عقد الإمامة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فيه إلى مطاعن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شبههم التي ذكروها في فضل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إلى محتويات الفصل الخامس عشر من الشافي، حيث ناقش ما ذكره المخالفون من أدلّة على 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الفصل ينتهي الجزء الثالث من تلخيص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إمامة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إلى مطاعن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إمامة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فيه إلى مطاعن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محاربي أمير المؤمنين عليّ بن أبي طالب، و القاعدين عن نصرته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فيه مطالب الفصل الأخير من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الفصل تنتهي فصول الشافي التي أراد الشيخ الطوسي تلخيصها في كتابه، و ثمّ يضيف فصولاً مختصرة في إثبات إمامة الأئمّة الاثني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إمامة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عبارات هذا الفصل مأخوذةٌ من كتاب تنزيه الأنبياء و الأئمّة عليهم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إمامة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مختصرٌ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مختصرٌ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أبي عبد اللّٰه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الفصل مختصرٌ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أبي الحسن موسى بن جعفر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شيءٌ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أبي الحسن عليّ بن موسى الرضا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الفصل 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أبي جعفر محمّد بن عليّ الرضا، و بعده عليّ بن محمّد، و بعده الحسن بن عليّ العسكري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الفصل مختصر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صاحب الزمان صلوات اللّٰه عليه و على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معظم ألفاظ هذا الفصل مقتبسة من كتاب المقنع في الغيبة للشريف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الفصل يتمّ الجزء الرابع و الأخير من كتاب تلخيص الشافي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لم يلتزم الشيخ الطوسي بترتيب كتاب الشافي، بل قدّم فيه و أخّر، و زاد بعض المطالب من عنده و من كتب الشريف المرتضى الأُخرى، حتّى تحوّل إلى كتابٍ مستقلٍّ في الإمامة، و خرج من روح النقد و النقض التي امتاز بها الشافي</w:t>
      </w:r>
      <w:r>
        <w:rPr>
          <w:rFonts w:eastAsia="Amiri" w:cs="Amiri" w:ascii="Amiri" w:hAnsi="Amiri"/>
          <w:color w:val="111111"/>
          <w:sz w:val="28"/>
          <w:szCs w:val="28"/>
          <w:rtl w:val="true"/>
          <w:lang w:bidi="ar-SA"/>
        </w:rPr>
        <w:t xml:space="preserve">. </w:t>
      </w:r>
      <w:bookmarkStart w:id="99" w:name="pg20044_770630"/>
    </w:p>
    <w:p>
      <w:pPr>
        <w:pStyle w:val="Heading2"/>
        <w:numPr>
          <w:ilvl w:val="1"/>
          <w:numId w:val="1"/>
        </w:numPr>
        <w:rPr/>
      </w:pPr>
      <w:bookmarkStart w:id="100" w:name="__RefHeading___Toc828342_2320776876"/>
      <w:bookmarkStart w:id="101" w:name="_Toc36"/>
      <w:bookmarkEnd w:id="99"/>
      <w:bookmarkEnd w:id="100"/>
      <w:r>
        <w:rPr>
          <w:rtl w:val="true"/>
        </w:rPr>
        <w:t>الفصل الرابع الشريف المرتضى و كتابه الشافي</w:t>
      </w:r>
      <w:bookmarkEnd w:id="101"/>
    </w:p>
    <w:p>
      <w:pPr>
        <w:pStyle w:val="Heading3"/>
        <w:numPr>
          <w:ilvl w:val="2"/>
          <w:numId w:val="1"/>
        </w:numPr>
        <w:rPr/>
      </w:pPr>
      <w:bookmarkStart w:id="102" w:name="__RefHeading___Toc828344_2320776876"/>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بعد أن أنهى القاضي عبد الجبّار الجزء العشرين من كتابه، وقع هذا الجزء في يد رجلٍ شابّ من أذكى و أنبه علماء الإماميّة، و الذي كان قد كُتب له أن يتقلّد زمام رئاسة الإماميّة فيما بعد، إنّه الشريفُ المرتضى، علمُ الهدى، عليُّ بن الحسين الموسويّ العلويّ ، و الذي عُرف في تاريخ الإماميّة بالأجلّ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أن يقوم بنقد هذا الجزء على سبيل الاستقصاء، إلّاأن موانع منعته من ذلك، حتّى قام أحدُهم بالطلب منه أن يقوم بذلك، فانبرى للقيام بهذه المهمّة بعد ارتفاع تلك الموانع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نيّته في البدء أن يختصر الردّ و لا يفصّل فيه، و يترك نقل عبارات المغني بصورة كاملة، و يكتفي بنقل بدايات عباراته، ثمّ يحيل القارئ على ذلك الكتاب، و لكن بعد مضيّ فترةٍ من بداية تأليف الشافي غيّر الشريفُ المرتضى نيّته، و قرّر نقل عبارات القاضي بصورةٍ أكثر تفصيلاً، و كان قد نوى أن يَرجع إلى بدايات الكتاب لكي ينقل عبارات المغني بصورة تفصيليّة أيضاً، إلّاأنّ الناس كانوا قد استنسخوا ما كان قد تمّ تأليفه من الشافي، و انتشرت نسخه في البلاد، لذلك أعرض الشريف المرتضى عن إدخال تغييرات على بدايات الكتاب خشيةَ أن تختلف نسخ الكتاب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04" w:name="pg20044_770631"/>
    </w:p>
    <w:p>
      <w:pPr>
        <w:pStyle w:val="BookText"/>
        <w:rPr/>
      </w:pPr>
      <w:bookmarkEnd w:id="104"/>
      <w:r>
        <w:rPr>
          <w:rFonts w:ascii="Amiri" w:hAnsi="Amiri" w:eastAsia="Amiri" w:cs="Amiri"/>
          <w:color w:val="111111"/>
          <w:sz w:val="28"/>
          <w:sz w:val="28"/>
          <w:szCs w:val="28"/>
          <w:rtl w:val="true"/>
          <w:lang w:bidi="ar-SA"/>
        </w:rPr>
        <w:t xml:space="preserve">لقد تحوّل الشافي بعد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 الانتهاء من تأليفه، كما تقدّم قبل قليلٍ من تلقّف الناس له قبل نهاية تأليفه، ممّا اضطرّ الشريفُ المرتضى إلى عدم إدخال تغييرات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أهمّ الكتب المصنّفة في مجال الإمامة، و ذلك بسبب ما تمتّع به من عمقٍ و دقّةٍ و احترافٍ و شمولٍ لأهمّ بحوث الإمامة، و ما احتوى عليه من أجوبةٍ على أهمّ الإشكالات التي كان قد وجّهها المخالفون في مسألة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الشريفُ المرتضى قد أشار إلى ذلك في مقدمّة الكتاب،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أعانَ اللّٰهُ تَعالىٰ عليه، و وَفَّقَ لبُلوغِ الغَرَضِ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جامعاً لأُصولِ الإمامةِ و فُروعِها، و مُحيطاً مِن الطُّرُقِ المُهَذَّبَةِ و النُّكَتِ المُحرَّرَةِ بما لا يوجَدُ في شيءٍ مِن الكُتُبِ المصنَّفةِ </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105" w:name="__RefHeading___Toc828346_2320776876"/>
      <w:bookmarkStart w:id="106" w:name="_Toc38"/>
      <w:bookmarkEnd w:id="105"/>
      <w:r>
        <w:rPr>
          <w:rtl w:val="true"/>
        </w:rPr>
        <w:t>جمل الثناء علىٰ كتاب الشافي</w:t>
      </w:r>
      <w:bookmarkEnd w:id="106"/>
    </w:p>
    <w:p>
      <w:pPr>
        <w:pStyle w:val="BookText"/>
        <w:rPr/>
      </w:pPr>
      <w:r>
        <w:rPr>
          <w:rFonts w:ascii="Amiri" w:hAnsi="Amiri" w:eastAsia="Amiri" w:cs="Amiri"/>
          <w:color w:val="111111"/>
          <w:sz w:val="28"/>
          <w:sz w:val="28"/>
          <w:szCs w:val="28"/>
          <w:rtl w:val="true"/>
          <w:lang w:bidi="ar-SA"/>
        </w:rPr>
        <w:t>لقد وصف العلماء كتاب الشافي بمختلف الأوصاف الجليلة، الأمر الذي يدلّ على أهمّيّة الكتاب، و مدى التأثير الذي تركه على من جاء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فيما يلي بعض ما قيل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حديثه عن الشريف المرتضى و تصنيفه للشافي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قد بلغ في تصنيف هذا الكتاب الذروة العليا، و الغاية القصوى، و أنّ كل مَن ألّف فعليه ينزل، و منه يأخذ، و بساحته يحلّ ، مع ما ضمّنه من استيفاء شُبَه المخالفين القديمة و الحديثة، و الإبانة عن وهيها بغاية ما يمكن من التلخيص، و نهاية ما ينبغي أن يكون عليه من التهذيب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الشافي في الإمامة، و هو نقض كتاب الإمامة من كتاب المغني </w:t>
      </w:r>
    </w:p>
    <w:p>
      <w:pPr>
        <w:pStyle w:val="BookText"/>
        <w:rPr/>
      </w:pPr>
      <w:r>
        <w:rPr>
          <w:rFonts w:ascii="Amiri" w:hAnsi="Amiri" w:eastAsia="Amiri" w:cs="Amiri"/>
          <w:color w:val="111111"/>
          <w:sz w:val="28"/>
          <w:sz w:val="28"/>
          <w:szCs w:val="28"/>
          <w:rtl w:val="true"/>
          <w:lang w:bidi="ar-SA"/>
        </w:rPr>
        <w:t>لعبد الجبّار بن أحمد، و هو كتابٌ لم يُصنَّف مثله في الإمامة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حديثه عن إمامة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السمعيّة على ذلك فقد استوفاها أصحابنا رضي اللّٰه عنهم قديماً و حديثاً في كتبهم، لا سيّما ما ذكره سيّدنا الأجلّ الشريفُ المرتضى علم الهدى ذو المجدين قدّس اللّٰه روحه في كتاب الشافي في الإمامة، فقد استولى على الأمد، و غار في ذلك و أنجد، و صوّب و صعّد، و بلغ غاية الاستيفاء و الاستقصاء، و أجاب على شبه المخالفين التي عوّلوا على اعتمادها، و اجتهدوا في إيرادها، أحسنَ اللّٰه عن الدين و كافّة المؤمنين جزاءه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حديثه عن معنى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الوقوفَ على ذلك ممّا لا مزيد عليه، فعليه بكتاب الشافي للسيّد الشريف المرتضى علم الهدى، فإنّه قد بلغ النهاية في ذلك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الشافي في الإمامة، و هو كتابٌ لم يُصنَّف مثله في الأُصول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بهاء الدين محمّد الحسيني المختاري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ارتشاف الصافي الذي اختصر فيه كتاب الشافي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كتاب الشافي شافٍ في هذا الغرض، وافٍ بالشفاء عن كلّ مرض </w:t>
      </w:r>
      <w:bookmarkStart w:id="107" w:name="pg20044_770633"/>
    </w:p>
    <w:p>
      <w:pPr>
        <w:pStyle w:val="BookText"/>
        <w:rPr/>
      </w:pPr>
      <w:bookmarkEnd w:id="107"/>
      <w:r>
        <w:rPr>
          <w:rFonts w:ascii="Amiri" w:hAnsi="Amiri" w:eastAsia="Amiri" w:cs="Amiri"/>
          <w:color w:val="111111"/>
          <w:sz w:val="28"/>
          <w:sz w:val="28"/>
          <w:szCs w:val="28"/>
          <w:rtl w:val="true"/>
          <w:lang w:bidi="ar-SA"/>
        </w:rPr>
        <w:t>و عرض، فلعمري لو اعتنى عانيه باحتشاء مغاني معانيه لَحَيَّ حياةً أبديّة، و فاز بدولةٍ سرمديّة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ارتشفه مريضٌ بشِفاهِ قلبِه شَفاه، و كاد يمصّ من حلاوته فاه، و أنقذه من شفا جرف الشقاء، ورقّاه إلى أعلى مدارج 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 دَاءٌ و الدَّوَاءُ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عَمِيقٌ وَ الطَّبِيبُ الشَّافِي</w:t>
      </w:r>
    </w:p>
    <w:p>
      <w:pPr>
        <w:pStyle w:val="BookText"/>
        <w:rPr/>
      </w:pPr>
      <w:r>
        <w:rPr>
          <w:rFonts w:ascii="Amiri" w:hAnsi="Amiri" w:eastAsia="Amiri" w:cs="Amiri"/>
          <w:color w:val="111111"/>
          <w:sz w:val="28"/>
          <w:sz w:val="28"/>
          <w:szCs w:val="28"/>
          <w:rtl w:val="true"/>
          <w:lang w:bidi="ar-SA"/>
        </w:rPr>
        <w:t xml:space="preserve">أنَّى لَنَا شَافٍ لَهُ كَالشَّافِي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مِثْلُهُ مِنْ كَاشِفٍ كَشَّافِ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الشافي في الإمامة، و هو نقض كتاب المغني للقاضي عبد الجبّار المعتزلي، و هو من أجلّ كتبه، و أعظمها قدراً و نفعاً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828348_2320776876"/>
      <w:bookmarkStart w:id="109" w:name="_Toc39"/>
      <w:bookmarkEnd w:id="108"/>
      <w:r>
        <w:rPr>
          <w:rtl w:val="true"/>
        </w:rPr>
        <w:t>من تأثّر بالشافي و نقل عنه</w:t>
      </w:r>
      <w:bookmarkEnd w:id="109"/>
    </w:p>
    <w:p>
      <w:pPr>
        <w:pStyle w:val="BookText"/>
        <w:rPr/>
      </w:pPr>
      <w:r>
        <w:rPr>
          <w:rFonts w:ascii="Amiri" w:hAnsi="Amiri" w:eastAsia="Amiri" w:cs="Amiri"/>
          <w:color w:val="111111"/>
          <w:sz w:val="28"/>
          <w:sz w:val="28"/>
          <w:szCs w:val="28"/>
          <w:rtl w:val="true"/>
          <w:lang w:bidi="ar-SA"/>
        </w:rPr>
        <w:t>و قد اهتمّ العلماء على طول التاريخ بالنقل من الشافي، و الإرجاع اليه، و الانتفاع بمطالبه،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كتبه، أهمّها تلخيص الشافي، كما نقل بعض مطالب الشافي في كتبه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في أُصول الفقه،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قارنه بالشافي،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 أشوب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آل أبي 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مثالب النواصب،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معالم العلماء،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إقرار الصحابة،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المحصّل،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كثيرة من شرح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ستأتي الإشارة إليها في مستقبل الحديث في هذه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حاتم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النظيم،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الطرائف،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المقالة الفاطميّة،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النجاة في القيامة،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حيث يجد القارئ أنّ مطالبه مقتبسة من الشافي،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الألفين،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 قارنه بالشافي،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المقداد السيوري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اللوامع الإلهيّة،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الطاوسي، 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و المعالم،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الصوارم المهرقة،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الرواشح السماويّة،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 تعليقته على رجال الكشي،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طاهر القمّي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الأربعين،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 من بحار الأنوار،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bookmarkStart w:id="110" w:name="pg20044_770635"/>
    </w:p>
    <w:p>
      <w:pPr>
        <w:pStyle w:val="BookText"/>
        <w:rPr/>
      </w:pPr>
      <w:bookmarkEnd w:id="11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سليمان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الأربعين،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العينيّة الحميريّة،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نفس الرحمن في فضائل سلمان،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رئيس العلماء المولى حسين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كان حيّاً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حيث قام بتدريس الشافي ثلاث مرّات، و هو يدلّ على مدى اهتمامه بالكتاب، كما كان في كلّ مرّة يكتب عليه حاشية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828350_2320776876"/>
      <w:bookmarkStart w:id="112" w:name="_Toc40"/>
      <w:bookmarkEnd w:id="111"/>
      <w:r>
        <w:rPr>
          <w:rtl w:val="true"/>
        </w:rPr>
        <w:t>إرجاع الشريف المرتضىٰ إلى الشافي في كتبه</w:t>
      </w:r>
      <w:bookmarkEnd w:id="112"/>
    </w:p>
    <w:p>
      <w:pPr>
        <w:pStyle w:val="BookText"/>
        <w:rPr/>
      </w:pPr>
      <w:r>
        <w:rPr>
          <w:rFonts w:ascii="Amiri" w:hAnsi="Amiri" w:eastAsia="Amiri" w:cs="Amiri"/>
          <w:color w:val="111111"/>
          <w:sz w:val="28"/>
          <w:sz w:val="28"/>
          <w:szCs w:val="28"/>
          <w:rtl w:val="true"/>
          <w:lang w:bidi="ar-SA"/>
        </w:rPr>
        <w:t>و من أهمّ من أولى اهتماماً بكتاب الشافي هو الشريف المرتضى نفسه، فقد أرجع إليه في معظم كتبه و رسائله التي تعرّض فيها إلى بحث من بحوث الإمامة،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الرسيّات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الطرابلسيّات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إنكاح أمير المؤمنين عليه السلام ابنته 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و الأئمّة عليهم السلام،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bookmarkStart w:id="113" w:name="pg20044_770636"/>
    </w:p>
    <w:p>
      <w:pPr>
        <w:pStyle w:val="BookText"/>
        <w:rPr/>
      </w:pPr>
      <w:bookmarkEnd w:id="11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جُمل العلم و العمل،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القصيدة المذهّبة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الصرفة،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علّة مبايعة أمير المؤمنين عليه السلام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الجواب عن الشبهات الواردة لخبر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الغيبة،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28352_2320776876"/>
      <w:bookmarkStart w:id="115" w:name="_Toc41"/>
      <w:bookmarkEnd w:id="114"/>
      <w:r>
        <w:rPr>
          <w:rtl w:val="true"/>
        </w:rPr>
        <w:t>تاريخ تأليف الشافي</w:t>
      </w:r>
      <w:bookmarkEnd w:id="115"/>
    </w:p>
    <w:p>
      <w:pPr>
        <w:pStyle w:val="BookText"/>
        <w:rPr/>
      </w:pPr>
      <w:r>
        <w:rPr>
          <w:rFonts w:ascii="Amiri" w:hAnsi="Amiri" w:eastAsia="Amiri" w:cs="Amiri"/>
          <w:color w:val="111111"/>
          <w:sz w:val="28"/>
          <w:sz w:val="28"/>
          <w:szCs w:val="28"/>
          <w:rtl w:val="true"/>
          <w:lang w:bidi="ar-SA"/>
        </w:rPr>
        <w:t xml:space="preserve">لقد أنهى الشريف المرتضى إملاء كتاب الشافي في يوم الأحد، السابع من شهر رمضان من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جاء ذلك في هامش خاتمة إحدى مخطوطات الشافي</w:t>
      </w:r>
      <w:r>
        <w:rPr>
          <w:rStyle w:val="FootnoteAnchor"/>
          <w:rtl w:val="true"/>
        </w:rPr>
        <w:footnoteReference w:id="88"/>
      </w:r>
      <w:r>
        <w:rPr>
          <w:rFonts w:ascii="Amiri" w:hAnsi="Amiri" w:eastAsia="Amiri" w:cs="Amiri"/>
          <w:color w:val="111111"/>
          <w:sz w:val="28"/>
          <w:sz w:val="28"/>
          <w:szCs w:val="28"/>
          <w:rtl w:val="true"/>
          <w:lang w:bidi="ar-SA"/>
        </w:rPr>
        <w:t xml:space="preserve">، أي أنّه انتهى من الكتاب عندما كان في الثالثة و الأربعين من عمره، حيث ولد الشريف المرتضى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لهذا التاريخ عدمُ إرجاعه في هذا الكتاب إلى شيءٍ من مؤلّفاته إلّاإلىٰ رسالتين</w:t>
      </w:r>
      <w:r>
        <w:rPr>
          <w:rStyle w:val="FootnoteAnchor"/>
          <w:rtl w:val="true"/>
        </w:rPr>
        <w:footnoteReference w:id="90"/>
      </w:r>
      <w:r>
        <w:rPr>
          <w:rFonts w:ascii="Amiri" w:hAnsi="Amiri" w:eastAsia="Amiri" w:cs="Amiri"/>
          <w:color w:val="111111"/>
          <w:sz w:val="28"/>
          <w:sz w:val="28"/>
          <w:szCs w:val="28"/>
          <w:rtl w:val="true"/>
          <w:lang w:bidi="ar-SA"/>
        </w:rPr>
        <w:t xml:space="preserve">، و في المقابل إرجاعُه إليه في معظم كتبه و رسائله التي كتبها حول الإمامة، </w:t>
      </w:r>
    </w:p>
    <w:p>
      <w:pPr>
        <w:pStyle w:val="BookText"/>
        <w:rPr/>
      </w:pPr>
      <w:r>
        <w:rPr>
          <w:rFonts w:ascii="Amiri" w:hAnsi="Amiri" w:eastAsia="Amiri" w:cs="Amiri"/>
          <w:color w:val="111111"/>
          <w:sz w:val="28"/>
          <w:sz w:val="28"/>
          <w:szCs w:val="28"/>
          <w:rtl w:val="true"/>
          <w:lang w:bidi="ar-SA"/>
        </w:rPr>
        <w:t>و هذا يدلّ على تقدّم تأليف الشافي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بداية إملاء الشافي فغير محدّدةٍ على وجه الدقّة، سوى أنّنا نعلم أنّ القاضي انتهى من تأليف آخر جزءٍ من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 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تقدّم، و من الطبيعي أن يستلزم استنساخ هذا الجزء و انتشاره، و انتقاله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من الزمن، و هذا يعني أنّ تأليف الشافي بدأ بعد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بمدّة،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أشار الشريف المرتضى في مقدّمة الكتاب إلى أنّه أراد البدء بنقض جزء الإمامة من المغني فورَ وصول الكتاب إليه، و لكن منعته من ذلك موانع حالت دون ذلك، فقد جاء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عَزَمتُ عند وقوعِ هذا الكتابِ في يَدي علىٰ نَقضِ ما اختَصَّ منه بالإمامةِ علىٰ سَبيلِ الاستقصاءِ ، فقطَعَني عن إمضاءِ ذلك قواطعُ ، و مَنَعَت مِنه مَوانِعُ كنتُ متوقِّعاً لانحِسارِها فأبتدئَ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الأُمور التي منعته من ذلك اقتضاءات مكانته الاجتماعيّة، و خاصّة اقتضاءات مقام أبيه الشريف أبي أحمد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نقيباً للطالبيّين، فمن الطبيعي أن تناط بنجله مهامّ و مسؤوليّات مختلفة تمنعه من بعض مَهامّه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إملاء الشافي قد تأخّر فترةً أُخرى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ثالثة، لقد أرجع الشريفُ المرتضى في الشافي إلى المسائل الموصليّات الأُولى</w:t>
      </w:r>
      <w:r>
        <w:rPr>
          <w:rStyle w:val="FootnoteAnchor"/>
          <w:rtl w:val="true"/>
        </w:rPr>
        <w:footnoteReference w:id="91"/>
      </w:r>
      <w:r>
        <w:rPr>
          <w:rFonts w:ascii="Amiri" w:hAnsi="Amiri" w:eastAsia="Amiri" w:cs="Amiri"/>
          <w:color w:val="111111"/>
          <w:sz w:val="28"/>
          <w:sz w:val="28"/>
          <w:szCs w:val="28"/>
          <w:rtl w:val="true"/>
          <w:lang w:bidi="ar-SA"/>
        </w:rPr>
        <w:t xml:space="preserve">التي أجاب عنها في سنة ثلاثمائة و ثمانين و نيّفٍ </w:t>
      </w:r>
      <w:r>
        <w:rPr>
          <w:rStyle w:val="FootnoteAnchor"/>
          <w:rtl w:val="true"/>
        </w:rPr>
        <w:footnoteReference w:id="92"/>
      </w:r>
      <w:r>
        <w:rPr>
          <w:rFonts w:ascii="Amiri" w:hAnsi="Amiri" w:eastAsia="Amiri" w:cs="Amiri"/>
          <w:color w:val="111111"/>
          <w:sz w:val="28"/>
          <w:sz w:val="28"/>
          <w:szCs w:val="28"/>
          <w:rtl w:val="true"/>
          <w:lang w:bidi="ar-SA"/>
        </w:rPr>
        <w:t xml:space="preserve">، و هذا يعني أنّ تأليف الشافي قد بدأ في فترةٍ متأخّرة عن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من المحتمل أنّ تأليف كتاب الشافي قد بدأ في فترةٍ متأخّرة من ثمانينات القرن الرابع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هذا يعني أنّ فترة تأليف الكتاب كانت طويلة ؟ هذا ما لا يمكن البتّ به، و لكن حجم الكتاب، و المشاغل التي كانت تمنع الشريف المرتضى من الاستمرار في العمل ربما قد ساعد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ذلك أيضاً ما تقدّم من أنّه بدأ بالتأليف و كان قصد فيه الاختصار، إلّاأنّه بعد ذلك غيّر نيّته وقام بتفصيل بعض المطالب، لكنّه لم يستطع إصلاح ما تقدّم من أجزاء الكتاب، و ذلك لانتشار نسخه في البلاد، و وقوعها في أيدي الناس، و هذا يدلّ على طول فترة التأليف، فإنّ استنساخ الكتب و انتشارها في ذلك الزمن كان يتطلّب وقتاً طويلاً، و لم يكن يتحقّق في فترةٍ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أنّنا نعلم أنّ الشريف المرتضى قد حجّ في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أخيه الشريف الرضي</w:t>
      </w:r>
      <w:r>
        <w:rPr>
          <w:rStyle w:val="FootnoteAnchor"/>
          <w:rtl w:val="true"/>
        </w:rPr>
        <w:footnoteReference w:id="93"/>
      </w:r>
      <w:r>
        <w:rPr>
          <w:rFonts w:ascii="Amiri" w:hAnsi="Amiri" w:eastAsia="Amiri" w:cs="Amiri"/>
          <w:color w:val="111111"/>
          <w:sz w:val="28"/>
          <w:sz w:val="28"/>
          <w:szCs w:val="28"/>
          <w:rtl w:val="true"/>
          <w:lang w:bidi="ar-SA"/>
        </w:rPr>
        <w:t>، فإذا كان قد بدأ بتأليف الشافي قبل هذا التاريخ، فقد يكون أداء مناسك الحجّ أدّى إلى انقطاع تأليف الكتاب مؤقّتاً، و بالتالي إلى إطالة أمد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حدوث بعض الاضطرابات السياسيّة، و خاصّة تلك التي وقعت في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التي أدّت إلى نفي أُستاذه الشيخ المفيد من بغداد</w:t>
      </w:r>
      <w:r>
        <w:rPr>
          <w:rStyle w:val="FootnoteAnchor"/>
          <w:rtl w:val="true"/>
        </w:rPr>
        <w:footnoteReference w:id="94"/>
      </w:r>
      <w:r>
        <w:rPr>
          <w:rFonts w:ascii="Amiri" w:hAnsi="Amiri" w:eastAsia="Amiri" w:cs="Amiri"/>
          <w:color w:val="111111"/>
          <w:sz w:val="28"/>
          <w:sz w:val="28"/>
          <w:szCs w:val="28"/>
          <w:rtl w:val="true"/>
          <w:lang w:bidi="ar-SA"/>
        </w:rPr>
        <w:t>، ربّما أدّت أيضاً إلى تأخير تأليف الكتاب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 فمن المتيقّن أنّ الشريف المرتضى كان منشغلاً بتأليف كتاب الشافي في العقد الأخير من القرن الرابع، و انتهى منه قبل نهاية هذا القرن بسنتين</w:t>
      </w:r>
      <w:r>
        <w:rPr>
          <w:rFonts w:eastAsia="Amiri" w:cs="Amiri" w:ascii="Amiri" w:hAnsi="Amiri"/>
          <w:color w:val="111111"/>
          <w:sz w:val="28"/>
          <w:szCs w:val="28"/>
          <w:rtl w:val="true"/>
          <w:lang w:bidi="ar-SA"/>
        </w:rPr>
        <w:t xml:space="preserve">. </w:t>
      </w:r>
      <w:bookmarkStart w:id="116" w:name="pg20044_770639"/>
    </w:p>
    <w:p>
      <w:pPr>
        <w:pStyle w:val="Heading3"/>
        <w:numPr>
          <w:ilvl w:val="2"/>
          <w:numId w:val="1"/>
        </w:numPr>
        <w:rPr/>
      </w:pPr>
      <w:bookmarkStart w:id="117" w:name="__RefHeading___Toc828354_2320776876"/>
      <w:bookmarkStart w:id="118" w:name="_Toc42"/>
      <w:bookmarkEnd w:id="116"/>
      <w:bookmarkEnd w:id="117"/>
      <w:r>
        <w:rPr>
          <w:rtl w:val="true"/>
        </w:rPr>
        <w:t>فصول الكتاب</w:t>
      </w:r>
      <w:bookmarkEnd w:id="118"/>
    </w:p>
    <w:p>
      <w:pPr>
        <w:pStyle w:val="BookText"/>
        <w:rPr/>
      </w:pPr>
      <w:r>
        <w:rPr>
          <w:rFonts w:ascii="Amiri" w:hAnsi="Amiri" w:eastAsia="Amiri" w:cs="Amiri"/>
          <w:color w:val="111111"/>
          <w:sz w:val="28"/>
          <w:sz w:val="28"/>
          <w:szCs w:val="28"/>
          <w:rtl w:val="true"/>
          <w:lang w:bidi="ar-SA"/>
        </w:rPr>
        <w:t>يتكوّن كتاب الشافي من اثنين و عشرين فصلاً موزّعاً بين فصولٍ مطوّلة، و أُخرى مختصرة قد يصل حجم بعضها إلى صفحةٍ واحدة، و قد كان أطولها هو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الأوّل منها يغلب عليه نوع من عدم الترتيب، كما بدأ الشريف المرتضى الفصول الثلاثة الأُولى بلا مقدّمة، بينما أخذ يقدّم مقدّمة بالنسبة للفصول التالية</w:t>
      </w:r>
      <w:r>
        <w:rPr>
          <w:rStyle w:val="FootnoteAnchor"/>
          <w:rtl w:val="true"/>
        </w:rPr>
        <w:footnoteReference w:id="95"/>
      </w:r>
      <w:r>
        <w:rPr>
          <w:rFonts w:ascii="Amiri" w:hAnsi="Amiri" w:eastAsia="Amiri" w:cs="Amiri"/>
          <w:color w:val="111111"/>
          <w:sz w:val="28"/>
          <w:sz w:val="28"/>
          <w:szCs w:val="28"/>
          <w:rtl w:val="true"/>
          <w:lang w:bidi="ar-SA"/>
        </w:rPr>
        <w:t>، و أمّا الفصل الخامس فلم يجعل له مقدّمةً ؛ لأنّ مقدّمته عبارة عن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الفصول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الإمامة من طريق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الفصل المطوّل على الأدلّة التي ذكرها الإماميّة على وجوب الإمامة، و مناقشة إشكالات القاضي عليها، وردّ الشريف المرتضى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هذا الفصل على دفاع المصنّف عن هشام بن الحكم حول الآراء المنسوبة إليه من تجسيمٍ و جبرٍ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الإمامة من طريق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 الشريف المرتضى ما أقامه القاضي من أدلّة سمعيّة على وجوب الإمامة، و يغلب على هذ الفصل أُسلوب الإشكالات النقضيّة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الإمامة 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الفصل المطوّل جدّاً على بحثَيْن رئيسيَّيْن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الأكبر حجماً، و يحتوي على البحث عن الأدلّة التي أقامها الإماميّة على وجوب الإمامة، و مناقشة القاضي لها، و إجابة الشريف المرتضى على تلك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أيضاً على بحث حول الغيبة، و أنّ الشريعة لا تُحفظ بالإجماع و القياس و الاجتهاد و غير ذلك، و أنّه لا بدّ من وجود الإمام لحفظ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يحتوي على بحثٍ مفصّلٍ حول الإجماع، حيث ناقش فيه الشريف المرتضى بحث </w:t>
      </w:r>
    </w:p>
    <w:p>
      <w:pPr>
        <w:pStyle w:val="BookText"/>
        <w:rPr/>
      </w:pPr>
      <w:r>
        <w:rPr>
          <w:rFonts w:ascii="Amiri" w:hAnsi="Amiri" w:eastAsia="Amiri" w:cs="Amiri"/>
          <w:color w:val="111111"/>
          <w:sz w:val="28"/>
          <w:sz w:val="28"/>
          <w:szCs w:val="28"/>
          <w:rtl w:val="true"/>
          <w:lang w:bidi="ar-SA"/>
        </w:rPr>
        <w:t>الإجماع من الجزء السابع عشر من المغني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الجزء يحتوي على بحث حول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نظريّة الإماميّة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حول عصمة الإمام، وجواب مناقشة القاضي لأدلّة العصمة التي أقامها الإماميّة، كما يوجد في نهاية الفصل إشارة إلى بحث أفضليّة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النصّ من جهة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الشريف المرتضى في هذا الفصل المختصر إلى بحثٍ سريعٍ حول الأدلّة العقليّة على وجوب النصّ على الإمامة، و عدم ثبوتها بالاختيار و غيره، و يمكن اعتبار هذا الفصل مقدّمةً للفصل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 الشريف المرتضى ما أورده القاضي من إشكالات على الأدلّة العقليّة التي أقامها الإماميّة على وجوب النصّ على الإمام، و جاء في هذا الفصل بحوث حول بعض صفات الإمام كالعلم و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النصّ على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هو أطول فصول الكتاب، بحيث يستوعب حجمه أكثر من ربع حجم الكتاب كلّه، و قد أورد الشريفُ المرتضى لهذا الفصل مقدّمةً مطوّلةً حول النصّ الجليّ على أمير المؤمنين عليه السلام و أقسامه، و شروط الخبر المتواتر، و وقوع التواتر بخبر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تطرّق إلى ما ذكره القاضي من إنكار وجود النصّ على أمير المؤمنين عليه السلام، و تعرّض أيضاً إلى إبطال ما ادّعي من النصّ على أبي بكر و العبّاس، ثمّ أجاب بالتفصيل على مناقشات القاضي للأدلّة و النصوص الدالّة على إمامة أمير المؤمنين عليه السلام، مثل آية الولاية، و حديثي الغدير و المنزلة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الشريف المرتضى مع القاضي حول اشتراط صفة العدالة في الإمام، لكنّه لا يكتفي بذلك، بل يُثبت مرتبةً أعلى من ذلك، و هي مرتبة العصمة، و يرى أنّ القاضي عبد الجبّار لا يمكنه الاستدلال على عدالة </w:t>
      </w:r>
    </w:p>
    <w:p>
      <w:pPr>
        <w:pStyle w:val="BookText"/>
        <w:rPr/>
      </w:pPr>
      <w:r>
        <w:rPr>
          <w:rFonts w:ascii="Amiri" w:hAnsi="Amiri" w:eastAsia="Amiri" w:cs="Amiri"/>
          <w:color w:val="111111"/>
          <w:sz w:val="28"/>
          <w:sz w:val="28"/>
          <w:szCs w:val="28"/>
          <w:rtl w:val="true"/>
          <w:lang w:bidi="ar-SA"/>
        </w:rPr>
        <w:t>الإمام من دون الرجوع إلى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أورد الشريف المرتضى في هذا الفصل المختصر نسبيّاً ما يمكن أن يورده مَن ينكر عدالة الإمام من إشكالات، لكي يبيّن أنّ القاضي لا يمكنه 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الفصل الخامس بصورةٍ مفصّلة الكلامُ عن صفة علم الإمام، و وجوب علمه بكلّ أحكام الدين، و أمّا هذا الفصل المختصر، فقد تطرّق فيه الشريفُ المرتضى إلى بعض كلمات القاضي المتعلّقة بهذه الصفة، و ناقشه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الشريفُ المرتضى في بداية هذا الفصل المختصر أنّ القاضي قد بنى كلامه في هذا الفصل على إنكار وجوب أفضليّة الإمام بالعقل، و أنّ هذه الأفضليّة يُرجَع في ثبوتها و عدمه إلى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الشريفُ المرتضى إلى أنّه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وجوب الأفضليّة ثابت بالعقل، و لهذا كان الأفضل الإعراض عن الكلام حول هذا الفصل، لكنّه تعرّض إليه باختصار بسبب وجود نوع من الفائدة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الشريفُ المرتضى مع القاضي حول أنّ الإمامة لا تصلح في غير قريش، لكنّه يختلف معه في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هذا الفصل نصّاً مطوّلاً من تاريخ الطبري حول ما جرى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غير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تركّز البحث في هذا الفصل المختصر على البحث حول أنّه لو عُدم القرشي، فهل يصبح غيرُ القرشي إماماً أو لا؟ و هل يجوز أساساً انعدام القرشي ؟</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المطلوب في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الشريفُ المرتضى في هذا الفصل المختصر ما ذهب إليه القاضي من أنّ الإمامة تثبت ببيعة واحد و رضا أربعة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الإجماع على إمامة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هذا الفصل المطوّل حول مناقشة ما ادّعاه القاضي من حصول الإجماع على إمامة أبي بكر، و تأكيد </w:t>
      </w:r>
    </w:p>
    <w:p>
      <w:pPr>
        <w:pStyle w:val="BookText"/>
        <w:rPr/>
      </w:pPr>
      <w:r>
        <w:rPr>
          <w:rFonts w:ascii="Amiri" w:hAnsi="Amiri" w:eastAsia="Amiri" w:cs="Amiri"/>
          <w:color w:val="111111"/>
          <w:sz w:val="28"/>
          <w:sz w:val="28"/>
          <w:szCs w:val="28"/>
          <w:rtl w:val="true"/>
          <w:lang w:bidi="ar-SA"/>
        </w:rPr>
        <w:t>الشريف المرتضى على وجود معارضين لإمامته من بين الصحابة، و أن سكوتهم لا يدلّ على رضاهم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الفصل تعرّض إلى بحث حول ظروف 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يتركّز هذا الفصل المختصر على إبطال صحّة طريقة الاختيار لتعيين الإمام، و ضرورة قيام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 قد تقدّم في الفصل الرابع البحث عن وجوب النصّ ، و الذي يستلزم بطلان الاختيار، لذلك أعرض الشريفُ المرتضى عن تفصيل البحث في بطلان الاختيار هنا، و لهذا صار هذا الفصل مختصراً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 أبي بكر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الفصل على مناقشة ما ذكره القاضي من أدلّة على صلاح أبي بكر للإمامة و استحقاقه لها، و من ذلك مناقشة فضائل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الفصل المطوّل على مناقشة ما ردَّ به القاضي المطاعنَ التي وُجّهت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إمامة عمر، و عدم صلاحه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الفصل المختصر للغاية على إشارة سريعة لبطلان إمامة عمر؛ باعتبارها مبنيّة على صحّة إمامة أبي بكر التي تقدّم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احتوى الفصل على إشارة سريعة أيضاً إلى عدم صلاح عمر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الفصل على مناقشة ما ردَّ به القاضي المطاعنَ التي وُجّهت إلى عمر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 عثمان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الفصل المختصر جدّاً على إشارة سريعة إلى عدم صلاح عثمان للإمامة، و الاكتفاء بما تقدّم حول إمامة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يحتوي على إشارة سريعة أيضاً إلى مناقشة زواج عثمان من بنات النبيّ صلّى اللّٰه عليه و آله، حيث ادّعي أنّ ذلك إحدى فضائله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الفصل المطوّل على مناقشة ما ردَّ به القاضي المطاعنَ التي وُجّهت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هذا الفصل المختصر على مناقشة الأدلّة التي أقامها القاضي لإثبات إمامة أمير المؤمنين عليه السلام، و هي الاختيار و الإجماع، و ذلك بهدف إثبات أنّ الطريق الوحيد لإثبات إمامته عليه السلام هو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توبة أصحاب الجَمَل و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الشريف المرتضى في الفصل الأخير من الشافي إلى مناقشة ما ذكره القاضي من أدلّة لإثبات توبة الزبير و طلحة و عائشة، إضافةً إلى بحثٍ مختصر حول مناقشة توبة سعد بن أبي وقّاص، و عبد اللّٰه بن عمر، و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البحث يختتم الشريفُ المرتضى كتابه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الدقّة في فصول الكتاب المتقدّمة، يمكن تقسيم محتويات كتاب الشافي إلى ستّة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هذا القسم على بحوث حول ضرورة الإمامة بالعقل و السمع، و يستوعب الفصل الثلاثة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وجوب النصّ على الإمام، و بطلان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القسم على ضرورة النصّ على الإمام، و يستوعب الفصل الرابع، و الخامس، و الرابع عشر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إثبات إمامة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هذا القسم على النصوص الدالّة على إمامة أمير المؤمنين عليه السلام، مثل آية الولاية، و حديث الغدير، 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يستوعب الفصلَ السادس الذي هو أطول فصول الكتاب كما تقدّم</w:t>
      </w:r>
      <w:r>
        <w:rPr>
          <w:rFonts w:eastAsia="Amiri" w:cs="Amiri" w:ascii="Amiri" w:hAnsi="Amiri"/>
          <w:color w:val="111111"/>
          <w:sz w:val="28"/>
          <w:szCs w:val="28"/>
          <w:rtl w:val="true"/>
          <w:lang w:bidi="ar-SA"/>
        </w:rPr>
        <w:t xml:space="preserve">. </w:t>
      </w:r>
      <w:bookmarkStart w:id="119" w:name="pg20044_770644"/>
    </w:p>
    <w:p>
      <w:pPr>
        <w:pStyle w:val="BookText"/>
        <w:rPr/>
      </w:pPr>
      <w:bookmarkEnd w:id="119"/>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يتركّز هذا القسم على البحث عن صفات الإمام، من عدالة، و علم، و أفضليّة، و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يستوعب الفصول الستّة التالية للفصل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خلافة 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هذا القسم بطلانَ خلافة الخلفاء الثلاثة، و بيان عدم صلاحهم للإمامة، و إثبات المطاعن الموجّهة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يستوعب سبعة فصول، تبدأ من الفصل الثالث عشر إلى العشرين، ما عدا الفصل الرابع عشر و هو فصلٌ مختصر، فإنّه تعرّض فيه إلى بحث بطلان الاختيار، و هذا البحث مناسب للقسم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فترة خلافة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هذا القسم الكلام عن بيعة أمير المؤمنين عليه السلام بعد عثمان، و أن إمامته لم تثبت بالاختيار، بل ثبتت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احتوى على بعض ما جرى من أحداث في تلك الفترة، و من ذلك الكلام عن إبطال توبة أصحاب الجَمَل و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يستوعب هذا القسم الفصلَيْن الأخيرَيْن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الناظر في هذا التقسيم لبحوث الكتاب يجد مدى الترتيب و النظام الحاكم عليه، و الذي قد لا يتّضح للقاريء في الوهلة الأُولى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28356_2320776876"/>
      <w:bookmarkStart w:id="121" w:name="_Toc43"/>
      <w:bookmarkEnd w:id="120"/>
      <w:r>
        <w:rPr>
          <w:rtl w:val="true"/>
        </w:rPr>
        <w:t>منهجيّة البحث في الشافي</w:t>
      </w:r>
      <w:bookmarkEnd w:id="121"/>
    </w:p>
    <w:p>
      <w:pPr>
        <w:pStyle w:val="BookText"/>
        <w:rPr/>
      </w:pPr>
      <w:r>
        <w:rPr>
          <w:rFonts w:ascii="Amiri" w:hAnsi="Amiri" w:eastAsia="Amiri" w:cs="Amiri"/>
          <w:color w:val="111111"/>
          <w:sz w:val="28"/>
          <w:sz w:val="28"/>
          <w:szCs w:val="28"/>
          <w:rtl w:val="true"/>
          <w:lang w:bidi="ar-SA"/>
        </w:rPr>
        <w:t>لقد تمتّع الشريف المرتضى في هذا الكتاب و في سائر كتبه بقدرٍ كبير من العمق و الدقّة و الاحتراف في البحث، كما التزم بقواعد الجدل و النقض، و لم يَنْسَ أن يكون منصفاً مع خصمه الذي يقوم بالردّ عليه، ممّا أهّله لأنْ يكون مثالاً يُحتذى به في فنّ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تعريف بجملة من الأساليب العلميّة المتّبعة في هذا الكتاب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الخلط بين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الشريفُ المرتضى دقيقاً في بحثه، بحيث كان يهتمّ بالبقاء في صلب الموضوع و عدم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أدّت هذه الروح </w:t>
      </w:r>
    </w:p>
    <w:p>
      <w:pPr>
        <w:pStyle w:val="BookText"/>
        <w:rPr/>
      </w:pPr>
      <w:r>
        <w:rPr>
          <w:rFonts w:ascii="Amiri" w:hAnsi="Amiri" w:eastAsia="Amiri" w:cs="Amiri"/>
          <w:color w:val="111111"/>
          <w:sz w:val="28"/>
          <w:sz w:val="28"/>
          <w:szCs w:val="28"/>
          <w:rtl w:val="true"/>
          <w:lang w:bidi="ar-SA"/>
        </w:rPr>
        <w:t>العلميّة إلى تدقيقه في كلام القاضي، فإذا خرج في البحث عن مجاله نبّه على ذلك</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نقطةٌ منهجيّةٌ مهمّةٌ للباحثين بصورةٍ عامّة، و للمهتمّين بالردود و النقض بصورةٍ خاصّة، فكثيراً ما يحاول الخصم تغيير اتّجاه البحث بعد أن يصل إلى طريق مسدود، فينبغي على الطرف الآخر التنبيه على ذلك، و التأكيد على ضرورة الالتزام بالبحث و عدم الخروج عنه، و محاولة التفلّت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الأساليب التي تساعد على توضيح الأفكار و ترسيخها في أذهان القرّاء و المستمعين، هو أُسلوب الاستشهاد بالأمثلة، فإنّ البحث قد يكون غامضاً، و لكن من خلال الاستعانة بالتمثيل يمكن إزالة ما كان يلفّه من غموضٍ و عدم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اعتبار التمثيل أحياناً نوعاً من الاستدلال أو الاستشهاد، فقد يكون البحث نظريّاً و كلّيّاً، و لكن عند التمثيل بأُمورٍ جزئيّةٍ و عرفيّةٍ مفهومةٍ للمستمع، و قد يمارسها في حياته العاديّة، فسوف يقتنع بسرعة بمضمون ذلك البحث النظري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استعان الشريفُ المرتضى في هذا الكتاب أكثر من مرّة بالأمثلة، و حاول إيضاح أفكاره من خلالها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المطابقة بين المَقيس و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دقّة الشريف المرتضى في بحثه مع القاضي هو تأكيده على ضرورة المطابقة بين المَقيس و المَقيس عليه، فقد حاول القاضي مثلاً أن يقارن بين تشريع الشارع لاختيار واحدٍ من الكفّارات الثلاث و بين اختيار الإمام، فكما أنّ الشارع قد خيّرنا بين الأصناف الثلاثة من الكفّارات، فما المانع من أن يجعل لنا الخيار في تعيين الإمام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الشريفُ المرتضى بأنّ هناك فرقاً بين الأمرَيْن، ففي الكفّارات لم يَجعل </w:t>
      </w:r>
    </w:p>
    <w:p>
      <w:pPr>
        <w:pStyle w:val="BookText"/>
        <w:rPr/>
      </w:pPr>
      <w:r>
        <w:rPr>
          <w:rFonts w:ascii="Amiri" w:hAnsi="Amiri" w:eastAsia="Amiri" w:cs="Amiri"/>
          <w:color w:val="111111"/>
          <w:sz w:val="28"/>
          <w:sz w:val="28"/>
          <w:szCs w:val="28"/>
          <w:rtl w:val="true"/>
          <w:lang w:bidi="ar-SA"/>
        </w:rPr>
        <w:t>الشارع لنا الخيار في اختيار ما نشاء من الكفّارات من بين العبادات الكثيرة، و إنّما نصّ لنا على ثلاثة أصناف فقط، ثمّ خيّرنا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قياس مسألة الإمامة على الكفّارات، 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نصّ لنا على أسماء أئمّة معيّنين ثمّ خيّرنا بينهم، و هذا لا يقول به القاضي، و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خيّرنا في اختيار الإمام في الأصل، و لم ينصّ لنا على أسماء أئمّة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افترق بحث الإمامة عن الكفّارات، و لم يصِحّ قياسه عليها؛ لعدم المطابقة بينها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الأجوبة النقضيّة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الأساليب المعتمدة في مجال الجدل و النقض و المناظرة استعمال أُسلوب الجواب النقضي، بحيث يُردّ على الطرف المقابل بإشكال يشابه إشكاله الذي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الأُسلوب ينفع في إسكات ذلك الطرف، و في تقوية الجواب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الشريف المرتضى هذا الأُسلوب في كتابه، فإنّه بعد أن يجيبَ على إشكال القاضي، يقوم بدعم جوابه من خلال طرح جواب نقضي، و يكشف عن أنّ القاضي متورّط بنفس الإشكال الذي أورده على الإماميّة، و الفرق أنّ للإماميّة جواباً على ذلك الإشكال خلافاً 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المرونة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فكر الشريف المرتضى ترك التشدّد، و إبداء مرونة كبيرة في البحث مع الآخرين، فعندما يرى أنّ كلام الخصم يمتلك قَدَراً من النصفة و المعقولية فإنّه يسلّم له ما دام لا يمسّ ذلك بأُصول فكر الإماميّة و قواعده الثابتة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أحد الموارد ذكر القاضي أنّه من الجائز أن يكون لكلّ بلدٍ إمام إذا كان الصلاح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الشريف المرتضى بأنّنا لا ننكر جواز ذلك عقلاً، فإنّ العقل يجوّز أن ينصب اللّٰه تعالى لكلّ بلدٍ إماماً مستقلاًّ، و زاد الشريفُ المرتضى بأنّ العقل يجوّز أيضاً أن يُنصب لكلّ شخصٍ إمام، لكنّ الكلام ليس في الجواز العقلي، بل في وجوب ذلك، و هو أمرٌ مرفوض</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آراء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يختلف الشريف المرتضى في بعض المسائل مع بعض الإماميّة، و لكن إذا وجد أنّ القاضي يورد إشكالاً غير وارد على ذلك البعض من الإماميّة، فإنّه يتصدّى له و يقوم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مسألة الحاجة إلى الإمام ذكر القاضي أنّ البعض ذهبَ إلى أنّ وجه الحاجة هو بيان كيفيّة شكر اللّٰه تعالى، و رفض الشريف المرتضى هذه الطريقة و لم يعتبرها من وجوه الحاجة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عندما أشكل القاضي على هذه الطريقة بأنّ بيان الرسول صلّى اللّٰه عليه و آله لكيفيّة الشكر يغني عن الإمام، أجابه الشريف المرتضى بأنّ هذا الإشكال غير واردٍ على تلك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عدم إيمانه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بيان الرسول صلّى اللّٰه عليه و آله قد لا يصل بالتواتر إلى الأجيال اللاحقة، و ذلك بسبب إعراض الناقلين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فلا بدّ من وجود إمامٍ يؤدّي ما بيّنه الرسول صلّى اللّٰه عليه و آله من كيفيّة الشكر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فعل نفس الشيء في وجهٍ آخر من وجوه الحاجة إلى الإمام، و هو تعليم السموم القاتلة و الأغذية النافعة، فعلى الرغم من رفضه لهذه الطريقة، لكنّه ناقش </w:t>
      </w:r>
    </w:p>
    <w:p>
      <w:pPr>
        <w:pStyle w:val="BookText"/>
        <w:rPr/>
      </w:pPr>
      <w:r>
        <w:rPr>
          <w:rFonts w:ascii="Amiri" w:hAnsi="Amiri" w:eastAsia="Amiri" w:cs="Amiri"/>
          <w:color w:val="111111"/>
          <w:sz w:val="28"/>
          <w:sz w:val="28"/>
          <w:szCs w:val="28"/>
          <w:rtl w:val="true"/>
          <w:lang w:bidi="ar-SA"/>
        </w:rPr>
        <w:t>إشكال القاضي الذي أورده على القائلين بها</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دافع عن القائلين بنظريّة أنّ الإمامة بالاستحقاق و التي كان لا يؤمن بها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موضوع للردّ على المخالف دون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التزم الشريف المرتضى بمنهجيّة صارمة في الكتاب، حيث ركّز بصورةٍ أساسيّةٍ على مناقشة المخالفين للإماميّة في مسألة الإمامة، و بالخصوص القاضي عبد الجبّار و شيوخه من المعتزلة، و لم يَقُمْ بمناقشة آراء بعض الإماميّة الذين كان يختلف معهم في بعض المسائل؛ و ذلك لأنّ الهدف من وراء تأليف الشافي هو الردّ على المخالفين دون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الشريف المرتضى بذلك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كتابَنا هذا موضوعٌ للنقضِ علَى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الاعتراضِ علَى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لَأَورَدنا جُملَةً مِن الطُّرُقِ المسلوكةِ فيما ذَكرناه، و أَشَرنا إلىٰ جهةِ الاعتراضِ عَلَيها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نعم لقد أشار الشريف المرتضى أحياناً إلى مخالفته لآراء بعض الأصحاب، كما في العبارة الأخيرة، لكنّه كان يترك تفصيل البحث و مناقشة آرائهم إلى مجال آخر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النظم و الوضوح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يبدو لقارئ كتاب الشافي في الوهلة الأُولى أنّ الكتاب لا تربط بين أبحاثه رابطة نظم واضحة، و أنّ أبحاثه مشتّتة و يسودها الاضطراب، و لكن عند التدقيق في أبحاثه و مسائله سوف يرتفع هذا الوهم، و سوف يتّضح للقاري أنّ هناك نظماً و ترتيباً دقيقاً يسود الكتاب، و أنّ كلّ شيء موضوع في مكانه، حتّى أنّ الشريف المرتضى صرّح بذلك أحياناً، فقال عند تعرّضه </w:t>
      </w:r>
    </w:p>
    <w:p>
      <w:pPr>
        <w:pStyle w:val="BookText"/>
        <w:rPr/>
      </w:pPr>
      <w:r>
        <w:rPr>
          <w:rFonts w:ascii="IRNazanin" w:hAnsi="IRNazanin" w:eastAsia="IRNazanin"/>
          <w:color w:val="111111"/>
          <w:sz w:val="28"/>
          <w:sz w:val="28"/>
          <w:szCs w:val="28"/>
          <w:rtl w:val="true"/>
          <w:lang w:bidi="fa-IR"/>
        </w:rPr>
        <w:t>إلى أحد الأبحاث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الوجهُ الثاني الذي وَعَدنا بذِكرِه و شَرحِه، و هو المُتضمِّنُ لتسليمِ ما يَدَّعونَه مِن أنّ الخِلافَ ارتَفَعَ و انقَطَعَ ، غيرَ أنّه لَم يَكُنِ ارتفاعُه عن رِضاً 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نَذكُرُه في الفَصلِ الذي يَلي هذا الكلامَ ؛ لأنّ الذي نَحكيهِ مِن كلامِ صاحبِ الكتابِ يَقتَضي ذلكَ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فنلاحظ هنا أنّ الشريف المرتضى يقدّم و يؤخّر بعض الأبحاث لكي تتطابق مع كلام القاضي، و بالتالي لكي يكون هناك نظمٌ واضحٌ في هذا الكتاب الموضوع أساساً للردّ على كلام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مظاهر النظم و الوضوح في الكتاب تقديم الشريف المرتضى مقدّمة لبعض الأبحاث التي كانت بحاجة إلى توضيح قبل الدخول فيها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ترتيب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طبيعة كتب الردّ و النقض متابعة ترتيب الكتاب المنقوض عليه، و السير على خطاه، فإنّ هذا أنفع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الكتاب المنقوض عليه خالياً من النظم و الترتيب، فسوف يضطرّ الناقد إلى ترتيب بحوث ذلك الكتاب و عدم الالتزام بمتابعة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بما أنّ كتاب المغني كان يمتلك قدراً كبيراً من النظم و الترتيب؛ لذلك اكتفى الشريفُ المرتضى عادةً بمتابعة ترتيب بحوثه و عدم الخروج عنه، فقد قال في موضع من الشافي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صاحبَ الكتابِ أحالَ في هذا البابِ علىٰ غيرِ هذا المَوضِعِ مِن كلامِه، و استَعمَلنا مِثلَ ما فَعَلَه، لَكُنّا لَم نُخلِ هذا المكانَ مِن كلامٍ في هذا المعنىٰ </w:t>
      </w:r>
      <w:r>
        <w:rPr>
          <w:rFonts w:eastAsia="Amiri" w:cs="Amiri" w:ascii="Amiri" w:hAnsi="Amiri"/>
          <w:color w:val="111111"/>
          <w:sz w:val="28"/>
          <w:szCs w:val="28"/>
          <w:rtl w:val="true"/>
          <w:lang w:bidi="ar-SA"/>
        </w:rPr>
        <w:t>.</w:t>
      </w:r>
      <w:r>
        <w:rPr>
          <w:rStyle w:val="FootnoteAnchor"/>
          <w:rtl w:val="true"/>
        </w:rPr>
        <w:footnoteReference w:id="107"/>
      </w:r>
      <w:bookmarkStart w:id="122" w:name="pg20044_770650"/>
    </w:p>
    <w:p>
      <w:pPr>
        <w:pStyle w:val="BookText"/>
        <w:rPr/>
      </w:pPr>
      <w:bookmarkEnd w:id="122"/>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استعملنا مثل 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متابعته لترتيب بحوث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يقوم بمقارنة بين بحوث الكتابين يجد ذلك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أدّت متابعة المغني إلى تكرّر بعض البحوث بسبب تكرّر ذكر القاضي لها في كتابه، قال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هذا المَعنىٰ مِنّا دُفعةً بَعدَ أُخرىٰ ، و العُذرُ فيه لنا ما استَعمَلَه صاحبُ الكتابِ مِن تَردادِ التعَلُّقِ بالشيءِ الواحدِ و تَكرارِه مِراراً</w:t>
      </w:r>
      <w:r>
        <w:rPr>
          <w:rFonts w:eastAsia="Amiri" w:cs="Amiri" w:ascii="Amiri" w:hAnsi="Amiri"/>
          <w:color w:val="111111"/>
          <w:sz w:val="28"/>
          <w:szCs w:val="28"/>
          <w:rtl w:val="true"/>
          <w:lang w:bidi="ar-SA"/>
        </w:rPr>
        <w:t>.</w:t>
      </w:r>
      <w:r>
        <w:rPr>
          <w:rStyle w:val="FootnoteAnchor"/>
          <w:rtl w:val="true"/>
        </w:rPr>
        <w:footnoteReference w:id="108"/>
      </w:r>
    </w:p>
    <w:p>
      <w:pPr>
        <w:pStyle w:val="Heading3"/>
        <w:numPr>
          <w:ilvl w:val="2"/>
          <w:numId w:val="1"/>
        </w:numPr>
        <w:rPr/>
      </w:pPr>
      <w:bookmarkStart w:id="123" w:name="__RefHeading___Toc828358_2320776876"/>
      <w:bookmarkStart w:id="124" w:name="_Toc44"/>
      <w:bookmarkEnd w:id="123"/>
      <w:r>
        <w:rPr>
          <w:rtl w:val="true"/>
        </w:rPr>
        <w:t>بعض آراء الشريف المرتضى في الشافي</w:t>
      </w:r>
      <w:bookmarkEnd w:id="124"/>
    </w:p>
    <w:p>
      <w:pPr>
        <w:pStyle w:val="BookText"/>
        <w:rPr/>
      </w:pPr>
      <w:r>
        <w:rPr>
          <w:rFonts w:ascii="Amiri" w:hAnsi="Amiri" w:eastAsia="Amiri" w:cs="Amiri"/>
          <w:color w:val="111111"/>
          <w:sz w:val="28"/>
          <w:sz w:val="28"/>
          <w:szCs w:val="28"/>
          <w:rtl w:val="true"/>
          <w:lang w:bidi="ar-SA"/>
        </w:rPr>
        <w:t>لا يمكن استعراض كلّ ما ورد من آراء في هذا الكتاب الكبير، خاصّة و أنّه يمكن للقارئ معرفةَ موضع الكثير منها من خلال مراجعة فهرس العناوين المفصّل الذي قمنا بإعداده لكلّ محتويات الشافي، و لكن هذا لا يمنع من استعراض شيءٍ يسير من تلك الآراء بما يتناسب مع حجم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نحاول هنا أن نستعرض بعض الآراء المهمّة و المرتبطة بالدرجة الأُولى ببحث الإمامة، 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الإمام على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الإمام أهمّيّةً خاصّة في المنظومة الفكريّة لدى الإماميّة، فحوله تدور كلّ معارف الدين، و هو الملاذ الوحيد الذي إليه يَرِدُون و منه 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أعطى بعض الإماميّة دوراً آخر للإمام أكثر عمقاً، فاعتبروه هو الذي ينبّه على العقائد الصحيحة من إثبات اللّٰه تعالى، و صفاته، و غير ذلك، كما ينبّه على الأدلّة التي يمكن أن تقام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إنّ العقل بحاجة إلى السمع للتنبّه على تلك العقائد و أدلّتها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جداً، فالسمع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الإمام في محلّ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حجّة قبل إثبات وجود اللّٰه تعالى و بعض صفاته، فإثبات إمامة الإمام متوقّفة </w:t>
      </w:r>
    </w:p>
    <w:p>
      <w:pPr>
        <w:pStyle w:val="BookText"/>
        <w:rPr/>
      </w:pPr>
      <w:r>
        <w:rPr>
          <w:rFonts w:ascii="Amiri" w:hAnsi="Amiri" w:eastAsia="Amiri" w:cs="Amiri"/>
          <w:color w:val="111111"/>
          <w:sz w:val="28"/>
          <w:sz w:val="28"/>
          <w:szCs w:val="28"/>
          <w:rtl w:val="true"/>
          <w:lang w:bidi="ar-SA"/>
        </w:rPr>
        <w:t>على إثبات ذلك</w:t>
      </w:r>
      <w:r>
        <w:rPr>
          <w:rStyle w:val="FootnoteAnchor"/>
          <w:rtl w:val="true"/>
        </w:rPr>
        <w:footnoteReference w:id="110"/>
      </w:r>
      <w:r>
        <w:rPr>
          <w:rFonts w:ascii="Amiri" w:hAnsi="Amiri" w:eastAsia="Amiri" w:cs="Amiri"/>
          <w:color w:val="111111"/>
          <w:sz w:val="28"/>
          <w:sz w:val="28"/>
          <w:szCs w:val="28"/>
          <w:rtl w:val="true"/>
          <w:lang w:bidi="ar-SA"/>
        </w:rPr>
        <w:t>، و لذلك لا يمكن للعقل أن يكون تابعاً للسمع في الإيمان بهذه العقائد، و إنّما ينحصر دور السمع في تنبيه العقل و توجيهه نحو تلك العقائد و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ينظر العقل في تلك الأدلّة، فإنْ وجدها مقنعةً آمن بمدلولها، و إلّاأمكنه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 العقل ليس بحاجةٍ للسمع في الإيمان بالعقائد؛ لاستقلاله في ذلك، و إنّما هو بحاجة اليه للتنبّه فقط على تلك العقائد و الأدلّة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اعتبر بعض الإماميّة أحدَ وجوه الحاجة إلى الإمام هو تنبيهه على الأدلّة و النظر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عدد المؤمنين بذلك من الإماميّة لم يكن يسيراً، فقد نقل الشيخ المفيد اتّفاقهم عليه،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اتّفقت الإماميّة على أنّ العقل محتاجٌ في علمه و نتائجه إلى السمع، و أنّه غير منفكّ عن سمع ينبّه العاقل على كيفيّة الاستدلال، و أنّه لا بدّ في أوّل التكليف و ابتدائه في العالَم من رسول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وافق الشريفُ المرتضى بدوره على إعطاء هذا الدور للإمام</w:t>
      </w:r>
      <w:r>
        <w:rPr>
          <w:rStyle w:val="FootnoteAnchor"/>
          <w:rtl w:val="true"/>
        </w:rPr>
        <w:footnoteReference w:id="113"/>
      </w:r>
      <w:r>
        <w:rPr>
          <w:rFonts w:ascii="Amiri" w:hAnsi="Amiri" w:eastAsia="Amiri" w:cs="Amiri"/>
          <w:color w:val="111111"/>
          <w:sz w:val="28"/>
          <w:sz w:val="28"/>
          <w:szCs w:val="28"/>
          <w:rtl w:val="true"/>
          <w:lang w:bidi="ar-SA"/>
        </w:rPr>
        <w:t>فلا شكّ أنّه أفضل مَن يستطيع أن يرشد و ينبّه على العقائد الصحيحة؛ فإنّ الحقّ كلّه عند الإمام، و هو مُحقّ في جميع الأُصول، كما نصّ الشريف المرتضى على ذلك</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في نفس الوقت رفض أن يَحصر هذا الدور بالإمام، فليس الإمام برأيه هو الوحيد الذي ينبّه على العقائد و أدلّتها، و إنّما هناك وسائل أُخرى يمكن أن تمارس نفس الدور، فالإنسان الذي يعيش بين الناس يمكن أن يحصل عنده تنبّه من خلال ما يسمعه من اختلاف الناس في مذاهبهم و آراءهم، فيتنبّه على ضرورة البحث و النظر </w:t>
      </w:r>
    </w:p>
    <w:p>
      <w:pPr>
        <w:pStyle w:val="BookText"/>
        <w:rPr/>
      </w:pPr>
      <w:r>
        <w:rPr>
          <w:rFonts w:ascii="Amiri" w:hAnsi="Amiri" w:eastAsia="Amiri" w:cs="Amiri"/>
          <w:color w:val="111111"/>
          <w:sz w:val="28"/>
          <w:sz w:val="28"/>
          <w:szCs w:val="28"/>
          <w:rtl w:val="true"/>
          <w:lang w:bidi="ar-SA"/>
        </w:rPr>
        <w:t>حول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بعيداً عن الناس فقد يتّفق له أنْ يفكّر في ضرورة النظر، أو يُخطر اللّٰه تعالى في سمعه كلاماً يرشده و ينبّهه على ضرورة النظر، و هو البحث المعروف عند المتكلّمين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الخاطر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رفض الشريف المرتضى الاستدلال على الحاجة إلى الإمام بكونه ينبّه على العقائد؛ لأنّ الاستدلال على الحاجة إلى الإمام يجب أن يكون بواسطة وجهٍ يختصّ به الإمام لا غير، لا بواسطة وجهٍ يمكن أن يقوم به الإمام و يمكن أن يقوم غيره بذلك، كما في مسألة التنبيه على العقائد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يُنبِّهُ علَى الأدلّةِ و النظَرِ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فالحاجةُ لا شَكَّ في ذلك إليه واضحةٌ، إلّاأنّه لَيسَ يَصِحُّ أن يُتعلَّقَ في إيجابِ الإمامةِ بما يَجوزُ أن يَقومَ فيه غيرُ الإمامِ مَقامَه؛ و قد يَجوزُ أيضاً أن يُنبِّهَ علَى الأدلّةِ و النظَرِ فيها غَيرُ الإمامِ ، و قد يَجوزُ أيضاً أن يَتَّفِقَ لبَعضِ المكلَّفينَ الفِكرُ فيما يَدعو إلَى النظَرِ مِن غَيرِ خاطِرٍ و لا مُنَبِّهٍ ، بل يَستَغني عن المُنبِّهِ ، و لا يكونُ عندَنا مُستَغنياً عن الإمامِ </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 الإمامة مستحَقّة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متقدّمي الإماميّة إلى أنّ الإمامة مستحَقّة، بمعنى أن الإمام يستحقّ الإمامة بسبب أعمالٍ قام بها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تكون الإمامة جاريةً مجرى الثواب، فالإمام يقوم بأعمالٍ صالحةٍ معيّنة، فيُثاب عليها من خلال إعطاء منصب الإمامة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ذهبوا إلى أنّ هذا الأمر غير خاصّ بمقام الإمامة، </w:t>
      </w:r>
    </w:p>
    <w:p>
      <w:pPr>
        <w:pStyle w:val="BookText"/>
        <w:rPr/>
      </w:pPr>
      <w:r>
        <w:rPr>
          <w:rFonts w:ascii="Amiri" w:hAnsi="Amiri" w:eastAsia="Amiri" w:cs="Amiri"/>
          <w:color w:val="111111"/>
          <w:sz w:val="28"/>
          <w:sz w:val="28"/>
          <w:szCs w:val="28"/>
          <w:rtl w:val="true"/>
          <w:lang w:bidi="ar-SA"/>
        </w:rPr>
        <w:t>بل هو شاملٌ للنبوّة أيضاً، فهي مستحَقّة أيضاً كالإمامة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الشريفَ المرتضى ومِن قَبلِه الشيخ المفيد رفضا ذلك في مجالَي النبوّة و الإمامة معاً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الشيخُ المفيد بأنّ النبوّة و بتبعها الإمامة تفضّلٌ من اللّٰه تعالى على مَن اختصّه بكرامته، و أنّه لا استحقاق فيها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الشريفُ المرتضى على نفي استحقاقيّة الإمامة و كونها تجري مجرى الثواب بأنّ في ممارسة مَهامّ الإمامة كلفةً و مشقّةً كبيرة، فهي مسؤوليّةٌ ثقيلةٌ تُلقى على عاتق الإمام، و هذا لا يتناسب مع حقيقة الثواب، فإنّ من يريد أن يثيب شخصاً على أعماله الحسنة، لا يكلّفه القيام بأعمال شاقّة و مرهقة، معتبراً ذلك ثواباً، و قد قال الشريفُ المرتضى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الإمامةُ إذا أُريدَ بها التكليفُ و إلزامُ الإمامِ القيامَ بالأُمورِ التي يَقومُ بها الأئمّةُ فلَيسَت مُستَحَقّةً ؛ لأنّ المَشاقَّ و الكُلَفَ لا يَجوزُ أن يَكونَ ثَواباً و لا جاريةً مَجرَى الثوابِ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اعتبر الشريفُ المرتضى هذا الدليل آكدَ الأدلّة على نفي استحقاق الإمامة</w:t>
      </w:r>
      <w:r>
        <w:rPr>
          <w:rStyle w:val="FootnoteAnchor"/>
          <w:rtl w:val="true"/>
        </w:rPr>
        <w:footnoteReference w:id="122"/>
      </w:r>
      <w:r>
        <w:rPr>
          <w:rFonts w:ascii="Amiri" w:hAnsi="Amiri" w:eastAsia="Amiri" w:cs="Amiri"/>
          <w:color w:val="111111"/>
          <w:sz w:val="28"/>
          <w:sz w:val="28"/>
          <w:szCs w:val="28"/>
          <w:rtl w:val="true"/>
          <w:lang w:bidi="ar-SA"/>
        </w:rPr>
        <w:t>، و لكن يحتمل أنّ السببَ الأساس لإنكار استحقاق النبوّة و الإمامة من قِبَله هو و الشيخ المفيد يرجع إلى إنكارهما لعالم الذرّ</w:t>
      </w:r>
      <w:r>
        <w:rPr>
          <w:rStyle w:val="FootnoteAnchor"/>
          <w:rtl w:val="true"/>
        </w:rPr>
        <w:footnoteReference w:id="123"/>
      </w:r>
      <w:r>
        <w:rPr>
          <w:rFonts w:ascii="Amiri" w:hAnsi="Amiri" w:eastAsia="Amiri" w:cs="Amiri"/>
          <w:color w:val="111111"/>
          <w:sz w:val="28"/>
          <w:sz w:val="28"/>
          <w:szCs w:val="28"/>
          <w:rtl w:val="true"/>
          <w:lang w:bidi="ar-SA"/>
        </w:rPr>
        <w:t xml:space="preserve">فإنّه لو صار الإنسان نبيّاً عند ولادته كما في حالة عيسى عليه السلام، أو في صغره كما حصل لبعض الأئمّة الاثني عشرّ </w:t>
      </w:r>
    </w:p>
    <w:p>
      <w:pPr>
        <w:pStyle w:val="BookText"/>
        <w:rPr/>
      </w:pPr>
      <w:r>
        <w:rPr>
          <w:rFonts w:ascii="Amiri" w:hAnsi="Amiri" w:eastAsia="Amiri" w:cs="Amiri"/>
          <w:color w:val="111111"/>
          <w:sz w:val="28"/>
          <w:sz w:val="28"/>
          <w:szCs w:val="28"/>
          <w:rtl w:val="true"/>
          <w:lang w:bidi="ar-SA"/>
        </w:rPr>
        <w:t>عليهم السلام، فبناء على نظريّة الاستحقاق، ما هي الأعمال الصالحة التي قاموا بها في هذه الدنيا، حتّى استحقّوا هذه المقامات و المنازل الرفيعة ؟</w:t>
      </w:r>
    </w:p>
    <w:p>
      <w:pPr>
        <w:pStyle w:val="BookText"/>
        <w:rPr/>
      </w:pPr>
      <w:r>
        <w:rPr>
          <w:rFonts w:ascii="Amiri" w:hAnsi="Amiri" w:eastAsia="Amiri" w:cs="Amiri"/>
          <w:color w:val="111111"/>
          <w:sz w:val="28"/>
          <w:sz w:val="28"/>
          <w:szCs w:val="28"/>
          <w:rtl w:val="true"/>
          <w:lang w:bidi="ar-SA"/>
        </w:rPr>
        <w:t xml:space="preserve">إنّ القائل بالاستحقاق سوف يضطرّ حينئذٍ إلى القول بوجود عالمٍ سابقٍ على عالمنا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 يعبَّر عنه بعالم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فيه بأعمالٍ جعلتهم يستحقّون عليها تلك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أنّ الشيخ المفيد وصف القائلين بالاستحقاق بأنّهم من أصحاب التناسخ،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تعليق النبوّة تفضّلٌ من اللّٰه تعالى على من اختصّه بكرامته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الجمهور من أهل الإمامة و جميع فقهائنا و أهل النقل منها، و إنّما خالف فيه أصحاب التناسخ المعتزين إلى الإماميّة و غيرهم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هذا من جهةٍ ، و من جهةٍ أُخرى إنّه وصف القائلين بعالم الذرّ بأنّهم من أصحاب التناسخ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الأمر كما ظنّه أصحاب التناسخ، و دخلت الشبهة فيه على حشويّة الشيعة، فتوهّموا أنّ الذوات الفعّالة المأمورة و المنهيّة كانت مخلوقة في الذرّ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إذن نظرة الشيخ المفيد إلى أصحاب نظريّة الاستحقاق و القائلين بعالم الذرّ واحدة، و هي أنّهم من أصحاب التناسخ، و كأنّه كان يرى أنّ القول بعالم الذرّ يستلزم القول بالتناسخ و انتقال الأرواح من جسدٍ إلى آخر، و إذا كان القول بالاستحقاق يستلزم القول بعالم الذرّ، فهذا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القول بالتناسخ</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احتمالٌ قويٌّ أن يكون إنكار الشريف المرتضى لنظريّة استحقاق الإمامة </w:t>
      </w:r>
    </w:p>
    <w:p>
      <w:pPr>
        <w:pStyle w:val="BookText"/>
        <w:rPr/>
      </w:pPr>
      <w:r>
        <w:rPr>
          <w:rFonts w:ascii="Amiri" w:hAnsi="Amiri" w:eastAsia="Amiri" w:cs="Amiri"/>
          <w:color w:val="111111"/>
          <w:sz w:val="28"/>
          <w:sz w:val="28"/>
          <w:szCs w:val="28"/>
          <w:rtl w:val="true"/>
          <w:lang w:bidi="ar-SA"/>
        </w:rPr>
        <w:t>ناشئاً في الحقيقة من نظريّته حول إنكار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الإمام بالنصّ و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الأبحاث التي أثارتها مدرسة بغداد الإماميّة، و أكّدت عليها هي عدم اختصاص الطريق إلى معرفة الإمام بالنصّ ، كما كان هو المعروف عند الإماميّة، فقد كان المعروف عندهم أنّ الإمام لا يمكن معرفته إلّا من خلال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تمّ تطوير هذه النظريّة في عصر الغيبة الكبرى، و خاصّة في بغداد لتضاف المعجزة إلى جانب النصّ كبديلٍ جيّدٍ عند فقدان النصّ ، أو عند عدم إمكان التعرّف على شخص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عصر الحضور كان يمكن التعرّف على شخص الإمام من خلال نصّ الإمام السابق عليه بكلّ سهولة، و هكذا في عصر الغيبة الصغرى كان يمكن ذلك من خلال الرجوع إلى الوكلاء و العلماء و الثقات ممّن تمكّنوا من مشاهدة شخص الإمام، و كان بوسعهم معرفة شخصه و تعريفه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وقوع الغيبة الكبرى، و طول أمدها، و انقطاع الإمام بصورةٍ كاملة عن الناس، و موت كلّ مَن كان يعرف شخصه في الغيبة الصغرى، أخذت مشكلةٌ جديدةٌ تظهر للعيان، و هي أنّه إذا ظهر الإمام فكيف يمكن التعرّف عليه و إثبات أنّ هذا الشخص هو الإمام حقّاً؟</w:t>
      </w:r>
    </w:p>
    <w:p>
      <w:pPr>
        <w:pStyle w:val="BookText"/>
        <w:rPr/>
      </w:pPr>
      <w:r>
        <w:rPr>
          <w:rFonts w:ascii="Amiri" w:hAnsi="Amiri" w:eastAsia="Amiri" w:cs="Amiri"/>
          <w:color w:val="111111"/>
          <w:sz w:val="28"/>
          <w:sz w:val="28"/>
          <w:szCs w:val="28"/>
          <w:rtl w:val="true"/>
          <w:lang w:bidi="ar-SA"/>
        </w:rPr>
        <w:t>و قد تنبّه بعضُ المخالفين إلى هذا الإشكال، حيث سأل أحدُهم الشيخَ المفيدَ عن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كان الإمام غائباً منذ ولد و إلى أن يظهر داعياً إلى اللّٰه تعالى، و لم يكن رآه على قول أصحابه أحدٌ إلّامَن مات قبل ظهوره، فليس للخلق طريقٌ إلى معرفته بمشاهدة شخصه، و لا التفرقة بينه و بين غيره بدعوته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طرح الإماميّة و خاصّة في بغداد فكرة المعجزة كوسيلة مناسبة و قطعيّة </w:t>
      </w:r>
    </w:p>
    <w:p>
      <w:pPr>
        <w:pStyle w:val="BookText"/>
        <w:rPr/>
      </w:pPr>
      <w:r>
        <w:rPr>
          <w:rFonts w:ascii="Amiri" w:hAnsi="Amiri" w:eastAsia="Amiri" w:cs="Amiri"/>
          <w:color w:val="111111"/>
          <w:sz w:val="28"/>
          <w:sz w:val="28"/>
          <w:szCs w:val="28"/>
          <w:rtl w:val="true"/>
          <w:lang w:bidi="ar-SA"/>
        </w:rPr>
        <w:t>لإثبات شخص الإمام في حال عدم وجود أيّ وسيلةٍ أُخرى لإثبات ذلك، و بذلك غدت المعجزة وسيلة جديدة تقف إلى جانب النصّ عند متكلّمي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المعجزة إنْ كانت موجودةً في عصر الحضور، فقد كانت تقف في الظلّ ، حيث تبرز فكرة النصّ كوسيلةٍ مهمّةٍ لإثبات إمامة الإمام</w:t>
      </w:r>
      <w:r>
        <w:rPr>
          <w:rStyle w:val="FootnoteAnchor"/>
          <w:rtl w:val="true"/>
        </w:rPr>
        <w:footnoteReference w:id="127"/>
      </w:r>
      <w:r>
        <w:rPr>
          <w:rFonts w:ascii="Amiri" w:hAnsi="Amiri" w:eastAsia="Amiri" w:cs="Amiri"/>
          <w:color w:val="111111"/>
          <w:sz w:val="28"/>
          <w:sz w:val="28"/>
          <w:szCs w:val="28"/>
          <w:rtl w:val="true"/>
          <w:lang w:bidi="ar-SA"/>
        </w:rPr>
        <w:t>، لكنّها فرضت نفسها على متكلّمي الغيبة الكبرى لما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فإنّنا نجد متكلّمي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كالنوبختيّين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يرفضون ظهور المعجزة على يد الأئمّة</w:t>
      </w:r>
      <w:r>
        <w:rPr>
          <w:rStyle w:val="FootnoteAnchor"/>
          <w:rtl w:val="true"/>
        </w:rPr>
        <w:footnoteReference w:id="128"/>
      </w:r>
      <w:r>
        <w:rPr>
          <w:rFonts w:ascii="Amiri" w:hAnsi="Amiri" w:eastAsia="Amiri" w:cs="Amiri"/>
          <w:color w:val="111111"/>
          <w:sz w:val="28"/>
          <w:sz w:val="28"/>
          <w:szCs w:val="28"/>
          <w:rtl w:val="true"/>
          <w:lang w:bidi="ar-SA"/>
        </w:rPr>
        <w:t>و الظاهر أنّ ذلك يرجع إلى عدم شعورهم بالحاجة إليها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طرح ابن قِبَة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متكلّمي الغيبة الصغرى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المعجزة كوسيلة لإثبات شخص الإمام، وجوّز ظهور المعجزة على يده،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فكيف يُعلم أنّه محمّد بن الحسن بن عليّ عليهم السلام ؟</w:t>
      </w:r>
    </w:p>
    <w:p>
      <w:pPr>
        <w:pStyle w:val="BookText"/>
        <w:rPr/>
      </w:pPr>
      <w:r>
        <w:rPr>
          <w:rFonts w:ascii="Amiri" w:hAnsi="Amiri" w:eastAsia="Amiri" w:cs="Amiri"/>
          <w:color w:val="111111"/>
          <w:sz w:val="28"/>
          <w:sz w:val="28"/>
          <w:szCs w:val="28"/>
          <w:rtl w:val="true"/>
          <w:lang w:bidi="ar-SA"/>
        </w:rPr>
        <w:t>فالجواب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يجوز بنقلِ مَن تجب بنقله الحجّة من أوليائه، كما صحّت إمامته عندنا بنقلهم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يجوز أن يُظهر معجزاً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الثاني هو الذي نعتمد عليه، و نجيب الخصوم به، و إن كان الأوّل صحيحاً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تعلمون أنّ إقامة من تدّعون إمامته المعجز </w:t>
      </w:r>
    </w:p>
    <w:p>
      <w:pPr>
        <w:pStyle w:val="BookText"/>
        <w:rPr/>
      </w:pPr>
      <w:r>
        <w:rPr>
          <w:rFonts w:ascii="Amiri" w:hAnsi="Amiri" w:eastAsia="Amiri" w:cs="Amiri"/>
          <w:color w:val="111111"/>
          <w:sz w:val="28"/>
          <w:sz w:val="28"/>
          <w:szCs w:val="28"/>
          <w:rtl w:val="true"/>
          <w:lang w:bidi="ar-SA"/>
        </w:rPr>
        <w:t>على أنّه ابن الحسن بن عليّ عليهما السلام أصلح ؟</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نعلم أنّه لا بدّ من إقامة المعجز في تلك الحال، و إنّما نجوّز ذلك، اللّهمّ إلّاأنْ يكون لا دلالة غير المعجز، فيكون لا بدّ منه لإثبات الحجّة، و إذا كان لا بدّ منه كان واجباً، و ما كان واجباً كان صلاحاً لا فساداً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ابن قِبَة قد مهّد لمن جاء بعده القولَ بجواز ظهور المعجزة على يد الإمام عند ظهوره، و جعلها إلى جانب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أبرز مَن أكّد على المعجزة من بين متكلّمي الغيبة الكبرى، و اعتبرها وسيلةً إلى جانب النصّ لإثبات شخصِ الإمام هو الشريفُ المرتضى، فقد أكّد على هذه الفكرة في كتبه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المؤكّد أنّه كان له تأثيرٌ كبيرٌ و مباشرٌ على متكلّمي الإماميّة التالين له ممّن تبنّى هذه الفكرة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أدّى هذا البحث إلى الخوض في مسألةٍ أُخرى ذات صلة بهذا البحث، و هي هل يجوز ظهور المعجزة أساساً على يد غير الأنبياء عليهم السلام ؟</w:t>
      </w:r>
    </w:p>
    <w:p>
      <w:pPr>
        <w:pStyle w:val="BookText"/>
        <w:rPr/>
      </w:pPr>
      <w:r>
        <w:rPr>
          <w:rFonts w:ascii="Amiri" w:hAnsi="Amiri" w:eastAsia="Amiri" w:cs="Amiri"/>
          <w:color w:val="111111"/>
          <w:sz w:val="28"/>
          <w:sz w:val="28"/>
          <w:szCs w:val="28"/>
          <w:rtl w:val="true"/>
          <w:lang w:bidi="ar-SA"/>
        </w:rPr>
        <w:t>لقد ذهب المعتزلة بشِقَّيْهم البصريّ و البغداديّ إلى رفض فكرة ظهور المعجزة على يد غير الأنبياء عليهم السلام بصورةٍ مطلقة؛ باعتبار أنّ المعجزة تدلّ على إبانة و اختصاص النبيّ الصادق عن الكاذب، و لهذا فهي تختلف عن باقي الأدلّة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إلّاأنّ الشريفَ المرتضى وقفَ في وجه المعتزلة، و رفض ما ذهبوا إليه، و أكّد </w:t>
      </w:r>
    </w:p>
    <w:p>
      <w:pPr>
        <w:pStyle w:val="BookText"/>
        <w:rPr/>
      </w:pPr>
      <w:r>
        <w:rPr>
          <w:rFonts w:ascii="Amiri" w:hAnsi="Amiri" w:eastAsia="Amiri" w:cs="Amiri"/>
          <w:color w:val="111111"/>
          <w:sz w:val="28"/>
          <w:sz w:val="28"/>
          <w:szCs w:val="28"/>
          <w:rtl w:val="true"/>
          <w:lang w:bidi="ar-SA"/>
        </w:rPr>
        <w:t>على جواز ظهور المعجزة على يد غير الأنبياء عليهم السلام؛ لأنّ المعجزة لا تدلّ إلّا على صدق صاحبها و مَن ظهرت على يده، و حينئذٍ إذا ادّعى أنّه نبيٌّ كان صادقاً و كان نبيّاً، و إذا ادّعى أنّه إمامٌ كان صادقاً أيضاً و كان إماماً</w:t>
      </w:r>
      <w:r>
        <w:rPr>
          <w:rStyle w:val="FootnoteAnchor"/>
          <w:rtl w:val="true"/>
        </w:rPr>
        <w:footnoteReference w:id="134"/>
      </w:r>
      <w:r>
        <w:rPr>
          <w:rFonts w:ascii="Amiri" w:hAnsi="Amiri" w:eastAsia="Amiri" w:cs="Amiri"/>
          <w:color w:val="111111"/>
          <w:sz w:val="28"/>
          <w:sz w:val="28"/>
          <w:szCs w:val="28"/>
          <w:rtl w:val="true"/>
          <w:lang w:bidi="ar-SA"/>
        </w:rPr>
        <w:t>، و لا مبرّر لحصر دليل الإعجاز بالنبوّة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الشريفُ المرتضى قد أمّل في كتاب الشافي أن يُفرد مسألةً خاصّة بهذا البحث</w:t>
      </w:r>
      <w:r>
        <w:rPr>
          <w:rStyle w:val="FootnoteAnchor"/>
          <w:rtl w:val="true"/>
        </w:rPr>
        <w:footnoteReference w:id="135"/>
      </w:r>
      <w:r>
        <w:rPr>
          <w:rFonts w:ascii="Amiri" w:hAnsi="Amiri" w:eastAsia="Amiri" w:cs="Amiri"/>
          <w:color w:val="111111"/>
          <w:sz w:val="28"/>
          <w:sz w:val="28"/>
          <w:szCs w:val="28"/>
          <w:rtl w:val="true"/>
          <w:lang w:bidi="ar-SA"/>
        </w:rPr>
        <w:t>، لكن يبدو أنّه لم يوفّقْ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ظهور الإمام الغائب 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يخصّص الشريفُ المرتضى في هذا الكتاب باباً مستقلاًّ و مفصّلاً للبحث عن الغيبة، على الرغم من أنّ هذا البحث من الأبحاث المهمّة في مجال الإمامة، و لعلّه يعود إلى طبيعة الكتاب النقضيّة، فهو يتّبع كتاب المغني في ترتيبه و الأبحاث التي يتعرّض إليها، و بما أنّ القاضي لم يخصّص في كتابه باباً للغيبة، فكذلك فعل الشريف المرتضى في كتابه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الرغم من ذلك يمكن التعرّف على الكثير من آراء الشريف المرتضى في الغيبة بصورة موزّعة في ثنايا الكتاب، و قد أشار إلى ذلك في بداية المسائل الطرابلسيّات الثانية، حيث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كلّ مسألةٍ تتعلّق بالغيبة من هذه المسائل، فجوابها موجودٌ في كتابنا المقنع في الغيبة، و في الكتاب الشافي الذي هو نقض كتاب الإمامة من الكتاب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و من تأمّل ذلك وجده إمّا في صريحهما أو فحواهما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آراءه حول الغيبة ما يتعلّق بوجوب ظهور الإمام عند كتمان بعض مسائل الشرع، فقد كان رأي الشريف المرتضى لفترةٍ طويلةٍ من حياته أنّه لا يوجد شيءٌ من الشرع مكتومٌ عنّا و لم يصل إلينا، بل الشرع كلّه واصلٌ إلينا، بدليل أنّه لو كان هناك شيءٌ من الشرع لم يصل إلينا، لوجب على الإمام الظهور و إعلامنا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في أكثر مِن موضعٍ مِن كتاب الشافي،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نَعلَمُ أنّ جميعَ الشرعِ واصِلٌ إلينا مِن جهتِه، و أنّه لَم يَنكَتِمْ عنّا مِنه شيءٌ بالطريقِ الذي قَدَّمناه، و هو أنّ الإمامَ المعصومَ إذا كانَ موجوداً في كُلِّ زمانٍ و جَرىٰ في الشريعةِ ما قَدَّرناه، وَجَبَ عليه الظهورُ و البيانُ، و إيصالُ المكلَّفينَ إلَى العِلمِ بما طَواه الناقِلونَ؛ فنَعلَمُ بفَقدِ تنبيهِه علَى الخَلَلِ الواقعِ في الشريعةِ عدَمَ ذلكَ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كما صرّح بذلك في رسالةٍ له حول الإجماع،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الإمامَ نفسَه، فلا يجوزُ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الحجّةُ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يُخلِيَ سائرَ المكلّفينَ مِن مَعرفةِ قولِه، و أنْ يَسلُبَهم الطريقَ إلى إصابةِ الحقِّ الذي لا يوجَدُ إلّافي مَذهَبِه، و يَجِبُ عليه إظهارُ قوله لكُلِّ مكلّفٍ حتّى يَتَساوىٰ مِن العلمِ به سَماعاً و إدراكاً و منقولاً من جهةِ الخبرِ كلُّ مَن يَلزَمُه ذلكَ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عَلِمَ الإمامُ أنّ شيئاً مِنَ الشرعِ قد انقَطَعَ نقلُه، وَجَبَ عليه أنْ يَظهَرَ لبيانِه، و لا يَسوغُ له حينئذٍ التقيّةُ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تراجع عن هذا الرأي فيما بعد، و ذهب إلى جواز عدم وصول بعض الشرع </w:t>
      </w:r>
    </w:p>
    <w:p>
      <w:pPr>
        <w:pStyle w:val="BookText"/>
        <w:rPr/>
      </w:pPr>
      <w:r>
        <w:rPr>
          <w:rFonts w:ascii="Amiri" w:hAnsi="Amiri" w:eastAsia="Amiri" w:cs="Amiri"/>
          <w:color w:val="111111"/>
          <w:sz w:val="28"/>
          <w:sz w:val="28"/>
          <w:szCs w:val="28"/>
          <w:rtl w:val="true"/>
          <w:lang w:bidi="ar-SA"/>
        </w:rPr>
        <w:t>إلينا، و أنّه لا يجب على الإمام الظهور لإعلامنا بذلك، و سوف يكون الناس الذين اضطرّوا الإمامَ إلى الغيبة هم المقصّرين، و هم المسبِّبين لكتمان الشرع، لا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بهذا الرأي الجديد و بتغييره لرأيه في مقدّمة المسائل الطرابلسيّات الثانية،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جاز أن يكون الحقّ في بعض المسائل أو الحوادث عند الإمام عليه السلام، و الناسُ في حال الغيبة في ذلك الأمر على باطل، و لو زالت التقيّة عنه لبيّن الحقّ و أوضحه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هذا السؤال في كتابنا في الغيبة و الشافي و الذخيرة، و كلّ كلامٍ أمليناه فيما يتعلّق بالغيبة، بأنّ الحقّ في بعض الأُمور لو خفي علينا و كانت معرفته عند الإمام الغائب، لوجب أن يَظهر و يوضّح ذلك الحقّ ، و لا تسعه التقيّة 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جرينا في الجواب بذلك على طريقة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يقوى الآن في نفسي و يتّضح عندي أنّه غير ممتنعٍ أن يكون عند إمام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كان أو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في بعض الأحكام الشرعيّة ما ليس عندنا، لا سيّما مع قولنا بأنّه يجوز أن يكتم الأُمّة كلّها شيئاً من الدين، حتّى لا يروونه من الحجّة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يكون تكليفنا بمعرفة ذلك الحقّ تكليفاً بما لا يطاق؛ لأنّا نطيق معرفة ذلك الحقّ الذي استند بمعرفة الإمام من حيث قدرنا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غائباً لحوقه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إزالة خوفه، فإنّه كان حينئذٍ يَظهر و يبيّن ذلك الحقّ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أشار الشيخُ الطوسي إلى هذا التغيّر في رأي أُستاذه، و قال إنّه قد ذهب إلى </w:t>
      </w:r>
    </w:p>
    <w:p>
      <w:pPr>
        <w:pStyle w:val="BookText"/>
        <w:rPr/>
      </w:pPr>
      <w:r>
        <w:rPr>
          <w:rFonts w:ascii="Amiri" w:hAnsi="Amiri" w:eastAsia="Amiri" w:cs="Amiri"/>
          <w:color w:val="111111"/>
          <w:sz w:val="28"/>
          <w:sz w:val="28"/>
          <w:szCs w:val="28"/>
          <w:rtl w:val="true"/>
          <w:lang w:bidi="ar-SA"/>
        </w:rPr>
        <w:t>ذلك أخيراً في إشارة إلى حدوث تغيير في رأيه،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يجوز أن يكون الحقّ فيما عند الإمام، و الأقوال الأُخر تكون كلّها باطلة، و لا يجب عليه الظهور؛ لأنّه إذا كنّا نحن السبب في استتاره، فكلّما يفوتنا من الانتفاع به و بتصرّفه و بما معه من الأحكام، نكون قد أُتينا من قِبَل نفوسنا فيه، و لو أزلنا سبب الاستتار لظهر و انتفعنا به، و أدّى إلينا الحقّ الذي عنده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قال في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هاهنا أُمورٌ كثيرةٌ غير واصلةٍ إلينا هي مودَعة عند الإمام عليه السلام، و إن كان قد كتمها الناقلون، و لم ينقلوها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هذا أحد الموارد التي حصل فيها تغيير في رأي الشريف المرتضى عمّا ذكره 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التغيير في الرأي أدّى إلى تغيير النظرة في مسألةٍ أُخرى مهمّة، و هي الإجماع، و بيان ذلك بحاجة إلى تفصيل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دلالة الألفاظ على الاستغراق، وانعكاس ذلك على الآراء الكلاميّة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الآراء التي تبنّاها الشريف المرتضى، و التي تركت أثرها على مختلف آراءه هو رفضه وجود لفظ في اللغة العربيّة يدلّ على الاستغراق و العموم، و أمّا الألفاظ التي ادّعي أنّها تدلّ على العموم إنّما هي محتمِلة للعموم و الخصوص، و لا دلالة فيها على العموم فقط</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انعكس هذا الرأي على آراء الشريف المرتضى في بعض المسائل،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المعتزلة على حجّيّة الإجماع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فهذه الآية دلّت على توعّد مَن لا يتّبع سبيل المؤمنين، و هذا يعني أنّ اتباع سبيلهم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الشريفَ المرتضى رفضَ هذا الاستدلال؛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لا تدلّ على العموم الشامل لجميع المؤمنين، لأنّه لا لفظ يدلّ على العموم، و إنّما هذه اللفظة تدلّ على ثلاثة كقدرٍ متيقّن، و أمّا دلالتها على أكثر من ثلاثة فمشكوكٌ ، و يحتاج إلى دليلٍ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التعلّق بهذه الآية في بحث الإجماع</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الشريفُ المرتضى في مقام مناقشةِ القاضي عبد الجبّار حول آية الولاية،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الاستغراق حقيقةً عند القاضي و غيره ممّن ذهب إلى دلالة هذه الألفاظ على العموم، و لكن العموم لا يمكن أن يراد بهذه الآية؛ و ذلك لأنّه يستلزم أن يكون كلّ شخصٍ وليّاً لنفسه، فلا بدّ أن يكون المؤمنون المخاطبون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خارجين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يعني خروج الآية عن الاستغراق الذي كان دلالةً حقيقيّةً عند القاضي، و صارت دلالة الآية مجازيّة، و أُضيفت إلى مجاز آخر في الآية كان قد تقدّم البحث عنه، فصار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مجازان، بينما بناء على رفض دلالة اللفظ على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يكون في الآية مجازٌ واحد، و هذا يرجّح قول الشريف المرتضى على قول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20044_770663"/>
    </w:p>
    <w:p>
      <w:pPr>
        <w:pStyle w:val="BookText"/>
        <w:rPr/>
      </w:pPr>
      <w:bookmarkEnd w:id="1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الشريفُ المرتضى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على إمامة أمير المؤمنين عليه السلام؛ و ذلك لأنّ الاستدلال بها متوقّفٌ على القول بالعموم، و أنّ له صيغة يقتضي ظاهرها الاستغراق و هو لا يقول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ناقشَ الشريفُ المرتضى استدلال البعض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على مدح جميع الصحابة و سلامة سيرتهم، بأنّ الاستدلال بهذه الآية مبنيٌّ على القول بوجود لفظ يدلّ على الاستغراق، فإذا لم يوجد هكذا لفظ، لم تكن الآية تستغرق بظاهرها جميع المبايعين تحت الشجرة، فلا تكون حجّةً لهم في الآية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رفض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الَّذِينَ مَعَهُ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على شمول المدح الذي فيه لجميع الصحابة؛ لنفس السبب، و هو أنّ هذا اللفظ كغيره لا يدلّ على العموم و الاستغراق</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828360_2320776876"/>
      <w:bookmarkStart w:id="127" w:name="_Toc45"/>
      <w:bookmarkEnd w:id="126"/>
      <w:r>
        <w:rPr>
          <w:rtl w:val="true"/>
        </w:rPr>
        <w:t>فوائد من الشافي</w:t>
      </w:r>
      <w:bookmarkEnd w:id="1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يعثر القارئ لكتاب الشافي على فوائد علميّةٍ و كلاميّةٍ و أُصوليّةٍ و تاريخيّةٍ متنوّعةٍ و كثيرةٍ منثورةٍ في ثنايا الكتاب، بحيث لا يمكن ملاحظة بعضها بسبب اختصارها، فلا يطّلع عليها إلّامَن يقوم بقراءة الكتاب بأكمله، و لذلك غدا من المفيد </w:t>
      </w:r>
    </w:p>
    <w:p>
      <w:pPr>
        <w:pStyle w:val="BookText"/>
        <w:rPr/>
      </w:pPr>
      <w:r>
        <w:rPr>
          <w:rFonts w:ascii="Amiri" w:hAnsi="Amiri" w:eastAsia="Amiri" w:cs="Amiri"/>
          <w:color w:val="111111"/>
          <w:sz w:val="28"/>
          <w:sz w:val="28"/>
          <w:szCs w:val="28"/>
          <w:rtl w:val="true"/>
          <w:lang w:bidi="ar-SA"/>
        </w:rPr>
        <w:t>إبراز بعض هذه الفوائد و جمعها في مكانٍ واحد، لكي تكون في مرأى عين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عددٌ من هذه الفوائد، نستعرضها باختصار، و نقدّم الفوائد الكلاميّة و الفقهيّة و الأُصوليّة، ثمّ نتبعها بالتاريخيّة و المتعلّقة ببعض الفِرَق، و نذكر بعد كلّ مورد رقم الجزء و الصفحة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أكثر الشيعة هو نفس قول المعتزلة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الأشياء التي يجوز فيها السهو، لا يجوز أن يسهو عنها الناس جميعاً، بل ولا الجماعات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نقطع على أنّ الإمام الغائب عليه السلام لا يظهر لبعض أوليائه و شيعته، بل يجوز ذلك كما يجوز أن لا يظهر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يَعرف كلّ واحدٍ منّا إلّاحال نفسه، فأمّا حال غيره فغير 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خلوّ الزمان من النبيّ ، لا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الاقتصار على القرآن في حفظ الشرع؛ لأنّ أكثر الشرائع و الأحكام ليست مذكورة فيه بصراحة على التفصيل و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ذلك لا يترجم عن نفسه، و لا ينبيء عن معناه و تفصيله و تأويله، و لا بدّ له من مترجم 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مذاهب المتكلّمين أنّ اللّٰه تعالى أحدث القرآن في السماء قبل نبوّة النبيّ صلّى اللّٰه عليه و آله بمُدد 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يجوز أن يُقال في القرآن بالآراء أو بما يحتمل من الوجوه دون الرجوع إلى تاريخ نزول الآية و الأسباب التي وردت عليها و تعلّقت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ورود الشرع لتأكيد ما في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رأي الشريف المرتضى حول حقيقة الإيمان، و أنّ الأفعال كالصلاة و </w:t>
      </w:r>
    </w:p>
    <w:p>
      <w:pPr>
        <w:pStyle w:val="BookText"/>
        <w:rPr/>
      </w:pPr>
      <w:r>
        <w:rPr>
          <w:rFonts w:ascii="Amiri" w:hAnsi="Amiri" w:eastAsia="Amiri" w:cs="Amiri"/>
          <w:color w:val="111111"/>
          <w:sz w:val="28"/>
          <w:sz w:val="28"/>
          <w:szCs w:val="28"/>
          <w:rtl w:val="true"/>
          <w:lang w:bidi="ar-SA"/>
        </w:rPr>
        <w:t xml:space="preserve">الزكاة ليست من شرائطه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أنّ الكبائر عند المعتزلة تُخرج من الإسلام و الإيمان معاً، و أنّ الإيمان عندهم هو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نظريّة الموافاة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أنّ العاقل لا تدخل عليه الشبهة في الضروريات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جواز أن يُعلِم اللّٰه تعالى غيرَ المعصوم بأنّه من أهل الجنّة؛ لأنّ في ذلك إغراء بالقبيح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بطلان نظريّة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احتجاج الشريف المرتضى بالأخبار المُجمَع عليها، و التي لم يُطعن فيها، و لم يحصل فيها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تقديمها على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 الشريفُ المرتضى بحثاً مفصّلاً حول الإجماع، بحيث يمكن عدّه رسالةً مستقلّةً حول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طرح بحثاً مفصّلاً آخر حول التواتر و شروطه، و ركّز البحث على النصّ الجليّ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أنّ الشريف المرتضى و غيره من الإماميّة هم من أهل الرواية،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معلومٌ أنّا من أهل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استعمال المتكلّمين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تسقط الحدود في عصر الغيبة، بل هي ثابتةٌ في جنوب مستحِقّيها، فإنْ ظهر الإمام أقامها عليهم، و إلّاكان اللّٰه تعالى هو المتولّي يوم القيامة لجزائهم بها أو العفو عنهم، و الإثم في تأخير إقامة الحدود يقع على مَن أخاف الإمام و اضطرّه إلى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أن يكون كلّ مجتهدٍ مصيباً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تخصيص القرآن 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 الإيجاب إذا كان مشروطاً بحصول صفة من الصفات، لا يقتضي تحصيل تلك الصفة و لا عدم تحصيلها، بل فرض المخاطب التوقّف و تجويز ورود البيان بالتزام تحصيل الصفة أو عدم 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دلالة الإطلاق السكوتيّة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أن تكون حروب النبيّ صلّى اللّٰه عليه و آله عن اجتهاد دون 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الرسول صلّى اللّٰه عليه و آله يفتقر إلى رأي أحد؛ و ذلك لكماله و رجحانه على الجميع، و إنّما كان يشاور أصحابه على سبيل التعليم لهم و التأديب أو لغير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تأييد الشريف المرتضى خبر إرادة إحراق بيت فاطمة عليها السلام، و أنّه قد رواه غير الشيعة ممّن لا يُتّهم على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الشريف المرتضى نصّ خطبة فاطمة الزهراء عليها السلام أمام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رفضَ الشريفُ المرتضى تحديد عدد المتمسّكين بالحقّ بعد الرسول صلّى اللّٰه عليه و آله بستّة 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دفاع أمير المؤمنين عليه السلام عن المدينة بعد وفاة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تزويج أمير المؤمنين عليه السلام ابنته من عمر عن اختيار، بل كان عليه السلام مكرهاً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إيمان الجمهور من أصحاب أمير المؤمنين عليه السلام و أعوانه في حروبه، بإمامة المتقدّمين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ممارسة أمير المؤمنين عليه السلام التقيّة أيّام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 كتاب أمير المؤمنين عليه السلام إلى أهل الكوفة بعد فتح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أنّ سلوك الإمامَين الحسن و الحسين عليهما السلام كان عن علمٍ و يقين، لا عن ظنٍّ و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إنكار تشيّع أبي حفص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كتب أبي سهل و أبي محمّد النوبختيَّين في الإمامة تتضمّن نصرة جميع ما ذكره أبو عيسى الورّاق و ابن الراوندي في كتبهما في الإمامة، بل قد اعتمدا على أكثر ما ذكراه من الأدلّة، و سلكا في نصرة أُصول الإمامة تلك الطرق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أنّ الشريف المرتضى لم يَرَ سُمَنيّاً قط، و إنّما سمع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لقاء الشريف المرتضى لآحاد من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الحجّة بمثلهم،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القائلون بالنصّ على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وجود صبابة و عدد ضئيل جداً من الواقفة في زمن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إنكار بعض الغلاة و الإسماعيليّة للخاتميّة، و ذهابهم إلى أنّه كان بعد الرسول صلّى اللّٰه عليه و آله عدّة 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تبرّؤ الشريف المرتضى من الغلاة، و عدم عدّه إيّاهم من الشيعة أو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مشاهدة الشريف المرتضى و مناظرته بعضَ من يُعدّ في جملة الفقهاء و أهل الفتيا ممّن يقول إن اللّٰه تعالى يعفو عن اليهود و النصارى و إن لم يؤمنوا، و إنّه لا يعاقبهم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خوف الناس من السلطان في أيّام عضد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الشريف المرتضى كلمةً مختصرةً لكنّها معبّرةً جدّاً، و هي تحكي حال المخالفين ممّن يتكلّم في مختلف الموضوعات بصورةٍ عمليّةٍ و دقيقةٍ جدّاً، لكن إذا وصل إلى بحث الإمامة تناسى الكثير من تلك الدقّة، فقد 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يقع التناسي للأُصول إذا بلغ الكلامُ إلى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الشريفُ المرتضى إلى نقطةٍ مهمّةٍ تتعلّق بالخلاف الدائر حول النصّ و الاختيار، و هو أنّ تبنّي أيّ نظريّة في هذا المجال يتوقّف على معرفة صفات الإمام و مكانته، فلو قلنا إنّ من صفاته العصمة و الأفضليّة مثلاً اضطررنا إلى القول بالنصّ ؛ لأنّ هذه الصفات لا سبيل لنا إلى معرفتها، إلّامن خلال التوقيف و النصّ ؛ لأنّها أُمور خافية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أنزلنا الإمام إلى منزلةِ الوكيل و الوصيّ و الشاهد، و أنكرنا فيه تلك الصفات، كان الاختيار كافياً لتعيينه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الشريفُ المرتضى بموافقته على ذلك، و زاد أنّه لو نزّلنا الإمام إلى منزلةِ العبد أو الأجير لما وجب علينا تعظيمه، و جاز أن نرجع في تعيينه إلى جهّال الأُمّةِ ، فضلاً عن علمائها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النقطة تساعد المهتمّين بهذه البحوث، حيث تؤكّد على أنّه ينبغي تحديد الموقف بالنسبة إلى صفات الإمام و مكانته، و حينئذٍ سوف يتّضح بسهولة أنّ الرأي الصحيح هو لزوم النصّ أو الاختيار</w:t>
      </w:r>
      <w:r>
        <w:rPr>
          <w:rFonts w:eastAsia="Amiri" w:cs="Amiri" w:ascii="Amiri" w:hAnsi="Amiri"/>
          <w:color w:val="111111"/>
          <w:sz w:val="28"/>
          <w:szCs w:val="28"/>
          <w:rtl w:val="true"/>
          <w:lang w:bidi="ar-SA"/>
        </w:rPr>
        <w:t xml:space="preserve">. </w:t>
      </w:r>
      <w:bookmarkStart w:id="128" w:name="pg20044_770669"/>
    </w:p>
    <w:p>
      <w:pPr>
        <w:pStyle w:val="Heading3"/>
        <w:numPr>
          <w:ilvl w:val="2"/>
          <w:numId w:val="1"/>
        </w:numPr>
        <w:rPr/>
      </w:pPr>
      <w:bookmarkStart w:id="129" w:name="__RefHeading___Toc828362_2320776876"/>
      <w:bookmarkStart w:id="130" w:name="_Toc46"/>
      <w:bookmarkEnd w:id="128"/>
      <w:bookmarkEnd w:id="129"/>
      <w:r>
        <w:rPr>
          <w:rtl w:val="true"/>
        </w:rPr>
        <w:t>مصادر الشافي، و النصوص المنقولة فيه</w:t>
      </w:r>
      <w:bookmarkEnd w:id="130"/>
    </w:p>
    <w:p>
      <w:pPr>
        <w:pStyle w:val="BookText"/>
        <w:rPr/>
      </w:pPr>
      <w:r>
        <w:rPr>
          <w:rFonts w:ascii="Amiri" w:hAnsi="Amiri" w:eastAsia="Amiri" w:cs="Amiri"/>
          <w:color w:val="111111"/>
          <w:sz w:val="28"/>
          <w:sz w:val="28"/>
          <w:szCs w:val="28"/>
          <w:rtl w:val="true"/>
          <w:lang w:bidi="ar-SA"/>
        </w:rPr>
        <w:t>لقد كان الشريف المرتضى يمتلك مكتبةً عظيمةً تحتوي على الكثير من الكتب في مختلف المجالات، ومنها الكتب الكلاميّة، و بالخصوص كتب الإمامة، و لعلّ الكثير من الكتب التي ذكرناها في بداية هذه المقدّمة حول الإمامة كانت في متناول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باقيةً إلى زمننا لأمكننا المقارنة بينها و بين الشافي لمعرفة مدى انتفاعه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لم يعتد الشريفُ المرتضى في كتاباته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بالتعريف بمصادره إلّافي بعض الأحيان، و لكن مع ذلك فقد ذكر في الشافي بعضاً من المصادر التي كانت في متناول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 لقد حفظ لنا الشريفُ المرتضى نصوص العديد من الكتب التي يعتبر بعضها اليوم في عداد المفقودات، و هو يرفع من مستوى أهمّيّة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أن لا ننسى أنّه قد حفظ لنا و لقرون عديدة أجزاء مهمّة و مطوّلة من كتاب المغني، قبل أن يتمّ اكتشاف مخطوطة المغني قبل عدّة 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على الرغم من اكتشاف مخطوطة المغني و طباعته، لم تفقد النصوص المنقولة من هذا الكتاب في الشافي أهمّيّتها؛ و ذلك لفقدانها الكثير من التصحيفات و الأخطاء التي تعجّ بها مخطوطة المغني، فلا يبقى لمحقّق جزء الإمامة من المغني غنى من مراجعة مخطوطات الشافي لتقديم طبعة منقّحة و محقّقة بصورةٍ علميّة لذلك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استعراض لأهمّ مصادر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للفراهيدي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أكثر من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لابن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في موضعٍ آخر عند الحديث عن النصّ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 xml:space="preserve">الظاهر أنّه يشير إلى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فضائح المعتزلة لابن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للواقدي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عن الواقدي كتابَ أمير المؤمنين عليه السلام إلى أهل الكوفة لمّا فتح البصرة، و الظاهر أنّه نقله من كتاب الجمل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للفرّاء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 لأبي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المعتزلة للجاحظ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العباسيّة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مطوّلاً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العثمانية للجاحظ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المروانيّة للجاحظ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الفتيا للجاحظ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الإماميّة للجاحظ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الرافضة و الزيديّة للجاحظ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لأبي إسحاق 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روايات عن الثقفي، الظاهر أنّه نقلها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العبارة لأبي العبّاس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الشريف المرتضى روايةً عن محمّد بن زكريا الغَلابي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ردّ عمر بن عبد العزيز لفدك على ولد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نقل هذه الرواية من أحد كتب الغَلابي الذي يحمل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أخبار فاطمة </w:t>
      </w:r>
    </w:p>
    <w:p>
      <w:pPr>
        <w:pStyle w:val="BookText"/>
        <w:rPr/>
      </w:pPr>
      <w:r>
        <w:rPr>
          <w:rFonts w:ascii="Amiri" w:hAnsi="Amiri" w:eastAsia="Amiri" w:cs="Amiri"/>
          <w:color w:val="111111"/>
          <w:sz w:val="28"/>
          <w:sz w:val="28"/>
          <w:szCs w:val="28"/>
          <w:rtl w:val="true"/>
          <w:lang w:bidi="ar-SA"/>
        </w:rPr>
        <w:t>عليها السلام و منشأها و مولدها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ذكره النجاشي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نصوصاً مطوّلة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لابن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أكثر من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المقالات لأبي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الجمهرة لابن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لأبي مسلم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أكثر من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المشكل لأبي بكر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القاضي أبي بكر أحمد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لابن طيفور أحمد بن أبي طاهر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منه نصّاً، لكنّه لم يصرّح بنقله من بلاغات النساء، إلّاأنّ مقارنةً بين ما جاء في الشافي و هذا الكتاب تكشف عن أنّه منقول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الشريفُ المرتضى خلال كلامه عن حديث الغدير إلى كتب الخوارج،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الخوارج فما يقدر أحدٌ على أن يحكي عنهم دفعاً لهذا الخبر، أو امتناعاً من قبوله، و هذه كتبهم و مقالاتهم موجودةٌ معروفة، و هي خالية مما ادّعي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أرجع الشريفُ المرتضى إلى بعض مؤلّفاته السابقة على تأليف الشافي، و هي</w:t>
      </w:r>
      <w:r>
        <w:rPr>
          <w:rFonts w:eastAsia="Amiri" w:cs="Amiri" w:ascii="Amiri" w:hAnsi="Amiri"/>
          <w:color w:val="111111"/>
          <w:sz w:val="28"/>
          <w:szCs w:val="28"/>
          <w:rtl w:val="true"/>
          <w:lang w:bidi="ar-SA"/>
        </w:rPr>
        <w:t xml:space="preserve">: </w:t>
      </w:r>
      <w:bookmarkStart w:id="131" w:name="pg20044_770672"/>
    </w:p>
    <w:p>
      <w:pPr>
        <w:pStyle w:val="BookText"/>
        <w:rPr/>
      </w:pPr>
      <w:bookmarkEnd w:id="13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مفردة حول شبهة متعلّقة بحديث المنزلة، و هي مسألةٌ مفقودةٌ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الموصليّات الأُولى، و هي مفقودة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28364_2320776876"/>
      <w:bookmarkStart w:id="133" w:name="_Toc47"/>
      <w:bookmarkEnd w:id="132"/>
      <w:r>
        <w:rPr>
          <w:rtl w:val="true"/>
        </w:rPr>
        <w:t>آراء أصحاب الإماميّة في الشافي</w:t>
      </w:r>
      <w:bookmarkEnd w:id="133"/>
    </w:p>
    <w:p>
      <w:pPr>
        <w:pStyle w:val="BookText"/>
        <w:rPr/>
      </w:pPr>
      <w:r>
        <w:rPr>
          <w:rFonts w:ascii="Amiri" w:hAnsi="Amiri" w:eastAsia="Amiri" w:cs="Amiri"/>
          <w:color w:val="111111"/>
          <w:sz w:val="28"/>
          <w:sz w:val="28"/>
          <w:szCs w:val="28"/>
          <w:rtl w:val="true"/>
          <w:lang w:bidi="ar-SA"/>
        </w:rPr>
        <w:t>تقدّم عرض قائمة مطوّلة من الكتب الكلاميّة التي ألّفها الشيعة الإماميّة في مسألة الإمامة و ما يتعلّق بها من أبحاث، إلّاأنّ معظم تلك الكتب قد فقدت، و لا نعرف من أكثرها إلّااسمها، و بذلك لا يمكننا التعرّف على الكثير من الآراء و الاستدلالات المطروحة في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الشريفَ المرتضى الذي كان يمتلك الكثير من تلك الكتب استطاع من خلال كتابه الشافي من عكس الكثير من آراء الإماميّة الذين عبّر عنهم عادةً بكلمة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يفتح مجالاً لدراسة تلك الآراء، و معرفة تطوّر الأفكار و النظريّات التي سبقت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الشريفُ المرتضى بأسماء هؤلاء الأصحاب، الأمر الذي لو كان قد فعله لكان يساعدنا بصورةٍ أكبر بكثير على إعادة ترتيب تاريخ تطوّر نظريّات الإماميّة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تخمين أسماء بعض الذين عناهم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أشار اليهم في خلال كتابه، مثل أبي سهل، و أبي محمّد النوبختيَّيْن، و أبي الأحوص المصري، و ابن قِبَة الرازي</w:t>
      </w:r>
      <w:r>
        <w:rPr>
          <w:rStyle w:val="FootnoteAnchor"/>
          <w:rtl w:val="true"/>
        </w:rPr>
        <w:footnoteReference w:id="153"/>
      </w:r>
      <w:r>
        <w:rPr>
          <w:rFonts w:ascii="Amiri" w:hAnsi="Amiri" w:eastAsia="Amiri" w:cs="Amiri"/>
          <w:color w:val="111111"/>
          <w:sz w:val="28"/>
          <w:sz w:val="28"/>
          <w:szCs w:val="28"/>
          <w:rtl w:val="true"/>
          <w:lang w:bidi="ar-SA"/>
        </w:rPr>
        <w:t>، إضافة إلى أُستاذه الكبير الشيخ المفيد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فلا يمكننا التعرّف على أسماء هؤلاء الأصحاب بالدقّة، سوى أنّنا نتمكّن من خلال معرفة آرائهم في الإمامة من التعرّف على أفكار علماء الإماميّة في </w:t>
      </w:r>
    </w:p>
    <w:p>
      <w:pPr>
        <w:pStyle w:val="BookText"/>
        <w:rPr/>
      </w:pPr>
      <w:r>
        <w:rPr>
          <w:rFonts w:ascii="Amiri" w:hAnsi="Amiri" w:eastAsia="Amiri" w:cs="Amiri"/>
          <w:color w:val="111111"/>
          <w:sz w:val="28"/>
          <w:sz w:val="28"/>
          <w:szCs w:val="28"/>
          <w:rtl w:val="true"/>
          <w:lang w:bidi="ar-SA"/>
        </w:rPr>
        <w:t>الفترة التي سبقت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عرض لتلك الأفكار و النظريّات، و قد قمنا في هذا العرض بنقل نصّ كلام الشريف المرتضى تارةً، فيما اكتفينا بنقل مضمون كلامه تارة أُخرى، و ذلك لاعتبارات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حاكياً عن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حكايتُه عنهم القولَ بأنّ الإمامَ يَزيدُ في العِلمِ علَى الرسولِ ، و كذلكَ في العصمةِ ، و تعليلَه بأنّ ذلك يَجِبُ له مِن حَيثُ انقَطَعَ الوحيُ عنه، فحكايةٌ طريفةٌ لا نَعلَمُ أحَداً مِن الإماميّة ذَهَبَ إليها و إلىٰ مَعناها و لا اعتَقَدَه، و هذه كُتُبُ مَقالاتِهم و مُصنَّفاتُ شُيوخِهم خاليةٌ مِن صريحِ هذه الحكايةِ و فَحواها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ذهاب بعض الأصحاب إلى القول بأنّ الإمام ينبّه على الأدلّة و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أنّ الأصحاب كانوا دائماً يُلزمون خصومهم بأنّ كلامهم حول نصب الإمام و اختياره من قِبل الرعيّة يقتضي أن يكون الإمام تابعاً لمن نَصَبَه من الرعيّة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الإمامُ فلَيسَ يُستَغنىٰ عنه في وجوبِ الصَّلَواتِ إلىٰ سائرِ ما ذَكَرَه علىٰ ما ظَنَّه؛ لأنّ أصحابَنا قد ذَكَروا وجوهَ الحاجةِ إليه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العلومِ و إزالةُ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يبيِّنُ ذلكَ و يفصِّلُه، و ينبِّهُ علىٰ مُشكِلِه و غامِضِه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وراءِ الناقلينَ ؛ ليأمَنَ المكلَّفونَ مِن أن يَكونَ شَيءٌ مِن الشرعِ لَم يَصِلْ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ادّعى القاضي أنّ بعض الشيعة يقولون إنّ المعارف كلّها ضروريّة، قال</w:t>
      </w:r>
    </w:p>
    <w:p>
      <w:pPr>
        <w:pStyle w:val="BookText"/>
        <w:rPr/>
      </w:pP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نعرف فينا أحداً محصّلاً يدّعي أنّ المعارف كلّها ضرورية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حول مسألة ما نسب إلى هشام بن الحكم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أورد ذلك على سبيل المعارضة للمعتزلة،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تعالى شيء لا كالأشياء،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بعضُ الأصحاب بالإجماع على وجوب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من تعلّق من الأصحاب بلفظ النقص و عمومه،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النقص قد عمّ الناس، فلا بدّ من إمام يرفع هذا 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ارتفاع العصمة عنهم، وجواز مقارفة القبيح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معرفة الشريف المرتضى لأحدٍ من الأصحاب تَعلّقَ بجواز دخول الشبهة على الحاجة إلى الإمام، لا سيّما على الوجه الذي ذكره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أجاب الأصحابُ عن سبب استتار الإمام عن أوليائه بأنّ العلّة في استتار الإمام في غيبته عن أوليائه هي خوفه من الظهور لهم لئلّا ينشروا خبره، و يُجروا ذكره، فيسمع به الأعداء، و يَظهروا عليه، فيؤول الأمر إلى الغاية الموجبة للاستتار من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نقل الشريفُ المرتضى ما نسبه القاضي إلى الشيعة من الاستدلال باختلاف المكلّفين في الأدلّة، و الاستدلال على الحاجة إلى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الطريقة التي حكاها غيرُ معتمَدَة عندنا، و لا اعتمدها أحدٌ من أصحابنا المتقدّمين و لا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استدلّ أكثر الأصحاب بوجهٍ آخر من الاختلاف، و تقريره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عَلِمنا أنّه لَيسَ كُلُّ ما تَمَسُّ الحاجةُ إليه مِن الشريعةِ ، عليه حُجّةٌ قاطعةٌ </w:t>
      </w:r>
    </w:p>
    <w:p>
      <w:pPr>
        <w:pStyle w:val="BookText"/>
        <w:rPr/>
      </w:pPr>
      <w:r>
        <w:rPr>
          <w:rFonts w:ascii="Amiri" w:hAnsi="Amiri" w:eastAsia="Amiri" w:cs="Amiri"/>
          <w:color w:val="111111"/>
          <w:sz w:val="28"/>
          <w:sz w:val="28"/>
          <w:szCs w:val="28"/>
          <w:rtl w:val="true"/>
          <w:lang w:bidi="ar-SA"/>
        </w:rPr>
        <w:t>مِن كتابٍ، أو تواتُرٍ، أو إجماعٍ ، أو ما جَرىٰ مَجرىٰ ذلكَ ؛ بل الأدلّةُ في كثيرٍ مِن ذلكَ كالمتكافئةِ ، أو هي متكافئةٌ ، و لَولا ما ذَكَرناه ما فَزِعَ خُصومُنا إلىٰ غلبةِ الظَّنِّ و الاستحسانِ و غيرِهما ممّا يُسَمّونَه 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ذلكَ و كُنّا مكلَّفينَ للعِلمِ بالشريعةِ و العملِ بها، وَجَبَ أن يكونَ لنا مَفزَعٌ نَصِلُ مِن جهتِه إلىٰ ما اختَلَفَت أقوالُ الأُمّةِ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بعضُ الأصحاب على الحاجة إلى الإمام في كلّ زمانٍ ، بحاجة الناس إلى معرفة ما يتّصل بأبدانهم و معايشهم و مكاسبهم، و لا غنى لهم عن الأئمّة في هذه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ذهاب الأصحاب إلى جواز ظهور المعجزات على يد الإمام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الأصحابُ الذين ذهبوا إلى التفرقة بين الإمام و خلفائه من الأُمراء في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أن يوكَلَ هذه الأحكامُ إلىٰ مَن يُخطئُ فيها خطأً يُثمِرُ فَساداً في الدِّينِ و لَيسَ وَراءَه مَن يَتَلافىٰ خَطأَه و يَستَدرِكُ غلطَه، فلا يَلزَمُ عصمةُ الأُمَراءِ و الحُكّامِ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الأصحاب مَن يذهب إلى أنّ للإمام أمارة نصبها اللّٰه تعالى له على لسان رسوله صلّى اللّٰه عليه و آله، يفرّق بواسطتها بين الصادق من الشهود و الكاذب، فمتى شهد عنده الكاذب ردّ شهادته و لم يُمْضِها، و إن كان في الظاهر 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نَعرفُ محُصِّلاً مِن أصحابِنا و لا مِن غيرِهم يَذهَبُ إلىٰ أنّ السمعَ يَستَحيلُ أن يَرِدَ علىٰ سَبيلِ التقديرِ بأنّ الأُمّةَ أو جماعةً مِنها لا تَختارُ الخطأَ في حالٍ دونَ حالٍ ، أو علىٰ وجهٍ دونَ 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ذكر الشريفُ المرتضى الدليل على عصمة الإمام،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أنّا إنّما سَلَكنا في تَرتيبِ الدَّلالةِ التي قَدَّمناها علىٰ عصمةِ الإمامِ مَسلَكَ مَن تَقدَّمَ مِن سَلَفِنا رَضيَ اللّٰهُ عنُهم، و إن كُنّا قد احتَرَزنا في إثباتِها بألفاظٍ مُسقِطةٍ لبعضِ شُبَهِ الخُصومِ اللازِمةِ علىٰ مَن يُخالفُ ترتيبَنا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الكثير من الأصحاب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العصمة، و هي أنّ الإمام مقتدىً به، فإنْ لم يكن معصوماً لم نأمن في بعض أفعاله أن يكون قبيحاً، فيجب علينا الاقتداء به في ذلك، و بما أنّنا نعلم باستحالة تعبّدنا بالأفعال القبيحة، وجب أن يكون الإمام المقتدى به مأموناً من أن يرتكب تلك الأفعال، و هو معنى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القاضي عبد الجبّار دليلاً على العصمة و نسبه إلى الشيعة، و هو أنّ مِن حقّ الإمام أن يكون واحداً في الزمان، و أن يولّي و لا يولَّى، و يجب على غيره طاعته، و لا تلزمه طاعة غيره، فحلّ محلّ الرسول صلّى اللّٰه عليه و آله، فإذا وجبت عصمة الرسول صلّى اللّٰه عليه و آله وجبت 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الشريفَ المرتضى رفضَ هذا الاستدلال بهذا الترتيب،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ما حَكَيتُ إلّاما اعتَمَدَه أصحابُكم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لا نَعلَمُ أنّ أصحابَنا اعتَمَدوا ما حَكَيتَه علىٰ ترتيبِكَ ، و لَعلَّ بعضَهم إن كانَ اعتَمَدَه فعَلىٰ طريقِ التقريبِ ، و رُبَّما أَورَدوا هذا الضربَ مِن الكلامِ علىٰ طريقِ الفَصلِ بَينَ الإمامِ و الأميرِ في وجوبِ العصمةِ إذا ألزَمَهم مُخالِفوهم أن يُساووا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طائفةٌ من الأصحاب إلى أنّ الإمامة و الرسالة يُستحقّان استحقاق الثواب و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يَقولُ مِن أصحابِنا أنّ الإمامةَ مُستَحَقّةٌ ، و أنّها تَجري مَجرَى الثوابِ ، لا يَذهَبُ إلىٰ أنّه يَصيرُ إماماً بنَفسِ الاستحقاقِ ؛ بَل لا بُدَّ عندَه مِن نَصٍّ عليه و إشارةٍ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كثيرٌ من الأصحاب على وجوب النصّ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الإمام لا بدّ أن يكون أفضل الخلق عند اللّٰه تعالى؛ لأنّه إذا كان إماماً للكلّ فلا بدّ أن يكون أفضل من الكلّ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ذلك و لم يمكن التوصّل إلى كونه أفضل بالأدلّة أو المشاهدة وجب النصّ أو المعجز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بعد أن نقل الدليل على أفضليّة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الطريقةُ التي سَلَكناها في الدَّلالةِ علىٰ أنّ الإمامَ يَجِبُ أن يَكونَ أفضَلَ مِن رَعيّتِه أقوىٰ ما يُعتَمَدُ في هذا البابِ ، و إن كانَ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معروفةٌ إلّاأنّ جميعَها مُعتَرَضٌ ، و أكثَرُها يَلزَمُ عَلَيه أن يَكونَ الأُمَراءُ و جميعُ خُلَفاءِ الإمامِ أفضَلَ مِن رَعيّتِهم علَى الحَدِّ الذي يوجِبونَه في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الأصحاب كانوا يُلزمون الخصوم تجويزَ كون الرسول صلّى اللّٰه عليه و آله مفضولاً، قياساً على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أشكل القاضي على مَن أنكر جواز تقديم المفضول على الفاضل، بعمرو بن العاص و خالد بن الوليد، فإنّهما وُلّيا على أبي بكر و عمر، مع كون الأخيرَين أفضلَ منهما، فأجابَ الشريف المرتضى بأنّه لا يُنكَر أن يكون عمرو و خالد أفضل منهما في أمر الحرب و السياسة، و هذا كافٍ ؛ لأنّهما إنّما وُلّيا عليهما في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 بعضُ أصحابِنا عن هذا الكلامِ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يُنكَرُ أن يَكونَ عَمرٌو و خالدٌ في تلكَ الحالِ التي وُلِّيا فيها علىٰ أبي بَكرٍ و عُمَرَ أفضَلَ مِنهما </w:t>
      </w:r>
    </w:p>
    <w:p>
      <w:pPr>
        <w:pStyle w:val="BookText"/>
        <w:rPr/>
      </w:pPr>
      <w:r>
        <w:rPr>
          <w:rFonts w:ascii="Amiri" w:hAnsi="Amiri" w:eastAsia="Amiri" w:cs="Amiri"/>
          <w:color w:val="111111"/>
          <w:sz w:val="28"/>
          <w:sz w:val="28"/>
          <w:szCs w:val="28"/>
          <w:rtl w:val="true"/>
          <w:lang w:bidi="ar-SA"/>
        </w:rPr>
        <w:t xml:space="preserve">فيما يَرجِعُ إلَى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عند الحديث عن أفعال الرسول صلّى اللّٰه عليه و آله في حقّ أمير المؤمنين عليه السلام الدالّة على التعظيم و 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الفِعلِ رُبَّما كانَت آكَدَ مِن دَلالةِ القَولِ ، و أبعَدَ مِن الشُّبهةِ ؛ لأنّ القَولَ يَدخُلُه المَجازُ، و يَحتَمِلُ ضُروباً مِن التأويلاتِ لا يَحتَمِلُها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النصّ الذي عَلم سامعوه من الرسول صلّى اللّٰه عليه و آله مراده منه باضطرار، و إن كنّا الآن نعلم ثبوته و المراد منه استدلالاً، و هو النصّ الذي في ظاهره و لفظه صريحٌ بالإمامة و الخلافة، إنّ هذا النصّ يسمّيه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 الجليّ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 الذي لا نقطع على سامعيه من الرسول صلّى اللّٰه عليه و آله أنّهم علموا النصّ بالإمامة منه اضطراراً، و لا يمتنع عندنا أن يكونوا علموه استدلالاً، إنّ هذا النصّ يسمّيه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 الخفيّ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ندّعي علم الضرورة في النصّ ، لا لأنفسنا، و لا على مخالفينا، و ما نعرف أحداً من أصحابنا صرّح بادعاء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الشريفُ المرتضى رأي الأصحاب حول تفسير سبب الانحراف الذي حصل بعد رسول اللّٰه صلّى اللّٰه عليه و آله، و بيّن ذلك من خلال نصٍّ مطوّلٍ نسبيّاً نقله من كتاب الإنصاف لابن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الشريفُ المرتضى ثلاثة وجوهٍ عن الأصحاب حول تفسير سبب دخول أمير المؤمنين عليه السلام 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ناقش الأصحابُ خبرَ صلاة أبي بكر في أكثر من موضع، و أثبتوا أنّه لا نسبةَ بين الصلاة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الصلاة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الذي أمر بخروج أبي بكر للصلاة هي عائشة لا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عندما سمع بخروج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صلّى اللّٰه عليه و آله متحاملاً من الضعف، معتمداً على أمير المؤمنين عليه السلام و الفضل بن العبّاس، و عزله لأبي بكر عن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الزيديّة و شذّاذ من الإماميّة إلى أنّ السيّد الحِمْيريّ كان معتقداً للنصّ الخفيّ دون الجليّ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الشيعة مَن يُثبت عصمةَ أمير المؤمنين عليه السلام بغير النصّ ، و لا يفتقر في الدلالة عليها إلى تقدّم النصّ بالإمامة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القاضي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يحمل على إمامة الصلاة أو العلم، و ذلك إذا ارتفعت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أصحابُنا عن هذا الإلزامِ و أمثالِه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يؤمِنُنا مِن أن يَجوزَ ما أُلزِمناه مِن التخصيصِ أنّ الذين نَقَلوا إلينا ألفاظَ النُّصوصِ خَبَّرونا بأنّ أسلافَهم خَبَّروهم عن أسلافِهم، إلىٰ أن يَتّصِلَ الخبرُ بزَمانِ الرسولِ صَلّى اللّٰهُ عليه و آلِه، أنّهم فَهِموا مِن قَصدِه النصَّ علَى الإمامةِ التي قد استقَرَّ في الشريعةِ حُكمُها و صفتُها و عمومُها لسائرِ الوِلاياتِ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مُرادُه عليه السلامُ ممّا يَصِحُّ أن يَقَعَ الاضطرارُ إليه كما يَصِحُّ أن يَقَعَ الاضطرارُ إلىٰ خِطابِه و كلامِه، فلَو جَوَّزنا علَى الناقِلينَ الكَذِبَ في أحَدِ الأمرَينِ جَوَّزناه في الآخَرِ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ذهَبَ مِن أصحابِنا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اللفظَ المُحتَمِلَ لأُمورٍ مختَلِفةٍ علىٰ جهةِ الحقيقةِ إذا ارتفَعَ بَيانُ المُخاطِبِ و تخصيصُه مُرادَه بوَجهٍ دونَ وَجهٍ ، يَجِبُ </w:t>
      </w:r>
    </w:p>
    <w:p>
      <w:pPr>
        <w:pStyle w:val="BookText"/>
        <w:rPr/>
      </w:pPr>
      <w:r>
        <w:rPr>
          <w:rFonts w:ascii="Amiri" w:hAnsi="Amiri" w:eastAsia="Amiri" w:cs="Amiri"/>
          <w:color w:val="111111"/>
          <w:sz w:val="28"/>
          <w:sz w:val="28"/>
          <w:szCs w:val="28"/>
          <w:rtl w:val="true"/>
          <w:lang w:bidi="ar-SA"/>
        </w:rPr>
        <w:t xml:space="preserve">حَملُه علىٰ سائرِ محتَمَلاتِه، إلّاما منَعَ منه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بهذا المَذهَبِ السؤالَ عن نفسِه،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لسائرِ الوِلاياتِ التي تَستَغرِقُها الإمامةُ الشرعيّةُ كاحتمالِه لبعضِها، و لَم يبيِّنِ الرسولُ صَلّى اللّٰهُ عليه و آلِه مُرادَه علىٰ سبيلِ التعيينِ و التخصيصِ ، وَجَبَ أن يُحمَلَ اللفظُ علىٰ جميعِ ما يَحتَمِلُه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الشريفُ المرتضى إلى إحدى الأدلّة على إمامة أمير المؤمنين عليه السلام، و هو أن غيره لا يصلح للإمامة، و هي طريقة الطعن،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اعتمَدَها شُيوخُنا رحمهم اللّٰه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ذَكَروا فيما يُخرِجُ أبا بَكرٍ مِن الصلاحِ للإمامةِ ارتفاعَ العصمةِ عنه، و إخلالَه بكَثيرٍ مِن علومِ الدِّينِ؛ و هو الأقوىٰ و إن رجَعَ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ذَكَروا أنّه أُخِّرَ عن الوِلاياتِ و قُدِّمَ عليه غيرُه، و أنّه عُزِلَ عن أداءِ سورةِ بَراءةٍ بَعدَ أن تَوجَّهَ بها، و عُزِلَ أيضاً عن الجَيشِ المبعوثِ لفَتحِ خَيبَرَ بَعدَ أن بانَ قُبحُ أثرِه فيه، و أَورَدَ الرسولُ صَلّى اللّٰهُ عليه و آلِه عَقيبَ عَزلِه مِن القولِ ما لا شكَّ في خروجِه مَخرَجَ التهجينِ و التوبيخِ ، حتّىٰ أنّ كَثيراً مِن أصحابِنا ذَهَبوا إلىٰ أنّ ما تَضمَّنَه قولُه صَلّى اللّٰهُ عليه و آلِه في تلكَ الحالِ مِن الوصفِ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بمَحبَّتِه للّٰه و رسولِه، و مَحبّةِ اللّٰهِ و رسولِه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انتفائه عمّن عُزِلَ عن الوِلايةِ ، و يَذكُرونَ أشياءَ كثيرةً مِن هذا الجِنسِ هي مذكورةٌ في الكتُبِ مشهورةٌ يَستَخرِجونَ مِن جميعِها كَونَ الرجُلِ ممّن لا يصلُحُ للإمامةِ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المرتضى عند الحديث عن 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وجهَيْن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الإمامة، و الآخر المولاة في الدين و المحبّة، و اختار المعنى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فيمن يَستَدِلُّ بهذه الآيةِ علَى النصِّ مَن يَقولُ إذا طولِبَ بمِثلِ ما طولِبنا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اللفظةَ مُحتَمِلةٌ للوجهَينِ جميعاً علىٰ سَبيلِ الحقيقةِ، فالواجبُ حملُها علَى المعنيَينِ معاً؛ إذ هي مُحتَمِلةٌ لهما معاً، و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فيما تَقدَّمَ أنّ هذه الطريقةَ غيرُ سديدةٍ و لا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توَجُّهَ الخِطابِ إلىٰ جميعِ المُكلَّفينَ؛ مؤمنِهم و كافرِهم؛ لأنّ أحَدَنا لَو أقبَلَ علىٰ جماعةٍ، فشافَهَهم بالخِطابِ بالكافِ، لَحُمِلَ خِطابُه علىٰ أنّه متوجِّهٌ إلَى الجميعِ؛ مِن حَيثُ لَم يَكُن بأن يَتَناوَلَ بعضَهم أَولىٰ مِن أن يَتَناوَلَ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المُكلَّفينَ فيما تَوجَّهَ إليهم مِن خِطابِ القَديمِ تَعالىٰ بمَنزِلةِ مَن شافَهَه أحَدُنا بخِطابِه؛ لأنّهم جميعاً في حُكمِ الحاضرينَ له، فيَجِبُ أن يَكونَ الخِطابُ مُتَوجِّهاً إلىٰ جميعِهم كما تَوَجَّهَ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 ما أشبَهَه مِن الخِطابِ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دَخَلَ الجميعُ تَحتَه استَحالَ أن يَكونَ المُرادُ باللفظةِ الموالاةَ في الدِّينِ ؛ لأنّ هذه الموالاةَ يَختَصُّ بها المؤمنونَ دونَ غيرِهم؛ فلا بُدَّ إذَن مِن حَملِها علىٰ ما يَصِحُّ دخولُ الجميعِ فيه، و هو معنَى الإمامةِ و وجوبِ الطاعةِ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حاول القاضي إلزام الإماميّة بأنّ ظاهر آية الولاية يدلّ على أنّ أمير المؤمنين عليه السلام إمام في حال صدور الآية، و هذا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الشريف المرتضى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يُعتَمَدُ علىٰ ما حَكاه مِن أنّ الظاهرَ إثباتُ الحُكمِ في كُلِّ وقتٍ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قالَ بذلكَ مِن أصحابِنا فإنّه يَنصُرُ هذه الطريقةَ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p>
    <w:p>
      <w:pPr>
        <w:pStyle w:val="BookText"/>
        <w:rPr/>
      </w:pPr>
      <w:r>
        <w:rPr>
          <w:rFonts w:ascii="Amiri" w:hAnsi="Amiri" w:eastAsia="Amiri" w:cs="Amiri"/>
          <w:color w:val="111111"/>
          <w:sz w:val="28"/>
          <w:sz w:val="28"/>
          <w:szCs w:val="28"/>
          <w:rtl w:val="true"/>
          <w:lang w:bidi="ar-SA"/>
        </w:rPr>
        <w:t>لا يَقتَضي الحالَ فَقَط، بَل يَقتَضي جميعَ الأوقاتِ التي الحالُ مِن جُملِتها؛ فإذا خَرَجَ بعضُها بدَليلٍ بَقيَ ما عَداه ثابتاً بالظاهرِ أيضاً، و لَم يَسُغِ الزوالُ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أخرَجتُ الحالَ بدليلِ إجماعِ الأُمّةِ علىٰ أنّه لَم يَكُن مع النبيِّ صَلّى اللّٰهُ عليه و آلِه إمامٌ غيرُه، و لا دليلَ يَقتَضي إخراجَ الحالِ التي تَلي الوفاةَ بلا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الشريفُ المرتضى أنّ أحداً من شيوخنا لم يستدلْ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تَظٰاهَرٰا عَلَيْهِ فَإِنَّ اللّٰهَ هُوَ مَوْلاٰهُ وَ جِبْرِيلُ وَ 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إمامة أمير المؤمنين عليه السلام، و إنّما استدلّ الأصحاب بالآية على فضله عليه السلام و تقدّمه و علوّ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استدلّوا بالآية على سوء طريقة المرأتين اللتين توجّه العتاب إليهما في الآية، و يذكرون في السرّ الذي أفشته إحداهما إلى صاحبتها خلاف ما يذكره المخالفون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يعتمد أحدٌ من الأصحاب على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على النصّ على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الشريفُ المرتضى في معرض حديثه عن دلالة حديث الغدير أنّ ما يقوله الأصحاب من أنّ الرسول صلّى اللّٰه عليه و آله إذا لم يُرد معنى الإمامة في هذا الحديث لوجب أن يكون ملبّساً محيّراً، متوقّف على تبيّن وجه دلالة القول على الإمامة، فلا بدّ إذن من إثبات دلالة الحديث على الإمامة بطريقةٍ أُخرى، حتّى يمكن القول إنّه لو لم يُرد معنى الإمامة لكان محيّراً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الأصحاب لا يعتمدون في دلالة حديث الغدير على أنّ المعرفة بقصد الرسول صَلّى اللّٰهُ عليه و آلِه ضروريّة، بل لا يمتنع أن يكون المراد معلوماً من خلال نوعٍ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الأصحاب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نعرف القصد من الكلام </w:t>
      </w:r>
    </w:p>
    <w:p>
      <w:pPr>
        <w:pStyle w:val="BookText"/>
        <w:rPr/>
      </w:pPr>
      <w:r>
        <w:rPr>
          <w:rFonts w:ascii="Amiri" w:hAnsi="Amiri" w:eastAsia="Amiri" w:cs="Amiri"/>
          <w:color w:val="111111"/>
          <w:sz w:val="28"/>
          <w:sz w:val="28"/>
          <w:szCs w:val="28"/>
          <w:rtl w:val="true"/>
          <w:lang w:bidi="ar-SA"/>
        </w:rPr>
        <w:t>باضطرارٍ لم يكن بياناً،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الإمامة مع إيجاب خطابه لها لكان ملغّزاً عادلاً عن طريق البيان، بل عن طريق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القاضي أنّ ظاهر حديث الغدير إذا اقتضى الإمامة أن يكون أمير المؤمنين عليه السلام إماماً في نفس وقت صدور الحديث، أي في حياة الرسول صلّى اللّٰه عليه و آله،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الشريف المرتضى إجابات بعض الأصحاب على هذا النوع من الإشكال،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قومٌ مِن أصحابِنا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يوجِبُ لأميرِ المؤمنينَ عليه السلامُ فرضَ الطاعةِ في الحالِ علىٰ جميعِ الأُمّةِ، حتّىٰ يَكونَ له عليه السلامُ أن يَتصرَّفَ فيهم بالأمرِ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خَصَّصَ وجوبَ فرضِ 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أوجَبَ طاعتَه علىٰ سَبيلِ الاستخلافِ؛ فلَيسَ له أن يَتصرَّفَ بالأمرِ و النهيِ و الرسولُ حاضرٌ، و إنّما له أن يَتصرَّفَ في حالِ غَيبتِه أو حالِ وفاتِه؛ و امتَنَعَ الكُلُّ مِن إجراءِ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إن كانَ مُفتَرَضَ الطاعةِ علَى الوجهِ الذي ذَكرناه،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اختَصَّ بفَرضِ الطاعةِ مع أنّه لا يَدَ فَوقَ يَدِه؛ فأمّا مَن كانَ مُطاعاً و علىٰ يَدِه يَدٌ، فإنّه لا يَكونُ إماماً، و لا يَستَحِقُّ هذه التسميةَ، كما لا يَستَحِقُّها جميعُ أُمَراءِ النبيِّ صَلّى اللّٰهُ عليه و آلِه و خُلَفائه في الأمصارِ و إن كانوا مُطاعينَ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التسميةَ بالإمامةِ و إن امتُنِعَ منها في الحالِ ، فواجبٌ إجراؤها بَعدَ الوفاةِ ؛ لزَوالِ العِلّةِ المانِعةِ مِن إجرائها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الأصحابُ إلى أنّ إيجاب الإمامة لأمير المؤمنين عليه السلام متقدّمٌ على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عند حديثه عن الأخبار التي قيل إنّها تدلّ على 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أصحابَنا قَديماً قد تَكلَّموا علىٰ هذه الأخبارِ، و بَيَّنوا أنّ حديثَ الخُلّةِ يَتناقَضُ، و يُبطِلُ آخِرُه أوّلَه؛ لأنّهم يَروونَ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 لَاتَّخَذتُ فُلاناً خَليلاً، و لكِنْ وُدّاً و إخاءَ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الخبرِ يَقتَضي أنّ الخُلّةَ لَم تَقَعْ، و آخِرُه يَقتَضي وقوعَها علَى الشرطِ المذكورِ الذي يَعلَمُ كُلُّ أحَدٍ أنّ الخُلّةَ منه صَلّى اللّٰهُ عليه و آلِه لا تَكونُ إلّاعليه؛ لأنّه لا يَصِحُّ أن يُخالَّ أحَداً إلّافي الإيمانِ و ما يَقتَضيهِ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يَذكرونَ أيضاً في ذلكَ ما يَروونَه مِن قولِه صَلّى اللّٰهُ عليه و آلِه قُبَيلَ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بَرِئتُ إلىٰ كُلِّ خَليلٍ مِن خُلّتِه؛ فإنّ اللّٰهَ عزّ و جلّ قد اتَّخَذَ صاحبَكم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أثبَتَ الخُلّةَ بَينَه و بَينَ غيرِه فيما تَقدَّمَ، فقَد نَفاها و بَرئَ منها قَبلَ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أفسَدوا حَديثَ الاقتداءِ بأن ذَكَروا أنّ الأمرَ بالاقتداءِ بالرجُلَينِ يَستَحيلُ؛ لأنّهما مُختَلِفانِ في كَثيرٍ مِن أحكامِهما و أفعالِهما، و الاقتداءُ بالمُختَلِفَينِ و الاتّباعُ لهما مُتَعذِّرٌ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يَقتَضي عصمتَهما و المنعَ مِن جوازِ الخطإ عليهما، و لَيسَ هذا بقَولٍ لأحَدٍ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طَعَنوا في روايةِ الخبرِ بأنّ راويَه عبدُ المَلِكِ بنِ عُمَيرٍ، و هو مِن شِيَعِ بَني أُمَيّةَ ، و ممّن تَوَلَّى القَضاءَ لهم، و كان شَديدَ النَّصبِ و الانحرافِ عن أهلِ البيتِ أيضاً، ظَنيناً في نفسِه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كانَ يَمُرُّ علىٰ أصحابِ الحُسَينِ بنِ عليٍّ عليهما السلام و هُم جَرحىٰ فيُجهِزُ عليهم، فلمّا عوتِبَ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أن أُريحَهم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فيهم مَن حَكىٰ روايةَ الخبرِ بالنَّصبِ ، و جَعَلَ أبا بَكرٍ و عُمَرَ علىٰ هذه </w:t>
      </w:r>
    </w:p>
    <w:p>
      <w:pPr>
        <w:pStyle w:val="BookText"/>
        <w:rPr/>
      </w:pPr>
      <w:r>
        <w:rPr>
          <w:rFonts w:ascii="Amiri" w:hAnsi="Amiri" w:eastAsia="Amiri" w:cs="Amiri"/>
          <w:color w:val="111111"/>
          <w:sz w:val="28"/>
          <w:sz w:val="28"/>
          <w:szCs w:val="28"/>
          <w:rtl w:val="true"/>
          <w:lang w:bidi="ar-SA"/>
        </w:rPr>
        <w:t>الروايةِ مُنادَيَينِ مأمورَينِ بالاقتداءِ بالكتابِ و العِترةِ، 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الكتابِ 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علىٰ صحّةِ تأويلِه بأمرِه صَلّى اللّٰهُ عليه و آلِه في غيرِ هذا الخبرِ بالتمسُّكِ بهما و الرجوعِ إليهما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 كتابَ اللّٰهِ و عِترَتي أهلَ بَيتي،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أبطَلَ مَن سَلَكَ هذه الطريقةَ في تأويلِ الخبرِ اعتراضَ الخُصومِ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خِطابٌ للجَمعِ لا يَسوغُ تَوجُّهُه إلَى الاثنَينِ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يُنكَرُ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جميعِ الأُمّةِ ،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بَعدي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لهما علىٰ سبيلِ التخصيصِ لهما؛ لتأكيدِ الحُجّةِ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هذه الجُملةِ موجودٌ في مَواضِعِه مِن الكُتُبِ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بعد أن أشار إلى إجمال حديث الاقتداء بأبي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هذا الخبرِ أنّ النبيَّ صَلّى اللّٰهُ عليه و آلِه كانَ سالكاً بعضَ الطُّرُقِ ، و كان أبو بَكرٍ و عُمَرُ مُتأخِّرَينِ عنه جائيَينِ علىٰ عَقبِه، فقالَ النبيُّ صلّى اللّٰه عليه و آله لبعضِ مَن سَألَه عن الطريقِ الذي يَسلُكُه في اتّباعِه و اللُّحوقِ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بسُلوكِ الطريقِ ، دونَ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الشريفُ المرتضى أجوبةً مطوّلةً للأصحاب جواباً لمن قال إنّ حديث الغدير جاء نتيجة ملاحاة و نزاع بين أمير المؤمنين عليه السلام و بين زيد بن حارثة أو ابنه أُسامة، و قد أعرضنا عن ذكر هذه الأجوبة لطولها، فراجعها في محلّها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الشريفُ المرتضى أنّ الاستدلال باستخلاف أمير المؤمنين عليه السلام </w:t>
      </w:r>
    </w:p>
    <w:p>
      <w:pPr>
        <w:pStyle w:val="BookText"/>
        <w:rPr/>
      </w:pPr>
      <w:r>
        <w:rPr>
          <w:rFonts w:ascii="Amiri" w:hAnsi="Amiri" w:eastAsia="Amiri" w:cs="Amiri"/>
          <w:color w:val="111111"/>
          <w:sz w:val="28"/>
          <w:sz w:val="28"/>
          <w:szCs w:val="28"/>
          <w:rtl w:val="true"/>
          <w:lang w:bidi="ar-SA"/>
        </w:rPr>
        <w:t>على المدينة في غزوة تبوك لا تعلّق له بحديث المنزلة، و أنّنا لا نعلم أحداً من الأصحاب قرن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الشريفُ المرتضى جوابَيْن مطوّلين للأصحاب على مَن قال إنّ المراد بقول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نبوّتي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الأصحابُ إلى 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في موضعٍ آخر إلى أنّ أكثر الأصحاب ذهبوا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الشريفُ المرتضى أنّ لفظ الإثبات في 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يدلّ بظاهره، لا على الحال، و لا المستقبل، فيجبُ أن يُرجَع في ذلك إلى غير لفظ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رجع الأصحابُ في تعلّق لفظ الإثبات بالوفاة أو بالوفاة و الحياة معاً إلى لفظ الاستثناء الوارد في الحديث، أي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اعترض القاضي بأنّ منزلة الإمامة بعد موسى كانت ليوشع بن نون لا لهارون، فلو أراد النبيّ صلّى اللّٰه عليه و آله بحديث المنزلة الإمامة، لكان ينبغي أن يشبّه منزلة أمير المؤمنين عليه السلام منه بمنزلة يوشع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الشريف المرتضى أربعة أجوبة للأصحاب على هذا الإشكال، فراجعها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بعضُ الأصحاب باستخلاف الرسول صلّى اللّٰه عليه و آله لأشخاص في حال غيبته بصورة مستمرّة و مع اختلاف الأحوال، على ضرورة أن يستخلف بعد وفاته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الشريفُ المرتضى رأي بعض الأصحاب في الحديث المنسوب إلى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خير هذه الأُمّة بعد نبيّها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الخبرُ صَحيحاً لَجازَ أن يُحمَلَ علىٰ أنّه </w:t>
      </w:r>
    </w:p>
    <w:p>
      <w:pPr>
        <w:pStyle w:val="BookText"/>
        <w:rPr/>
      </w:pPr>
      <w:r>
        <w:rPr>
          <w:rFonts w:ascii="Amiri" w:hAnsi="Amiri" w:eastAsia="Amiri" w:cs="Amiri"/>
          <w:color w:val="111111"/>
          <w:sz w:val="28"/>
          <w:sz w:val="28"/>
          <w:szCs w:val="28"/>
          <w:rtl w:val="true"/>
          <w:lang w:bidi="ar-SA"/>
        </w:rPr>
        <w:t>عليه السلامُ أرادَ به ذَمَّ الجماعةِ التي خاطَبَها بذلكَ، و الإزراءَ علَى اعتقادِها؛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خَيرَ هذه الأُمّةِ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اعتقاداتِها و علىٰ ما تَذهَبُ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نَظائرُ في الكتابِ 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إِلٰهِكَ الَّذِي ظَلْتَ عَلَيْهِ عٰاكِفاً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إلهَه علَى الحَقيقةِ ، بَل كانَ كذلكَ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أحَدُنا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فَقيهُ هذه الأُمّةِ ، و زَيدٌ شاعرُ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يُريدُ إلّا أنّه كذلكَ في اعتقادِ أهلِ العَصرِ، دونَ أن يَكونَ علَى الحَقيقةِ بهذه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فَسادِ هذا الخبرِ ما يَتضمَّنُه لفظُه مِن الخَلَلِ ؛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دخولَ النبيِّ صَلَّى اللّٰهُ عليه و آلِه في الكلامِ الأوّلِ و تَحتَ لفظةِ الأُمّةِ ؛ لأنّه لَو لَم يَدخُلْ لَم يَحسُنِ استثناؤه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مُحالٌ دخولُه تَحتَ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الأُمّةَ مُضافةٌ إليه، فكَيفَ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أنّه مِن أُمّةِ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دَفَعَ أيضاً أصحابُنا احتجاجَ مَن احتَجَّ بهذا الخبرِ في التفضيلِ بأن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يَتكلِّمُ المُتكلِّمُ بما يَجري هذا المَجرىٰ، و هو خارجٌ مِن جُملةِ كلامِه و غيرُ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استَشهَدوا بما رُويَ عن الرسولِ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مِن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الأوَّلينَ و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الأُمّةِ علىٰ أنّه أفضَلُ الأنبياءِ عليهم السلامُ ، فلَولا أنّه خارجٌ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منه فاسداً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رُويَ عنه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سُفيانَ بنُ الحارِثِ خَيرُ </w:t>
      </w:r>
    </w:p>
    <w:p>
      <w:pPr>
        <w:pStyle w:val="BookText"/>
        <w:rPr/>
      </w:pP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 لا أظَلَّت الخَضراءُ علىٰ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صَلَّى اللّٰهُ عليه و آلِه خارجٌ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يَحلِفُ الرجُلُ أيضاً أن لا يُدخِلَ دارَه أحَداً مِن الناسِ ، و هو خارجٌ مِن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عليه السلامُ خارجاً مِن الخبرِ، مِن حَيثُ كانَ المُخاطِبَ به، لَم يَدُلَّ علَى التفضيلِ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الشريف المرتضى رأي بعض متقدّمي الأصحاب حول الحديث المنسوب إلى أمير المؤمنين عليه السلام بأنّه تمنّى أنْ يَلقى اللّٰه بصحيفة عمر،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في متقدّمي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تمنّى أن يلقى اللّٰه بصحيفته ليخاصمه بما فيها، و يحاكمه بما تضمّنته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أيضاً في ذلك وجهاً غير هذا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قومٌ من الأصحاب بآية ابتلاء إبراهيم عليه السلام على إمامة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أكثر الأصحاب إلى أنّ الفضل في النسب هو إحدى جهات الفضل، فلا يجوز أن يُقدّم المفضول في شيءٍ منه على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الكثير من الأصحاب إلى أن تعظيم النبيّ صلّى اللّٰه عليه و آله لأبي بكر و عمر لم يكن على وجه التقيّة، بل كان على ما يقتضيه ظاهر حالهما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أصحابِنا مَن يَذهَبُ إلىٰ أنّ الظالِمينَ متىٰ غَلَبوا علَى الدارِ و قَهَروا و لَم يَتمكَّنِ المؤمِنُ مِن الخُروجِ مِن أحكامِهم جازَ له أن يَطأَ سَبْيَهم، و يُجري أحكامَهم مع الغَلَبةِ و القَهرِ مَجرىٰ أحكامِ المُحِقّينَ فيما يَرجِعُ إلَى المحكومِ عليه، و إن كانَ فيما يَرجِعُ إلَى الحاكمِ مُعاقَباً آثِماً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الشريفُ المرتضى أنّ الأصحاب أوردوا أدلّة على إثبات النصّ و إبطال الاختيار، فجمعوا ما بين الأدلّة القويّة و الضعيفة، و قام بتبرير 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ما نَعتَمِدُه في هذا البابِ، و نَصَرناه فيما تَقدَّمَ مِن الكتابِ بأدِلّتِه، و أَورَدنا الجوابَ عمّا يَرِدُ عليه، و ما عَدا ذلكَ فهو غيرُ مُعتَمَدٍ، و لا دالٍّ علىٰ ما ذَكرَه صاحبُ الكتابِ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أورَدَه مِن أصحابِنا فإنّما قَرَّب بإيرادِه، و لَم يُرِدِ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بعَيبٍ؛ فإنّه لَم يَعْرَ المُصنِّفونَ مِن الجمعِ بَينَ المُقرَّبِ و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الكتابِ يَعلَمُ أنّه لمّا تَتَبَّعَ هو أدِلّةَ المُوحِّدينَ علَى التوحيدِ في بعضِ كُتُبِه، لَم يُصحِّحْ منها إلّادليلَينِ أو ثَلاثةً ، و طَعَنَ علَى الباقي و زَيَّفَه؛ فإن كانَ علىٰ أصحابِنا عَيبٌ بأن ذَكَروا في فَسادِ الاختيارِ شَيئاً لا يَلزَمُ عند التحقيقِ و التفتيشِ ، فهذا العَيبُ لازمٌ لخُصومِهم فيما هو أعظَمُ مِن بابِ الاختيارِ و أفخَمُ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جميع أصحابنا القائلين بالنصّ يذهبون إلى الموافاة، و إلى أنّ مَنْ مات على كفره لا يجوز أن يتقدّم منه 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الشريفُ المرتضى جوابَ الشيعة حول ما قيل من أنّ إسلام أمير المؤمنين عليه السلام لم يكن عن معرفةٍ و يقين و ذلك لصغر سنّه، فقال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أجابَت الشيعةُ عن هذه الشُّبهةِ، و بَيَّنوا أنّ الأمرَ في سِنِّه عليه السلامُ كانَ بخِلافِ ما ظَنَّه الأعداءُ، و أنّه كانَ في تلكَ الحالِ ممّن يَتناوَلُه التكليفُ، و تَصِحُّ منه المَعارِفُ؛ و بَيَّنوا ذلكَ بالرجوعِ إلىٰ تأريخِ وَفاتِه و مَبلَغِ سِنِّه عندَها، و أنّ اعتبارَ ذلكَ يَشهَدُ بأنّ سِنَّه عليه السلامُ لَم تَكُن في ابتداءِ الدعوةِ صَغيرةً بحَيثُ لا يَصِحُّ معها المَعرفةُ، و أَوضَحوا ذلكَ بتَمدُّحِه عليه السلامُ في مَقامٍ بَعدَ مَقامٍ، و مَقالٍ بَعدَ مَقالٍ ، و افتخارِه بأنّه أسبَقُ الناسِ إسلاماً، و إيرادِه ذلكَ بألفاظٍ مُختَلِفةٍ ؛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 إنّي لا </w:t>
      </w:r>
    </w:p>
    <w:p>
      <w:pPr>
        <w:pStyle w:val="BookText"/>
        <w:rPr/>
      </w:pPr>
      <w:r>
        <w:rPr>
          <w:rFonts w:ascii="Amiri" w:hAnsi="Amiri" w:eastAsia="Amiri" w:cs="Amiri"/>
          <w:color w:val="111111"/>
          <w:sz w:val="28"/>
          <w:sz w:val="28"/>
          <w:szCs w:val="28"/>
          <w:rtl w:val="true"/>
          <w:lang w:bidi="ar-SA"/>
        </w:rPr>
        <w:t>أَعرِفُ عبداً عَبَدَكَ مِن هذه الأُمّةِ قَبلي، غيرَ نَبيِّها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لمّا شاجَرَه عُثمانُ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خَيرٌ منكَ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منكَ و منهُما؛ عَبَدتُ اللّٰهَ قَبلَهما، و عَبَدتُه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النبيِّ صَلَّى اللّٰهُ عليه و آلِه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أقدَمَهم سِلماً، و أوسَعَهم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ممّا يَدُلُّ علىٰ أنّ إيمانَه إيمانُ البالغينَ العارفينَ ؛ و لَولا ذلكَ لَما تَمدَّحَ به وافتَخَرَ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حول مسألة إنفاق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 أصحابُنا في الكلامِ علىٰ نفقةِ أبي بَكرٍ و ادّعاءِ يَسارِه، أنّه كانَ مُملِقاً غيرَ موسِرٍ؛ و دَلّوا علىٰ ذلكَ مِن حالِه بأشياءَ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يُعلِّمُ الناسَ و يأخُذُ الأجرَ علىٰ تعليمِه، و لَيسَ هذا صَنيعَ الموسِرينَ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يَخيطُ الثيابَ و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معروفاً بالمَسكنةِ و الفَقرِ، و أنّه كانَ يُنادي في كُلِّ يَومٍ علىٰ مائدةِ عبدِ اللّٰهِ بنِ جُدْعانَ بأجرٍ طَفيفٍ ؛ فلَو كانَ أبو بَكرٍ غَنيّاً لَكَفىٰ أباه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حول ما قيل من أنّ أبا بكر صار أمير موسم الحجّ عندما عُزل عن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عُزِلَ عن أداءِ سورةِ بَراءةٍ عُزِلَ عن إمارةِ المَوسِمِ ، و حَجَّ و هو غيرُ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فيهم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عَودِه إلَى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إلَى المَوسِمِ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الأصحابُ أنّ أمير المؤمنين عليه السلام كان هو أمير الموسم في ذلك </w:t>
      </w:r>
    </w:p>
    <w:p>
      <w:pPr>
        <w:pStyle w:val="BookText"/>
        <w:rPr/>
      </w:pPr>
      <w:r>
        <w:rPr>
          <w:rFonts w:ascii="Amiri" w:hAnsi="Amiri" w:eastAsia="Amiri" w:cs="Amiri"/>
          <w:color w:val="111111"/>
          <w:sz w:val="28"/>
          <w:sz w:val="28"/>
          <w:szCs w:val="28"/>
          <w:rtl w:val="true"/>
          <w:lang w:bidi="ar-SA"/>
        </w:rPr>
        <w:t>العام، و أنّ أبا بكر عُزل عن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أحد ما تأوّل الأصحاب به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يورَث ما تركه للصدقة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الشريفُ المرتضى أنّ مَن لم يسلّم مِن أصحابنا بأنّ النبيّ صلّى اللّٰه عليه و آله استخلف أبا بكر، و لا أمر أحداً باستخلافه على جملةٍ و لا تفصيل، يورد الطعن التالي،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رسول اللّٰه صلّى اللّٰه عليه و آله لم يستخلفه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حول قصّة الشهادة على المغيرة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بعضُ أصحابِنا يَقولُ في قِصّةِ المُغيرةِ شَيئاً طَيِّباً، و هو مُعتَمَدٌ في بابِ الحُجّةِ؛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إنّما امتَنَعَ مِن التصريحِ بالشهادةِ المطلوبةِ في الزنىٰ، و قد شَهِدَ أنّه شاهَدَه بَينَ شُعَبِها الأربَعِ ، و سَمِعَ نَفَساً عالياً، فقَد صَحَّ علَى المُغيرةِ بشَهادةِ الأَربَعِ جلوسُه منها مَجلِسَ الفاحشةِ إلىٰ غيرِ ذلكَ مِن مُقدِّماتِ الزنىٰ و أسبابِه، فَألّا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جَلدِ الثلاثةِ تعزيرَ هذا الذي قد صَحَّ عندَه بشَهادةِ الأربَعِ ما صَحَّ مِن الفاحشةِ ؛ تَعريكَ أُذُنٍ أو ما يَجري مَجراه مِن خَفيفِ التعزيرِ و يَسيرِه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في العدولِ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كَفَّ عن لَومِه و توبيخِه و الاستخفافِ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ذَكروه مِن السببِ الذي يَشهَدُ الحالُ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الشريفُ المرتضى عن بعض الأصحاب سبب دخول أمير المؤمنين عليه السلام في الشورى، فقال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أصحابِنا القائلينَ بالنصِّ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إنّما دَخَلَ في الشورىٰ لتجويزِه أن يَنالَ الأمرَ منها، و عليه أن يَتوصَّلَ إلىٰ ما يَلزَمُه القيامُ به بكُلِّ وجهٍ يَظُنُّ أنّه يوصِلُ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134" w:name="pg20044_770692"/>
    </w:p>
    <w:p>
      <w:pPr>
        <w:pStyle w:val="BookText"/>
        <w:rPr/>
      </w:pPr>
      <w:bookmarkEnd w:id="134"/>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الشريفُ المرتضى إلى أنّ بعض الأصحاب كانوا يذهبون إلى أنّ الزبير رجعَ عن الحرب بعد تذكير أمير المؤمنين عليه السلام له بقول الرسول صلّى اللّٰه عليه و آله، و جعلوا ذلك ذريعة إلى القول بتوبته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828366_2320776876"/>
      <w:bookmarkStart w:id="136" w:name="_Toc48"/>
      <w:bookmarkEnd w:id="135"/>
      <w:r>
        <w:rPr>
          <w:rtl w:val="true"/>
        </w:rPr>
        <w:t>الأعمال التي دارت حول الشافي</w:t>
      </w:r>
      <w:bookmarkEnd w:id="136"/>
    </w:p>
    <w:p>
      <w:pPr>
        <w:pStyle w:val="BookText"/>
        <w:rPr/>
      </w:pPr>
      <w:r>
        <w:rPr>
          <w:rFonts w:ascii="Amiri" w:hAnsi="Amiri" w:eastAsia="Amiri" w:cs="Amiri"/>
          <w:color w:val="111111"/>
          <w:sz w:val="28"/>
          <w:sz w:val="28"/>
          <w:szCs w:val="28"/>
          <w:rtl w:val="true"/>
          <w:lang w:bidi="ar-SA"/>
        </w:rPr>
        <w:t>تقدّم أنّ العلماء أولوا اهتماماً خاصّاً بكتاب الشافي، فقاموا بالنقل منه و الإرجاع إليه في كتبهم على مرّ القرون، و إضافة إلى ذلك فقد تنوّعت الأعمال التي دارت حول الكتاب، من تلخيصٍ و تحشيةٍ و تعليق، و حتّى ردّ، و هذا يدلّ علىٰ أهمّية الكتاب، و وقوعه محلاًّ للاهتمام حتّىٰ عند المخالفين، فإن الردّ على كتاب يدلّ على أهمّيّته و خطورته لدى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استعراض الأعمال التي دارت حول الشافي بوجوهها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الشافي، لأبي الحسين البصري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هذا النقض في حياة الشريف المرتضى، فقد كان معاصراً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أهمّيّة الشافي و خطورته و جدّيّة إشكالاته حدت بالبصري إلى أن يكتب نقضاً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النقض مفقودٌ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أبي الحسين البصري في نقض الشافي، لأبي يعلى سلّار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فيه بالردّ على ما ذكره أبو الحسين البصري من إشكالات و ردود على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الشريف المرتضى نفسه أمر سلّاراً بنقض نقض الشافي</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النقض مفقودٌ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تلخيص الشافي،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البحث عنه في الفصل الثالث من هذه المقدّمة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المحيط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بن الحسين بن محمّد الديلمي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المحيط بالإمامة بمناقشة بعض آراء الشريف المرتضى المطروحة في الشافي، مثل أفضليّة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بيان أنّ القرآن بحاجة إلى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وجوب أن يكون الإمام عالماً بجميع الأحكام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نقل ثلاث روايات عن الواقدي مذكورة بعينها و بنفس الترتيب في الشافي، فلعله استفادها منه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يلتزم المؤلّف بنقل نصّ كلام الشريف المرتضى، بل اكتفى عادةً بالنقل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يدلّ على وقوع الشافي بأيدي الزيديّة، و اهتمامهم بالردّ عليه، و ربما الاستفادة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تعرّض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نهج البلاغة إلى حجم كبير من إشكالات الشريف المرتضى على القاضي، فقام بنقد ما ذكره الشريف المرتضى ورَدَّ عليه، لكن مع الحفاظ الكامل على أخلاق البحث، و احترام الشريف المرتضى و تبجيله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نعلم هل كان ابن أبي الحديد يعتمد في نقده على ما كتبه أبو الحسين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على الشافي، فإنّ ردّ الأخير ليس بحوزتنا حتّى نحكم بذلك، لكنّه غير مستبعد، خاصّة و أنّه من المحتمل أنّ نسخة ردّ البصري كانت ما زالت موجودة في عصر ابن أبي الحديد، فقد قال أحد علماء الإماميّة المعاصرين لابن أبي الحديد و هو السيّد أحمد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p>
    <w:p>
      <w:pPr>
        <w:pStyle w:val="BookText"/>
        <w:rPr/>
      </w:pPr>
      <w:r>
        <w:rPr>
          <w:rFonts w:ascii="Amiri" w:hAnsi="Amiri" w:eastAsia="Amiri" w:cs="Amiri"/>
          <w:color w:val="111111"/>
          <w:sz w:val="28"/>
          <w:sz w:val="28"/>
          <w:szCs w:val="28"/>
          <w:rtl w:val="true"/>
          <w:lang w:bidi="ar-SA"/>
        </w:rPr>
        <w:t>ردّه على العثمانية للجاحظ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عرض لي مع صاحب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كلفةٍ قد لا يحصل مثلها لنقض نقض كتاب المشجّر مع عظماء المعتزلة، كالجبّائي و أعيان من جماعته، و أبي الحسين البصري في الردّ على السيّد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الحاذق المبرّز في صناعته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هاتيك المباحث يجتمع لها العقل فيصادمها صِدام الكتائب، و يصارمها صِرام فوارس المقانب، و هذه المباحث مهينة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يظهر من هذه العبارة أنّ ردّ البصري كان موجوداً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أهمّ المواطن التي قام ابن أبي الحديد بمناقشتها هي المطاعن الموجّهة إلى الخلفاء الثلاثة، لكنّه فرّق بين عثمان من جهةٍ ، و أبي بكر و عمر من جهةٍ أُخرى، فقد نقل بالتفصيل ما ذكره القاضي من دفاع عن المطاعن الموجّهة إلى عثمان، و جواب الشريف المرتضى عليها</w:t>
      </w:r>
      <w:r>
        <w:rPr>
          <w:rStyle w:val="FootnoteAnchor"/>
          <w:rtl w:val="true"/>
        </w:rPr>
        <w:footnoteReference w:id="159"/>
      </w:r>
      <w:r>
        <w:rPr>
          <w:rFonts w:ascii="Amiri" w:hAnsi="Amiri" w:eastAsia="Amiri" w:cs="Amiri"/>
          <w:color w:val="111111"/>
          <w:sz w:val="28"/>
          <w:sz w:val="28"/>
          <w:szCs w:val="28"/>
          <w:rtl w:val="true"/>
          <w:lang w:bidi="ar-SA"/>
        </w:rPr>
        <w:t>، ثمّ اكتفى بالردّ على الشريف المرتضى بردٍّ إجمالي، و أحال تفصيل الجواب إلى الكتب المطوّلة لأصحابه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عندما تعرّض إلى مطاعن أبي بكر و عمر، لم يكتفِ بنقل دفاع القاضي و إشكالات الشريف المرتضى، بل قام بمناقشة تلك الإشكالات بالتفصيل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يمكنّا هنا التعرّض لجواب إشكالات ابن أبي الحديد على الشريف المرتضى، و ذلك لأنّه كان سيؤدّي بنا إلى تطويل الكلام بما لا يتناسب مع هذه المقدّمة، و لكن نكتفي بنقل كلامٍ له استوقَفَنا، و كان مبعثاً لنا على الدهشة، فقد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كلامه حول موقف عمر بعد وفاة الرسول صلّى اللّٰه عليه و آله، و إنكاره لموته مع ظهور موته و قيام القرائن الواضحة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غريباً فيه شيءٌ من السخريّة،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أوّل مَن سنّ لأهل الغَيبة من الشيعة القولَ بأنّ الإمام لم يمت و لم يقتل، و إن كان في الظاهر و في مرأى العين قد قتل أو مات، إنّما هو عمر، و لقد كان يجب على المرتضى و طائفته أن يشكروه على ما أسّس لهم من هذا الاعتقاد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ليت شعري متى اعتقد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منهم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إمامٍ كان في الظاهر و في مرأى العين قد قتل أو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مع المخالفين لإمامة الإمام المهدي عليه السلام و غيبته يدور حول ولادته و عدمها، لا حول قتله و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عجائب كلام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الكلام ينطبق على الواقفة من الشيعة الذين اعتقدوا بغيبة الإمام موسى بن جعفر عليهما السلام، مع كونه قد قتل و مات في مرأى العين، و الشريف المرتضى ليس من هذه الفرقة، و هو بريءٌ منهم، فكيف يَشكر عمرَ على أمرٍ لا يؤمن به من الأساس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مقدار ما تعرّض له ابن أبي الحديد لكتاب الشافي قد يستوعب مجلداً كاملاً من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الكثير من نصوص الشافي، حتّى قد استُعين في هذا التحقيق الجديد للشافي بشرح نهج البلاغة، و اعتُبر إحدى النسخ المعتمدة في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ارتشاف الصافي من سلاف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بهاء الدين محمّد بن محمّد باقر الحسيني المختاري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 فيه مطالب</w:t>
      </w:r>
    </w:p>
    <w:p>
      <w:pPr>
        <w:pStyle w:val="BookText"/>
        <w:rPr/>
      </w:pPr>
      <w:r>
        <w:rPr>
          <w:rFonts w:ascii="Amiri" w:hAnsi="Amiri" w:eastAsia="Amiri" w:cs="Amiri"/>
          <w:color w:val="111111"/>
          <w:sz w:val="28"/>
          <w:sz w:val="28"/>
          <w:szCs w:val="28"/>
          <w:rtl w:val="true"/>
          <w:lang w:bidi="ar-SA"/>
        </w:rPr>
        <w:t>الشافي بحذف المطالب المكرّرة و الزائدة، و لم يتصرّف بالأصل، و أمّا تعليقاته فكان يضيفها إلى الهامش كي لا يتصرّف بالمتن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كلام القاضي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جواب الشريف المرتضى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لم يلتزم دائماً بوضع هذين الرمزين إلّا في بدايات الكتاب و شيءٍ يسيرٍ من أواخر المخطوطة التي بأيدينا، لكنّه ترك فراغاً في الأماكن التي لم يضع فيها الرمزين، لعلّه كان يريد أنْ يملأها فيما بعد، لكنّه لم يوفّق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السيّد بهاء الدين محمّد الحسيني في مقدّمة كتابه بالتعريف بما قام به حيث قال متحدّثاً عن كتاب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مؤلّفه السيّد السند الأجلّ ، الأيّد المؤيّد الأفضل، لسان الشيعة، و برهان الشريعة، حجّة الإسلام، و علم الأعلام، علم الهدى، قمر الدجى، سلالة آل الرسول، قرّة عين البتول، سيف اللّٰه المنتضى، السيّد عليّ بن الحسين المرتضى، رضي اللّٰه عنه و أرضاه، و زاد على منتهى رضاه، قد بذل جهده فيه، في ما يُثبته و ينفيه</w:t>
      </w:r>
      <w:r>
        <w:rPr>
          <w:rStyle w:val="FootnoteAnchor"/>
          <w:rtl w:val="true"/>
        </w:rPr>
        <w:footnoteReference w:id="163"/>
      </w:r>
      <w:r>
        <w:rPr>
          <w:rFonts w:ascii="Amiri" w:hAnsi="Amiri" w:eastAsia="Amiri" w:cs="Amiri"/>
          <w:color w:val="111111"/>
          <w:sz w:val="28"/>
          <w:sz w:val="28"/>
          <w:szCs w:val="28"/>
          <w:rtl w:val="true"/>
          <w:lang w:bidi="ar-SA"/>
        </w:rPr>
        <w:t>، و بالغ فبلغ الغاية، و انتهى إلى منتهى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إلّاأنّه يشتمل على تكريرات و زوائد، و تطويلات غرقت فيها ما فيه من الفوائد، و لذلك لا يَنتفع منه إلّاواحد بعد واحد، و لا تَنتظم فرائده لكلّ واجد، فإنّ التطويل يُمِلُّ بعضَ الأفهام، و يُخِلُّ ببعض الإفهام، و إذا ابتلي الناظر بالتكرير أهمّه 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فصرفتُ همّتي نحو اختصاره، و تلخيص فوائد بتقصاره، بحذف الزوائد، و قصر الفوائد، و ترك المعارضات اللفظيّة، و المناقشات الأجنبيّة، مقتصراً على المقاصد، و تقريبها إلى القاصد، مصدّراً بقيل قولَ القاضي الجهول، </w:t>
      </w:r>
    </w:p>
    <w:p>
      <w:pPr>
        <w:pStyle w:val="BookText"/>
        <w:rPr/>
      </w:pPr>
      <w:r>
        <w:rPr>
          <w:rFonts w:ascii="Amiri" w:hAnsi="Amiri" w:eastAsia="Amiri" w:cs="Amiri"/>
          <w:color w:val="111111"/>
          <w:sz w:val="28"/>
          <w:sz w:val="28"/>
          <w:szCs w:val="28"/>
          <w:rtl w:val="true"/>
          <w:lang w:bidi="ar-SA"/>
        </w:rPr>
        <w:t>تعبيراً عن جهول بمجهول، و بالجواب قولَ صاحب الكتاب</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ثمّ اختصرتُ في الرسم و الرقيم، و اكتفيتُ عن اللفظين بحرفَي القاف و الجيم، و لم أزد على كلامه؛ حفظاً لمزاجه المعتدل عن بارد كلامي، و صوناً لمرامه المتّصل عن الفصل بمرامي، فإنْ ناسب المزيد، و أردتُ أن أزيد، ذكرتُ الزوائد في الحواشي، لتكون للأصل كالمُزيّن الواشي؛ جمعاً بين الاختصار و الاعتبار، و تحرّزاً عن الفوات و الانتشار، و ربّما أزيد كلمة أو كلاماً على كلامه؛ دفعاً عنه، و إصلاحاً لمرامه، و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ارتشاف الصافي من سلاف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النسخة الوحيدة الموجودة لهذا المختصر هي نسخة بخطّ المؤلّف كما نصّ على ذلك المحقّق الطهراني</w:t>
      </w:r>
      <w:r>
        <w:rPr>
          <w:rStyle w:val="FootnoteAnchor"/>
          <w:rtl w:val="true"/>
        </w:rPr>
        <w:footnoteReference w:id="165"/>
      </w:r>
      <w:r>
        <w:rPr>
          <w:rFonts w:ascii="Amiri" w:hAnsi="Amiri" w:eastAsia="Amiri" w:cs="Amiri"/>
          <w:color w:val="111111"/>
          <w:sz w:val="28"/>
          <w:sz w:val="28"/>
          <w:szCs w:val="28"/>
          <w:rtl w:val="true"/>
          <w:lang w:bidi="ar-SA"/>
        </w:rPr>
        <w:t>، و هي محفوظة في مكتبة السيّد المرعشي النجفي، و تحمل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 تحتوي على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كلّ صفحة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و هي بلا تاريخ</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رفع عليّاً مكاناً عليّاً، و ارتضاه لنبيّه وصيّاً، و لنفسه وليّاً،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قرَّبه و قرَّبه نجيّاً، فسمّاه باسمه و لم يجعل له من قبلُ 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آخرها فقد سقط منها عدد غير معلوم من الصفحات، فهي تنتهي عند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فأصبحتَ مولاها من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أحرى قريشٍ أن تُهاب وتُحمدا</w:t>
      </w:r>
    </w:p>
    <w:p>
      <w:pPr>
        <w:pStyle w:val="BookText"/>
        <w:rPr/>
      </w:pPr>
      <w:r>
        <w:rPr>
          <w:rFonts w:ascii="Amiri" w:hAnsi="Amiri" w:eastAsia="Amiri" w:cs="Amiri"/>
          <w:color w:val="111111"/>
          <w:sz w:val="28"/>
          <w:sz w:val="28"/>
          <w:szCs w:val="28"/>
          <w:rtl w:val="true"/>
          <w:lang w:bidi="ar-SA"/>
        </w:rPr>
        <w:t>و قال أيضاً في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أعطاكم اللّٰه جَدَّاً تنصرون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 إلا صغيرٌ بعدُ محتقرُ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تأشروا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تنقطع النسخة، و يبقى البيت الأخير ناقصاً بسبب سقوط صفحات كثيرة، فإنّ هذا الموضع الذي تنتهي به المخطوطة يساوي ما يقارب نصف الشافي، و أمّا النصف الآخر فقد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نحتمل أنّ المؤلّف قد وُفق لإكمال الكتاب ولكن النصف الثاني قد سقط من المخطوطة، و ذلك لأنّه جاء على غلافها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فهرست ما في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ارتشاف الصافي من سلاف الشافي، و كتاب في أنساب العلويّين، و كان المؤلّف من علماء المائة السادسة</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هذه العبارة أنّ كتاب الارتشاف كان كاملاً، و إلّا لو كان ناقصاً لكان أُشير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الصافي من رغوة الشافي، للسيد بهاء الدين محمّد الحسيني المختاري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تلخيصٌ آخر للشافي، لكنّه أخصر من الارتشاف، فقد اقتصر فيه على أُصول مقاصد الشافي، من دون تصريحٍ باعتراض و جواب القاضي و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هذا التلخيص محفوظة كذلك في مكتبة السيّد المرعشي، و هي بخطّ المؤلّف أيضاً، كما جاء في رسالةٍ كتبها السيّد المرعشي إلى المحقّق صاحب الذريعة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في أعلى صفحة الغلاف من نسخة كتاب الارتشاف المتقدّم الذكر عبارة للمؤلّف قد سقط شيءٌ من أوائلها و أواسطها بسبب أعمال ترميم المخطوطة، و لكن بقي منها مطالب مفهومة، أشار فيها المؤلّف إلى كتابه صفوة الصافي، حيث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كتاباً آخر أخصر من الارتشاف، مشتمل على أُصول مقاصد الشافي و دلايله، و بعض شُبَه الخصوم، من غير</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 القاضي؛ ليكون متناً </w:t>
      </w:r>
      <w:bookmarkStart w:id="137" w:name="pg20044_770699"/>
    </w:p>
    <w:p>
      <w:pPr>
        <w:pStyle w:val="BookText"/>
        <w:rPr/>
      </w:pPr>
      <w:bookmarkEnd w:id="137"/>
      <w:r>
        <w:rPr>
          <w:rFonts w:ascii="Amiri" w:hAnsi="Amiri" w:eastAsia="Amiri" w:cs="Amiri"/>
          <w:color w:val="111111"/>
          <w:sz w:val="28"/>
          <w:sz w:val="28"/>
          <w:szCs w:val="28"/>
          <w:rtl w:val="true"/>
          <w:lang w:bidi="ar-SA"/>
        </w:rPr>
        <w:t>وجيزاً، و أسمّيه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الصافي من رغوة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توجد هناك نسخةٌ معروفةٌ لهذا المختصر، و حتّى فهارس مكتبة السيّد المرعشي خاليةٌ منه، إلّاأنّ السيّد المرعشي صرّح كما تقدّم بأنّها موجودة عنده، و الظاهر أنّها لم تُفهرس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أمل أن تتمّ فهرستها و التعرّف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الأُولى لرئيس العلماء المولى حسين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كان حيّاً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ثلاث حواشٍ على الشافي على غاية التحقيق و التدقيق</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الثانية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الثالثة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المولى محمّد رفيع بن فرج اللّٰه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أوائل الشافي للمولى محمّد شفيع بن المولى محمّد عليّ بن أحمد بن كمال الدين حسين الإسترآبادي، و هو سبط الشيخ الملّا محمّد تقي المجلسي</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طبعت هذه الحاشية في هامش هذا التحقيق من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غير معلومة المؤلّف، لكن أكثرها تحمل 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هذه الحواشي توجد في مخطوطة مكتبة جامعة طهران، برقم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طبعت هذه الحواشي في هامش هذا التحقيق الجديد من الشافي و رُمز إلىٰ نسختها بالرمز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828368_2320776876"/>
      <w:bookmarkStart w:id="139" w:name="_Toc49"/>
      <w:bookmarkEnd w:id="138"/>
      <w:r>
        <w:rPr>
          <w:rtl w:val="true"/>
        </w:rPr>
        <w:t>رسائل جامعيّة حول الشافي</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تطبيقي ادلۀ عقلي و نقلي امامت از ديدگاه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جججج دراسة مقارنة للأدلّة العقليّة و النقليّة على الإمامة من منظار الشريف</w:t>
      </w:r>
    </w:p>
    <w:p>
      <w:pPr>
        <w:pStyle w:val="BookText"/>
        <w:rPr/>
      </w:pPr>
      <w:r>
        <w:rPr>
          <w:rFonts w:ascii="Amiri" w:hAnsi="Amiri" w:eastAsia="Amiri" w:cs="Amiri"/>
          <w:color w:val="111111"/>
          <w:sz w:val="28"/>
          <w:sz w:val="28"/>
          <w:szCs w:val="28"/>
          <w:rtl w:val="true"/>
          <w:lang w:bidi="ar-SA"/>
        </w:rPr>
        <w:t>المرتضى في كتابه 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سميّة الخليلي الآشتياني، كلّية علوم الحديث في طهران،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تطبيقي ديدگاه سيد مرتضى و قاضي عبد الجبّار در مساله امامت با محوريت كتاب الشافي و المغني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جججج قراءة مقارنة لآراء الشريف المرتضى و القاضي عبد الجبّار في مسألة الإمامة، في كتاب الشافي و المغني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سعيدي بور، رسالة السطح الرابع في الحوزة العلمية،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امامت از نظر سيد مرتضى و 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جججج الإمامة من منظار السيّد المرتضى و 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إبراهيم الصابري، الجامعة الرضوية للعلوم الإسلامية،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حقيقت امامت و اوصاف امام از منظر قاضي عبد الجبّار و سيد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الإمامة و أوصاف الإمام من منظار القاضي عبد الجبّار 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أصغر حديدي، جامعة المعارف الإسلامية،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از ديدگاه سه مكتب كلامي ناظر بر آراء عبد الجبّار معتزلي، شهرستاني 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جججج المعجزة من منظار ثلاث مدارس كلاميّة، من خلال التركيز علىٰ آراء عبد الجبّار المعتزلي و الشهرستاني و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درويشي قنبر، جامعة العلّامة الطباطبائي،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مقايسه عقل كلامي و فلسفي بر بحث مبدأ شناسي از نظر سيد مرتضى، قاضي عبد الجبّار، و محقّق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جججج مقارنة العقل الكلامي و الفلسفي في بحث معرفة المبدأ من منظار السيّد المرتضى و القاضي عبد الجبّار و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مصطفى سلطاني، جامعة باقر العلوم عليه السلام،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 عقل و فهم در تبيين آموزه هاي ديني، بررسي تطبيقي قاضي عبد الجبّار و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جججج دور العقل في تبيين العقائد الدينية، دراسة مقارنة بين القاضي عبد </w:t>
      </w:r>
      <w:bookmarkStart w:id="140" w:name="pg20044_770701"/>
    </w:p>
    <w:p>
      <w:pPr>
        <w:pStyle w:val="BookText"/>
        <w:rPr/>
      </w:pPr>
      <w:bookmarkEnd w:id="140"/>
      <w:r>
        <w:rPr>
          <w:rFonts w:ascii="Amiri" w:hAnsi="Amiri" w:eastAsia="Amiri" w:cs="Amiri"/>
          <w:color w:val="111111"/>
          <w:sz w:val="28"/>
          <w:sz w:val="28"/>
          <w:szCs w:val="28"/>
          <w:rtl w:val="true"/>
          <w:lang w:bidi="ar-SA"/>
        </w:rPr>
        <w:t>الجبّار 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هاشم، مؤسسة الإمام الخميني،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بررسي تبيين عقلاني ضرورت امامت عامه از ديدگاه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فارابي و ملا صدرا، و 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شيخ مفيد،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جججج نقد و دراسة التبيين العقلي لوجوب الإمامة العامّة من منظار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الفارابي و الملا صدرا، و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المرتضى، و الشيخ المفيد، و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صادق علي بور، مؤسسة الإمام الخميني،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الإمامة في مذهب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مقارنة في نظرية الإمامة عند الشريف المرتضى و القاضي عبد الجبّار، علي بلوط، جامعة القديس يوسف، كلّية الآداب و العلوم الإنسانية،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الإمامة عند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ضياء عبد الحسين عبد المياحي، كلية الآداب في الجامعة المستنصرية،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828370_2320776876"/>
      <w:bookmarkStart w:id="142" w:name="_Toc50"/>
      <w:bookmarkEnd w:id="141"/>
      <w:r>
        <w:rPr>
          <w:rtl w:val="true"/>
        </w:rPr>
        <w:t>طبعات الشافي</w:t>
      </w:r>
      <w:bookmarkEnd w:id="142"/>
    </w:p>
    <w:p>
      <w:pPr>
        <w:pStyle w:val="BookText"/>
        <w:rPr/>
      </w:pPr>
      <w:r>
        <w:rPr>
          <w:rFonts w:ascii="Amiri" w:hAnsi="Amiri" w:eastAsia="Amiri" w:cs="Amiri"/>
          <w:color w:val="111111"/>
          <w:sz w:val="28"/>
          <w:sz w:val="28"/>
          <w:szCs w:val="28"/>
          <w:rtl w:val="true"/>
          <w:lang w:bidi="ar-SA"/>
        </w:rPr>
        <w:t>طبع الشافي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طبعة حجريّة مع تلخيص الشافي، في طهران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طبعة محقّقة في أربعة أجزاء، طبعت في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بتحقيق السيّد عبد الزهراء الحسينيّ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مقدّمة التحقيق في دمشق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مراجعة السيّد فاضل الميلاني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المحقّق بمقابلة الأجزاء الثلاثة الأُولى مع الطبعة الحجريّة و مخطوطة واحدة محفوظة في مكتبة السيّد المرعشي، يرجع تاريخها إلى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ذلك لعدم توفّر مخطوطات أُخرى لديه في البداية، و بعد ذلك تمكّن من العثور على أربع مخطوطات أُخرى، فقابلها مع الجزء الرابع و الأخير من الشافي فقط، و لم يتمكّن من مقابلتها مع الأجزاء الأُخرى، بسبب إرساله تلك الأجزاء إلى مَن يقدّمها للنشر</w:t>
      </w:r>
      <w:r>
        <w:rPr>
          <w:rFonts w:eastAsia="Amiri" w:cs="Amiri" w:ascii="Amiri" w:hAnsi="Amiri"/>
          <w:color w:val="111111"/>
          <w:sz w:val="28"/>
          <w:szCs w:val="28"/>
          <w:rtl w:val="true"/>
          <w:lang w:bidi="ar-SA"/>
        </w:rPr>
        <w:t xml:space="preserve">. </w:t>
      </w:r>
      <w:bookmarkStart w:id="143" w:name="pg20044_770702"/>
    </w:p>
    <w:p>
      <w:pPr>
        <w:pStyle w:val="BookText"/>
        <w:rPr/>
      </w:pPr>
      <w:bookmarkEnd w:id="143"/>
      <w:r>
        <w:rPr>
          <w:rFonts w:ascii="Amiri" w:hAnsi="Amiri" w:eastAsia="Amiri" w:cs="Amiri"/>
          <w:color w:val="111111"/>
          <w:sz w:val="28"/>
          <w:sz w:val="28"/>
          <w:szCs w:val="28"/>
          <w:rtl w:val="true"/>
          <w:lang w:bidi="ar-SA"/>
        </w:rPr>
        <w:t xml:space="preserve">و قد أُعيدت طباعة هذا التحقيق بالأُوفسيت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المفيد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تكرّر نشره من قبل ناشرين آخرين، كما طبع أخيراً في بيروت من قبل مؤسّسة التاريخ العربي في ضمن موسوعة الشريف المرتضى،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28372_2320776876"/>
      <w:bookmarkStart w:id="145" w:name="_Toc51"/>
      <w:bookmarkEnd w:id="144"/>
      <w:r>
        <w:rPr>
          <w:rtl w:val="true"/>
        </w:rPr>
        <w:t>وصيّة الشريف المرتضى لقارئ كتابه</w:t>
      </w:r>
      <w:bookmarkEnd w:id="145"/>
    </w:p>
    <w:p>
      <w:pPr>
        <w:pStyle w:val="BookText"/>
        <w:rPr/>
      </w:pPr>
      <w:r>
        <w:rPr>
          <w:rFonts w:ascii="Amiri" w:hAnsi="Amiri" w:eastAsia="Amiri" w:cs="Amiri"/>
          <w:color w:val="111111"/>
          <w:sz w:val="28"/>
          <w:sz w:val="28"/>
          <w:szCs w:val="28"/>
          <w:rtl w:val="true"/>
          <w:lang w:bidi="ar-SA"/>
        </w:rPr>
        <w:t>مما يميّز أصحاب المدارس و الأفكار الكبيرة عن غيرهم هو تمتّعهم بقدرٍ كبير من الثقة بالنفس و الاعتداد بها؛ و ذلك يرجع إلى اتّباعهم الدليل و البرهان، و عدم تعويلهم على الظنون و الأوهام و الاحتمالات، فهم يتّبعون الدليل أينما وجّههم، لا يميلون عنه، و لا يتجاهلونه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منحهم هذا التوجّه صفة الإنصاف و التسليم أمام الدليل مهما كان، و نبذ تقليد الآخرين و السير ورائهم لا على هدى، و لذلك يقوم أمثال هؤلاء الأشخاص بتشجيع أتباعهم و من يقرأ أفكارهم على عدم الإيمان بكلّ ما يقولون من دون معرفة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الشريف المرتضى أحد أبرز هذه الشخصيّات، فقد أقسم على قارئ كتابه الشافي بأن لا يقبل كلّ ما جاء فيه من نظريّات و آراء من دون ملاحظة الدليل على ذلك، فقد قال في 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الآنَ قاطعونَ كتابَنا هذا علىٰ هذا المَوضِعِ ؛ لوَفائنا بما شَرَطناه و قَصَدناه، و لَم نألُ جُهداً و تَحرّياً للحَقِّ فيما اشتَمَلَ عليه هذا الكتابُ مِن كلامِنا، بحَسَبِ ما بَلَغَه أفهامُنا، و اتَّسَعَت له طاقتُنا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نُقسِمُ علىٰ مَن تَصفَّحَه و تأمَّلَه أن لا يُقلِّدَنا في شَيءٍ منه، و أن لا يَعتَقِدَ في شَيءٍ ممّا ذَكرناه إلّاما صَحَّ في نفسِه بالحُجّةِ ، و قامَت عليه عندَه الأدِلّةُ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كرّر هذه الوصيّة في خاتمة كتابٍ آخر من كتبه و هو كتاب الذخيرة،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نقسم باللّٰه تعالى على مَن تأمّله أن لا يقلّدنا في شيءٍ من مذاهبه أو أدلّته، و يُحسن الظنّ بنا، فيُلقي النظرَ و التصفّحَ و التأمّلَ ؛ تعويلاً على أنّا قد كفيناه ذلك، و أرحناه بما تكلّفناه من تعبه و نصبه، بل يَنظر في كلّ شيءٍ نظرَ المستفتِح المبتدِيء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الوصيّة للقاريء تدلّ على الحجم الكبير من الإنصاف و الاحتراف العلمي الذي كان تتمتّع به شخصيّة كبيرة مثل الشريف المرتضى، ممّا منح أفكارَها و أثرَها البقاءَ على مدى قرون</w:t>
      </w:r>
      <w:r>
        <w:rPr>
          <w:rFonts w:eastAsia="Amiri" w:cs="Amiri" w:ascii="Amiri" w:hAnsi="Amiri"/>
          <w:color w:val="111111"/>
          <w:sz w:val="28"/>
          <w:szCs w:val="28"/>
          <w:rtl w:val="true"/>
          <w:lang w:bidi="ar-SA"/>
        </w:rPr>
        <w:t xml:space="preserve">. </w:t>
      </w:r>
      <w:bookmarkStart w:id="146" w:name="pg20044_770704"/>
    </w:p>
    <w:p>
      <w:pPr>
        <w:pStyle w:val="Heading2"/>
        <w:numPr>
          <w:ilvl w:val="1"/>
          <w:numId w:val="1"/>
        </w:numPr>
        <w:rPr/>
      </w:pPr>
      <w:bookmarkStart w:id="147" w:name="__RefHeading___Toc828374_2320776876"/>
      <w:bookmarkStart w:id="148" w:name="_Toc52"/>
      <w:bookmarkEnd w:id="146"/>
      <w:bookmarkEnd w:id="147"/>
      <w:r>
        <w:rPr>
          <w:rtl w:val="true"/>
        </w:rPr>
        <w:t>الفصل الخامس مخطوطات الكتاب و العمل عليه</w:t>
      </w:r>
      <w:bookmarkEnd w:id="148"/>
    </w:p>
    <w:p>
      <w:pPr>
        <w:pStyle w:val="Heading3"/>
        <w:numPr>
          <w:ilvl w:val="2"/>
          <w:numId w:val="1"/>
        </w:numPr>
        <w:rPr/>
      </w:pPr>
      <w:bookmarkStart w:id="149" w:name="__RefHeading___Toc828376_2320776876"/>
      <w:bookmarkStart w:id="150" w:name="_Toc5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للوصول إلى قائمة النسخ الخطّيّة للكتاب في إيران راجعنا أوّلاً إلى الفهرس الجامع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ثمّ إلى سائر الفهارس الجزئيّة التي لم 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للوصول إلى النسخ الخطّيّة في خارج إيران راجعنا الفهارس المرتبطة بسائر البلدان؛ ثمّ انتخبنا من كلّ ما تحصّل تسع نسخ خطّيّة كانت أفضل من غيرها؛ فاعتمدنا عليها في عمليّة التصحيح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نعرّف النسخ المعتمدة عليها بالتفصيل، ثمّ سائر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يقابل و لم يراجع إليها في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بالإجمال</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828378_2320776876"/>
      <w:bookmarkStart w:id="152" w:name="_Toc54"/>
      <w:bookmarkEnd w:id="151"/>
      <w:r>
        <w:rPr>
          <w:rtl w:val="true"/>
        </w:rPr>
        <w:t>الف</w:t>
      </w:r>
      <w:r>
        <w:rPr>
          <w:rtl w:val="true"/>
        </w:rPr>
        <w:t xml:space="preserve">: </w:t>
      </w:r>
      <w:r>
        <w:rPr>
          <w:rtl w:val="true"/>
        </w:rPr>
        <w:t>النسخ المعتمدة</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جامعة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w:t>
      </w:r>
      <w:r>
        <w:rPr>
          <w:rFonts w:ascii="Amiri" w:hAnsi="Amiri" w:eastAsia="Amiri" w:cs="Amiri"/>
          <w:color w:val="111111"/>
          <w:sz w:val="28"/>
          <w:sz w:val="28"/>
          <w:szCs w:val="28"/>
          <w:rtl w:val="true"/>
          <w:lang w:bidi="ar-SA"/>
        </w:rPr>
        <w:t xml:space="preserve">، استنسخت بخطّ النسخ 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قزوين، لم يذكر فيها اسم الناسخ، تشتمل على القسم الثاني من كتاب الشافي،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فلو ثبت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موتي، لكان لا بدّ فيه من شرط، فكأنّه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يا عليّ نبيّاً بعدي إنْ عشت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ينتهي بنهاية كتاب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المخطوطة أقدم مخطوطات كتاب الشافي المؤرّخة، و قال الكاتب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وفّقنا لتمام تسويده في قزوين في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الناسخ صحّح العدد لاحقاً بتبديل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تاريخ استنساخه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صرّح بخطّ آخر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النسخة عدّة تملّكات؛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هو المملوك مالك الملك العليّ ، الأقلّ عبد اللّٰه بن محمّد عليّ بن أحمد بن عليّ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نقش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المالك، من عواري الزمان عند العبد الجاني محمّد مؤمن الحسيني، أوتي كتابه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انتقل إليّ عارية أضعف العباد محمّد المشتهر بابن خاتون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من عواري الزمان عند العبد الجاني بن محمّد كاظم محمّد باقر، عفي عنهما بالنبيّ 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نقش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أختام بيضويّة و مربّعة أُخرىٰ ،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محمّد تقي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الطريف أنّ عنوان الكتاب على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الشافي في نقض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أنّه خطأ من الناسخ، فهو نقض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 العنوان فهرس عدّة كتب عرضت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قوبلت هذه النسخة مع نسخة أُخرىٰ و عليها علامات التصحيح، و ترجمة بعض اللغات المشكلة في الحاشية، و أغلبه من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السيّد المرعشي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5986</w:t>
      </w:r>
      <w:r>
        <w:rPr>
          <w:rFonts w:ascii="Amiri" w:hAnsi="Amiri" w:eastAsia="Amiri" w:cs="Amiri"/>
          <w:color w:val="111111"/>
          <w:sz w:val="28"/>
          <w:sz w:val="28"/>
          <w:szCs w:val="28"/>
          <w:rtl w:val="true"/>
          <w:lang w:bidi="ar-SA"/>
        </w:rPr>
        <w:t>، استنسخت بخطّ</w:t>
      </w:r>
    </w:p>
    <w:p>
      <w:pPr>
        <w:pStyle w:val="BookText"/>
        <w:rPr/>
      </w:pPr>
      <w:r>
        <w:rPr>
          <w:rFonts w:ascii="Amiri" w:hAnsi="Amiri" w:eastAsia="Amiri" w:cs="Amiri"/>
          <w:color w:val="111111"/>
          <w:sz w:val="28"/>
          <w:sz w:val="28"/>
          <w:szCs w:val="28"/>
          <w:rtl w:val="true"/>
          <w:lang w:bidi="ar-SA"/>
        </w:rPr>
        <w:t xml:space="preserve">النستعليق سنة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يذكر فيها اسم الناسخ، و هي نسخة كاملة، كتبت عناوينها بالشنجرف، و كتب عنوان الكتاب عليه بخطٍّ بارز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الشافي في نقض المغني في الإمامة، من مؤلّفات ذي المجدين أبي القاسم السيّد المرتضى علم الهدىٰ عليّ بن الحسين الموسوي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نسخة مصحّحة و عليها علامات التصحيح، و شرح الكلمات المشكلة في الحواشي، و هي في الأغلب منقولة عن القاموس، و الصحاح، و النهاية، و قد ذهبت جملة من هذه الحواشي، و عليها بعض الحواشي برمز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قوبلت مع نسخةٍ أُخرىٰ و أشير إلى مواضع الاختلاف مع سائر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الضبط تعتبر هذه النسخة أهمّ و أصحّ النسخ بالنسبة إلىٰ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النسخة تملّكات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متملّكات الفقير إلى اللّٰه الغنيّ محمّد كاظم بن حبيب اللّٰه التبريزي، عفا اللّٰه عنهما بالنبيّ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انتقل بعد ارتحال المرحوم المشار إليه إلى تراب أقدام المؤمنين محمّد بن عليّ الشهير بابن خاتون العاملي في أواسط سنة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نقش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الواثق بربّه الغنيّ محمّد بن عليّ الشهير بابن خاتون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الكتب التي اشتريتها من دار السلطنة، صانها اللّٰه من حوادث الزمان، و أنا الراجي إلى الملك المنّان، ابن السيّد العلّامة، سميّ آخر الأئمّة، محمّد صادق، و كتبت هذه الأحرف فيها في يوم الأحد، الثاني من ربيع الثاني من السنة الأُولىٰ ، من العشر الرابع، من المائة الثالثة، من الألف الثاني من الهجرة، علىٰ هاجرها آلاف سلام و أكمل تحيّة،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أختام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الراجي داوود بن الحسن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الكاظمين الغيظ و العافين عن الناس، و اللّٰه يحبّ المحسنين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استنسخها بخطّ النسخ محمّد كافي التوني 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كتبت عناوينها بالشنجرف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نسخة كاملة مصحّحة، و عليها علامات المقابلة و التصحيح، و قد شرحت غريب الكلمات في الحاشية من كتب اللغة و هي في الأغلب عن القاموس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النسخة تاريخ شرائها من ورثة المرحوم الميرزا طهماسب مؤيّد الدولة،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تعالىٰ شأنه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شافى ابتياعى از ورثه مرحوم طهماسب ميرزاى مؤيّد الدولة بتاريخ شهر محرم الحرام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كتابخانۀ مباركۀ اقدس ظل اللهى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أكبر بن حسين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عن كتب الصدوق، و دعاء و رجاء كتبها عبد الباقي في دار العلم شيراز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مذكّرة أُخرىٰ كتبها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نقش خاتم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محمّد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رمزناه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استنسخها السيّد علاء الدين بن عماد الدين الحسيني، بخطّ النسخ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مخروم الآخر بمقدار صفحة، و هي نسخة 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السيّد إمام الجمعة الحسيني في زنجان،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استنسخها السيّد شكر اللّٰه بن محمّد الحسيني، و فرغ منها يوم الثلاثاء من العشرة الأُولىٰ من جمادى الأُولىٰ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نسخة مصحّحة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تملّكات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قد سعد بتملّكه في البقعة المباركة،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الغريّ ، زادها اللّٰه شرفاً، أفقر الخلق إلى الحقّ تعالىٰ مكّي بن صالح البحراني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ممّا أنعم اللّٰه تعالىٰ عليّ و أنا أوضع الطلّاب خادم الشرع المستطاب ابن محمّد صالح أبو القاسم عفي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انتقل إليّ و أنا بن محمّد شفيع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نقش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الميرزا محمّد بن الحسن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عظائم منن اللّٰه سبحانه على العبد، و أرجو منه سبحانه بمنّه و فضله أنْ يبلّغني مبالغهم و يلحقني بهم، إنّه علىٰ كلّ شيء قدير، و بالإجابة جدير، الأحقر عزّ الدين الحسيني، و الكتاب بحمد اللّٰه مصحّح غاية التصحيح،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أبيات شعريّة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مركز إحياء الميراث الإسلامي،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 استنسخها عليّ بن سلطان محمّدرضا الزرقاني في المدرسة المقيميّة بشيراز، و فرغ منه يوم الثلاثاء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نسخة كاملة مصحّحة و محشّاة، و كتبت عناوينها بالشنجرف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الناسخ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اتّفق الفراغ عن كتابة هذا الكتاب المسمّىٰ بالشافي </w:t>
      </w:r>
    </w:p>
    <w:p>
      <w:pPr>
        <w:pStyle w:val="BookText"/>
        <w:rPr/>
      </w:pPr>
      <w:r>
        <w:rPr>
          <w:rFonts w:ascii="Amiri" w:hAnsi="Amiri" w:eastAsia="Amiri" w:cs="Amiri"/>
          <w:color w:val="111111"/>
          <w:sz w:val="28"/>
          <w:sz w:val="28"/>
          <w:szCs w:val="28"/>
          <w:rtl w:val="true"/>
          <w:lang w:bidi="ar-SA"/>
        </w:rPr>
        <w:t>يوم الثلاثاء أربع عشر شهر رمضان المبارك سنة ستّ و تسعين بعد الألف في مدرسة الموسومة بالمقيميّة في الشيراز، صينت عن الإعواز، و أنا العبد المذنب الجاني ابن سلطان محمّد رضا عليّ زرقاني، اللهم اغفر لي و لوالدي و لجميع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حواشي توضيحية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كتب في الصفحة الأُولىٰ تعريفاً بالكتاب و فهرسة فصوله،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الشافي تصنيف السيّد المرتضى رحمه اللّٰه في ردّ كتاب المغني من تصنيف قاضى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تعريف آخر بذيله، و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المسمّى بالشافي في الاحتجاج علىٰ أهل اللجاج، للسيّد عليّ بن الحسين بن موسى بن محمّد بن موسى بن جعفر بن محمّد بن عليّ بن الحسين بن عليّ بن أبي طالب عليهم السلام، كنيته أبو القاسم المرتضى الأجلّ علم الهدى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تحته ختم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مهدى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كلّ 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مجلس الشورى الإسلامي بطهران،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 هي نسخة كاملة مصحّحة عليها علامة البلاغ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من مخطوطات مكتبة المرحوم السيّد محمّد صادق الطباطبايي المهداة إلى مكتبة المجلس، و قد استنسخها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النجفي، و فرغ من استنساخه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فرغ من إتمامه العبد المذنب الخاطئ الجاني الفقير الحقير، تراب أقدام أمير المؤمنين، موالي الأئمّة المعصومين الطيّبين الطاهرين، خلف بن يوسف النجفي، حامداً للّٰه تعالى علىٰ كلّ نعمة أنعم بها عليه، في </w:t>
      </w:r>
    </w:p>
    <w:p>
      <w:pPr>
        <w:pStyle w:val="BookText"/>
        <w:rPr/>
      </w:pPr>
      <w:r>
        <w:rPr>
          <w:rFonts w:ascii="Amiri" w:hAnsi="Amiri" w:eastAsia="Amiri" w:cs="Amiri"/>
          <w:color w:val="111111"/>
          <w:sz w:val="28"/>
          <w:sz w:val="28"/>
          <w:szCs w:val="28"/>
          <w:rtl w:val="true"/>
          <w:lang w:bidi="ar-SA"/>
        </w:rPr>
        <w:t xml:space="preserve">يوم السبت، الرابع و العشرين من شهر جمادي الأُولى من شهور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تسعين و ألف من الهجرة، و الحمد للّٰه ربّ العالمين وحده، و صلّى اللّٰه على محمّد و آله أجمعين، آمين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وردت في أوّله ديباجة جميلة تدلّ على أنّ النسخة شرع باستنساخها نور الدين محمّد بن رفيع الدين محمّد، في يوم الأحد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فكيف يتمّ ذلك ؟ و من هو الناسخ ؟</w:t>
      </w:r>
    </w:p>
    <w:p>
      <w:pPr>
        <w:pStyle w:val="BookText"/>
        <w:rPr/>
      </w:pPr>
      <w:r>
        <w:rPr>
          <w:rFonts w:ascii="Amiri" w:hAnsi="Amiri" w:eastAsia="Amiri" w:cs="Amiri"/>
          <w:color w:val="111111"/>
          <w:sz w:val="28"/>
          <w:sz w:val="28"/>
          <w:szCs w:val="28"/>
          <w:rtl w:val="true"/>
          <w:lang w:bidi="ar-SA"/>
        </w:rPr>
        <w:t>و نصّ الديباجة كالتالي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الشافي في الإمامة تأليف السيّد الجليل النبيل البارع الجامع بين شرافة النسب و انافة الحَسَب، و بين مرتبة الحكمة و الدراية و منقبة العلم و الروايته، و بين نقابة أرباب السيادة و رياسة أصحاب السعادة، و بين مكارم أخلاق أُولى الفضل و الكمال و جلايل أوصاف ذوي الجاه و الجلال، و بين منتهى مراتب التحقيق و نهاية مدارك التدقيق، و بين تنوّه الشأن الرفيع و ترفّع المكان المنيع، العالم الفاضل، الكامل العامل، ذى المجدين، و مفتخر أولاد الحسنين، و مُبتَهَج أعلام الثقلين، صاحب المناقب و المكارم، عَلَم الهدى، و ضياء الدجى، و النقيب المرتضى، عليّ بن الحسين بن موسى بن محمّد بن موسى بن إبراهيم بن موسى بن جعفر بن محمّد بن عليّ بن الحسين بن عليّ بن أبي طالب،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في تنميقه لنفسي في يوم الأحد، الثالث عشر من شهر رجب المرجّب من شهور سنة ثمانين بعد ألف من الهجرة النبويّة المصطفويّة، على مهاجرها ألف ألف صلاة و سلام و تحيّة، حامداً للّٰه تعالى و مصلّياً على النبيّ الأُمّي و آله، و مستغفراً من ذنوبي و خطاياى، و مؤمّلاً من ربّي تبارك و تعالى، و </w:t>
      </w:r>
    </w:p>
    <w:p>
      <w:pPr>
        <w:pStyle w:val="BookText"/>
        <w:rPr/>
      </w:pPr>
      <w:r>
        <w:rPr>
          <w:rFonts w:ascii="Amiri" w:hAnsi="Amiri" w:eastAsia="Amiri" w:cs="Amiri"/>
          <w:color w:val="111111"/>
          <w:sz w:val="28"/>
          <w:sz w:val="28"/>
          <w:szCs w:val="28"/>
          <w:rtl w:val="true"/>
          <w:lang w:bidi="ar-SA"/>
        </w:rPr>
        <w:t>سائلاً إيّاه التوفيق و التأييد لإتمام هذا الكتاب المستطاب، الذي لم يسمَح قريحة بمثاله، و لم ينسج ناسج على منواله، و التفكّر في معانيه و التدبّر في مغانيه، و أن يجعل ذلك خالصاً لوجهه الكريم، و مخلّصاً من عذابه الأليم، و سائقاً إلى جنانه و رضوانه و غفرانه، إنّه هو الغفور الرحيم، و أنا المفتاق إلى رحمة اللّٰه الملك الغنيّ ، و شفاعة النبيّ الأُمّي العربي، أقلّ العباد عملاً و أكثرهم زللاً، تراب نعال طلبة علوم الدين، ابن المرحوم المغفور المبرور رفيع الدين محمّد، نور الدين محمّد، عفى اللّٰه عنهما بالنبيّ المؤيّد و الوصيّ المسدّد، صلوات اللّٰه و سلامه عليهما و على آلهما أجمعين،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النسخة قد شرع باستنساخه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محمّد بن رفيع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أتمّها الناسخ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يوسف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الناسخ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يوسف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استكتب نسخته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محمّد بن رفيع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نقرّ به في المقام هو الثاني؛ و ذلك لاتّحاد الخطّ في جميع النسخة أوّلاً، و أنّ تاريخ الديباجة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الترقيمة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هذه النسخة نفيسة جدّاً، و الظاهر أنّها تصل بوسائط إلى نسخة المصنّف؛ حيث ورد في آخرها عبارة انفردت بها هذه النسخة، و هذا النصّ المهمّ يؤرّخ تاريخ الانتهاء من تأليف كتاب الشافي، و العبارة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 الفراغ من إملاء هذا الكتاب يوم الأحد السابع من شهر رمضان سنة ثمان و تسعين و ثلاثمائة، كذا في المقابل بها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بلغ بعون اللّٰه و صونه قبالاً من نسخةٍ عليها الاعتماد و بها الاعتداد، </w:t>
      </w:r>
    </w:p>
    <w:p>
      <w:pPr>
        <w:pStyle w:val="BookText"/>
        <w:rPr/>
      </w:pPr>
      <w:r>
        <w:rPr>
          <w:rFonts w:ascii="Amiri" w:hAnsi="Amiri" w:eastAsia="Amiri" w:cs="Amiri"/>
          <w:color w:val="111111"/>
          <w:sz w:val="28"/>
          <w:sz w:val="28"/>
          <w:szCs w:val="28"/>
          <w:rtl w:val="true"/>
          <w:lang w:bidi="ar-SA"/>
        </w:rPr>
        <w:t>غفر اللّٰه لنا يوم المعاد، بمحمّد و آله الأمجاد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قبالاً، حرّره الأقلّ محمّد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النسخة تملّكات و ختوم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كتب موضوعه جهت استيجار حجّ سيد عبد الباقي شيخ الإسلام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إمام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لو يباع بوزنه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لكان البائع المغبونا</w:t>
      </w:r>
    </w:p>
    <w:p>
      <w:pPr>
        <w:pStyle w:val="BookText"/>
        <w:rPr/>
      </w:pPr>
      <w:r>
        <w:rPr>
          <w:rFonts w:ascii="Amiri" w:hAnsi="Amiri" w:eastAsia="Amiri" w:cs="Amiri"/>
          <w:color w:val="111111"/>
          <w:sz w:val="28"/>
          <w:sz w:val="28"/>
          <w:szCs w:val="28"/>
          <w:rtl w:val="true"/>
          <w:lang w:bidi="ar-SA"/>
        </w:rPr>
        <w:t>الحمد للّٰه صار في سلك ملك العبد الوضيع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 بيضوي 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حضرت مستطاب آقاى سيد ابوى 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 بيضوي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محمّد عليّ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مربّع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 باللّٰه الغني محمّد صادق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كلّية الإلهيّات بجامعة فردوسي في مشهد المقدّسة، برقم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و هي من مخطوطات القرن الحادي عشرة الهجري، و هي نسخة كاملة مصحّحة، و فيها حواشي توضيحية قليلة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مدّ ظلّه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يمكن قراءة بعض ألفاظها، و فيها ترجمة بعض اللغات المشكلة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تملك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عواري الزمان بتمليك أقلّ الخليفة عليّ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 بيضوي ممسوح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آخرها مذكّرة أخلاقيّة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جامعة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و هي من مخطوطات المرحوم السيّد محمّد مشكاة المهداة للجامعة، لم يرد فيها اسم الناسخ، و هي غير مؤرّخة، و لكن الظاهر أنّها من مخطوطات القرن الحادي عشرة الهجري، و هي نسخة كاملة و نفيسة و مصحّحة و محشّاة، و بعضها حواشي السيّد المولىٰ المير محمّد معصوم الخاتون آبادي، و أكثر الحواشي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عدّة تملّكات و مذكّرات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معصوم خاتون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الذي ملك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المستطاب ممّا أهداه إليّ بعض الأجلّة من الأحبّة، دام عزّه و تأييده، و أنا عبد اللّٰه الواثق بلطفه محمّد جواد الواعظ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العلّامة الفقيه الورع التقيّ جلال الدين محمّد، ابن العالم الأديب الناسك الصفيّ الحاجّ شيخ أسد اللّٰه، ابن العلم العابد الزاهد الوفيّ شيخ عبد المجيد، ابن المحقّق البارع الناسك الشيخ عليّ ، ابن الفقيه الكامل عبد المجيد، نظر اللّٰه تعالىٰ ضرائحهم مياه الرضوان، و أحلّهم أعلى فراديس الجنان، بمحمّدٍ و آله عليه و عليهم أفضل السلام، في شهر جمادى الأُولىٰ من شهور العام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الموالىٰ مير محمّد معصوم الخاتون آبادي و عليه حواشٍ و تصحيحات بخطّه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كتب مرحوم مير محمّد معصوم طاب ثراه كتاب شافى سيّد مرتضى 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في كلّ 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الحجريّة، و هي أوّل طبعة للكتاب، طبع على الحجر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عهد السلطان ناصر الدين شاه القاجار، و لعلّها في مطبعته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تشتمل هذه الطبعة على كتاب الشافي للشريف المرتضىٰ ، و كتاب تلخيص الشافي للشيخ الطوسي، و توجد اسم الكاتب و تاريخ الكتابة و الطبع في آخر تلخيص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أوّلها ديباجة تدلّ علىٰ أنّ مباشر الطبع هو السيّد الحاجّ المير محمّد صادق بن أبي القاسم الحسيني الخوانساري و السيّد فرج اللّٰه القاساني رحمهما اللّٰه، و نصّ الديباجة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الشافى في الإمامة و النقض على كتاب المغني للقاضى عبد الجبّار بن أحمد، و الردّ عليه فيما أورده لنصرة أولياء الشيخين و أهل السنّة و الجماعة و ما ذهبوا إليه من إمامتهما و تقدّمهما على أمير المؤمنين، و إمام المتّقين، و يعسوب الدين، و قائد الغرّ المحجّلين، عليّ بن أبي طالب، عليه سلام اللّٰه، و على أولاده المعصُومين، الغرّ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صنّفه و ألّفه السيّد السند، و الكهف المستند، السيّد المرتضىٰ علم الهدى، ذو المجدين، و حاوى الرتبتين، عَلَم الغابرين، و علامة الآخرين، أبو الثمانين، أبو القاسم عليّ بن الحسين بن موسى بن محمّد بن موسى بن إبراهيم بن موسى بن جعفر بن محمّد بن عليّ بن الحسين بن عليّ بن أبي طالب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لم يأت بمثله أحد من الأنام، في سالف الشهور و الأعوام، و لا يأتون أبداً و لو كان بعضُهم لبعض ظهيراً؛ لأنّ أجداده الطاهرون كانوا له في نصرته لهم هادياً و مؤيداً و نصيراً و قد صنّف كتاباً جمّة حتّى قيل إنّ مصنّفاته تنيف على ثلاثة و ثمانين، و لقّب بأبي الثمانين لذلك و غيره ممّا له ما يعدّ بالثمانين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أسامي كتبه في كتاب أمل الآمل و غيره، و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الكتاب المستطاب لعزّته على ذوي الألباب كالدرّ المكنون و الكنز المخزون، لا يكاد يُوجد منه إلّاالنزر القليل، و ربّما شحّ عليه و افتقد، فلم يلف منه إلّاالسقيم العليل، فالسيّد النسيب و الماجد الحسيب ابن المرحوم المغفور السعيد الصالح الحاجّ مير أبو القاسم الخوانساري الحاجّ مير محمّد صادق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حشرهما اللّٰه مع أجدادهما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عن ساق الاجتهاد لانتساخه و طبعه، و حسم مواد السقم و العلّة عن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السيّد الصميم، و السند العليم، العالم الأديب، و الفاضل الأريب الحبر الذّكيّ ، سيّد العلماء الأعلام، و سند الفضلاء العظام، وحيد دهره، و فريد عصره، صاحب مآثر و شؤون، و مالك أزمّة الفضائل و الفنون، السيّد فرج اللّٰه القاساني، وفّقه اللّٰه تعالى لدينه و دنياه، و كان حقاً عليه لمقام أجداده الطاهرين و نصرة حقّهم المبين أن ينتصر لهم و لدينه ليزداد في قوّة إيمانه و يقينه، فشمّر لحسم موادّ علّة الكتاب و إسقاط سقطاته، و أجمع على تصحيح ما لم يصحّح فيه من تروكه و غلطاته، فصحّحه بما في وسعه من ذهنه السليم، و نقّحه كيفما اقتضاه فهمه المستقيم، و لمّا أبى اللّٰه أن يصحّ إلّاكتابه لم يدر أنّه بلغ في الصحّة نصابه، فعلى من نظر فيه كاد تأمّل أُصوله و مبانيه أن يصحّح ما شذّ عنه و ندر، و لا يأخذ عليه ما سقط عنه و بدر؛ فإنّ الإنسان محلّ السهو و النسيان، و الجواد قد يكبو، و الصارم قد ينبو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دولة السلطان العادل، و الملك الباذل، سلطان الإسلام و المسلمين، و حامي حوزة الشرع المبين، السلطان ابن السلطان، و الخاقان بن الخاقان بن الخاقان، السلطان، خلّد اللّٰه ملكه و سلطانه، و أبّد اللّٰه وقته و زمانه، في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bookmarkStart w:id="153" w:name="pg20044_770716"/>
    </w:p>
    <w:p>
      <w:pPr>
        <w:pStyle w:val="Heading3"/>
        <w:numPr>
          <w:ilvl w:val="2"/>
          <w:numId w:val="1"/>
        </w:numPr>
        <w:rPr/>
      </w:pPr>
      <w:bookmarkStart w:id="154" w:name="__RefHeading___Toc828380_2320776876"/>
      <w:bookmarkStart w:id="155" w:name="_Toc55"/>
      <w:bookmarkEnd w:id="153"/>
      <w:bookmarkEnd w:id="154"/>
      <w:r>
        <w:rPr>
          <w:rtl w:val="true"/>
        </w:rPr>
        <w:t>ب</w:t>
      </w:r>
      <w:r>
        <w:rPr>
          <w:rtl w:val="true"/>
        </w:rPr>
        <w:t xml:space="preserve">: </w:t>
      </w:r>
      <w:r>
        <w:rPr>
          <w:rtl w:val="true"/>
        </w:rPr>
        <w:t>سائر النسخ</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كلّية الفقه في جامعة الكوفة، نسخة غير مرقّمة، قيل إن تاريخ استنساخها سنة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 صحّ ذلك فتكون أقدم نسخ الكتاب، إلّاأنّنا و بعد الفحص الشديد و التواصل مع المكتبة و الذهاب إليها لم نعثر عليها في المكتبة، و الظاهر أنّها فقدت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المخطوطات النجفية،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مجلس الشورى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15825/16</w:t>
      </w:r>
      <w:r>
        <w:rPr>
          <w:rFonts w:ascii="Amiri" w:hAnsi="Amiri" w:eastAsia="Amiri" w:cs="Amiri"/>
          <w:color w:val="111111"/>
          <w:sz w:val="28"/>
          <w:sz w:val="28"/>
          <w:szCs w:val="28"/>
          <w:rtl w:val="true"/>
          <w:lang w:bidi="ar-SA"/>
        </w:rPr>
        <w:t xml:space="preserve">، و هي نسخة منتخبة، قام باختصارها محمّد بن أحمد بن حسين بن قصير الحائري ظاهراً، استنسخها قباد بن شهقباد بخطّ النستعليق، 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المختصر،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مركز إحياء الميراث الإسلامي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3389</w:t>
      </w:r>
      <w:r>
        <w:rPr>
          <w:rFonts w:ascii="Amiri" w:hAnsi="Amiri" w:eastAsia="Amiri" w:cs="Amiri"/>
          <w:color w:val="111111"/>
          <w:sz w:val="28"/>
          <w:sz w:val="28"/>
          <w:szCs w:val="28"/>
          <w:rtl w:val="true"/>
          <w:lang w:bidi="ar-SA"/>
        </w:rPr>
        <w:t xml:space="preserve">، استنسخها الشيخ حسين بن شهاب الدين الكركي بخطّ النستعليق سنة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كتبت عناوينها بالشنجرف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ممتاز العلماء في لكنهو بالهند،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استنسخها محمّد باقر بن محمّد حسين اليزدي، فرغ منها في غرّة ذي الحجّة الحرام سنة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بلدة دار المؤمنين بسبزوار، عليها عدّة تملّكات و أختام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مخطوطة مكتبة العلّامة الطباطبائي في شيراز، برقم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استنسخها ناصر بن سلمان الكيلاوي بخطّ النسخ، و فرغ منها في يوم الجمعة آخر جمادى الأُولى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 في نسخه پژوهي،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كلّية الحقوق بجامعة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استنسخها السيّد غضنفر الحسيني الرودباري يوم الخميس رابع شهر شوال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سريزدي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الحظيرة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استسخها شيبان بن عبد اللّٰه الحويزي يوم الأحد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مصحّحة </w:t>
      </w:r>
    </w:p>
    <w:p>
      <w:pPr>
        <w:pStyle w:val="BookText"/>
        <w:rPr/>
      </w:pPr>
      <w:r>
        <w:rPr>
          <w:rFonts w:ascii="Amiri" w:hAnsi="Amiri" w:eastAsia="Amiri" w:cs="Amiri"/>
          <w:color w:val="111111"/>
          <w:sz w:val="28"/>
          <w:sz w:val="28"/>
          <w:szCs w:val="28"/>
          <w:rtl w:val="true"/>
          <w:lang w:bidi="ar-SA"/>
        </w:rPr>
        <w:t>كتبت عناوينها بالشنجرف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الخوئي بالنجف الأشرف،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استنسخها نجف عليّ يوم الأحد رابع شوال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كتبت عناوينها بالشنجرف، و عليها خطّ الشيخ آقا بزرك الطهراني في التعريف بالكتاب، و ختم مكتبة الشيخ عليّ بن محمّد رضا بن هادي آل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مخطوطة مكتبة العلّامة الطباطبائي في شيراز، برقم</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استنسخت في غرّة شوال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 في نسخه پژوهي،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الإمام الصادق عليه السلام في الكاظمية،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استنسخها محمّد طاهر بن محمّد كريم التبريزي في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عليها تملّك الشيخ محمّد بن الشيخ درويش و السيّد هادي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الذخائر،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الروضة الحسينية،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9655</w:t>
      </w:r>
      <w:r>
        <w:rPr>
          <w:rFonts w:ascii="Amiri" w:hAnsi="Amiri" w:eastAsia="Amiri" w:cs="Amiri"/>
          <w:color w:val="111111"/>
          <w:sz w:val="28"/>
          <w:sz w:val="28"/>
          <w:szCs w:val="28"/>
          <w:rtl w:val="true"/>
          <w:lang w:bidi="ar-SA"/>
        </w:rPr>
        <w:t xml:space="preserve">، استنسخها محمّد تقي بن رجب عليّ القزويني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مخطوطات كربلاء،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مخطوطة مكتبة العلّامة الطباطبائي في شيراز، برقم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 استنسخت في عاشر ذي الحجّة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عناوينها بالشنجرف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 في نسخه پژوهي،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ممتاز العلماء في لكنهو بالهند،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استنسخها طاهر بن علاء الدين محمّد الأبهري الإصفهاني، فرغ منها يوم الخميس عاشر ذي الحجّة الحرام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عليها عدّة تملّكات و أختام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الكلبايكاني،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استنسخت في شهر رمضان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أمير المؤمنين العامّة في النجف الأشرف، 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استنسخها حسين بن ناصر النجفي،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المخطوطات النجفية،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شاهجراغ في شيراز،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استنسخها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الجوشقاني الإصفهاني في ربيع الأول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20451</w:t>
      </w:r>
      <w:r>
        <w:rPr>
          <w:rFonts w:ascii="Amiri" w:hAnsi="Amiri" w:eastAsia="Amiri" w:cs="Amiri"/>
          <w:color w:val="111111"/>
          <w:sz w:val="28"/>
          <w:sz w:val="28"/>
          <w:szCs w:val="28"/>
          <w:rtl w:val="true"/>
          <w:lang w:bidi="ar-SA"/>
        </w:rPr>
        <w:t xml:space="preserve">، استنسخها محمّد مهدي بن محمّد كاظم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عليها تملّك المرحوم جلال الدين همائي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مركز إحياء الميراث الإسلامي،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4455/1</w:t>
      </w:r>
      <w:r>
        <w:rPr>
          <w:rFonts w:ascii="Amiri" w:hAnsi="Amiri" w:eastAsia="Amiri" w:cs="Amiri"/>
          <w:color w:val="111111"/>
          <w:sz w:val="28"/>
          <w:sz w:val="28"/>
          <w:szCs w:val="28"/>
          <w:rtl w:val="true"/>
          <w:lang w:bidi="ar-SA"/>
        </w:rPr>
        <w:t xml:space="preserve">، استنسخها محمّد كاظم بن محمّد زمان شهميرزادي بخطّ النسخ، و فرغ منه أوئل صفر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محشّاة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الآستانة الرضويّة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استنسخت في جمادى الأُولى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الآستانة الرضويّة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استنسخت في جمادى الأُولى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16226</w:t>
      </w:r>
      <w:r>
        <w:rPr>
          <w:rFonts w:ascii="Amiri" w:hAnsi="Amiri" w:eastAsia="Amiri" w:cs="Amiri"/>
          <w:color w:val="111111"/>
          <w:sz w:val="28"/>
          <w:sz w:val="28"/>
          <w:szCs w:val="28"/>
          <w:rtl w:val="true"/>
          <w:lang w:bidi="ar-SA"/>
        </w:rPr>
        <w:t xml:space="preserve">، استنسخها رضي الجرفادقاني في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الميرزا محمّد الكاظميني في يزد،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استنسخها عزيز بن حبيب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مصحّحة قوبلت على نسخة أُخرى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ملك العامّة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5894</w:t>
      </w:r>
      <w:r>
        <w:rPr>
          <w:rFonts w:ascii="Amiri" w:hAnsi="Amiri" w:eastAsia="Amiri" w:cs="Amiri"/>
          <w:color w:val="111111"/>
          <w:sz w:val="28"/>
          <w:sz w:val="28"/>
          <w:szCs w:val="28"/>
          <w:rtl w:val="true"/>
          <w:lang w:bidi="ar-SA"/>
        </w:rPr>
        <w:t>، من مخطوطات القرن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من مخطوطات القرن الحادي عشر، نسخة مذهّبة فنيّة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مركز إحياء الميراث الإسلامي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5403</w:t>
      </w:r>
      <w:r>
        <w:rPr>
          <w:rFonts w:ascii="Amiri" w:hAnsi="Amiri" w:eastAsia="Amiri" w:cs="Amiri"/>
          <w:color w:val="111111"/>
          <w:sz w:val="28"/>
          <w:sz w:val="28"/>
          <w:szCs w:val="28"/>
          <w:rtl w:val="true"/>
          <w:lang w:bidi="ar-SA"/>
        </w:rPr>
        <w:t>، من مخطوطات القرن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محمّد حسين المفتاح الخاصّة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من مخطوطات القرن الحادي عشر، صحّحها و قابلها أبو طالب بن الحاجّ أبي تراب في يوم الثلاثاء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مصحّحة و محشّاة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في مجلّة نشريه نسخ خطّي، العدد السابع،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العلّامة الطباطبائي في شيراز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955/1</w:t>
      </w:r>
      <w:r>
        <w:rPr>
          <w:rFonts w:ascii="Amiri" w:hAnsi="Amiri" w:eastAsia="Amiri" w:cs="Amiri"/>
          <w:color w:val="111111"/>
          <w:sz w:val="28"/>
          <w:sz w:val="28"/>
          <w:szCs w:val="28"/>
          <w:rtl w:val="true"/>
          <w:lang w:bidi="ar-SA"/>
        </w:rPr>
        <w:t>، من مخطوطات القرن الحادي عشر، عناوينها بالشنجرف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في نسخه بزوهي،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العلّامة الطباطبائي في شيراز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من مخطوطات القرن الحادي عشر، عناوينها بالشنجرف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في نسخه بزوهي،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الآستانة الرضويّة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21102</w:t>
      </w:r>
      <w:r>
        <w:rPr>
          <w:rFonts w:ascii="Amiri" w:hAnsi="Amiri" w:eastAsia="Amiri" w:cs="Amiri"/>
          <w:color w:val="111111"/>
          <w:sz w:val="28"/>
          <w:sz w:val="28"/>
          <w:szCs w:val="28"/>
          <w:rtl w:val="true"/>
          <w:lang w:bidi="ar-SA"/>
        </w:rPr>
        <w:t>، من مخطوطات القرن الحادي عشر، عليها ختم السيّد ريحان اللّٰه بن جعفر الموسوي و المصطفى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 النسخ الإهدائية،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مدرسة مروي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من مخطوطات القرن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الخوئي في النجف الأشرف،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من مخطوطات القرن الحادي عشر، عليها وصيّة تاريخها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تحتها ختم 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سعيد بن محمّد 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العتبة العباسيّة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استنسخها محمّد أمين بن أحمد اليساري، من مخطوطات القرن الحادي عشر، نسخة مصحّحة محشّاة، و </w:t>
      </w:r>
    </w:p>
    <w:p>
      <w:pPr>
        <w:pStyle w:val="BookText"/>
        <w:rPr/>
      </w:pPr>
      <w:r>
        <w:rPr>
          <w:rFonts w:ascii="Amiri" w:hAnsi="Amiri" w:eastAsia="Amiri" w:cs="Amiri"/>
          <w:color w:val="111111"/>
          <w:sz w:val="28"/>
          <w:sz w:val="28"/>
          <w:szCs w:val="28"/>
          <w:rtl w:val="true"/>
          <w:lang w:bidi="ar-SA"/>
        </w:rPr>
        <w:t>عليها علامات البلاغ، و تملّك الشيخ عبد الحسن آل الشيخ أسد اللّٰه الكاظمي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ممتاز العلماء في لكنهو بالهند،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من مخطوطات القرن الحادي عشر، عليها تملّك و مذكّرة السيّد ممتاز العلماء اللكنهوي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الشيخ ثقة الإسلام في تبريز، نسخة غير مرقّمة، استنسخت في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في مجلّة نشريه نسخ خطي،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المرعشي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استنسخت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و محشّاة، كتبت عناوينها بالشنجرف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استنسخت في رمضان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مجلس الشورى بطهران،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16029</w:t>
      </w:r>
      <w:r>
        <w:rPr>
          <w:rFonts w:ascii="Amiri" w:hAnsi="Amiri" w:eastAsia="Amiri" w:cs="Amiri"/>
          <w:color w:val="111111"/>
          <w:sz w:val="28"/>
          <w:sz w:val="28"/>
          <w:szCs w:val="28"/>
          <w:rtl w:val="true"/>
          <w:lang w:bidi="ar-SA"/>
        </w:rPr>
        <w:t xml:space="preserve">، استنسخها السيّد عليّ رضا بن عبد الفتاح الحسيني الجورتي، العشرة الأواسط من شهر رجب سنة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مصحّحة و محشّاة، كتبت عناوينها بالشنجرف، عليها وقفيّة من الشيخ محمّد باقر المجلسي في شهر رمضان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الإمام أمير المؤمنين عليه السلام العامّة في النجف الأشرف،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استنسخها هادي بن إبراهيم الخاتون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المخطوطات النجفية،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مركز إحياء الميراث الإسلامي،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 استنسخها محمّد مؤمن الكشميري، و فرغ منه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و محشّاة، عليها وقفيّة و عدّة تملّكات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مركز إحياء الميراث الإسلامي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استنسخها </w:t>
      </w:r>
    </w:p>
    <w:p>
      <w:pPr>
        <w:pStyle w:val="BookText"/>
        <w:rPr/>
      </w:pPr>
      <w:r>
        <w:rPr>
          <w:rFonts w:ascii="Amiri" w:hAnsi="Amiri" w:eastAsia="Amiri" w:cs="Amiri"/>
          <w:color w:val="111111"/>
          <w:sz w:val="28"/>
          <w:sz w:val="28"/>
          <w:szCs w:val="28"/>
          <w:rtl w:val="true"/>
          <w:lang w:bidi="ar-SA"/>
        </w:rPr>
        <w:t xml:space="preserve">محمّد هادي بن قنبر عليّ الطبسي، و فرغ يوم السبت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عليها عدّة تملّكات و أختام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الآستانة الرضويّة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استنسخها محمّد بن سعيد بخطّ النستعليق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بطهران،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8486</w:t>
      </w:r>
      <w:r>
        <w:rPr>
          <w:rFonts w:ascii="Amiri" w:hAnsi="Amiri" w:eastAsia="Amiri" w:cs="Amiri"/>
          <w:color w:val="111111"/>
          <w:sz w:val="28"/>
          <w:sz w:val="28"/>
          <w:szCs w:val="28"/>
          <w:rtl w:val="true"/>
          <w:lang w:bidi="ar-SA"/>
        </w:rPr>
        <w:t xml:space="preserve">، استنسخها محمّد معصوم بن محمّد رفيع اليزدي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و محشّاة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ملك العامّة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 استنسخها عبد اللّٰه بن محمّد داود في محرّم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نسخة مذهّبة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جامعة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6701</w:t>
      </w:r>
      <w:r>
        <w:rPr>
          <w:rFonts w:ascii="Amiri" w:hAnsi="Amiri" w:eastAsia="Amiri" w:cs="Amiri"/>
          <w:color w:val="111111"/>
          <w:sz w:val="28"/>
          <w:sz w:val="28"/>
          <w:szCs w:val="28"/>
          <w:rtl w:val="true"/>
          <w:lang w:bidi="ar-SA"/>
        </w:rPr>
        <w:t xml:space="preserve">، استنسخها مقيم بن يحيى السبزواري، و فرغ منه يوم السبت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عناوينها بالشنجرف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المرعشي،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7027</w:t>
      </w:r>
      <w:r>
        <w:rPr>
          <w:rFonts w:ascii="Amiri" w:hAnsi="Amiri" w:eastAsia="Amiri" w:cs="Amiri"/>
          <w:color w:val="111111"/>
          <w:sz w:val="28"/>
          <w:sz w:val="28"/>
          <w:szCs w:val="28"/>
          <w:rtl w:val="true"/>
          <w:lang w:bidi="ar-SA"/>
        </w:rPr>
        <w:t xml:space="preserve">، فرغ من نسخها يوم الإثنين من محرم الحرام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عناوينها بالشنجرف، تملّكها الشيخ إبراهيم بن مهدي آل عرفات القديحي الخطي النجفي بتاريخ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مجلس الشورى بطهران،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استنسخها عبد الوهاب بن محمّد عليّ البيابانكي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قابلها محمّد باقر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و محشّاة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الروضة الحسينيّة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9687</w:t>
      </w:r>
      <w:r>
        <w:rPr>
          <w:rFonts w:ascii="Amiri" w:hAnsi="Amiri" w:eastAsia="Amiri" w:cs="Amiri"/>
          <w:color w:val="111111"/>
          <w:sz w:val="28"/>
          <w:sz w:val="28"/>
          <w:szCs w:val="28"/>
          <w:rtl w:val="true"/>
          <w:lang w:bidi="ar-SA"/>
        </w:rPr>
        <w:t xml:space="preserve">، استنسخها محمّد خليل بن محمّد رفيع بن فتح اللّٰه بخطّ النسخ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عليها تملّك عبد النبي بن محمّد مرتضى القزويني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مخطوطات كربلاء،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مركز إحياء الميراث الإسلامي،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1693/1</w:t>
      </w:r>
      <w:r>
        <w:rPr>
          <w:rFonts w:ascii="Amiri" w:hAnsi="Amiri" w:eastAsia="Amiri" w:cs="Amiri"/>
          <w:color w:val="111111"/>
          <w:sz w:val="28"/>
          <w:sz w:val="28"/>
          <w:szCs w:val="28"/>
          <w:rtl w:val="true"/>
          <w:lang w:bidi="ar-SA"/>
        </w:rPr>
        <w:t xml:space="preserve">، استنسخها محمّد مهدي بن عبد المطلب الإصفهاني بخطّ النسخ، فرغ منها ليلة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مؤسّسة السيّد البروجردي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استنسخها محمّد شريف بن محمّد رضا الديلمي اللاهيجاني، و فرغ منه يوم 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و محشّاة، و عليها أختام و تملّكات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مدرسة النوّاب في مشهد،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استنسخها محمّد إبراهيم بن محمّد باقر القوشخانه اي بخطّ النسخ، و فرغ منه يوم السبت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عليها وقفيّة ولي اللّٰه الموسوي الرضوي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ص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مسجد كوهرشاد في مشهد،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استنسخت بخطّ النسخ في شهر رمضان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مجلس الشورى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استنسخت بخطّ النسخ، في شهر رمضان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عليها حواشي كثيرة، نسخة مذهّبة نفيسة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3088</w:t>
      </w:r>
      <w:r>
        <w:rPr>
          <w:rFonts w:ascii="Amiri" w:hAnsi="Amiri" w:eastAsia="Amiri" w:cs="Amiri"/>
          <w:color w:val="111111"/>
          <w:sz w:val="28"/>
          <w:sz w:val="28"/>
          <w:szCs w:val="28"/>
          <w:rtl w:val="true"/>
          <w:lang w:bidi="ar-SA"/>
        </w:rPr>
        <w:t xml:space="preserve">، استنسخها أبو طالب بن أبي تراب سنة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محشّاة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العلّامة الطباطبائي في شيراز،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 استنسخها عليّ رضا بن محمّد قاسم بخطّ النسخ في إصفهان، و فرغ منها في يوم 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عليها تملّك و نسب الميرزا عبد الواسع بن عبد الكريم الحسيني السمناني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في نسخه بزوهي،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جامعة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6783</w:t>
      </w:r>
      <w:r>
        <w:rPr>
          <w:rFonts w:ascii="Amiri" w:hAnsi="Amiri" w:eastAsia="Amiri" w:cs="Amiri"/>
          <w:color w:val="111111"/>
          <w:sz w:val="28"/>
          <w:sz w:val="28"/>
          <w:szCs w:val="28"/>
          <w:rtl w:val="true"/>
          <w:lang w:bidi="ar-SA"/>
        </w:rPr>
        <w:t xml:space="preserve">، استنسخت بخطّ النسخ، و فرغ منها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عليها وقفيّة بتاريخ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المرعشي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استنسخها محمّد بن محمّد سليم الطالقاني بخطّ النستعليق، و فرغ منها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المدرسة الخليليّة قزوين، نسخة مصحّحة و محشّاة عليها علامات البلاغ و عدّة تملّكات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الآستانة الرضويّة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استنسخها محمّد إبراهيم بن محمّد يعقوب بخطّ النسخ، و فرغ منه شهر رجب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محشّاة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الآستانة الرضويّة المقدّسة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10020</w:t>
      </w:r>
      <w:r>
        <w:rPr>
          <w:rFonts w:ascii="Amiri" w:hAnsi="Amiri" w:eastAsia="Amiri" w:cs="Amiri"/>
          <w:color w:val="111111"/>
          <w:sz w:val="28"/>
          <w:sz w:val="28"/>
          <w:szCs w:val="28"/>
          <w:rtl w:val="true"/>
          <w:lang w:bidi="ar-SA"/>
        </w:rPr>
        <w:t xml:space="preserve">، استنسخها محمّد بن عبد اللطيف العاملي بخطّ النسخ، و فرغ منه يوم الجمعة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مشهد السيّد عبد العظيم الحسني بالري، عليها وقفيّة المولى شمس الدين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16226</w:t>
      </w:r>
      <w:r>
        <w:rPr>
          <w:rFonts w:ascii="Amiri" w:hAnsi="Amiri" w:eastAsia="Amiri" w:cs="Amiri"/>
          <w:color w:val="111111"/>
          <w:sz w:val="28"/>
          <w:sz w:val="28"/>
          <w:szCs w:val="28"/>
          <w:rtl w:val="true"/>
          <w:lang w:bidi="ar-SA"/>
        </w:rPr>
        <w:t xml:space="preserve">، استنسخها رضي الجرفادقاني بخطّ النسخ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عليها عدّة تملّكات و أختام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مصوّرة مكتبة دائرة المعارف الإسلامية الكبرى،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استنسخها محمّد جواد اليزدي الملقّب بنوّاب، فرغ منه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مدرسة السيّد البروجردي في كرمانشاه،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من مخطوطات القرن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توجد مصوّرتها في مركز إحياء الميراث الإسلامي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 المصوّرات،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مدرسة الإمام الصادق في قزوين،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من مخطوطات القرن الثاني عشر، نسخة محشّاة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المكتبة الوطنيّة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من مخطوطات القرن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المرعشي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5959</w:t>
      </w:r>
      <w:r>
        <w:rPr>
          <w:rFonts w:ascii="Amiri" w:hAnsi="Amiri" w:eastAsia="Amiri" w:cs="Amiri"/>
          <w:color w:val="111111"/>
          <w:sz w:val="28"/>
          <w:sz w:val="28"/>
          <w:szCs w:val="28"/>
          <w:rtl w:val="true"/>
          <w:lang w:bidi="ar-SA"/>
        </w:rPr>
        <w:t>، من مخطوطات القرن الثاني عشر، عليها عدّة تملّكات و أختام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مدرسة الإمام العصر عجّل اللّٰه تعالى فرجه الشريف في شيراز،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استنسخها محمّد رضا بن اسكندر الطالقاني بخطّ النسخ، من مخطوطات القرن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مجلس الشورى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15032</w:t>
      </w:r>
      <w:r>
        <w:rPr>
          <w:rFonts w:ascii="Amiri" w:hAnsi="Amiri" w:eastAsia="Amiri" w:cs="Amiri"/>
          <w:color w:val="111111"/>
          <w:sz w:val="28"/>
          <w:sz w:val="28"/>
          <w:szCs w:val="28"/>
          <w:rtl w:val="true"/>
          <w:lang w:bidi="ar-SA"/>
        </w:rPr>
        <w:t>، استنسخها محمّد تقي بن محمّد حسين السبزواري بخطّ النسخ، من مخطوطات القرن الثاني عشر، نسخة مصحّحة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المدرسة الحجّتية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من مخطوطات القرن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مدرسة ولي العصر في خوانسار،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استنسخت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في مجلّة بيام بهارستان، العدد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فحول القزويني في قزوين، غير مرقّمة، استنسخها أحمد بن مصطفى الخوئيني، في تاسع جمادى الأُولى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فحول القزويني في قزوين، غير مرقّمة، استكتبها رضي الدين بن عليّ أكبر بن كريم بن أحمد بن نعمة اللّٰه الموسوي القزويني في شهر محرم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المرعشي في قم،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9188</w:t>
      </w:r>
      <w:r>
        <w:rPr>
          <w:rFonts w:ascii="Amiri" w:hAnsi="Amiri" w:eastAsia="Amiri" w:cs="Amiri"/>
          <w:color w:val="111111"/>
          <w:sz w:val="28"/>
          <w:sz w:val="28"/>
          <w:szCs w:val="28"/>
          <w:rtl w:val="true"/>
          <w:lang w:bidi="ar-SA"/>
        </w:rPr>
        <w:t xml:space="preserve">، استنسخها محمّد كريم بن محمّد بيكدلي، و فرغ منه يوم الغدير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المدرسة الفيضية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w:t>
      </w:r>
      <w:r>
        <w:rPr>
          <w:rFonts w:ascii="Amiri" w:hAnsi="Amiri" w:eastAsia="Amiri" w:cs="Amiri"/>
          <w:color w:val="111111"/>
          <w:sz w:val="28"/>
          <w:sz w:val="28"/>
          <w:szCs w:val="28"/>
          <w:rtl w:val="true"/>
          <w:lang w:bidi="ar-SA"/>
        </w:rPr>
        <w:t xml:space="preserve">، استنسخها ياسين بن عليّ النجفي،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المدرسة الفيضية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 xml:space="preserve">، استنسخها ياسين النجفي 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شستربيتي في دبلن في ألمانيا،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3218</w:t>
      </w:r>
      <w:r>
        <w:rPr>
          <w:rFonts w:ascii="Amiri" w:hAnsi="Amiri" w:eastAsia="Amiri" w:cs="Amiri"/>
          <w:color w:val="111111"/>
          <w:sz w:val="28"/>
          <w:sz w:val="28"/>
          <w:szCs w:val="28"/>
          <w:rtl w:val="true"/>
          <w:lang w:bidi="ar-SA"/>
        </w:rPr>
        <w:t xml:space="preserve">، استنسخت بخطّ النسخ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جامعة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8630</w:t>
      </w:r>
      <w:r>
        <w:rPr>
          <w:rFonts w:ascii="Amiri" w:hAnsi="Amiri" w:eastAsia="Amiri" w:cs="Amiri"/>
          <w:color w:val="111111"/>
          <w:sz w:val="28"/>
          <w:sz w:val="28"/>
          <w:szCs w:val="28"/>
          <w:rtl w:val="true"/>
          <w:lang w:bidi="ar-SA"/>
        </w:rPr>
        <w:t>، من مخطوطات القرن الحادي عشر أو الثاني عشر، نسخة مصحّحة عليها علامات البلاغ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الأوقاف العامّة في بغداد،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6811</w:t>
      </w:r>
      <w:r>
        <w:rPr>
          <w:rFonts w:ascii="Amiri" w:hAnsi="Amiri" w:eastAsia="Amiri" w:cs="Amiri"/>
          <w:color w:val="111111"/>
          <w:sz w:val="28"/>
          <w:sz w:val="28"/>
          <w:szCs w:val="28"/>
          <w:rtl w:val="true"/>
          <w:lang w:bidi="ar-SA"/>
        </w:rPr>
        <w:t xml:space="preserve">، استنسخها عبّاس بن عليّ العذاري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السيّد المرعشي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1483/1</w:t>
      </w:r>
      <w:r>
        <w:rPr>
          <w:rFonts w:ascii="Amiri" w:hAnsi="Amiri" w:eastAsia="Amiri" w:cs="Amiri"/>
          <w:color w:val="111111"/>
          <w:sz w:val="28"/>
          <w:sz w:val="28"/>
          <w:szCs w:val="28"/>
          <w:rtl w:val="true"/>
          <w:lang w:bidi="ar-SA"/>
        </w:rPr>
        <w:t xml:space="preserve">، استنسخها محمود بن عبد الرحمن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نسخة مصحّحة و محشّاة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مدرسة غرب همدان في همدان،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ص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آل جمال الدين في قرية المؤمنين بسوق الشيوخ في العراق،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في مجلّة الموسم،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مكتبة الوزارة الخارجية في طهران،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العربي،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مكتبة الإمام الصادق في الكاظمية،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 في الذخائر، </w:t>
      </w:r>
      <w:r>
        <w:rPr>
          <w:rFonts w:eastAsia="Amiri" w:cs="Amiri" w:ascii="Amiri" w:hAnsi="Amiri"/>
          <w:color w:val="111111"/>
          <w:sz w:val="28"/>
          <w:szCs w:val="28"/>
          <w:lang w:bidi="ar-SA"/>
        </w:rPr>
        <w:t>67797</w:t>
      </w:r>
      <w:r>
        <w:rPr>
          <w:rFonts w:eastAsia="Amiri" w:cs="Amiri" w:ascii="Amiri" w:hAnsi="Amiri"/>
          <w:color w:val="111111"/>
          <w:sz w:val="28"/>
          <w:szCs w:val="28"/>
          <w:rtl w:val="true"/>
          <w:lang w:bidi="ar-SA"/>
        </w:rPr>
        <w:t xml:space="preserve">). </w:t>
      </w:r>
      <w:bookmarkStart w:id="156" w:name="pg20044_770726"/>
    </w:p>
    <w:p>
      <w:pPr>
        <w:pStyle w:val="Heading3"/>
        <w:numPr>
          <w:ilvl w:val="2"/>
          <w:numId w:val="1"/>
        </w:numPr>
        <w:rPr/>
      </w:pPr>
      <w:bookmarkStart w:id="157" w:name="__RefHeading___Toc828382_2320776876"/>
      <w:bookmarkStart w:id="158" w:name="_Toc56"/>
      <w:bookmarkEnd w:id="156"/>
      <w:bookmarkEnd w:id="157"/>
      <w:r>
        <w:rPr>
          <w:rtl w:val="true"/>
        </w:rPr>
        <w:t>عملنا في الكتاب</w:t>
      </w:r>
      <w:bookmarkEnd w:id="158"/>
    </w:p>
    <w:p>
      <w:pPr>
        <w:pStyle w:val="Heading4"/>
        <w:numPr>
          <w:ilvl w:val="3"/>
          <w:numId w:val="1"/>
        </w:numPr>
        <w:rPr/>
      </w:pPr>
      <w:bookmarkStart w:id="159" w:name="__RefHeading___Toc828384_2320776876"/>
      <w:bookmarkStart w:id="160" w:name="_Toc57"/>
      <w:bookmarkEnd w:id="159"/>
      <w:r>
        <w:rPr>
          <w:rtl w:val="true"/>
        </w:rPr>
        <w:t>أوّلاً</w:t>
      </w:r>
      <w:r>
        <w:rPr>
          <w:rtl w:val="true"/>
        </w:rPr>
        <w:t xml:space="preserve">: </w:t>
      </w:r>
      <w:r>
        <w:rPr>
          <w:rtl w:val="true"/>
        </w:rPr>
        <w:t>المقابلة</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قابلْنا الكتابَ على أربعٍ من النُسَخ برُمّتها، و هي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ج، ص،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قابلْنا الجزءَ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البداية، إلى الصفحة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النسخة و إن كانت تامّة إلا أنّا أغمضنا عن مقابلة الجزء الثاني منها، فإنّ أكثر ما فيها يُشارك ما في غيرها، و قابلْنا الجزء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الكتاب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إنّها ناقصة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راجعنا سائرَ النُسَخ في مواضع خاصّة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قد أوردنا تأريخَ تصنيف الكتاب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كما أنّ أكثر ما حكينا في الهامش من التوضيح و التفصيل محكي عن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النسخة الحجريّة قد قابلْناه على متن الكتاب، و قد أشرنا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 منه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ذكرنا في الهامش جميعَ ما خالفْنا المطبوعَ فيه في اختيار النصّ ، و بلغ موارده إلى أكثر من خمسة آلاف مورد، و أشرنا إليه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لم نصرّح فيه بهذا الرمز فهو موافق لما في المطبوع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قُوبِل الكتاب على كتاب تلخيص الشافي للشيخ الطوسيّ رحمه اللّٰه، و قد أشرنا إلى ما حكينا عنه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هذا التلخيص يُعَدّ أقدمَ نسخة مِن نُسَخ الكتاب و أحسنها، و قد آثرْنا في بعض المواضع من التصحيح ضبطَه للمتن على ضبط غيره من النسخ</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هو 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هذا الكتاب يشهد بأنّ الشيخ رحمه اللّٰه قد بالغ جُهدَه في تلخيص ما قاله الشريف رحمه اللّٰه من دون أن يزيد فيها شيئاً إلّاإذا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حذف كثيراً ممّا ذكره الشريف رحمه اللّٰه روماً للاختصار، كما قد </w:t>
      </w:r>
      <w:bookmarkStart w:id="161" w:name="pg20044_770727"/>
    </w:p>
    <w:p>
      <w:pPr>
        <w:pStyle w:val="BookText"/>
        <w:rPr/>
      </w:pPr>
      <w:bookmarkEnd w:id="161"/>
      <w:r>
        <w:rPr>
          <w:rFonts w:ascii="Amiri" w:hAnsi="Amiri" w:eastAsia="Amiri" w:cs="Amiri"/>
          <w:color w:val="111111"/>
          <w:sz w:val="28"/>
          <w:sz w:val="28"/>
          <w:szCs w:val="28"/>
          <w:rtl w:val="true"/>
          <w:lang w:bidi="ar-SA"/>
        </w:rPr>
        <w:t>يتصرّف في نقل العبارات بتقديم أو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 ما أورده الشيخ في هذا الكتاب أقربَ المتون إلى عهد المصنّف و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جميع ما حكاه ابنُ أبي الحديد عن الشافي في شرحه على نهج البلاغة قد قُوبِل على ما في الكتاب، و أشرنا في الهامش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فيه 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حكى العلامّة المجلسيّ رحمه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ورد فيه، فقد قابلْنا المتنَ على جميع ما حكاه، و أشرنا في الهامش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خالَفْناه في اختيار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حكى الشريف المرتضى رحمه اللّٰه كثيراً ممّا ذكره القاضي عبد الجبّار في كتابه المغني بنصّه، فقد قُمْنا بمقابلة جميع ما حكاه عنه على ما في المطبوع من كتاب المغني، و قد ذكرنا ما كان بينهما من الاختلاف</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28386_2320776876"/>
      <w:bookmarkStart w:id="163" w:name="_Toc58"/>
      <w:bookmarkEnd w:id="162"/>
      <w:r>
        <w:rPr>
          <w:rtl w:val="true"/>
        </w:rPr>
        <w:t>ثانياً</w:t>
      </w:r>
      <w:r>
        <w:rPr>
          <w:rtl w:val="true"/>
        </w:rPr>
        <w:t xml:space="preserve">: </w:t>
      </w:r>
      <w:r>
        <w:rPr>
          <w:rtl w:val="true"/>
        </w:rPr>
        <w:t>تقويم النصّ</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المستند الرئيسي في تقويم النصّ و تصحيح المتن هو اختيار الراجح من النسخ في المتن و الإشارة إلى المرجوح منها في الهامش، و الرجحان يُعرَف بقواعد الأدب و غيره، و هذا الأمر ممّا يتّفق بالتلفيق بين النسخ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احترزنا من الاجتهاد و القياس في التصحيح إلّاإذا كان الخطأ في المتن فادحاً فاضحاً لا يمكن توجيهه إلى أيّ وجه، و قد صرّحنا في تلك المواضع بأنّ التصحيح قياسيّ غير مأخوذ من ضبط النُّسَخ، و هي في موارد قليلة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أصحّ النسخ ضبطاً و أحسنَها متناً هي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تَليها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ط،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في الضبط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بذلنا جُهدَنا في ذكر جميع الاختلافات في النسخ، حتّى ما لا يُغيّر المعنى بوجهٍ ، و يُستثنى من ذلك ما كان غلطاً لا وجه في صحّته نُوَجّهه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يستثنى من ذكر اختلاف النُّسَخ ما حكى آيةً من القرآن الكريم أو بعضَها و خالفَ بعضُ النسخ ما هو مُثبَت في القرآن، فقد آثرنا متن النسخة الموافقة للقرآن على غيرها و لم نُشِر في الهامش إلى متن غيرها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الجدير بالذكر أنّ اختلاف النسخ في حكاية الآيات كان ممّا قلّ اتّفاقه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مضى أنّا قد قابلْنا جميعَ ما حكاه الشريف عن كتاب المغني على المطبوع من هذا الكتاب، و من اللائق بالذكر هنا أنّا قد قُمْنا بتتميم العبارة المحكيّة عن المغني إذا كان الشريف مقتصراً على حكاية بعضها بحيث أضرّ الاقتصارُ بفهم العبارة، و قد وضعنا ما أتممنا به العبارةَ في المعقوفين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عنوان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المعلوم أنّ هذا الاقتصار من الشريف المرتضى رحمه اللّٰه ناشئٌ من اشتهار هذا الكتاب، و لهذا نراه قد يشير إلى ما قاله في المغني من غير حكاية ألفاظه، بل يستخدم الألفاظ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كان يتّفق في تصحيح هذا الكتاب أنّ فهم العبارة يتوقّف في بعض المواقف على زيادة كلمة أو كلمات كانت النُّسَخ بأسرها عاريةً منها، فقد قُمْنا بزيادتها في المتن بين المعقوفين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للزيادة معتمد من الكتب غير النُّسَخ ذكرناه في الهامش، و الحاصل أنّ جميع ما وضعناه بين المعقوفين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ممّا كانت النُّسَخ عَرِيّةً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اختلاف النسخ في تذكير الأفعال و الأسماء و تأنيثها قد اخترنا النسخةَ الراجحةَ و ذكرنا المرجوحة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النسخ ناطقة بالمرجوح خاصّة، فقد أثبتنا المرجوح حينئذٍ في المتن و صرّحنا بالراجح في الهامش، دون العكس، حذراً من القياس في تصحيح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استعملنا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الزيادة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كانت أو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وضعنا 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النقصان</w:t>
      </w:r>
      <w:r>
        <w:rPr>
          <w:rFonts w:eastAsia="Amiri" w:cs="Amiri" w:ascii="Amiri" w:hAnsi="Amiri"/>
          <w:color w:val="111111"/>
          <w:sz w:val="28"/>
          <w:szCs w:val="28"/>
          <w:rtl w:val="true"/>
          <w:lang w:bidi="ar-SA"/>
        </w:rPr>
        <w:t xml:space="preserve">. </w:t>
      </w:r>
      <w:bookmarkStart w:id="164" w:name="pg20044_770729"/>
    </w:p>
    <w:p>
      <w:pPr>
        <w:pStyle w:val="Heading4"/>
        <w:numPr>
          <w:ilvl w:val="3"/>
          <w:numId w:val="1"/>
        </w:numPr>
        <w:rPr/>
      </w:pPr>
      <w:bookmarkStart w:id="165" w:name="__RefHeading___Toc828388_2320776876"/>
      <w:bookmarkStart w:id="166" w:name="_Toc59"/>
      <w:bookmarkEnd w:id="164"/>
      <w:bookmarkEnd w:id="165"/>
      <w:r>
        <w:rPr>
          <w:rtl w:val="true"/>
        </w:rPr>
        <w:t>ثالثاً</w:t>
      </w:r>
      <w:r>
        <w:rPr>
          <w:rtl w:val="true"/>
        </w:rPr>
        <w:t xml:space="preserve">: </w:t>
      </w:r>
      <w:r>
        <w:rPr>
          <w:rtl w:val="true"/>
        </w:rPr>
        <w:t>التخريجات و الإرجاعات</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وضعنا جميع الآيات المباركة الورادة في الكتاب بين القوسين المزهّرتين بقلمٍ يُخالف قلمَ المتن، و قد ذكرنا عنوان السورة و الآية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أخرجنا الأحاديث المرويّة عن النبيّ صلّي اللّٰه عليه و آله و الأئمّة عليهم السلام من الكتب الأصيلة التي تُعَدّ من تراثنا الحديثي، و أضفنا إلى ذلك الإخراجَ من مصادر العامّة لما رُوِيَ عن النبيّ صلّي اللّٰه عليه و آله خاصّة، و قد أشرنا إلى الاختلاف بين المتن و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بذلنا جُهدَنا في تخريج الأقوال الواردة في المتن، سواء أ صرّح الشريف المرتضى رحمه اللّٰه باسم القائل و حكى كلامَه بنصّه أو صرّح باسمه و اكتفى بنقل كلامه على سبيل الإجمال، فإن كان للقائل كتاب معثور عليه حاليّاً راجعناه و ذكرنا العنوان المتعلّق به، و إن لم يكن كذلك راجعنا الكتب المصنّفة المشتملة على حكاية ذلك القول و أخرجنا العنوان مِن أقرب تلك الكتب عهداً بالقائل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 الشريف المرتضى رحمه اللّٰه في كتابه هذا أبياتاً من الشعر، فما صرّح فيه باسم الشاعر و كان للشاعر ديوان معثور عليه الآن اكتفينا بإخراجه منه، و إن لم يكن له ديوان معثور عليه أو لم يكن له ديوان رأساً أخرجناه من مصدر مشتمل عليه، و لاحظنا أقربها من المصنّف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أبيات لم يصرّح المصنّف باسم قائله و قد أخرجناه إن عثرنا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مواضع في الكتاب أرجع المصنّف رحمه اللّٰه إلى كلامه فيما تقدّم، أو كلامه فيما سيأتي، فقد أخرجناه من طبعنا هذا في الهامش، و هناك مواضع أُخَر أرجعها رحمه اللّٰه إلى كلامه في كتبه الأُخَر، فقد أخرجناه من كتبه المطبوعة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قد أثبتنا في حاشية كتب المصنّف من طبعنا هذا أرقامَ الصفحات المتعلّقة بالطبع السالف طِبقاً على السطر الذي به تبدأ عبارة كلّ صفحة من ذلك الطبع</w:t>
      </w:r>
      <w:r>
        <w:rPr>
          <w:rFonts w:eastAsia="Amiri" w:cs="Amiri" w:ascii="Amiri" w:hAnsi="Amiri"/>
          <w:color w:val="111111"/>
          <w:sz w:val="28"/>
          <w:szCs w:val="28"/>
          <w:rtl w:val="true"/>
          <w:lang w:bidi="ar-SA"/>
        </w:rPr>
        <w:t xml:space="preserve">. </w:t>
      </w:r>
      <w:bookmarkStart w:id="167" w:name="pg20044_770730"/>
    </w:p>
    <w:p>
      <w:pPr>
        <w:pStyle w:val="Heading4"/>
        <w:numPr>
          <w:ilvl w:val="3"/>
          <w:numId w:val="1"/>
        </w:numPr>
        <w:rPr/>
      </w:pPr>
      <w:bookmarkStart w:id="168" w:name="__RefHeading___Toc828390_2320776876"/>
      <w:bookmarkStart w:id="169" w:name="_Toc60"/>
      <w:bookmarkEnd w:id="167"/>
      <w:bookmarkEnd w:id="168"/>
      <w:r>
        <w:rPr>
          <w:rtl w:val="true"/>
        </w:rPr>
        <w:t>رابعاً</w:t>
      </w:r>
      <w:r>
        <w:rPr>
          <w:rtl w:val="true"/>
        </w:rPr>
        <w:t xml:space="preserve">: </w:t>
      </w:r>
      <w:r>
        <w:rPr>
          <w:rtl w:val="true"/>
        </w:rPr>
        <w:t>التراجم و التعليقات</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ترجمنا الكلماتِ الصعبةَ و التي قلّ استعمالُها، من مَعاجم اللغة المعتبرة مُراعِياً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تعرّضنا في الهامش للتعريف بغير المعروف من الأعلام الواردة في المتن و غير المشتهر من الأماكن و المذاهب، و المُعتمَد في ذلك على المصادر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أقدمنا على شرح المتن في الهامش إذا كانت عبارة الشريف ممّا يحتاج فهمها إلى الشرح و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تعليقات في الطبع السالف من الشافي و تلخيصه، فقد حكينا في هذا الطبع ما رأيناه جديراً بالذكر بعد تصرّفٍ في متنه و تخريجٍ لمصادره</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28392_2320776876"/>
      <w:bookmarkStart w:id="171" w:name="_Toc61"/>
      <w:bookmarkEnd w:id="170"/>
      <w:r>
        <w:rPr>
          <w:rtl w:val="true"/>
        </w:rPr>
        <w:t>خامساً</w:t>
      </w:r>
      <w:r>
        <w:rPr>
          <w:rtl w:val="true"/>
        </w:rPr>
        <w:t xml:space="preserve">: </w:t>
      </w:r>
      <w:r>
        <w:rPr>
          <w:rtl w:val="true"/>
        </w:rPr>
        <w:t>التوضيحات الواردة في حواشي النُّسَخ</w:t>
      </w:r>
      <w:bookmarkEnd w:id="171"/>
    </w:p>
    <w:p>
      <w:pPr>
        <w:pStyle w:val="BookText"/>
        <w:rPr/>
      </w:pPr>
      <w:r>
        <w:rPr>
          <w:rFonts w:ascii="Amiri" w:hAnsi="Amiri" w:eastAsia="Amiri" w:cs="Amiri"/>
          <w:color w:val="111111"/>
          <w:sz w:val="28"/>
          <w:sz w:val="28"/>
          <w:szCs w:val="28"/>
          <w:rtl w:val="true"/>
          <w:lang w:bidi="ar-SA"/>
        </w:rPr>
        <w:t>قد أوردنا في المجلّد الأوّل من هذا الطبع لكتاب الشافي نوعين من التوضيحات اقتطفناها من حواشي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قُمنا بعمل التصحيح له بمقابلة نسختين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الرسالة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التي جمع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أُتِي فيها بجميع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و أُشِير إلى قائله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 استرآبادي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الحواشي الواردة في نفس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جيء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المواضع، و قد أوردناها بِرُمّتها</w:t>
      </w:r>
      <w:r>
        <w:rPr>
          <w:rFonts w:eastAsia="Amiri" w:cs="Amiri" w:ascii="Amiri" w:hAnsi="Amiri"/>
          <w:color w:val="111111"/>
          <w:sz w:val="28"/>
          <w:szCs w:val="28"/>
          <w:rtl w:val="true"/>
          <w:lang w:bidi="ar-SA"/>
        </w:rPr>
        <w:t xml:space="preserve">. </w:t>
      </w:r>
      <w:bookmarkStart w:id="172" w:name="pg20044_770731"/>
    </w:p>
    <w:p>
      <w:pPr>
        <w:pStyle w:val="Heading4"/>
        <w:numPr>
          <w:ilvl w:val="3"/>
          <w:numId w:val="1"/>
        </w:numPr>
        <w:rPr/>
      </w:pPr>
      <w:bookmarkStart w:id="173" w:name="__RefHeading___Toc828394_2320776876"/>
      <w:bookmarkStart w:id="174" w:name="_Toc62"/>
      <w:bookmarkEnd w:id="172"/>
      <w:bookmarkEnd w:id="173"/>
      <w:r>
        <w:rPr>
          <w:rtl w:val="true"/>
        </w:rPr>
        <w:t>سادساً</w:t>
      </w:r>
      <w:r>
        <w:rPr>
          <w:rtl w:val="true"/>
        </w:rPr>
        <w:t xml:space="preserve">: </w:t>
      </w:r>
      <w:r>
        <w:rPr>
          <w:rtl w:val="true"/>
        </w:rPr>
        <w:t>إعراب المتن</w:t>
      </w:r>
      <w:bookmarkEnd w:id="174"/>
    </w:p>
    <w:p>
      <w:pPr>
        <w:pStyle w:val="BookText"/>
        <w:rPr/>
      </w:pPr>
      <w:r>
        <w:rPr>
          <w:rFonts w:ascii="Amiri" w:hAnsi="Amiri" w:eastAsia="Amiri" w:cs="Amiri"/>
          <w:color w:val="111111"/>
          <w:sz w:val="28"/>
          <w:sz w:val="28"/>
          <w:szCs w:val="28"/>
          <w:rtl w:val="true"/>
          <w:lang w:bidi="ar-SA"/>
        </w:rPr>
        <w:t>بما أنّ نثر الشريف رحمه اللّٰه ممّا يصعب فهمُه عادةً ، فقد قمنا بتعريب المتن حتّى نحملَ ثِقلاً من أثقال العبارة تسهيلاً على القارئ الكريم و إرفاقاً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مواضع قليلة تحتمل العبارةُ فيها وجهَين من الإعراب، فقد آثرنا الوجه الراجح و أهملنا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في مواضعَ أنّا أهملنا الوجهين، و ذاك إذا لم يكن هناك رجحان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28396_2320776876"/>
      <w:bookmarkStart w:id="176" w:name="_Toc63"/>
      <w:bookmarkEnd w:id="175"/>
      <w:r>
        <w:rPr>
          <w:rtl w:val="true"/>
        </w:rPr>
        <w:t>سابعاً</w:t>
      </w:r>
      <w:r>
        <w:rPr>
          <w:rtl w:val="true"/>
        </w:rPr>
        <w:t xml:space="preserve">: </w:t>
      </w:r>
      <w:r>
        <w:rPr>
          <w:rtl w:val="true"/>
        </w:rPr>
        <w:t>جعل العلائم</w:t>
      </w:r>
      <w:bookmarkEnd w:id="176"/>
    </w:p>
    <w:p>
      <w:pPr>
        <w:pStyle w:val="BookText"/>
        <w:rPr/>
      </w:pPr>
      <w:r>
        <w:rPr>
          <w:rFonts w:ascii="Amiri" w:hAnsi="Amiri" w:eastAsia="Amiri" w:cs="Amiri"/>
          <w:color w:val="111111"/>
          <w:sz w:val="28"/>
          <w:sz w:val="28"/>
          <w:szCs w:val="28"/>
          <w:rtl w:val="true"/>
          <w:lang w:bidi="ar-SA"/>
        </w:rPr>
        <w:t>و قد كان المناط في وضع العلائم هو التسهيل على القارئ الكريم لكي يقدر على فهم المتن من غير أن يواجهَهُ تعقيدٌ أو إبهامٌ ، و قد دعانا هذا الأمر إلى الاحتراز من الإفراط و التفريط المُمِلَّين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مواضع من الكتاب يُواجه فيها القارئ صعوبةً في فهم المتن، فلم يكن هناك بُدٌّ من إكثار العلائم، و قد اقتصرنا هناك أيضا على ما فيه الكفاية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828398_2320776876"/>
      <w:bookmarkStart w:id="178" w:name="_Toc64"/>
      <w:bookmarkEnd w:id="177"/>
      <w:r>
        <w:rPr>
          <w:rtl w:val="true"/>
        </w:rPr>
        <w:t>ثامناً</w:t>
      </w:r>
      <w:r>
        <w:rPr>
          <w:rtl w:val="true"/>
        </w:rPr>
        <w:t xml:space="preserve">: </w:t>
      </w:r>
      <w:r>
        <w:rPr>
          <w:rtl w:val="true"/>
        </w:rPr>
        <w:t>وضع العناوين</w:t>
      </w:r>
      <w:bookmarkEnd w:id="178"/>
    </w:p>
    <w:p>
      <w:pPr>
        <w:pStyle w:val="BookText"/>
        <w:rPr/>
      </w:pPr>
      <w:r>
        <w:rPr>
          <w:rFonts w:ascii="Amiri" w:hAnsi="Amiri" w:eastAsia="Amiri" w:cs="Amiri"/>
          <w:color w:val="111111"/>
          <w:sz w:val="28"/>
          <w:sz w:val="28"/>
          <w:szCs w:val="28"/>
          <w:rtl w:val="true"/>
          <w:lang w:bidi="ar-SA"/>
        </w:rPr>
        <w:t>لمّا كان متن الكتاب في النظر البدويّ مُعَقَّداً مبهماً لا علاقةَ بيّنةً بين جميع ما أودعه الشريف المرتضى رحمه اللّٰه، و بما أنّه رحمه اللّٰه قد تعرّض ذيلَ كلّ شبهة من شبهات القاضي لمسائل مختلفة، رأينا من اللازم أن نضع عناوين متعدّدة و متكثّرة في بداية كلّ كلام جديد و مقال حديث، و قد قسّمنا العناوين إلى الأصليّة و الفرعيّة، و هذا ممّا يساعِدُ القارئَ الكريمَ في فهم العِلاقات بين كلٍّ من فقرات كلام الشريف المرتضى رحمه اللّٰه، و يجعله ذا نظرة كلّيّة إلى ما جرى الكلام فيه في ذلك الباب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وضعَ العناوين و تقسيمَها إلى العناوين الأصليّة و الفرعيّة و ترقيمَها، كانت ذات تأثير عظيم في فهم ما أودعه الشريف رحمه اللّٰه في هذا الكتاب، و ذات أهمّيّة واسعة في تسهيل هذا الأمر على المحقّقين</w:t>
      </w:r>
      <w:r>
        <w:rPr>
          <w:rFonts w:eastAsia="Amiri" w:cs="Amiri" w:ascii="Amiri" w:hAnsi="Amiri"/>
          <w:color w:val="111111"/>
          <w:sz w:val="28"/>
          <w:szCs w:val="28"/>
          <w:rtl w:val="true"/>
          <w:lang w:bidi="ar-SA"/>
        </w:rPr>
        <w:t xml:space="preserve">. </w:t>
      </w:r>
      <w:bookmarkStart w:id="179" w:name="pg20044_770732"/>
    </w:p>
    <w:p>
      <w:pPr>
        <w:pStyle w:val="Heading4"/>
        <w:numPr>
          <w:ilvl w:val="3"/>
          <w:numId w:val="1"/>
        </w:numPr>
        <w:rPr/>
      </w:pPr>
      <w:bookmarkStart w:id="180" w:name="__RefHeading___Toc828400_2320776876"/>
      <w:bookmarkStart w:id="181" w:name="_Toc65"/>
      <w:bookmarkEnd w:id="179"/>
      <w:bookmarkEnd w:id="180"/>
      <w:r>
        <w:rPr>
          <w:rtl w:val="true"/>
        </w:rPr>
        <w:t>تاسعاً</w:t>
      </w:r>
      <w:r>
        <w:rPr>
          <w:rtl w:val="true"/>
        </w:rPr>
        <w:t xml:space="preserve">: </w:t>
      </w:r>
      <w:r>
        <w:rPr>
          <w:rtl w:val="true"/>
        </w:rPr>
        <w:t>الفهارس العامّة</w:t>
      </w:r>
      <w:bookmarkEnd w:id="181"/>
    </w:p>
    <w:p>
      <w:pPr>
        <w:pStyle w:val="BookText"/>
        <w:rPr/>
      </w:pPr>
      <w:r>
        <w:rPr>
          <w:rFonts w:ascii="Amiri" w:hAnsi="Amiri" w:eastAsia="Amiri" w:cs="Amiri"/>
          <w:color w:val="111111"/>
          <w:sz w:val="28"/>
          <w:sz w:val="28"/>
          <w:szCs w:val="28"/>
          <w:rtl w:val="true"/>
          <w:lang w:bidi="ar-SA"/>
        </w:rPr>
        <w:t>و بالأخير قد أعددنا فهارس عامّة و متنوّعة في آخر الكتاب رَوماً للتسهيل على المحقّق المدقّق في ابتغائه ما ورد في الكتاب</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28402_2320776876"/>
      <w:bookmarkStart w:id="183" w:name="_Toc66"/>
      <w:bookmarkEnd w:id="182"/>
      <w:r>
        <w:rPr>
          <w:rtl w:val="true"/>
        </w:rPr>
        <w:t>كلمة الشكر</w:t>
      </w:r>
      <w:bookmarkEnd w:id="183"/>
    </w:p>
    <w:p>
      <w:pPr>
        <w:pStyle w:val="BookText"/>
        <w:rPr/>
      </w:pPr>
      <w:r>
        <w:rPr>
          <w:rFonts w:ascii="Amiri" w:hAnsi="Amiri" w:eastAsia="Amiri" w:cs="Amiri"/>
          <w:color w:val="111111"/>
          <w:sz w:val="28"/>
          <w:sz w:val="28"/>
          <w:szCs w:val="28"/>
          <w:rtl w:val="true"/>
          <w:lang w:bidi="ar-SA"/>
        </w:rPr>
        <w:t xml:space="preserve">و في الختام نرى من الواجب علينا أن نُقدِّم جزيل الشكر و الثناء لجميع الأصدقاء الكرام و السادة الأعزّاء الذين ساعدونا في تحقيق هذا السفر القيّم و الأثر الخالد، و نخصّ منهم بالذكر المحقّق البارع الدكتور حيدر البياتي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تولّى المراجعة النهائية للكتاب، و وضع العناوين، و تأليف الفصول الأربعة من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المدقّق الدكتور حبّ اللّٰه النجفي حيث ساعدنا في وضع الحركات على الكلمات و مراجعة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الإخوة الأعزّاء محمّد حسين الواعظ النجفي و عباس الكثيري و محسن الشعاعي و أمير حسين السعيدي و محمّدكريم الصالحي للمساعدة في تنظيم فصول مقدّمة التحقيق و التخريجات و مقابلة النسخ و استخراج الفهارس العامّة و تنضيد الحروف و الإخراج الفنّي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يكتب لهم الأجر، 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البياتي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الدرايتي</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20044_770734"/>
      <w:bookmarkStart w:id="185" w:name="pg20044_770734"/>
      <w:bookmarkEnd w:id="18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6" w:name="pg20044_770734"/>
      <w:bookmarkStart w:id="187" w:name="__RefHeading___Toc828404_2320776876"/>
      <w:bookmarkStart w:id="188" w:name="_Toc67"/>
      <w:bookmarkEnd w:id="186"/>
      <w:bookmarkEnd w:id="187"/>
      <w:r>
        <w:rPr>
          <w:rtl w:val="true"/>
        </w:rPr>
        <w:t>نماذج من تصاوير النسخ</w:t>
      </w:r>
      <w:bookmarkEnd w:id="188"/>
    </w:p>
    <w:p>
      <w:pPr>
        <w:pStyle w:val="BookText"/>
        <w:rPr/>
      </w:pPr>
      <w:r>
        <w:rPr>
          <w:rFonts w:ascii="Amiri" w:hAnsi="Amiri" w:eastAsia="Amiri" w:cs="Amiri"/>
          <w:color w:val="111111"/>
          <w:sz w:val="28"/>
          <w:sz w:val="28"/>
          <w:szCs w:val="28"/>
          <w:rtl w:val="true"/>
          <w:lang w:bidi="ar-SA"/>
        </w:rPr>
        <w:t>الصورة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2"/>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5"/>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7"/>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0"/>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5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60" o:detectmouseclick="t"/>
                <v:stroke color="#3465a4" joinstyle="round" endcap="flat"/>
                <w10:wrap type="none"/>
              </v:shape>
            </w:pict>
          </mc:Fallback>
        </mc:AlternateContent>
      </w:r>
      <w:bookmarkStart w:id="189" w:name="pg20044_770758"/>
    </w:p>
    <w:p>
      <w:pPr>
        <w:pStyle w:val="Heading2"/>
        <w:numPr>
          <w:ilvl w:val="1"/>
          <w:numId w:val="1"/>
        </w:numPr>
        <w:rPr/>
      </w:pPr>
      <w:bookmarkStart w:id="190" w:name="__RefHeading___Toc828406_2320776876"/>
      <w:bookmarkStart w:id="191" w:name="_Toc68"/>
      <w:bookmarkEnd w:id="189"/>
      <w:bookmarkEnd w:id="190"/>
      <w:r>
        <w:rPr>
          <w:rtl w:val="true"/>
        </w:rPr>
        <w:t>الشافي في الإمامة</w:t>
      </w:r>
      <w:bookmarkEnd w:id="19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828408_2320776876"/>
      <w:bookmarkStart w:id="193" w:name="_Toc69"/>
      <w:bookmarkEnd w:id="192"/>
      <w:r>
        <w:rPr>
          <w:rtl w:val="true"/>
        </w:rPr>
        <w:t>اشارة</w:t>
      </w:r>
      <w:bookmarkEnd w:id="19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20044_770760"/>
      <w:bookmarkStart w:id="195" w:name="pg20044_770760"/>
      <w:bookmarkEnd w:id="195"/>
    </w:p>
    <w:p>
      <w:pPr>
        <w:pStyle w:val="BookText"/>
        <w:rPr/>
      </w:pPr>
      <w:bookmarkStart w:id="196" w:name="pg20044_770760"/>
      <w:bookmarkEnd w:id="19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97" w:name="__RefHeading___Toc828410_2320776876"/>
      <w:bookmarkStart w:id="198" w:name="_Toc70"/>
      <w:bookmarkEnd w:id="197"/>
      <w:r>
        <w:rPr>
          <w:rtl w:val="true"/>
        </w:rPr>
        <w:t>مقدّمة المؤلّف</w:t>
      </w:r>
      <w:bookmarkEnd w:id="198"/>
    </w:p>
    <w:p>
      <w:pPr>
        <w:pStyle w:val="BookText"/>
        <w:rPr/>
      </w:pPr>
      <w:r>
        <w:rPr>
          <w:rFonts w:ascii="Amiri" w:hAnsi="Amiri" w:eastAsia="Amiri" w:cs="Amiri"/>
          <w:color w:val="111111"/>
          <w:sz w:val="28"/>
          <w:sz w:val="28"/>
          <w:szCs w:val="28"/>
          <w:rtl w:val="true"/>
          <w:lang w:bidi="ar-SA"/>
        </w:rPr>
        <w:t>الحمدُ للّٰهِ، و سَلامٌ‌</w:t>
      </w:r>
      <w:r>
        <w:rPr>
          <w:rStyle w:val="FootnoteAnchor"/>
          <w:rtl w:val="true"/>
        </w:rPr>
        <w:footnoteReference w:id="181"/>
      </w:r>
      <w:r>
        <w:rPr>
          <w:rFonts w:ascii="Amiri" w:hAnsi="Amiri" w:eastAsia="Amiri" w:cs="Amiri"/>
          <w:color w:val="111111"/>
          <w:sz w:val="28"/>
          <w:sz w:val="28"/>
          <w:szCs w:val="28"/>
          <w:rtl w:val="true"/>
          <w:lang w:bidi="ar-SA"/>
        </w:rPr>
        <w:t>علىٰ عِبادِه الذينَ اصطفىٰ؛ محمّدٍ و آلِه الطاهرينَ الأبرارِ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Style w:val="FootnoteAnchor"/>
          <w:rtl w:val="true"/>
        </w:rPr>
        <w:footnoteReference w:id="183"/>
      </w:r>
      <w:r>
        <w:rPr>
          <w:rFonts w:ascii="Amiri" w:hAnsi="Amiri" w:eastAsia="Amiri" w:cs="Amiri"/>
          <w:color w:val="111111"/>
          <w:sz w:val="28"/>
          <w:sz w:val="28"/>
          <w:szCs w:val="28"/>
          <w:rtl w:val="true"/>
          <w:lang w:bidi="ar-SA"/>
        </w:rPr>
        <w:t xml:space="preserve">،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ما انطوىٰ عليه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الحِجاجِ في الإمامةِ، و إملاءَ‌</w:t>
      </w:r>
      <w:r>
        <w:rPr>
          <w:rStyle w:val="FootnoteAnchor"/>
          <w:rtl w:val="true"/>
        </w:rPr>
        <w:footnoteReference w:id="184"/>
      </w:r>
      <w:r>
        <w:rPr>
          <w:rFonts w:ascii="Amiri" w:hAnsi="Amiri" w:eastAsia="Amiri" w:cs="Amiri"/>
          <w:color w:val="111111"/>
          <w:sz w:val="28"/>
          <w:sz w:val="28"/>
          <w:szCs w:val="28"/>
          <w:rtl w:val="true"/>
          <w:lang w:bidi="ar-SA"/>
        </w:rPr>
        <w:t xml:space="preserve">الكلامِ علىٰ شُبَهِه بغايةِ الاختصارِ، و ذَكرتَ أنّ مؤلِّفَه قد بلَغ النِّهايةَ في جَمعِ الشُّبَهِ، و أَورَدَ قويَّ ما اعتَمَدَه شُيوخُه، مع زياداتٍ يسيرةٍ سَبَقَ إليها، و تهذيبِ مَواضعَ </w:t>
      </w:r>
      <w:r>
        <w:rPr>
          <w:rStyle w:val="FootnoteAnchor"/>
          <w:rtl w:val="true"/>
        </w:rPr>
        <w:footnoteReference w:id="185"/>
      </w:r>
      <w:r>
        <w:rPr>
          <w:rFonts w:ascii="Amiri" w:hAnsi="Amiri" w:eastAsia="Amiri" w:cs="Amiri"/>
          <w:color w:val="111111"/>
          <w:sz w:val="28"/>
          <w:sz w:val="28"/>
          <w:szCs w:val="28"/>
          <w:rtl w:val="true"/>
          <w:lang w:bidi="ar-SA"/>
        </w:rPr>
        <w:t>تفرَّدَ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عَزَمتُ عند وقوعِ هذا الكتابِ في يَدي علىٰ نَقضِ ما اختَصَّ منه بالإمامةِ علىٰ سَبيلِ الاستقصاءِ ، فقطَعَني عن إمضاءِ ذلك</w:t>
      </w:r>
      <w:r>
        <w:rPr>
          <w:rStyle w:val="FootnoteAnchor"/>
          <w:rtl w:val="true"/>
        </w:rPr>
        <w:footnoteReference w:id="186"/>
      </w:r>
      <w:r>
        <w:rPr>
          <w:rFonts w:ascii="Amiri" w:hAnsi="Amiri" w:eastAsia="Amiri" w:cs="Amiri"/>
          <w:color w:val="111111"/>
          <w:sz w:val="28"/>
          <w:sz w:val="28"/>
          <w:szCs w:val="28"/>
          <w:rtl w:val="true"/>
          <w:lang w:bidi="ar-SA"/>
        </w:rPr>
        <w:t>قواطعُ ، و مَنَعَت مِنه مَوانِعُ كنتُ متوقِّعاً لانحِسارِها فأبتدئَ به؛ و أنا</w:t>
      </w:r>
      <w:r>
        <w:rPr>
          <w:rStyle w:val="FootnoteAnchor"/>
          <w:rtl w:val="true"/>
        </w:rPr>
        <w:footnoteReference w:id="187"/>
      </w:r>
      <w:r>
        <w:rPr>
          <w:rFonts w:ascii="Amiri" w:hAnsi="Amiri" w:eastAsia="Amiri" w:cs="Amiri"/>
          <w:color w:val="111111"/>
          <w:sz w:val="28"/>
          <w:sz w:val="28"/>
          <w:szCs w:val="28"/>
          <w:rtl w:val="true"/>
          <w:lang w:bidi="ar-SA"/>
        </w:rPr>
        <w:t xml:space="preserve">الآنَ عاملٌ علىٰ إملاءِ ما التمَستَه، و عادلٌ عن بَسطِ الكلام و نَشرِه إلىٰ نِهايةِ ما يُمكِنُ مِن الاختصارِ و الجَمعِ ، و مُعتمِدٌ حكايةَ أوائلِ كلامِه، و أطرافِ فُصولِه، </w:t>
      </w:r>
    </w:p>
    <w:p>
      <w:pPr>
        <w:pStyle w:val="BookText"/>
        <w:rPr/>
      </w:pPr>
      <w:r>
        <w:rPr>
          <w:rFonts w:ascii="Amiri" w:hAnsi="Amiri" w:eastAsia="Amiri" w:cs="Amiri"/>
          <w:color w:val="111111"/>
          <w:sz w:val="28"/>
          <w:sz w:val="28"/>
          <w:szCs w:val="28"/>
          <w:rtl w:val="true"/>
          <w:lang w:bidi="ar-SA"/>
        </w:rPr>
        <w:t xml:space="preserve">و مُوقِعُ </w:t>
      </w:r>
      <w:r>
        <w:rPr>
          <w:rStyle w:val="FootnoteAnchor"/>
          <w:rtl w:val="true"/>
        </w:rPr>
        <w:footnoteReference w:id="188"/>
      </w:r>
      <w:r>
        <w:rPr>
          <w:rFonts w:ascii="Amiri" w:hAnsi="Amiri" w:eastAsia="Amiri" w:cs="Amiri"/>
          <w:color w:val="111111"/>
          <w:sz w:val="28"/>
          <w:sz w:val="28"/>
          <w:szCs w:val="28"/>
          <w:rtl w:val="true"/>
          <w:lang w:bidi="ar-SA"/>
        </w:rPr>
        <w:t xml:space="preserve">الحَوالةِ بالجَميعِ </w:t>
      </w:r>
      <w:r>
        <w:rPr>
          <w:rStyle w:val="FootnoteAnchor"/>
          <w:rtl w:val="true"/>
        </w:rPr>
        <w:footnoteReference w:id="189"/>
      </w:r>
      <w:r>
        <w:rPr>
          <w:rFonts w:ascii="Amiri" w:hAnsi="Amiri" w:eastAsia="Amiri" w:cs="Amiri"/>
          <w:color w:val="111111"/>
          <w:sz w:val="28"/>
          <w:sz w:val="28"/>
          <w:szCs w:val="28"/>
          <w:rtl w:val="true"/>
          <w:lang w:bidi="ar-SA"/>
        </w:rPr>
        <w:t>علىٰ كتابِه؛ ليكونَ ذلكَ أَدخَلَ فيما نَحَوتُه</w:t>
      </w:r>
      <w:r>
        <w:rPr>
          <w:rStyle w:val="FootnoteAnchor"/>
          <w:rtl w:val="true"/>
        </w:rPr>
        <w:footnoteReference w:id="190"/>
      </w:r>
      <w:r>
        <w:rPr>
          <w:rFonts w:ascii="Amiri" w:hAnsi="Amiri" w:eastAsia="Amiri" w:cs="Amiri"/>
          <w:color w:val="111111"/>
          <w:sz w:val="28"/>
          <w:sz w:val="28"/>
          <w:szCs w:val="28"/>
          <w:rtl w:val="true"/>
          <w:lang w:bidi="ar-SA"/>
        </w:rPr>
        <w:t>مِن الاختصارِ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أعانَ اللّٰهُ تَعالىٰ عليه، و وَفَّقَ لبُلوغِ الغَرَضِ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جامعاً لأُصولِ الإمامةِ و فُروعِها، و مُحيطاً مِن الطُّرُقِ المُهَذَّبَةِ و النُّكَتِ المُحرَّرَةِ </w:t>
      </w:r>
      <w:r>
        <w:rPr>
          <w:rStyle w:val="FootnoteAnchor"/>
          <w:rtl w:val="true"/>
        </w:rPr>
        <w:footnoteReference w:id="192"/>
      </w:r>
      <w:r>
        <w:rPr>
          <w:rFonts w:ascii="Amiri" w:hAnsi="Amiri" w:eastAsia="Amiri" w:cs="Amiri"/>
          <w:color w:val="111111"/>
          <w:sz w:val="28"/>
          <w:sz w:val="28"/>
          <w:szCs w:val="28"/>
          <w:rtl w:val="true"/>
          <w:lang w:bidi="ar-SA"/>
        </w:rPr>
        <w:t xml:space="preserve">بما لا يوجَدُ في شيءٍ مِن الكُتُبِ المصنَّفةِ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اللّٰهِ تَعالَى الرَّغبةُ في تَيسيرِ ذلكَ و تَسهيلِه، و أن يَجعلَ ذلكَ خالصاً له، و مُقَرِّباً مِنه، بمَنِّه و لُطفِه</w:t>
      </w:r>
      <w:r>
        <w:rPr>
          <w:rStyle w:val="FootnoteAnchor"/>
          <w:rtl w:val="true"/>
        </w:rPr>
        <w:footnoteReference w:id="193"/>
      </w:r>
      <w:r>
        <w:rPr>
          <w:rFonts w:ascii="Amiri" w:hAnsi="Amiri" w:eastAsia="Amiri" w:cs="Amiri"/>
          <w:color w:val="111111"/>
          <w:sz w:val="28"/>
          <w:sz w:val="28"/>
          <w:szCs w:val="28"/>
          <w:rtl w:val="true"/>
          <w:lang w:bidi="ar-SA"/>
        </w:rPr>
        <w:t>و جودِه</w:t>
      </w:r>
      <w:r>
        <w:rPr>
          <w:rFonts w:eastAsia="Amiri" w:cs="Amiri" w:ascii="Amiri" w:hAnsi="Amiri"/>
          <w:color w:val="111111"/>
          <w:sz w:val="28"/>
          <w:szCs w:val="28"/>
          <w:rtl w:val="true"/>
          <w:lang w:bidi="ar-SA"/>
        </w:rPr>
        <w:t xml:space="preserve">. </w:t>
      </w:r>
      <w:bookmarkStart w:id="199" w:name="pg20044_770762"/>
    </w:p>
    <w:p>
      <w:pPr>
        <w:pStyle w:val="Heading3"/>
        <w:numPr>
          <w:ilvl w:val="2"/>
          <w:numId w:val="1"/>
        </w:numPr>
        <w:rPr/>
      </w:pPr>
      <w:bookmarkStart w:id="200" w:name="__RefHeading___Toc828412_2320776876"/>
      <w:bookmarkStart w:id="201" w:name="_Toc71"/>
      <w:bookmarkEnd w:id="199"/>
      <w:bookmarkEnd w:id="200"/>
      <w:r>
        <w:rPr/>
        <w:t>1</w:t>
      </w:r>
      <w:r>
        <w:rPr>
          <w:rtl w:val="true"/>
        </w:rPr>
        <w:t xml:space="preserve"> </w:t>
      </w:r>
      <w:r>
        <w:rPr>
          <w:rtl w:val="true"/>
        </w:rPr>
        <w:t>فصلٌ في تتبُّعِ ما ذَكرَه ممّا يَتعلَّقُ بوجوبِ الإمامةِ</w:t>
      </w:r>
      <w:bookmarkEnd w:id="20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828414_2320776876"/>
      <w:bookmarkStart w:id="203" w:name="_Toc72"/>
      <w:bookmarkEnd w:id="202"/>
      <w:r>
        <w:rPr>
          <w:rtl w:val="true"/>
        </w:rPr>
        <w:t>اشارة</w:t>
      </w:r>
      <w:bookmarkEnd w:id="20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ما يَنقَسِمُ إليه الخِلافُ في الإمامةِ‌</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وجوبها؛ فذهب الجمهور إلى الوجوب، ثمّ اختلفوا؛ فقالت الأشاعرة بوجوب نصب الإمام على الناس سمعاً، و قالت المعتزلة و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الشيعة الإماميّة إلىٰ أ نّه واجب على اللّٰه تعالىٰ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الخوارج إلىٰ أ نّه غير 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أبو بكر الأصمّ إلىٰ أ نّه لا يجب مع الأمن؛ لعدم الحاجة إليه، و إنّما يجب مع الخوف و ظهور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الفُوَطيّ و أتباعه إلىٰ عكس ذلك، فأوجبوا مع الأمن لإظهار شعائر الشرع، و لم يوجبوا عند ظهور الفتن؛ لأنّ الظلَمة ربّما لم يطيعوه، فيفضي إلىٰ زيادة الفساد و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صفات الإمام؛ فمنهم مَن يوجب له العصمة و الفضل علىٰ سائر الناس بالعلم و العمل و سائر ما يوجب الفضيلة من الأخلاق الفاضلة و المَلَكات الكاملة، و منهم من لا يوجب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التعيين، ثمّ في عدد الأئمّة، إلىٰ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جميعَ‌</w:t>
      </w:r>
      <w:r>
        <w:rPr>
          <w:rStyle w:val="FootnoteAnchor"/>
          <w:rtl w:val="true"/>
        </w:rPr>
        <w:footnoteReference w:id="195"/>
      </w:r>
      <w:r>
        <w:rPr>
          <w:rFonts w:ascii="Amiri" w:hAnsi="Amiri" w:eastAsia="Amiri" w:cs="Amiri"/>
          <w:color w:val="111111"/>
          <w:sz w:val="28"/>
          <w:sz w:val="28"/>
          <w:szCs w:val="28"/>
          <w:rtl w:val="true"/>
          <w:lang w:bidi="ar-SA"/>
        </w:rPr>
        <w:t>مَن جَعَلَ صفةَ الإمامِ صفةَ النبيِّ، يَصِحُّ له أن يوجِبَ فيه</w:t>
      </w:r>
      <w:r>
        <w:rPr>
          <w:rStyle w:val="FootnoteAnchor"/>
          <w:rtl w:val="true"/>
        </w:rPr>
        <w:footnoteReference w:id="196"/>
      </w:r>
      <w:r>
        <w:rPr>
          <w:rFonts w:ascii="Amiri" w:hAnsi="Amiri" w:eastAsia="Amiri" w:cs="Amiri"/>
          <w:color w:val="111111"/>
          <w:sz w:val="28"/>
          <w:sz w:val="28"/>
          <w:szCs w:val="28"/>
          <w:rtl w:val="true"/>
          <w:lang w:bidi="ar-SA"/>
        </w:rPr>
        <w:t>ما يَجِبُ في النبيِّ‌</w:t>
      </w:r>
      <w:r>
        <w:rPr>
          <w:rStyle w:val="FootnoteAnchor"/>
          <w:rtl w:val="true"/>
        </w:rPr>
        <w:footnoteReference w:id="197"/>
      </w:r>
      <w:r>
        <w:rPr>
          <w:rFonts w:ascii="Amiri" w:hAnsi="Amiri" w:eastAsia="Amiri" w:cs="Amiri"/>
          <w:color w:val="111111"/>
          <w:sz w:val="28"/>
          <w:sz w:val="28"/>
          <w:szCs w:val="28"/>
          <w:rtl w:val="true"/>
          <w:lang w:bidi="ar-SA"/>
        </w:rPr>
        <w:t>كما أنّ مَن جَعَلَ صفةَ الإمامِ صفةَ الإلهِ، يَصِحُّ له</w:t>
      </w:r>
      <w:r>
        <w:rPr>
          <w:rStyle w:val="FootnoteAnchor"/>
          <w:rtl w:val="true"/>
        </w:rPr>
        <w:footnoteReference w:id="198"/>
      </w:r>
      <w:r>
        <w:rPr>
          <w:rFonts w:ascii="Amiri" w:hAnsi="Amiri" w:eastAsia="Amiri" w:cs="Amiri"/>
          <w:color w:val="111111"/>
          <w:sz w:val="28"/>
          <w:sz w:val="28"/>
          <w:szCs w:val="28"/>
          <w:rtl w:val="true"/>
          <w:lang w:bidi="ar-SA"/>
        </w:rPr>
        <w:t xml:space="preserve">أن يوجِبَ فيه ما يَجِبُ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مع هذَينِ الفريقَينِ لا يَقَعُ في الإمامةِ </w:t>
      </w:r>
      <w:r>
        <w:rPr>
          <w:rFonts w:eastAsia="Amiri" w:cs="Amiri" w:ascii="Amiri" w:hAnsi="Amiri"/>
          <w:color w:val="111111"/>
          <w:sz w:val="28"/>
          <w:szCs w:val="28"/>
          <w:rtl w:val="true"/>
          <w:lang w:bidi="ar-SA"/>
        </w:rPr>
        <w:t xml:space="preserve">.... </w:t>
      </w:r>
      <w:bookmarkStart w:id="204" w:name="pg20044_770765"/>
    </w:p>
    <w:p>
      <w:pPr>
        <w:pStyle w:val="BookText"/>
        <w:rPr/>
      </w:pPr>
      <w:bookmarkEnd w:id="204"/>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199"/>
      </w:r>
    </w:p>
    <w:p>
      <w:pPr>
        <w:pStyle w:val="Heading4"/>
        <w:numPr>
          <w:ilvl w:val="3"/>
          <w:numId w:val="1"/>
        </w:numPr>
        <w:rPr/>
      </w:pPr>
      <w:bookmarkStart w:id="205" w:name="__RefHeading___Toc828416_2320776876"/>
      <w:bookmarkStart w:id="206" w:name="_Toc73"/>
      <w:bookmarkEnd w:id="205"/>
      <w:r>
        <w:rPr>
          <w:rtl w:val="true"/>
        </w:rPr>
        <w:t>دخولُ الإماميّة في النزاع حول الإمامة، و عدمُ اختصاص ذلك بالمعتزلة و الزيديّة</w:t>
      </w:r>
      <w:bookmarkEnd w:id="206"/>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200"/>
      </w:r>
      <w:r>
        <w:rPr>
          <w:rFonts w:ascii="Amiri" w:hAnsi="Amiri" w:eastAsia="Amiri" w:cs="Amiri"/>
          <w:color w:val="111111"/>
          <w:sz w:val="28"/>
          <w:sz w:val="28"/>
          <w:szCs w:val="28"/>
          <w:rtl w:val="true"/>
          <w:lang w:bidi="ar-SA"/>
        </w:rPr>
        <w:t>السيّدُ الشريفُ المُرتَضىٰ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جَعَلَ للإمامِ جميعَ صفاتِ النبيِّ صلّى اللّٰه عليه و آلِه، و لَم يَجعَلْ بَينَهما مَزيّةً في حالٍ، فالكلامُ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يَسقُطْ جُملةً‌</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حيث يجعل لفظ الإمام مرادفاً للفظ النبيّ لا كلام معه؛ إذ يرجع إلى النزاع في اللفظ و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إنّه لا يُثبت الإمامة بالمعنى المصطلح و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مذهبه الاكتفاء بالنبيّ و قصر الأمر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الكلام معه، و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فالكلامُ معه و إن لم يسقط جملةً ؛ من حيث لم يُعلم بطلان قوله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يكون كلاماً في الإمامة بل في النبوّة، و هل هي واجبة في كلّ حال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كون الكلام من الجهة المذكورة كلاماً في الإمامة؛ إذ المقصود منه أنّ من يُثبت للإمام جميع صفات النبيّ ثمّ يبحث عن أحواله التي يُثبتها له فبحثه يرجع إلى البحث عن أحوال النبيّ ، فالكلام معه من هذه الجهة كلام في النبوّة، لا في الإمامة بالمعنى المصطلح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لَم يُعلَمْ بُطلانُ قَولِه</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كلاماً</w:t>
      </w:r>
      <w:r>
        <w:rPr>
          <w:rStyle w:val="FootnoteAnchor"/>
          <w:rtl w:val="true"/>
        </w:rPr>
        <w:footnoteReference w:id="202"/>
      </w:r>
      <w:r>
        <w:rPr>
          <w:rFonts w:ascii="Amiri" w:hAnsi="Amiri" w:eastAsia="Amiri" w:cs="Amiri"/>
          <w:color w:val="111111"/>
          <w:sz w:val="28"/>
          <w:sz w:val="28"/>
          <w:szCs w:val="28"/>
          <w:rtl w:val="true"/>
          <w:lang w:bidi="ar-SA"/>
        </w:rPr>
        <w:t>في الإمامةِ، بل في النبوّةِ؛ و هل هي واجبةٌ في كُلِّ حالٍ أم لا؟</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203"/>
      </w:r>
      <w:r>
        <w:rPr>
          <w:rFonts w:ascii="Amiri" w:hAnsi="Amiri" w:eastAsia="Amiri" w:cs="Amiri"/>
          <w:color w:val="111111"/>
          <w:sz w:val="28"/>
          <w:sz w:val="28"/>
          <w:szCs w:val="28"/>
          <w:rtl w:val="true"/>
          <w:lang w:bidi="ar-SA"/>
        </w:rPr>
        <w:t>مَن جَعَلَ للإمامِ بَعضَ صفاتِ النبيِّ أو أكثرَها</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فعلى الأوّل الكلام معه كالكلام مع من يُثبت للإمام جميع صفات النبيّ في أنّ البحث معه إنّما يكون في النبوّة دون الإمامة؛ إذ الكلام يؤول بالحقيقة إلى البحث عن أحوال تتعلّق بالنبيّ نفياً أو إثباتاً؛ سواء كان المرادُ من النبيّ الجنسَ أو الشخصَ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له السيِّد قدّس سرّه؛ لأنّ الظاهر من هذا الشقّ أن يكون الصفة ما عدا وصف النبوّة و ما يستلزمها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المراد من النبيّ هو الجنس، أو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جنسَ النبيّ ، فهو يُثبت للإمام من الفضائل التي للنبيّ ما يُثبت مساواة الإمام له</w:t>
      </w:r>
    </w:p>
    <w:p>
      <w:pPr>
        <w:pStyle w:val="BookText"/>
        <w:rPr/>
      </w:pPr>
      <w:r>
        <w:rPr>
          <w:rFonts w:ascii="Amiri" w:hAnsi="Amiri" w:eastAsia="Amiri" w:cs="Amiri"/>
          <w:color w:val="111111"/>
          <w:sz w:val="28"/>
          <w:sz w:val="28"/>
          <w:szCs w:val="28"/>
          <w:rtl w:val="true"/>
          <w:lang w:bidi="ar-SA"/>
        </w:rPr>
        <w:t>، و جَعَلَ بَينَهما مزيّةً</w:t>
      </w:r>
    </w:p>
    <w:p>
      <w:pPr>
        <w:pStyle w:val="BookText"/>
        <w:rPr/>
      </w:pPr>
      <w:r>
        <w:rPr>
          <w:rFonts w:ascii="Amiri" w:hAnsi="Amiri" w:eastAsia="Amiri" w:cs="Amiri"/>
          <w:color w:val="111111"/>
          <w:sz w:val="28"/>
          <w:sz w:val="28"/>
          <w:szCs w:val="28"/>
          <w:rtl w:val="true"/>
          <w:lang w:bidi="ar-SA"/>
        </w:rPr>
        <w:t>و 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تقرير كلامه قدّس سرّه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صاحب هذا المذهب و إن لم يسقط الكلام معه في باب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بحثه عن أحوال الإمام يرجع إلى البحث عن أحوال النبيّ؛ إذ لا يُعلم بطلان ما يدّعيه كوجوب النبوّة في كلّ حال و كلّ زمان و نحو ذلك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يُعلم بطلان ما يدّعيه ضرورةً كبطلان دعوىٰ من يجعل صفات الإمام صفات الإلٰه و لذا سقط الكلام معه جملةً،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يسقط الكلام معه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معه ساقط في باب الإمامة؛ إذ لا يتعلّق بالإمامة بالمعنى المشهور، بل لو ثبت ما يدّعيه لم يكن بنا حاجة إلى البحث عنها أصلاً، فالكلام معه إنّما يتعلّق بما يكون من أحوال النبوّة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في باب الإمامة في كتب الكلام يُبحث عن إثباتها و وجوبها، فلا يتعلّق بكلامه في الإمامة بالمعنى الذي أراده منها،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الإمامة بعد النبوّة بالمعنى المشهور للإمامة يرجع الكلام معه فيه إلىٰ جواز انقطاع النبوّة و عدم وجوب استمرارها، و الكلام من المتكلِّمين في هذا الباب إنّما هو في الإمام الذي هو نائب عن النبيّ بعده، لا من كان نبيّاً؛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معقولةً، فالكلامُ معه لا مَحالةَ كلامٌ في الإمامةِ،</w:t>
      </w:r>
      <w:r>
        <w:rPr>
          <w:rStyle w:val="FootnoteAnchor"/>
          <w:rtl w:val="true"/>
        </w:rPr>
        <w:footnoteReference w:id="205"/>
      </w:r>
      <w:r>
        <w:rPr>
          <w:rFonts w:ascii="Amiri" w:hAnsi="Amiri" w:eastAsia="Amiri" w:cs="Amiri"/>
          <w:color w:val="111111"/>
          <w:sz w:val="28"/>
          <w:sz w:val="28"/>
          <w:szCs w:val="28"/>
          <w:rtl w:val="true"/>
          <w:lang w:bidi="ar-SA"/>
        </w:rPr>
        <w:t>و كَيفَ لا يكونُ كلاماً في الإمامةِ و هو لا يَعدو</w:t>
      </w:r>
      <w:r>
        <w:rPr>
          <w:rStyle w:val="FootnoteAnchor"/>
          <w:rtl w:val="true"/>
        </w:rPr>
        <w:footnoteReference w:id="206"/>
      </w:r>
      <w:r>
        <w:rPr>
          <w:rFonts w:ascii="Amiri" w:hAnsi="Amiri" w:eastAsia="Amiri" w:cs="Amiri"/>
          <w:color w:val="111111"/>
          <w:sz w:val="28"/>
          <w:sz w:val="28"/>
          <w:szCs w:val="28"/>
          <w:rtl w:val="true"/>
          <w:lang w:bidi="ar-SA"/>
        </w:rPr>
        <w:t>أن يكونَ كلاماً في صفاتِه، أو في صفةِ ما يَتَوَلّاه</w:t>
      </w:r>
      <w:r>
        <w:rPr>
          <w:rStyle w:val="FootnoteAnchor"/>
          <w:rtl w:val="true"/>
        </w:rPr>
        <w:footnoteReference w:id="207"/>
      </w:r>
      <w:r>
        <w:rPr>
          <w:rFonts w:ascii="Amiri" w:hAnsi="Amiri" w:eastAsia="Amiri" w:cs="Amiri"/>
          <w:color w:val="111111"/>
          <w:sz w:val="28"/>
          <w:sz w:val="28"/>
          <w:szCs w:val="28"/>
          <w:rtl w:val="true"/>
          <w:lang w:bidi="ar-SA"/>
        </w:rPr>
        <w:t>و يَقومُ به</w:t>
      </w:r>
      <w:r>
        <w:rPr>
          <w:rStyle w:val="FootnoteAnchor"/>
          <w:rtl w:val="true"/>
        </w:rPr>
        <w:footnoteReference w:id="2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قال مِن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لا يكونُ إلّامعصوماً، فاضلاً،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خالَفَ خُصومَه في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حُجّةٌ في الدِّينِ ، و حافظٌ للشَّرعِ ، و لُطفٌ في فِعلِ الواجباتِ و الامتناعِ مِن المقبَّحاتِ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فخِلافُه إنّما هو فيما يَتَوَلّاه الإمامُ و يُحتاجُ فيه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ظَنَّ صاحبُ الكتابِ أنّ الكلامَ مع مَن لَم يوافِقْه في صفةِ </w:t>
      </w:r>
      <w:r>
        <w:rPr>
          <w:rStyle w:val="FootnoteAnchor"/>
          <w:rtl w:val="true"/>
        </w:rPr>
        <w:footnoteReference w:id="209"/>
      </w:r>
      <w:r>
        <w:rPr>
          <w:rFonts w:ascii="Amiri" w:hAnsi="Amiri" w:eastAsia="Amiri" w:cs="Amiri"/>
          <w:color w:val="111111"/>
          <w:sz w:val="28"/>
          <w:sz w:val="28"/>
          <w:szCs w:val="28"/>
          <w:rtl w:val="true"/>
          <w:lang w:bidi="ar-SA"/>
        </w:rPr>
        <w:t>الإمامِ و فيما يَتَوَلّاه لا يكونُ كلاماً في الإمامةِ؟ و هذا يؤدّي إلىٰ أنّ الكلامَ في الإمامةِ إنّما</w:t>
      </w:r>
    </w:p>
    <w:p>
      <w:pPr>
        <w:pStyle w:val="BookText"/>
        <w:rPr/>
      </w:pPr>
      <w:r>
        <w:rPr>
          <w:rFonts w:ascii="Amiri" w:hAnsi="Amiri" w:eastAsia="Amiri" w:cs="Amiri"/>
          <w:color w:val="111111"/>
          <w:sz w:val="28"/>
          <w:sz w:val="28"/>
          <w:szCs w:val="28"/>
          <w:rtl w:val="true"/>
          <w:lang w:bidi="ar-SA"/>
        </w:rPr>
        <w:t>فيها؛ و لا دليل على امتناعه، بل و لا دليل على امتناع أن يكون في الناس غير الإمام من يكون مساوياً لنبيّ مّا في بعض الفضائل، لا سيّما و في الأنبياء من لم يكن دعوته عامّة، فيجوز فيمن لم يكن من رعيّته أن يكون له فضل في بعض الصفات علىٰ قدر فضل النبيّ فيه علىٰ رعيّته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بالنبيّ المعيَّنَ كنبيّنا صلّى اللّٰه عليه و آله الذي هو أفضل الأنبياء عليهم السلام و أكملهم في كلّ صفة و خَصلة، و الذي يُثبته للإمام هو ما خصّه اللّٰه سبحانه من سائر الأنبياء عليهم السلام من المزايا و الفضائل،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للإمام بعده صلّى اللّٰه عليه و آله يوجب تفضيله على سائر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ذلك مبنيّ علىٰ أنّ غير النبيّ لا يجوز أن يكون أفضل منه، و هو دعوىً بلا دليل؛ بل و في الأخبار ممّا تواتر بالمعنىٰ أو استفاض ما يدلّ علىٰ ثبوت ذلك في أمير المؤمنين صلوات اللّٰه عليه، بل و في الأئمّة الطاهرين من ذرّيّته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فلا معنى للقول بأنّ الكلام معه خارج من باب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يَختَصُّ به المُعتزِلةُ‌</w:t>
      </w:r>
      <w:r>
        <w:rPr>
          <w:rStyle w:val="FootnoteAnchor"/>
          <w:rtl w:val="true"/>
        </w:rPr>
        <w:footnoteReference w:id="210"/>
      </w:r>
      <w:r>
        <w:rPr>
          <w:rFonts w:ascii="Amiri" w:hAnsi="Amiri" w:eastAsia="Amiri" w:cs="Amiri"/>
          <w:color w:val="111111"/>
          <w:sz w:val="28"/>
          <w:sz w:val="28"/>
          <w:szCs w:val="28"/>
          <w:rtl w:val="true"/>
          <w:lang w:bidi="ar-SA"/>
        </w:rPr>
        <w:t xml:space="preserve">و بعضُ الزَّيديّةِ </w:t>
      </w:r>
      <w:r>
        <w:rPr>
          <w:rStyle w:val="FootnoteAnchor"/>
          <w:rtl w:val="true"/>
        </w:rPr>
        <w:footnoteReference w:id="211"/>
      </w:r>
      <w:r>
        <w:rPr>
          <w:rFonts w:ascii="IRNazanin" w:hAnsi="IRNazanin" w:eastAsia="IRNazanin"/>
          <w:color w:val="111111"/>
          <w:sz w:val="28"/>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و يَخرُجُ خِلافُ الإماميّةِ و الكلامُ عَلَيهم من أن يَكونَ كلاماً في الإمامةِ ، و يؤدّي إلىٰ أنّ ما سَطَرَه 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في الإمامةِ لَيسَ بكلامٍ فيها، و هذا حَدٌّ لا يَصيرُ إليه ذو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الكلامَ مع الزَّيديّةِ إذا كان كلاماً في الإمامةِ علىٰ ما اعتَرَفَ به صاحبُ الكتابِ، و نَحنُ نَعلَمُ أنّهم لَم يوافِقوا في جميعِ صِفاتِ الإمامِ؛ لأنّهم يَعتَقِدون أنّه لا يَكونُ إلّاالأفضَلَ، فإذا كان الكلامُ معهم في الإمامةِ؛ مِن حَيثُ وافَقوا علىٰ بعضِ صفاتِ الإمامِ و خالَفوا في بَعضٍ، فكذلك الكلامُ مع الإماميّةِ؛ لأنّهم وافَقوا المُعتزِلةَ في بَعضِ صفاتِه و خالَفوهم في بَعضٍ، و كذلك وافَقوهم في بَعضِ ما يَتولّاه و يَقومُ به و إن خالَفوا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جَعَلَ للإمامِ‌</w:t>
      </w:r>
      <w:r>
        <w:rPr>
          <w:rStyle w:val="FootnoteAnchor"/>
          <w:rtl w:val="true"/>
        </w:rPr>
        <w:footnoteReference w:id="213"/>
      </w:r>
      <w:r>
        <w:rPr>
          <w:rFonts w:ascii="IRNazanin" w:hAnsi="IRNazanin" w:eastAsia="IRNazanin"/>
          <w:color w:val="111111"/>
          <w:sz w:val="28"/>
          <w:sz w:val="28"/>
          <w:szCs w:val="28"/>
          <w:rtl w:val="true"/>
          <w:lang w:bidi="fa-IR"/>
        </w:rPr>
        <w:t>ما هو</w:t>
      </w:r>
      <w:r>
        <w:rPr>
          <w:rStyle w:val="FootnoteAnchor"/>
          <w:rtl w:val="true"/>
        </w:rPr>
        <w:footnoteReference w:id="214"/>
      </w:r>
      <w:r>
        <w:rPr>
          <w:rFonts w:ascii="Amiri" w:hAnsi="Amiri" w:eastAsia="Amiri" w:cs="Amiri"/>
          <w:color w:val="111111"/>
          <w:sz w:val="28"/>
          <w:sz w:val="28"/>
          <w:szCs w:val="28"/>
          <w:rtl w:val="true"/>
          <w:lang w:bidi="ar-SA"/>
        </w:rPr>
        <w:t>صفةُ الإلهِ فخارجٌ عن هذه الجُملةِ؛ لأنّ الكلامَ في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هو الواقعُ بَينَ مَن أوجَبَ علَى اللّٰهِ تعالىٰ نَصْبَ الإمامِ في كُلِّ زَمانٍ، و بَينَ </w:t>
      </w:r>
      <w:bookmarkStart w:id="207" w:name="pg20044_770769"/>
    </w:p>
    <w:p>
      <w:pPr>
        <w:pStyle w:val="BookText"/>
        <w:rPr/>
      </w:pPr>
      <w:bookmarkEnd w:id="207"/>
      <w:r>
        <w:rPr>
          <w:rFonts w:ascii="Amiri" w:hAnsi="Amiri" w:eastAsia="Amiri" w:cs="Amiri"/>
          <w:color w:val="111111"/>
          <w:sz w:val="28"/>
          <w:sz w:val="28"/>
          <w:szCs w:val="28"/>
          <w:rtl w:val="true"/>
          <w:lang w:bidi="ar-SA"/>
        </w:rPr>
        <w:t xml:space="preserve">مَن لَم يوجِبْه؛ فمَن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هو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عن هذا البابِ جُملةً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أمرِهم أنّهم لمّا غَلَوا في الإمامةِ ،</w:t>
      </w:r>
      <w:r>
        <w:rPr>
          <w:rStyle w:val="FootnoteAnchor"/>
          <w:rtl w:val="true"/>
        </w:rPr>
        <w:footnoteReference w:id="216"/>
      </w:r>
      <w:r>
        <w:rPr>
          <w:rFonts w:ascii="Amiri" w:hAnsi="Amiri" w:eastAsia="Amiri" w:cs="Amiri"/>
          <w:color w:val="111111"/>
          <w:sz w:val="28"/>
          <w:sz w:val="28"/>
          <w:szCs w:val="28"/>
          <w:rtl w:val="true"/>
          <w:lang w:bidi="ar-SA"/>
        </w:rPr>
        <w:t>و انتَهَوا بها إلىٰ ما لَيسَ لها مِن القَدرِ،</w:t>
      </w:r>
      <w:r>
        <w:rPr>
          <w:rStyle w:val="FootnoteAnchor"/>
          <w:rtl w:val="true"/>
        </w:rPr>
        <w:footnoteReference w:id="217"/>
      </w:r>
      <w:r>
        <w:rPr>
          <w:rFonts w:ascii="Amiri" w:hAnsi="Amiri" w:eastAsia="Amiri" w:cs="Amiri"/>
          <w:color w:val="111111"/>
          <w:sz w:val="28"/>
          <w:sz w:val="28"/>
          <w:szCs w:val="28"/>
          <w:rtl w:val="true"/>
          <w:lang w:bidi="ar-SA"/>
        </w:rPr>
        <w:t>ذَهَبوا في</w:t>
      </w:r>
      <w:r>
        <w:rPr>
          <w:rStyle w:val="FootnoteAnchor"/>
          <w:rtl w:val="true"/>
        </w:rPr>
        <w:footnoteReference w:id="218"/>
      </w:r>
      <w:r>
        <w:rPr>
          <w:rFonts w:ascii="Amiri" w:hAnsi="Amiri" w:eastAsia="Amiri" w:cs="Amiri"/>
          <w:color w:val="111111"/>
          <w:sz w:val="28"/>
          <w:sz w:val="28"/>
          <w:szCs w:val="28"/>
          <w:rtl w:val="true"/>
          <w:lang w:bidi="ar-SA"/>
        </w:rPr>
        <w:t xml:space="preserve">الخَطَإ كُلَّ 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فيهم</w:t>
      </w:r>
      <w:r>
        <w:rPr>
          <w:rStyle w:val="FootnoteAnchor"/>
          <w:rtl w:val="true"/>
        </w:rPr>
        <w:footnoteReference w:id="219"/>
      </w:r>
      <w:r>
        <w:rPr>
          <w:rFonts w:ascii="Amiri" w:hAnsi="Amiri" w:eastAsia="Amiri" w:cs="Amiri"/>
          <w:color w:val="111111"/>
          <w:sz w:val="28"/>
          <w:sz w:val="28"/>
          <w:szCs w:val="28"/>
          <w:rtl w:val="true"/>
          <w:lang w:bidi="ar-SA"/>
        </w:rPr>
        <w:t xml:space="preserve">الإلحادُ، لكنّهم تَستَّروا بهذا المَذهَبِ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Heading4"/>
        <w:numPr>
          <w:ilvl w:val="3"/>
          <w:numId w:val="1"/>
        </w:numPr>
        <w:rPr/>
      </w:pPr>
      <w:bookmarkStart w:id="208" w:name="__RefHeading___Toc828418_2320776876"/>
      <w:bookmarkStart w:id="209" w:name="_Toc74"/>
      <w:bookmarkEnd w:id="208"/>
      <w:r>
        <w:rPr>
          <w:rtl w:val="true"/>
        </w:rPr>
        <w:t>فساد إلزام الإماميّة بما قاله الشذّاذ منهم</w:t>
      </w:r>
      <w:bookmarkEnd w:id="209"/>
    </w:p>
    <w:p>
      <w:pPr>
        <w:pStyle w:val="BookText"/>
        <w:rPr/>
      </w:pPr>
      <w:r>
        <w:rPr>
          <w:rFonts w:ascii="Amiri" w:hAnsi="Amiri" w:eastAsia="Amiri" w:cs="Amiri"/>
          <w:color w:val="111111"/>
          <w:sz w:val="28"/>
          <w:sz w:val="28"/>
          <w:szCs w:val="28"/>
          <w:rtl w:val="true"/>
          <w:lang w:bidi="ar-SA"/>
        </w:rPr>
        <w:t>فسِبابٌ و تشنيعٌ على المَذهَبِ بما لا يَرتَضيهِ أهلُه</w:t>
      </w:r>
      <w:r>
        <w:rPr>
          <w:rStyle w:val="FootnoteAnchor"/>
          <w:rtl w:val="true"/>
        </w:rPr>
        <w:footnoteReference w:id="222"/>
      </w:r>
      <w:r>
        <w:rPr>
          <w:rFonts w:ascii="Amiri" w:hAnsi="Amiri" w:eastAsia="Amiri" w:cs="Amiri"/>
          <w:color w:val="111111"/>
          <w:sz w:val="28"/>
          <w:sz w:val="28"/>
          <w:szCs w:val="28"/>
          <w:rtl w:val="true"/>
          <w:lang w:bidi="ar-SA"/>
        </w:rPr>
        <w:t>مِن قَولِ الشُّذّاذِ مِنهم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أن يُقابِلَ هذه الطريقةَ المذمومةَ بمِثلِها، و استَحسَنَ ذلكَ لنَفسِه، فليَنظُرْ في كُتُبِ ابنِ الراوَنديِّ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10" w:name="pg20044_770770"/>
    </w:p>
    <w:p>
      <w:pPr>
        <w:pStyle w:val="BookText"/>
        <w:rPr/>
      </w:pPr>
      <w:bookmarkEnd w:id="210"/>
      <w:r>
        <w:rPr>
          <w:rFonts w:ascii="Amiri" w:hAnsi="Amiri" w:eastAsia="Amiri" w:cs="Amiri"/>
          <w:color w:val="111111"/>
          <w:sz w:val="28"/>
          <w:sz w:val="28"/>
          <w:szCs w:val="28"/>
          <w:rtl w:val="true"/>
          <w:lang w:bidi="ar-SA"/>
        </w:rPr>
        <w:t xml:space="preserve">في فَضائحِ المُعتزِلةِ </w:t>
      </w:r>
      <w:r>
        <w:rPr>
          <w:rStyle w:val="FootnoteAnchor"/>
          <w:rtl w:val="true"/>
        </w:rPr>
        <w:footnoteReference w:id="225"/>
      </w:r>
      <w:r>
        <w:rPr>
          <w:rFonts w:ascii="Amiri" w:hAnsi="Amiri" w:eastAsia="Amiri" w:cs="Amiri"/>
          <w:color w:val="111111"/>
          <w:sz w:val="28"/>
          <w:sz w:val="28"/>
          <w:szCs w:val="28"/>
          <w:rtl w:val="true"/>
          <w:lang w:bidi="ar-SA"/>
        </w:rPr>
        <w:t xml:space="preserve">فإنّه يُشرِفُ </w:t>
      </w:r>
      <w:r>
        <w:rPr>
          <w:rStyle w:val="FootnoteAnchor"/>
          <w:rtl w:val="true"/>
        </w:rPr>
        <w:footnoteReference w:id="226"/>
      </w:r>
      <w:r>
        <w:rPr>
          <w:rFonts w:ascii="Amiri" w:hAnsi="Amiri" w:eastAsia="Amiri" w:cs="Amiri"/>
          <w:color w:val="111111"/>
          <w:sz w:val="28"/>
          <w:sz w:val="28"/>
          <w:szCs w:val="28"/>
          <w:rtl w:val="true"/>
          <w:lang w:bidi="ar-SA"/>
        </w:rPr>
        <w:t>مِنها</w:t>
      </w:r>
      <w:r>
        <w:rPr>
          <w:rStyle w:val="FootnoteAnchor"/>
          <w:rtl w:val="true"/>
        </w:rPr>
        <w:footnoteReference w:id="227"/>
      </w:r>
      <w:r>
        <w:rPr>
          <w:rFonts w:ascii="Amiri" w:hAnsi="Amiri" w:eastAsia="Amiri" w:cs="Amiri"/>
          <w:color w:val="111111"/>
          <w:sz w:val="28"/>
          <w:sz w:val="28"/>
          <w:szCs w:val="28"/>
          <w:rtl w:val="true"/>
          <w:lang w:bidi="ar-SA"/>
        </w:rPr>
        <w:t>علىٰ ما يَجِدُ به علَى الخُصومِ فَضلاً كثيراً لو أمسَكوا معه عن تعييرِ خُصومِهم لَكانَ أَستَرَ لهم و أَعوَدَ</w:t>
      </w:r>
      <w:r>
        <w:rPr>
          <w:rStyle w:val="FootnoteAnchor"/>
          <w:rtl w:val="true"/>
        </w:rPr>
        <w:footnoteReference w:id="228"/>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قَلَّما يَسلُكُ هذه الطريقةَ </w:t>
      </w:r>
      <w:r>
        <w:rPr>
          <w:rStyle w:val="FootnoteAnchor"/>
          <w:rtl w:val="true"/>
        </w:rPr>
        <w:footnoteReference w:id="229"/>
      </w:r>
      <w:r>
        <w:rPr>
          <w:rFonts w:ascii="Amiri" w:hAnsi="Amiri" w:eastAsia="Amiri" w:cs="Amiri"/>
          <w:color w:val="111111"/>
          <w:sz w:val="28"/>
          <w:sz w:val="28"/>
          <w:szCs w:val="28"/>
          <w:rtl w:val="true"/>
          <w:lang w:bidi="ar-SA"/>
        </w:rPr>
        <w:t xml:space="preserve">ذَوو الفَضلِ و التحصيلِ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في الطبقةِ الثانيةِ </w:t>
      </w:r>
      <w:r>
        <w:rPr>
          <w:rStyle w:val="FootnoteAnchor"/>
          <w:rtl w:val="true"/>
        </w:rPr>
        <w:footnoteReference w:id="230"/>
      </w:r>
      <w:r>
        <w:rPr>
          <w:rFonts w:ascii="Amiri" w:hAnsi="Amiri" w:eastAsia="Amiri" w:cs="Amiri"/>
          <w:color w:val="111111"/>
          <w:sz w:val="28"/>
          <w:sz w:val="28"/>
          <w:szCs w:val="28"/>
          <w:rtl w:val="true"/>
          <w:lang w:bidi="ar-SA"/>
        </w:rPr>
        <w:t>مِن الغُلاةِ عندَه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828420_2320776876"/>
      <w:bookmarkStart w:id="212" w:name="_Toc75"/>
      <w:bookmarkEnd w:id="211"/>
      <w:r>
        <w:rPr>
          <w:rtl w:val="true"/>
        </w:rPr>
        <w:t>بيانُ ما يتميّز به النبيّ عن المعرفة و الإمام و الأُمّة</w:t>
      </w:r>
      <w:bookmarkEnd w:id="212"/>
    </w:p>
    <w:p>
      <w:pPr>
        <w:pStyle w:val="BookText"/>
        <w:rPr/>
      </w:pPr>
      <w:r>
        <w:rPr>
          <w:rFonts w:ascii="Amiri" w:hAnsi="Amiri" w:eastAsia="Amiri" w:cs="Amiri"/>
          <w:color w:val="111111"/>
          <w:sz w:val="28"/>
          <w:sz w:val="28"/>
          <w:szCs w:val="28"/>
          <w:rtl w:val="true"/>
          <w:lang w:bidi="ar-SA"/>
        </w:rPr>
        <w:t>و إنّهم نَزَلوا عن هذه الطبقةِ ،</w:t>
      </w:r>
      <w:r>
        <w:rPr>
          <w:rStyle w:val="FootnoteAnchor"/>
          <w:rtl w:val="true"/>
        </w:rPr>
        <w:footnoteReference w:id="231"/>
      </w:r>
      <w:r>
        <w:rPr>
          <w:rFonts w:ascii="Amiri" w:hAnsi="Amiri" w:eastAsia="Amiri" w:cs="Amiri"/>
          <w:color w:val="111111"/>
          <w:sz w:val="28"/>
          <w:sz w:val="28"/>
          <w:szCs w:val="28"/>
          <w:rtl w:val="true"/>
          <w:lang w:bidi="ar-SA"/>
        </w:rPr>
        <w:t>لكنّهم انتَهَوا بالإمامِ إلىٰ صفةِ النبوّةِ ، و رُبَّما زادوا و رُبَّما</w:t>
      </w:r>
      <w:r>
        <w:rPr>
          <w:rStyle w:val="FootnoteAnchor"/>
          <w:rtl w:val="true"/>
        </w:rPr>
        <w:footnoteReference w:id="232"/>
      </w:r>
      <w:r>
        <w:rPr>
          <w:rFonts w:ascii="Amiri" w:hAnsi="Amiri" w:eastAsia="Amiri" w:cs="Amiri"/>
          <w:color w:val="111111"/>
          <w:sz w:val="28"/>
          <w:sz w:val="28"/>
          <w:szCs w:val="28"/>
          <w:rtl w:val="true"/>
          <w:lang w:bidi="ar-SA"/>
        </w:rPr>
        <w:t xml:space="preserve">نَقَصوا، و هُم الذين يوجِبونَ الحاجةَ إلى الأئمّةِ </w:t>
      </w:r>
      <w:r>
        <w:rPr>
          <w:rStyle w:val="FootnoteAnchor"/>
          <w:rtl w:val="true"/>
        </w:rPr>
        <w:footnoteReference w:id="233"/>
      </w:r>
      <w:r>
        <w:rPr>
          <w:rFonts w:ascii="Amiri" w:hAnsi="Amiri" w:eastAsia="Amiri" w:cs="Amiri"/>
          <w:color w:val="111111"/>
          <w:sz w:val="28"/>
          <w:sz w:val="28"/>
          <w:szCs w:val="28"/>
          <w:rtl w:val="true"/>
          <w:lang w:bidi="ar-SA"/>
        </w:rPr>
        <w:t>مِن حَيثُ</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كتاباً، منها كتاب فضيحة المعتزلة، و كتاب التاج،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أربعين و مائتين برحبة مالك بن طوق التغلبي،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وفيات الأعيان،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يَتِمُّ التكليفُ و لا حالُ المكلَّفينَ إلّابِهم،</w:t>
      </w:r>
      <w:r>
        <w:rPr>
          <w:rStyle w:val="FootnoteAnchor"/>
          <w:rtl w:val="true"/>
        </w:rPr>
        <w:footnoteReference w:id="234"/>
      </w:r>
      <w:r>
        <w:rPr>
          <w:rFonts w:ascii="Amiri" w:hAnsi="Amiri" w:eastAsia="Amiri" w:cs="Amiri"/>
          <w:color w:val="111111"/>
          <w:sz w:val="28"/>
          <w:sz w:val="28"/>
          <w:szCs w:val="28"/>
          <w:rtl w:val="true"/>
          <w:lang w:bidi="ar-SA"/>
        </w:rPr>
        <w:t>و بمعرفةِ ما هو مِنهم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فظَنٌّ بعيدٌ؛ لأنّ مَن أَوجَبَ الحاجةَ إلَى الإمامِ مِن حَيثُ لا يَتِمُّ التكليفُ إلّابه، لَم يَجعَلْه نبيّاً، و لا بَلَغَ‌</w:t>
      </w:r>
      <w:r>
        <w:rPr>
          <w:rStyle w:val="FootnoteAnchor"/>
          <w:rtl w:val="true"/>
        </w:rPr>
        <w:footnoteReference w:id="237"/>
      </w:r>
      <w:r>
        <w:rPr>
          <w:rFonts w:ascii="Amiri" w:hAnsi="Amiri" w:eastAsia="Amiri" w:cs="Amiri"/>
          <w:color w:val="111111"/>
          <w:sz w:val="28"/>
          <w:sz w:val="28"/>
          <w:szCs w:val="28"/>
          <w:rtl w:val="true"/>
          <w:lang w:bidi="ar-SA"/>
        </w:rPr>
        <w:t>به إلىٰ صفةِ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حَيثُ شارَكَ الإمامُ النبيَّ في الحاجةِ إليه مِن هذا الوجهِ يَجِبُ أن</w:t>
      </w:r>
      <w:r>
        <w:rPr>
          <w:rStyle w:val="FootnoteAnchor"/>
          <w:rtl w:val="true"/>
        </w:rPr>
        <w:footnoteReference w:id="238"/>
      </w:r>
      <w:r>
        <w:rPr>
          <w:rFonts w:ascii="Amiri" w:hAnsi="Amiri" w:eastAsia="Amiri" w:cs="Amiri"/>
          <w:color w:val="111111"/>
          <w:sz w:val="28"/>
          <w:sz w:val="28"/>
          <w:szCs w:val="28"/>
          <w:rtl w:val="true"/>
          <w:lang w:bidi="ar-SA"/>
        </w:rPr>
        <w:t>يَكونَ نبيّاً؛ كما أنّ المعرفةَ عندَ الخُصومِ‌</w:t>
      </w:r>
      <w:r>
        <w:rPr>
          <w:rStyle w:val="FootnoteAnchor"/>
          <w:rtl w:val="true"/>
        </w:rPr>
        <w:footnoteReference w:id="239"/>
      </w:r>
      <w:r>
        <w:rPr>
          <w:rFonts w:ascii="Amiri" w:hAnsi="Amiri" w:eastAsia="Amiri" w:cs="Amiri"/>
          <w:color w:val="111111"/>
          <w:sz w:val="28"/>
          <w:sz w:val="28"/>
          <w:szCs w:val="28"/>
          <w:rtl w:val="true"/>
          <w:lang w:bidi="ar-SA"/>
        </w:rPr>
        <w:t>و إن وَجَبَت مِن حَيثُ كانَت لُطفاً في التكليفِ، و النبوّةَ طريقُ وجوبِها أيضاً اللُّطفُ، لَم يَجِبْ عندَهم أن تَكونَ المعرفةُ نبوّةً، و لا النبوّةُ معرفةً؛ لاستبدادِ كلِّ واحدةٍ مِنهما بصفةٍ لا تَشرَكُها فيها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لَم يَكُن عندَنا نبيّاً لاختِصاصِه بالصّفاتِ التي يَشرَكُه</w:t>
      </w:r>
      <w:r>
        <w:rPr>
          <w:rStyle w:val="FootnoteAnchor"/>
          <w:rtl w:val="true"/>
        </w:rPr>
        <w:footnoteReference w:id="240"/>
      </w:r>
      <w:r>
        <w:rPr>
          <w:rFonts w:ascii="Amiri" w:hAnsi="Amiri" w:eastAsia="Amiri" w:cs="Amiri"/>
          <w:color w:val="111111"/>
          <w:sz w:val="28"/>
          <w:sz w:val="28"/>
          <w:szCs w:val="28"/>
          <w:rtl w:val="true"/>
          <w:lang w:bidi="ar-SA"/>
        </w:rPr>
        <w:t xml:space="preserve">فيها الإمامُ ، بَل لاختصاصِه بالأداءِ عن اللّٰهِ تَعالىٰ بغَيرِ واسطةٍ ، أو بواسطةٍ هو المَلَكُ ؛ و هذه مَزيّةٌ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يَكونُ نبيّاً لِعِصمَتِه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الأُمّةَ أنبياءَ </w:t>
      </w:r>
      <w:r>
        <w:rPr>
          <w:rStyle w:val="FootnoteAnchor"/>
          <w:rtl w:val="true"/>
        </w:rPr>
        <w:footnoteReference w:id="24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استلزام مشاركة غير النبيّ من آحاد الناس للنبيّ في العصمة كونَه نبيّاً استلزامُ مشاركة الأُمّة له فيها كونَهم أنبياء؛ لامتناع اتّصافهم المجموع بالنبوّة إلّابكون كلّ واحد</w:t>
      </w:r>
      <w:bookmarkStart w:id="213" w:name="pg20044_770772"/>
    </w:p>
    <w:p>
      <w:pPr>
        <w:pStyle w:val="BookText"/>
        <w:rPr/>
      </w:pPr>
      <w:bookmarkEnd w:id="213"/>
      <w:r>
        <w:rPr>
          <w:rFonts w:ascii="Amiri" w:hAnsi="Amiri" w:eastAsia="Amiri" w:cs="Amiri"/>
          <w:color w:val="111111"/>
          <w:sz w:val="28"/>
          <w:sz w:val="28"/>
          <w:szCs w:val="28"/>
          <w:rtl w:val="true"/>
          <w:lang w:bidi="ar-SA"/>
        </w:rPr>
        <w:t>لأنّهم عندَكَ بأجمَعِهم</w:t>
      </w:r>
      <w:r>
        <w:rPr>
          <w:rStyle w:val="FootnoteAnchor"/>
          <w:rtl w:val="true"/>
        </w:rPr>
        <w:footnoteReference w:id="242"/>
      </w:r>
      <w:r>
        <w:rPr>
          <w:rFonts w:ascii="Amiri" w:hAnsi="Amiri" w:eastAsia="Amiri" w:cs="Amiri"/>
          <w:color w:val="111111"/>
          <w:sz w:val="28"/>
          <w:sz w:val="28"/>
          <w:szCs w:val="28"/>
          <w:rtl w:val="true"/>
          <w:lang w:bidi="ar-SA"/>
        </w:rPr>
        <w:t>معصومونَ‌</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تُجوِّزُ أن يَكونَ في آحادِ الأُمّةِ مَن هو معصومٌ؛ فيَجِبُ عَلَيكَ أن تَجعَلَه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جَعَلتَه نبيّاً مِن حَيثُ أداءِ الشَّرعِ‌</w:t>
      </w:r>
      <w:r>
        <w:rPr>
          <w:rStyle w:val="FootnoteAnchor"/>
          <w:rtl w:val="true"/>
        </w:rPr>
        <w:footnoteReference w:id="244"/>
      </w:r>
      <w:r>
        <w:rPr>
          <w:rFonts w:ascii="Amiri" w:hAnsi="Amiri" w:eastAsia="Amiri" w:cs="Amiri"/>
          <w:color w:val="111111"/>
          <w:sz w:val="28"/>
          <w:sz w:val="28"/>
          <w:szCs w:val="28"/>
          <w:rtl w:val="true"/>
          <w:lang w:bidi="ar-SA"/>
        </w:rPr>
        <w:t xml:space="preserve">، لَزِمَكَ مِثلُ ذلكَ في الأُمّةِ؛ لأنّها المؤدّيةُ للشرعِ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عَدَلتَ عن هذا كُلِّه،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و إن شارَكَ غَيرَه في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ذلك الغَيُر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كان نبيّاً لاختصاصِه بصفةِ كذا و كذا، و أشَرتَ إلىٰ صفةٍ لا يَشرَكُه فيها مَن لَيسَ بنبيٍّ ، لَزِمَكَ أن تَقنَعَ منّا بمِثلِ ذلكَ </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28422_2320776876"/>
      <w:bookmarkStart w:id="215" w:name="_Toc76"/>
      <w:bookmarkEnd w:id="214"/>
      <w:r>
        <w:rPr>
          <w:rtl w:val="true"/>
        </w:rPr>
        <w:t>بيانُ اعتقاد الإماميّة بأفضليّة النبيّ على الإمام</w:t>
      </w:r>
      <w:bookmarkEnd w:id="215"/>
    </w:p>
    <w:p>
      <w:pPr>
        <w:pStyle w:val="BookText"/>
        <w:rPr/>
      </w:pPr>
      <w:r>
        <w:rPr>
          <w:rFonts w:ascii="Amiri" w:hAnsi="Amiri" w:eastAsia="Amiri" w:cs="Amiri"/>
          <w:color w:val="111111"/>
          <w:sz w:val="28"/>
          <w:sz w:val="28"/>
          <w:szCs w:val="28"/>
          <w:rtl w:val="true"/>
          <w:lang w:bidi="ar-SA"/>
        </w:rPr>
        <w:t xml:space="preserve">فأمّا حكايتُه عنهم القولَ </w:t>
      </w:r>
      <w:r>
        <w:rPr>
          <w:rStyle w:val="FootnoteAnchor"/>
          <w:rtl w:val="true"/>
        </w:rPr>
        <w:footnoteReference w:id="245"/>
      </w:r>
      <w:r>
        <w:rPr>
          <w:rFonts w:ascii="Amiri" w:hAnsi="Amiri" w:eastAsia="Amiri" w:cs="Amiri"/>
          <w:color w:val="111111"/>
          <w:sz w:val="28"/>
          <w:sz w:val="28"/>
          <w:szCs w:val="28"/>
          <w:rtl w:val="true"/>
          <w:lang w:bidi="ar-SA"/>
        </w:rPr>
        <w:t>بأنّ الإمامَ يَزيدُ في العِلمِ علَى الرسولِ ، و كذلكَ في العصمةِ ، و تعليلَه بأنّ ذلك يَجِبُ له مِن حَيثُ انقَطَعَ الوحيُ عنه،</w:t>
      </w:r>
      <w:r>
        <w:rPr>
          <w:rStyle w:val="FootnoteAnchor"/>
          <w:rtl w:val="true"/>
        </w:rPr>
        <w:footnoteReference w:id="246"/>
      </w:r>
      <w:r>
        <w:rPr>
          <w:rFonts w:ascii="Amiri" w:hAnsi="Amiri" w:eastAsia="Amiri" w:cs="Amiri"/>
          <w:color w:val="111111"/>
          <w:sz w:val="28"/>
          <w:sz w:val="28"/>
          <w:szCs w:val="28"/>
          <w:rtl w:val="true"/>
          <w:lang w:bidi="ar-SA"/>
        </w:rPr>
        <w:t xml:space="preserve">فحكايةٌ طريفةٌ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نبيّاً؛ إذ الوحي و نزول الملَك إنّما يكونان للآحاد، لا للمجموع من حيث هو مجموع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اعتراف بأنّ مجرّد الاشتراك في الصفة لا يوجب الاشتراك في النبوّة، بل هو موقوف على انتفاء المانع؛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نَعلَمُ‌</w:t>
      </w:r>
      <w:r>
        <w:rPr>
          <w:rStyle w:val="FootnoteAnchor"/>
          <w:rtl w:val="true"/>
        </w:rPr>
        <w:footnoteReference w:id="248"/>
      </w:r>
      <w:r>
        <w:rPr>
          <w:rFonts w:ascii="Amiri" w:hAnsi="Amiri" w:eastAsia="Amiri" w:cs="Amiri"/>
          <w:color w:val="111111"/>
          <w:sz w:val="28"/>
          <w:sz w:val="28"/>
          <w:szCs w:val="28"/>
          <w:rtl w:val="true"/>
          <w:lang w:bidi="ar-SA"/>
        </w:rPr>
        <w:t>أحَداً مِن الإماميّة ذَهَبَ إليها و إلىٰ مَعناها و لا اعتَقَدَه، و هذه كُتُبُ مَقالاتِهم و مُصنَّفاتُ شُيوخِهم خاليةٌ مِن صريحِ هذه الحكايةِ و فَحواها</w:t>
      </w:r>
      <w:r>
        <w:rPr>
          <w:rStyle w:val="FootnoteAnchor"/>
          <w:rtl w:val="true"/>
        </w:rPr>
        <w:footnoteReference w:id="249"/>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يقولُ الإماميّةُ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إذا أفرَغوا وُسعَهم</w:t>
      </w:r>
      <w:r>
        <w:rPr>
          <w:rStyle w:val="FootnoteAnchor"/>
          <w:rtl w:val="true"/>
        </w:rPr>
        <w:footnoteReference w:id="250"/>
      </w:r>
      <w:r>
        <w:rPr>
          <w:rFonts w:ascii="Amiri" w:hAnsi="Amiri" w:eastAsia="Amiri" w:cs="Amiri"/>
          <w:color w:val="111111"/>
          <w:sz w:val="28"/>
          <w:sz w:val="28"/>
          <w:szCs w:val="28"/>
          <w:rtl w:val="true"/>
          <w:lang w:bidi="ar-SA"/>
        </w:rPr>
        <w:t>و بَلَغوا غايتَهم، انتَهَوا</w:t>
      </w:r>
    </w:p>
    <w:p>
      <w:pPr>
        <w:pStyle w:val="BookText"/>
        <w:rPr/>
      </w:pPr>
      <w:r>
        <w:rPr>
          <w:rFonts w:ascii="Amiri" w:hAnsi="Amiri" w:eastAsia="Amiri" w:cs="Amiri"/>
          <w:color w:val="111111"/>
          <w:sz w:val="28"/>
          <w:sz w:val="28"/>
          <w:szCs w:val="28"/>
          <w:rtl w:val="true"/>
          <w:lang w:bidi="ar-SA"/>
        </w:rPr>
        <w:t>بالإمامِ في العِصمةِ و الكمالِ و الفَضلِ و العِلمِ إلىٰ مَرتَبةِ النبيِّ، و كانَت تلكَ عندَهم</w:t>
      </w:r>
      <w:r>
        <w:rPr>
          <w:rStyle w:val="FootnoteAnchor"/>
          <w:rtl w:val="true"/>
        </w:rPr>
        <w:footnoteReference w:id="251"/>
      </w:r>
      <w:r>
        <w:rPr>
          <w:rFonts w:ascii="Amiri" w:hAnsi="Amiri" w:eastAsia="Amiri" w:cs="Amiri"/>
          <w:color w:val="111111"/>
          <w:sz w:val="28"/>
          <w:sz w:val="28"/>
          <w:szCs w:val="28"/>
          <w:rtl w:val="true"/>
          <w:lang w:bidi="ar-SA"/>
        </w:rPr>
        <w:t>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يَكشِفْ عن غَلَطِ حاكي هذه المَقالةِ إلّاما هو معروفٌ مِن مَذهبِهم، و أنّ النبيَّ لا بُدَّ مِن</w:t>
      </w:r>
      <w:r>
        <w:rPr>
          <w:rStyle w:val="FootnoteAnchor"/>
          <w:rtl w:val="true"/>
        </w:rPr>
        <w:footnoteReference w:id="252"/>
      </w:r>
      <w:r>
        <w:rPr>
          <w:rFonts w:ascii="Amiri" w:hAnsi="Amiri" w:eastAsia="Amiri" w:cs="Amiri"/>
          <w:color w:val="111111"/>
          <w:sz w:val="28"/>
          <w:sz w:val="28"/>
          <w:szCs w:val="28"/>
          <w:rtl w:val="true"/>
          <w:lang w:bidi="ar-SA"/>
        </w:rPr>
        <w:t>أن يَكونَ إماماً</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ثقة الإسلام في الكافي عن أبي عبد اللّٰه جعفر بن محمّد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و المرسلون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فنبيّ مُنْبَأ في نفسه لا يعدو غيرها؛ و نبيّ يرىٰ في المنام، و يسمع الصوت، و لا يعاينه في اليقظة، و عليه إمام، مثل ما كان إبراهيم عليه السلام علىٰ لوط عليه السلام؛ و نبيّ يرىٰ في منامه، و يسمع الصوت، و يعاين الملَك، و قد أُرسل إلىٰ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أنّ ما يَجِبُ للإمامِ لكَونِه إماماً يَجِبُ للنبيِّ؛ لأنّ</w:t>
      </w:r>
    </w:p>
    <w:p>
      <w:pPr>
        <w:pStyle w:val="BookText"/>
        <w:rPr/>
      </w:pPr>
      <w:r>
        <w:rPr>
          <w:rFonts w:ascii="Amiri" w:hAnsi="Amiri" w:eastAsia="Amiri" w:cs="Amiri"/>
          <w:color w:val="111111"/>
          <w:sz w:val="28"/>
          <w:sz w:val="28"/>
          <w:szCs w:val="28"/>
          <w:rtl w:val="true"/>
          <w:lang w:bidi="ar-SA"/>
        </w:rPr>
        <w:t>النبوّةَ تَعُمُّ المَنزِلتَينِ،</w:t>
      </w:r>
      <w:r>
        <w:rPr>
          <w:rStyle w:val="FootnoteAnchor"/>
          <w:rtl w:val="true"/>
        </w:rPr>
        <w:footnoteReference w:id="254"/>
      </w:r>
      <w:r>
        <w:rPr>
          <w:rFonts w:ascii="Amiri" w:hAnsi="Amiri" w:eastAsia="Amiri" w:cs="Amiri"/>
          <w:color w:val="111111"/>
          <w:sz w:val="28"/>
          <w:sz w:val="28"/>
          <w:szCs w:val="28"/>
          <w:rtl w:val="true"/>
          <w:lang w:bidi="ar-SA"/>
        </w:rPr>
        <w:t xml:space="preserve">فكَيفَ يُتوَهَّمُ مع هذا عَلَيهم القَولُ بأنّ الإمامَ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ascii="Amiri" w:hAnsi="Amiri" w:eastAsia="Amiri" w:cs="Amiri"/>
          <w:color w:val="111111"/>
          <w:sz w:val="28"/>
          <w:sz w:val="28"/>
          <w:szCs w:val="28"/>
          <w:rtl w:val="true"/>
          <w:lang w:bidi="ar-SA"/>
        </w:rPr>
        <w:t xml:space="preserve">طائفة قلّوا أو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كيونس عليه السلام؛ قال اللّٰه تعالىٰ ليونس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ثلاثين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إمام؛ و الذي يرىٰ في منامه، و يَسمعُ الصوت، و يعاين في اليقظة، و هو إمام، مثل أُولي العزم، و قد كان إبراهيم عليه السلام نبيّاً و ليس بإمام، حتّىٰ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اتّخذ إبراهيم عبداً قبل أن يتّخذه نبيّاً، و إنّ اللّٰه اتّخذه نبيّاً قبل أن يتّخذه رسولاً، و إنّ اللّٰه اتّخذه رسولاً قبل أن يتّخذه خليلاً، و إنّ اللّٰه اتّخذه خليلاً قبل أن يتّخذه إماماً، فلمّا جَمَعَ له الأشياء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عِظَمها في عين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 آخر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تدلّ علىٰ أ نّه لا يجب أن يكون في النبيّ من المزايا و الفضائل ما يجب أن يكون للإمام، و أنّ الإمامة فوق النبوّة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آخر للإمامة اختصَّ صاحبها بمزيد الكرامة و الزلفىٰ عند اللّٰه سبحانه، و انتُهي بدعوة إبراهيم عليه السلام إلى النبيّ و أهل بيته صلوات اللّٰه عليهم، كما صحّ في الأخبار من طرق الفريقين، لا المعنى المشهور عند أهل الكلام و ليس الكلامُ إلّافيه؛ و من ذلك ما رواه ابن المغازليّ الشافعيّ في كتابه في المناقب 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صرت دعوة أبيك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إبراهيم عليه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مثلي؟ فأوحى اللّٰه تعالىٰ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إنّي لا أُعطيك عهداً لا أفِي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 عهداً، قال إبراهيم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كَثِيراً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فانتهت الدعوة إليّ و إلىٰ عليّ ؛ لم يسجد أحدنا لصنم قطّ، فاتّخذني نبيّاً و اتّخذ عليّاً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سيُذكر ما يتعلّق بهذا الحديث في باب إثبات العصمة إن شاء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w:t>
      </w:r>
      <w:r>
        <w:rPr>
          <w:rStyle w:val="FootnoteAnchor"/>
          <w:rtl w:val="true"/>
        </w:rPr>
        <w:footnoteReference w:id="256"/>
      </w:r>
      <w:r>
        <w:rPr>
          <w:rFonts w:ascii="Amiri" w:hAnsi="Amiri" w:eastAsia="Amiri" w:cs="Amiri"/>
          <w:color w:val="111111"/>
          <w:sz w:val="28"/>
          <w:sz w:val="28"/>
          <w:szCs w:val="28"/>
          <w:rtl w:val="true"/>
          <w:lang w:bidi="ar-SA"/>
        </w:rPr>
        <w:t>أنّ الكلامَ‌</w:t>
      </w:r>
      <w:r>
        <w:rPr>
          <w:rStyle w:val="FootnoteAnchor"/>
          <w:rtl w:val="true"/>
        </w:rPr>
        <w:footnoteReference w:id="257"/>
      </w:r>
      <w:r>
        <w:rPr>
          <w:rFonts w:ascii="Amiri" w:hAnsi="Amiri" w:eastAsia="Amiri" w:cs="Amiri"/>
          <w:color w:val="111111"/>
          <w:sz w:val="28"/>
          <w:sz w:val="28"/>
          <w:szCs w:val="28"/>
          <w:rtl w:val="true"/>
          <w:lang w:bidi="ar-SA"/>
        </w:rPr>
        <w:t>في كَونِ الإمامِ حُجّةً، و أنّ الزمانَ لا يخلو مِنه</w:t>
      </w:r>
      <w:r>
        <w:rPr>
          <w:rStyle w:val="FootnoteAnchor"/>
          <w:rtl w:val="true"/>
        </w:rPr>
        <w:footnoteReference w:id="258"/>
      </w:r>
      <w:r>
        <w:rPr>
          <w:rFonts w:ascii="IRNazanin" w:hAnsi="IRNazanin" w:eastAsia="IRNazanin"/>
          <w:color w:val="111111"/>
          <w:sz w:val="28"/>
          <w:sz w:val="28"/>
          <w:szCs w:val="28"/>
          <w:rtl w:val="true"/>
          <w:lang w:bidi="fa-IR"/>
        </w:rPr>
        <w:t>، قد</w:t>
      </w:r>
      <w:r>
        <w:rPr>
          <w:rStyle w:val="FootnoteAnchor"/>
          <w:rtl w:val="true"/>
        </w:rPr>
        <w:footnoteReference w:id="259"/>
      </w:r>
      <w:r>
        <w:rPr>
          <w:rFonts w:ascii="Amiri" w:hAnsi="Amiri" w:eastAsia="Amiri" w:cs="Amiri"/>
          <w:color w:val="111111"/>
          <w:sz w:val="28"/>
          <w:sz w:val="28"/>
          <w:szCs w:val="28"/>
          <w:rtl w:val="true"/>
          <w:lang w:bidi="ar-SA"/>
        </w:rPr>
        <w:t xml:space="preserve">دَخَلَ في الإمامةِ مِن جهةِ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مع القَومِ عندَ لُزومِ ما </w:t>
      </w:r>
      <w:bookmarkStart w:id="216" w:name="pg20044_770776"/>
    </w:p>
    <w:p>
      <w:pPr>
        <w:pStyle w:val="BookText"/>
        <w:rPr/>
      </w:pPr>
      <w:bookmarkEnd w:id="216"/>
      <w:r>
        <w:rPr>
          <w:rFonts w:ascii="Amiri" w:hAnsi="Amiri" w:eastAsia="Amiri" w:cs="Amiri"/>
          <w:color w:val="111111"/>
          <w:sz w:val="28"/>
          <w:sz w:val="28"/>
          <w:szCs w:val="28"/>
          <w:rtl w:val="true"/>
          <w:lang w:bidi="ar-SA"/>
        </w:rPr>
        <w:t xml:space="preserve">أُلزِموا مِن ارتكابِ ذلكَ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لَم يَكُن لإدخالِه في الإمامةِ وجهٌ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فقَد مضَى الكلامُ عليه</w:t>
      </w:r>
      <w:r>
        <w:rPr>
          <w:rStyle w:val="FootnoteAnchor"/>
          <w:rtl w:val="true"/>
        </w:rPr>
        <w:footnoteReference w:id="262"/>
      </w:r>
      <w:r>
        <w:rPr>
          <w:rFonts w:ascii="Amiri" w:hAnsi="Amiri" w:eastAsia="Amiri" w:cs="Amiri"/>
          <w:color w:val="111111"/>
          <w:sz w:val="28"/>
          <w:sz w:val="28"/>
          <w:szCs w:val="28"/>
          <w:rtl w:val="true"/>
          <w:lang w:bidi="ar-SA"/>
        </w:rPr>
        <w:t xml:space="preserve">، و بيّنّا أنّ ذلكَ لا بُدَّ أن يَكونَ كلاماً في الإمامةِ ؛ لأنّه كلامٌ في صفةِ </w:t>
      </w:r>
      <w:r>
        <w:rPr>
          <w:rStyle w:val="FootnoteAnchor"/>
          <w:rtl w:val="true"/>
        </w:rPr>
        <w:footnoteReference w:id="263"/>
      </w:r>
      <w:r>
        <w:rPr>
          <w:rFonts w:ascii="Amiri" w:hAnsi="Amiri" w:eastAsia="Amiri" w:cs="Amiri"/>
          <w:color w:val="111111"/>
          <w:sz w:val="28"/>
          <w:sz w:val="28"/>
          <w:szCs w:val="28"/>
          <w:rtl w:val="true"/>
          <w:lang w:bidi="ar-SA"/>
        </w:rPr>
        <w:t>الإمامِ و ما يَتَوَلّاه</w:t>
      </w:r>
      <w:r>
        <w:rPr>
          <w:rFonts w:eastAsia="Amiri" w:cs="Amiri" w:ascii="Amiri" w:hAnsi="Amiri"/>
          <w:color w:val="111111"/>
          <w:sz w:val="28"/>
          <w:szCs w:val="28"/>
          <w:rtl w:val="true"/>
          <w:lang w:bidi="ar-SA"/>
        </w:rPr>
        <w:t>.</w:t>
      </w:r>
      <w:r>
        <w:rPr>
          <w:rStyle w:val="FootnoteAnchor"/>
          <w:rtl w:val="true"/>
        </w:rPr>
        <w:footnoteReference w:id="264"/>
      </w:r>
    </w:p>
    <w:p>
      <w:pPr>
        <w:pStyle w:val="Heading4"/>
        <w:numPr>
          <w:ilvl w:val="3"/>
          <w:numId w:val="1"/>
        </w:numPr>
        <w:rPr/>
      </w:pPr>
      <w:bookmarkStart w:id="217" w:name="__RefHeading___Toc828424_2320776876"/>
      <w:bookmarkStart w:id="218" w:name="_Toc77"/>
      <w:bookmarkEnd w:id="217"/>
      <w:r>
        <w:rPr>
          <w:rtl w:val="true"/>
        </w:rPr>
        <w:t>وجوه وجوب الإمامة، و بيان الصحيح منها</w:t>
      </w:r>
      <w:bookmarkEnd w:id="218"/>
    </w:p>
    <w:p>
      <w:pPr>
        <w:pStyle w:val="Heading5"/>
        <w:numPr>
          <w:ilvl w:val="4"/>
          <w:numId w:val="1"/>
        </w:numPr>
        <w:rPr/>
      </w:pPr>
      <w:bookmarkStart w:id="219" w:name="__RefHeading___Toc828426_2320776876"/>
      <w:bookmarkStart w:id="220" w:name="_Toc78"/>
      <w:bookmarkEnd w:id="219"/>
      <w:r>
        <w:rPr/>
        <w:t>1</w:t>
      </w:r>
      <w:r>
        <w:rPr>
          <w:rtl w:val="true"/>
        </w:rPr>
        <w:t xml:space="preserve">. </w:t>
      </w:r>
      <w:r>
        <w:rPr>
          <w:rtl w:val="true"/>
        </w:rPr>
        <w:t>كونُ الإمام تمكيناً، و بيان المعنىٰ الصحيح في ذلك</w:t>
      </w:r>
      <w:bookmarkEnd w:id="220"/>
    </w:p>
    <w:p>
      <w:pPr>
        <w:pStyle w:val="BookText"/>
        <w:rPr/>
      </w:pPr>
      <w:r>
        <w:rPr>
          <w:rFonts w:ascii="Amiri" w:hAnsi="Amiri" w:eastAsia="Amiri" w:cs="Amiri"/>
          <w:color w:val="111111"/>
          <w:sz w:val="28"/>
          <w:sz w:val="28"/>
          <w:szCs w:val="28"/>
          <w:rtl w:val="true"/>
          <w:lang w:bidi="ar-SA"/>
        </w:rPr>
        <w:t>فأمّا حكايتُه عن بَعضِ الإماميّةِ إيجابَ الإمامِ مِن حيثُ كان تمكيناً، و أنّه باطلٌ‌</w:t>
      </w:r>
      <w:r>
        <w:rPr>
          <w:rStyle w:val="FootnoteAnchor"/>
          <w:rtl w:val="true"/>
        </w:rPr>
        <w:footnoteReference w:id="265"/>
      </w:r>
      <w:r>
        <w:rPr>
          <w:rFonts w:ascii="Amiri" w:hAnsi="Amiri" w:eastAsia="Amiri" w:cs="Amiri"/>
          <w:color w:val="111111"/>
          <w:sz w:val="28"/>
          <w:sz w:val="28"/>
          <w:szCs w:val="28"/>
          <w:rtl w:val="true"/>
          <w:lang w:bidi="ar-SA"/>
        </w:rPr>
        <w:t>فغيرُ صحيحٍ؛ فإنّ التمكينَ قد يُطلَقُ و يُرادُ به ما يَرجِعُ إلىٰ ما يَصِحُّ به الفِعلُ مِن القُدرةِ و الآلاتِ، و قد يُرادُ به ما يَسهُلُ معه</w:t>
      </w:r>
      <w:r>
        <w:rPr>
          <w:rStyle w:val="FootnoteAnchor"/>
          <w:rtl w:val="true"/>
        </w:rPr>
        <w:footnoteReference w:id="266"/>
      </w:r>
      <w:r>
        <w:rPr>
          <w:rFonts w:ascii="Amiri" w:hAnsi="Amiri" w:eastAsia="Amiri" w:cs="Amiri"/>
          <w:color w:val="111111"/>
          <w:sz w:val="28"/>
          <w:sz w:val="28"/>
          <w:szCs w:val="28"/>
          <w:rtl w:val="true"/>
          <w:lang w:bidi="ar-SA"/>
        </w:rPr>
        <w:t>الفِعلُ و يَدعو إليه مِن 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w:t>
      </w:r>
    </w:p>
    <w:p>
      <w:pPr>
        <w:pStyle w:val="BookText"/>
        <w:rPr/>
      </w:pPr>
      <w:r>
        <w:rPr>
          <w:rFonts w:ascii="Amiri" w:hAnsi="Amiri" w:eastAsia="Amiri" w:cs="Amiri"/>
          <w:color w:val="111111"/>
          <w:sz w:val="28"/>
          <w:sz w:val="28"/>
          <w:szCs w:val="28"/>
          <w:rtl w:val="true"/>
          <w:lang w:bidi="ar-SA"/>
        </w:rPr>
        <w:t xml:space="preserve">تمكينٌ مِن الوجهِ الثاني، و لَيسَ بتمكينٍ مِن الوجهِ الأوّلِ ، و إن كُنّا نَمنَعُ مِن إطلاقِ القَولِ </w:t>
      </w:r>
      <w:r>
        <w:rPr>
          <w:rStyle w:val="FootnoteAnchor"/>
          <w:rtl w:val="true"/>
        </w:rPr>
        <w:footnoteReference w:id="267"/>
      </w:r>
      <w:r>
        <w:rPr>
          <w:rFonts w:ascii="Amiri" w:hAnsi="Amiri" w:eastAsia="Amiri" w:cs="Amiri"/>
          <w:color w:val="111111"/>
          <w:sz w:val="28"/>
          <w:sz w:val="28"/>
          <w:szCs w:val="28"/>
          <w:rtl w:val="true"/>
          <w:lang w:bidi="ar-SA"/>
        </w:rPr>
        <w:t xml:space="preserve">بأنّه لَيسَ بتمكينٍ أو أنّه تمكينٌ </w:t>
      </w:r>
      <w:r>
        <w:rPr>
          <w:rStyle w:val="FootnoteAnchor"/>
          <w:rtl w:val="true"/>
        </w:rPr>
        <w:footnoteReference w:id="268"/>
      </w:r>
      <w:r>
        <w:rPr>
          <w:rFonts w:ascii="Amiri" w:hAnsi="Amiri" w:eastAsia="Amiri" w:cs="Amiri"/>
          <w:color w:val="111111"/>
          <w:sz w:val="28"/>
          <w:sz w:val="28"/>
          <w:szCs w:val="28"/>
          <w:rtl w:val="true"/>
          <w:lang w:bidi="ar-SA"/>
        </w:rPr>
        <w:t>إلّابتقييدٍ</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828428_2320776876"/>
      <w:bookmarkStart w:id="222" w:name="_Toc79"/>
      <w:bookmarkEnd w:id="221"/>
      <w:r>
        <w:rPr/>
        <w:t>2</w:t>
      </w:r>
      <w:r>
        <w:rPr>
          <w:rtl w:val="true"/>
        </w:rPr>
        <w:t xml:space="preserve">. </w:t>
      </w:r>
      <w:r>
        <w:rPr>
          <w:rtl w:val="true"/>
        </w:rPr>
        <w:t>تعلُّقُ بقاء السماء و الأرض بوجود الإمام، و مناقشةُ ذلك</w:t>
      </w:r>
      <w:bookmarkEnd w:id="22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حكاه عن بَعضِهم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الإمامُ لَما قامَت السَّماواتُ و الأرضُ ، و </w:t>
      </w:r>
    </w:p>
    <w:p>
      <w:pPr>
        <w:pStyle w:val="BookText"/>
        <w:rPr/>
      </w:pPr>
      <w:r>
        <w:rPr>
          <w:rFonts w:ascii="Amiri" w:hAnsi="Amiri" w:eastAsia="Amiri" w:cs="Amiri"/>
          <w:color w:val="111111"/>
          <w:sz w:val="28"/>
          <w:sz w:val="28"/>
          <w:szCs w:val="28"/>
          <w:rtl w:val="true"/>
          <w:lang w:bidi="ar-SA"/>
        </w:rPr>
        <w:t>لَما صَحَّ‌</w:t>
      </w:r>
      <w:r>
        <w:rPr>
          <w:rStyle w:val="FootnoteAnchor"/>
          <w:rtl w:val="true"/>
        </w:rPr>
        <w:footnoteReference w:id="269"/>
      </w:r>
      <w:r>
        <w:rPr>
          <w:rFonts w:ascii="Amiri" w:hAnsi="Amiri" w:eastAsia="Amiri" w:cs="Amiri"/>
          <w:color w:val="111111"/>
          <w:sz w:val="28"/>
          <w:sz w:val="28"/>
          <w:szCs w:val="28"/>
          <w:rtl w:val="true"/>
          <w:lang w:bidi="ar-SA"/>
        </w:rPr>
        <w:t>مِن العبدِ الفِعلُ‌</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يمكن أيضاً توجيهه علىٰ حذو ما قاله السيِّد قدّس سرّه في كون الإمام تمكيناً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بالصحّة التمكّن بمعنىٰ سهولة الأمر عليه، لا أصل القدرة، كما في قولهم للقادر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منه الفعل و الترك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فلَيسَ نَعرفُه قَولاً لأحَدٍ مِن الإماميّةِ‌</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غرض القائل أنّ اللّٰه تعالىٰ إنّما خلق السماوات و الأرض لمصالح تعود إلى العباد و لولاها لما تحقّق منه الخلق كما ذهب إليه أهل الحقّ ، و تلك المصالح إنّما تحصل بوجود الإمام فيهم؛ إذ بوجوده يرتفع الفساد و يسلم النظام من الاختلال بوقوع الهرج و المرج و يحصل الاهتداء إلىٰ سبيل الرَّشاد، فلولا الإمام لم يتحقّق الخلق و الإيجاد، و إلّالكان عبثاً و هو مُحال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ما رواه الأخطب الخوارزميّ بإسناده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السماوات و الأرض و ما بينهنّ فأجبنه، فعرض عليهنّ نبوّتي و ولاية عليّ بن أبي طالب فقبلتاهما، ثمّ خلق الخلق و فوَّض إلينا أمر الدِّين؛ فالسعيد مَن سعد بنا، و الشقيّ مَن شقي بنا؛ نحن المحلّلون لحلاله و المحرّمون لحرامه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 بوقوع التكليف منه تعالىٰ أنّ التكليف كان أصلح في علمه تعالىٰ ، فكان خلق السماوات و الأرض لغرض التكليف، و هو لا يستتبّ إلّابلطف الإمامة، فيلزم من ذلك</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و لا تأخَّرَ؛ اللّهمّ إلّاأن يُريدَ ما تقدَّمَ</w:t>
      </w:r>
    </w:p>
    <w:p>
      <w:pPr>
        <w:pStyle w:val="BookText"/>
        <w:rPr/>
      </w:pPr>
      <w:r>
        <w:rPr>
          <w:rFonts w:ascii="Amiri" w:hAnsi="Amiri" w:eastAsia="Amiri" w:cs="Amiri"/>
          <w:color w:val="111111"/>
          <w:sz w:val="28"/>
          <w:sz w:val="28"/>
          <w:szCs w:val="28"/>
          <w:rtl w:val="true"/>
          <w:lang w:bidi="ar-SA"/>
        </w:rPr>
        <w:t>حكايتُه مِن قَولِ الغُلاةِ، فإن أرادَ ذلكَ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الكلامَ مع أُولئك لَيسَ بكلامٍ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أحالَ به علىٰ ما مضىٰ في كتابِه؛ مِن أنّ الإلهَ لا يكونُ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قالَ بذلك 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يوجِبْه مِن حَيثُ كانَ إماماً، و إنّما أَوجَبَه مِن حَيثُ كانَ إلهاً،</w:t>
      </w:r>
      <w:r>
        <w:rPr>
          <w:rStyle w:val="FootnoteAnchor"/>
          <w:rtl w:val="true"/>
        </w:rPr>
        <w:footnoteReference w:id="272"/>
      </w:r>
      <w:r>
        <w:rPr>
          <w:rFonts w:ascii="Amiri" w:hAnsi="Amiri" w:eastAsia="Amiri" w:cs="Amiri"/>
          <w:color w:val="111111"/>
          <w:sz w:val="28"/>
          <w:sz w:val="28"/>
          <w:szCs w:val="28"/>
          <w:rtl w:val="true"/>
          <w:lang w:bidi="ar-SA"/>
        </w:rPr>
        <w:t>و صاحبُ الكتابِ إنّما شَرَعَ في حكايةِ تعليلِ مَن</w:t>
      </w:r>
    </w:p>
    <w:p>
      <w:pPr>
        <w:pStyle w:val="BookText"/>
        <w:rPr/>
      </w:pPr>
      <w:r>
        <w:rPr>
          <w:rFonts w:ascii="Amiri" w:hAnsi="Amiri" w:eastAsia="Amiri" w:cs="Amiri"/>
          <w:color w:val="111111"/>
          <w:sz w:val="28"/>
          <w:sz w:val="28"/>
          <w:szCs w:val="28"/>
          <w:rtl w:val="true"/>
          <w:lang w:bidi="ar-SA"/>
        </w:rPr>
        <w:t>كون الإمام بحيث يكون قيام السماوات و الأرض و بقاؤهما منوطاً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أحدُ ما حُمل عليه ما وقع في أخبار أهل البيت عليهم السلام من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الإمام لساخت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يخرج القائل عن حدّ الغلوّ في الإمامة، و لا يضرّه وقوع المناقشة فيه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يُبنَ الأمر على التوقّف واكتُفي بالتلازم في الوجود، بناءً علىٰ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 الإمام و وجود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مصالح الخلق و التكليف، أمكن توجيه ذلك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يكون ذلك القول إشارة إلىٰ عِظَم شأن الإمام و علوّ قدره، علىٰ حذو ما قاله تعالىٰ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وجوده الشريف علّة غائيّة لخلق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الجمهور و منهم الأخطب الخوارزميّ في المناقب 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خلق اللّٰه تعالىٰ آدم و نفخ فيه من روحه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فأوحى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عزّتي و جلالي لولا عبدان أُريد أن أخلقهما في دار الدُّنيا لما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وانظر، فرفع رأسه، فإذا 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نبيّ الرحمة و عليٌّ مقيم الحجّة، أقسمتُ بعزّتي أن أُدخل النارَ مَن عصاه و إن أطاعني، و أقسمتُ بعزّتي أن أُدخل الجنّةَ مَن أطاعه و إن عصاني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 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 أيضاً عن أبي عمرو و أبي سعيد الخُدريّ عن النبيّ صلّى اللّٰه عليه و آله و ذكر الحديث و هو طويل إلىٰ أن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أبانا آدم عليه السلام لمّا رأى اسمي و اسم عليّ و ابنتي فاطمة و الحسن و الحسين و أسماء أولادهم مكتوبة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هل خلقتَ خلقاً هو أكرم عليك منّي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لولا هذه الأسماء لما خلقتُ سماءً مبنيّة، و لا أرضاً مدحيّة، و لا مَلَكاً مُقرَّباً، و لا نبيّاً مُرسَلاً، و لا خلقتُك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الفضائل لابن شاذان،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الإمام من آل محمّد لما وُجدت السماوات و الأرض؛ حيث كان وجودهم علّة غائيّة لخلقها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bookmarkStart w:id="223" w:name="pg20044_770779"/>
    </w:p>
    <w:p>
      <w:pPr>
        <w:pStyle w:val="BookText"/>
        <w:rPr/>
      </w:pPr>
      <w:bookmarkEnd w:id="223"/>
      <w:r>
        <w:rPr>
          <w:rFonts w:ascii="Amiri" w:hAnsi="Amiri" w:eastAsia="Amiri" w:cs="Amiri"/>
          <w:color w:val="111111"/>
          <w:sz w:val="28"/>
          <w:sz w:val="28"/>
          <w:szCs w:val="28"/>
          <w:rtl w:val="true"/>
          <w:lang w:bidi="ar-SA"/>
        </w:rPr>
        <w:t xml:space="preserve">أَوجَبَ الإمامةَ </w:t>
      </w:r>
      <w:r>
        <w:rPr>
          <w:rStyle w:val="FootnoteAnchor"/>
          <w:rtl w:val="true"/>
        </w:rPr>
        <w:footnoteReference w:id="273"/>
      </w:r>
      <w:r>
        <w:rPr>
          <w:rFonts w:ascii="Amiri" w:hAnsi="Amiri" w:eastAsia="Amiri" w:cs="Amiri"/>
          <w:color w:val="111111"/>
          <w:sz w:val="28"/>
          <w:sz w:val="28"/>
          <w:szCs w:val="28"/>
          <w:rtl w:val="true"/>
          <w:lang w:bidi="ar-SA"/>
        </w:rPr>
        <w:t xml:space="preserve">، و ذِكرِ أقوالِ المختلِفينَ فيها و في وجوبِها و ما احتيجَ له إلَى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يَحسُنُ بمِثلِه مِن أهلِ العِلمِ أن يَحكيَ في كتابِه ما لا يُرجَعُ في العِلمِ بصحّتِه إلّاإليه، و لا يُسمَعُ إلّامِن جهتِه؛ فإنّ فُضَلاءَ أهلِ العِلمِ يَرغَبونَ عن أن يَحكوا عن أهلِ المَذاهبِ إلّاما يَعتَرفونَ به، و هو موجودٌ في كُتُبِهم الظاهرةِ المشهورةِ </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828430_2320776876"/>
      <w:bookmarkStart w:id="225" w:name="_Toc80"/>
      <w:bookmarkEnd w:id="224"/>
      <w:r>
        <w:rPr/>
        <w:t>3</w:t>
      </w:r>
      <w:r>
        <w:rPr>
          <w:rtl w:val="true"/>
        </w:rPr>
        <w:t xml:space="preserve">. </w:t>
      </w:r>
      <w:r>
        <w:rPr>
          <w:rtl w:val="true"/>
        </w:rPr>
        <w:t>كونُ الإمام بياناً، و عدمُ استلزام ذلك وجوبَ الإمام في كلّ زمان</w:t>
      </w:r>
      <w:bookmarkEnd w:id="22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حكايتُه مِن كَونِ الإمامِ بَياناً</w:t>
      </w:r>
      <w:r>
        <w:rPr>
          <w:rStyle w:val="FootnoteAnchor"/>
          <w:rtl w:val="true"/>
        </w:rPr>
        <w:footnoteReference w:id="274"/>
      </w:r>
      <w:r>
        <w:rPr>
          <w:rFonts w:ascii="Amiri" w:hAnsi="Amiri" w:eastAsia="Amiri" w:cs="Amiri"/>
          <w:color w:val="111111"/>
          <w:sz w:val="28"/>
          <w:sz w:val="28"/>
          <w:szCs w:val="28"/>
          <w:rtl w:val="true"/>
          <w:lang w:bidi="ar-SA"/>
        </w:rPr>
        <w:t>و ما يَتَّصِلُ بذلك</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فعندنا أنّ أحدَ</w:t>
      </w:r>
      <w:r>
        <w:rPr>
          <w:rStyle w:val="FootnoteAnchor"/>
          <w:rtl w:val="true"/>
        </w:rPr>
        <w:footnoteReference w:id="276"/>
      </w:r>
      <w:r>
        <w:rPr>
          <w:rFonts w:ascii="Amiri" w:hAnsi="Amiri" w:eastAsia="Amiri" w:cs="Amiri"/>
          <w:color w:val="111111"/>
          <w:sz w:val="28"/>
          <w:sz w:val="28"/>
          <w:szCs w:val="28"/>
          <w:rtl w:val="true"/>
          <w:lang w:bidi="ar-SA"/>
        </w:rPr>
        <w:t>ما احتيجَ إلَى الإمام فيه كونُه بَياناً</w:t>
      </w:r>
      <w:r>
        <w:rPr>
          <w:rStyle w:val="FootnoteAnchor"/>
          <w:rtl w:val="true"/>
        </w:rPr>
        <w:footnoteReference w:id="277"/>
      </w:r>
      <w:r>
        <w:rPr>
          <w:rFonts w:ascii="Amiri" w:hAnsi="Amiri" w:eastAsia="Amiri" w:cs="Amiri"/>
          <w:color w:val="111111"/>
          <w:sz w:val="28"/>
          <w:sz w:val="28"/>
          <w:szCs w:val="28"/>
          <w:rtl w:val="true"/>
          <w:lang w:bidi="ar-SA"/>
        </w:rPr>
        <w:t xml:space="preserve">بمَعنىٰ أنّه مُبيِّنٌ للشَّرعِ ، و كاشفٌ عن مُلتَبِسِ </w:t>
      </w:r>
      <w:r>
        <w:rPr>
          <w:rStyle w:val="FootnoteAnchor"/>
          <w:rtl w:val="true"/>
        </w:rPr>
        <w:footnoteReference w:id="278"/>
      </w:r>
      <w:r>
        <w:rPr>
          <w:rFonts w:ascii="Amiri" w:hAnsi="Amiri" w:eastAsia="Amiri" w:cs="Amiri"/>
          <w:color w:val="111111"/>
          <w:sz w:val="28"/>
          <w:sz w:val="28"/>
          <w:szCs w:val="28"/>
          <w:rtl w:val="true"/>
          <w:lang w:bidi="ar-SA"/>
        </w:rPr>
        <w:t xml:space="preserve">الدِّينِ و غامِضِه؛ غَيرَ أنّ هذه العِلّةَ لَيسَت الموجِبةَ للحاجةِ إلَى الإمامِ في كُلِّ زمانٍ و في كُلِّ حالٍ </w:t>
      </w:r>
      <w:r>
        <w:rPr>
          <w:rStyle w:val="FootnoteAnchor"/>
          <w:rtl w:val="true"/>
        </w:rPr>
        <w:footnoteReference w:id="279"/>
      </w:r>
      <w:r>
        <w:rPr>
          <w:rFonts w:ascii="Amiri" w:hAnsi="Amiri" w:eastAsia="Amiri" w:cs="Amiri"/>
          <w:color w:val="111111"/>
          <w:sz w:val="28"/>
          <w:sz w:val="28"/>
          <w:szCs w:val="28"/>
          <w:rtl w:val="true"/>
          <w:lang w:bidi="ar-SA"/>
        </w:rPr>
        <w:t xml:space="preserve">لأنّ العقلَ يجوِّزُ ارتفاعَ التعبُّدِ بكُلِّ شَرعٍ ، و إذا كانَ قد </w:t>
      </w:r>
      <w:bookmarkStart w:id="226" w:name="pg20044_770780"/>
    </w:p>
    <w:p>
      <w:pPr>
        <w:pStyle w:val="BookText"/>
        <w:rPr/>
      </w:pPr>
      <w:bookmarkEnd w:id="226"/>
      <w:r>
        <w:rPr>
          <w:rFonts w:ascii="Amiri" w:hAnsi="Amiri" w:eastAsia="Amiri" w:cs="Amiri"/>
          <w:color w:val="111111"/>
          <w:sz w:val="28"/>
          <w:sz w:val="28"/>
          <w:szCs w:val="28"/>
          <w:rtl w:val="true"/>
          <w:lang w:bidi="ar-SA"/>
        </w:rPr>
        <w:t>أجازَ</w:t>
      </w:r>
      <w:r>
        <w:rPr>
          <w:rStyle w:val="FootnoteAnchor"/>
          <w:rtl w:val="true"/>
        </w:rPr>
        <w:footnoteReference w:id="280"/>
      </w:r>
      <w:r>
        <w:rPr>
          <w:rFonts w:ascii="Amiri" w:hAnsi="Amiri" w:eastAsia="Amiri" w:cs="Amiri"/>
          <w:color w:val="111111"/>
          <w:sz w:val="28"/>
          <w:sz w:val="28"/>
          <w:szCs w:val="28"/>
          <w:rtl w:val="true"/>
          <w:lang w:bidi="ar-SA"/>
        </w:rPr>
        <w:t>أن لا تَقَعَ العبادةُ به لَم يُحتَج إلىٰ مُبيِّنٍ فيه</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828432_2320776876"/>
      <w:bookmarkStart w:id="228" w:name="_Toc81"/>
      <w:bookmarkEnd w:id="227"/>
      <w:r>
        <w:rPr/>
        <w:t>4</w:t>
      </w:r>
      <w:r>
        <w:rPr>
          <w:rtl w:val="true"/>
        </w:rPr>
        <w:t xml:space="preserve">. </w:t>
      </w:r>
      <w:r>
        <w:rPr>
          <w:rtl w:val="true"/>
        </w:rPr>
        <w:t>كونُ الإمام منبِّهاً على الأدلّة و النظرِ فيها، و عدمُ اختصاص ذلك بالإمام</w:t>
      </w:r>
      <w:bookmarkEnd w:id="228"/>
    </w:p>
    <w:p>
      <w:pPr>
        <w:pStyle w:val="Heading6"/>
        <w:numPr>
          <w:ilvl w:val="5"/>
          <w:numId w:val="1"/>
        </w:numPr>
        <w:rPr/>
      </w:pPr>
      <w:bookmarkStart w:id="229" w:name="__RefHeading___Toc828434_2320776876"/>
      <w:bookmarkStart w:id="230" w:name="_Toc82"/>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فأمّا قَولُ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يُنبِّهُ علَى الأدلّةِ و النظَرِ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فالحاجةُ لا شَكَّ في ذلك إليه واضحةٌ ، إلّاأنّه لَيسَ يَصِحُّ أن يُتعلَّقَ في إيجابِ الإمامةِ بما يَجوزُ أن يَقومَ فيه</w:t>
      </w:r>
      <w:r>
        <w:rPr>
          <w:rStyle w:val="FootnoteAnchor"/>
          <w:rtl w:val="true"/>
        </w:rPr>
        <w:footnoteReference w:id="281"/>
      </w:r>
      <w:r>
        <w:rPr>
          <w:rFonts w:ascii="Amiri" w:hAnsi="Amiri" w:eastAsia="Amiri" w:cs="Amiri"/>
          <w:color w:val="111111"/>
          <w:sz w:val="28"/>
          <w:sz w:val="28"/>
          <w:szCs w:val="28"/>
          <w:rtl w:val="true"/>
          <w:lang w:bidi="ar-SA"/>
        </w:rPr>
        <w:t>غيرُ الإمامِ مَقامَه؛ و قد يَجوزُ أيضاً أن يُنبِّهَ علَى الأدلّةِ و النظَرِ فيها غَيرُ الإمامِ ، و قد يَجوزُ أيضاً أن يَتَّفِقَ لبَعضِ المكلَّفينَ الفِكرُ فيما يَدعو إلَى النظَرِ</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يرغب العبد إلى الطاعة و يقرب منها و يتنفّر من المعصية و يبعد عنها من غير ترغيب و تقريب ولا تنفير و تبعيد من الغير، فلا يكونُ دليل اللطف موجباً للإمام أيضاً؛ إذ قد يحصل فائدته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عدم حصول تلك الحالة أو انتفاء شمولها لكلّ أحد كاف في وجوب الإمامة؛ لكونها لطفاً، فكذا الأمر في دليل إيجاب التنبيه على النظر للإمام، فما وجه الفرق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فهناك لطف آخر من اللّٰه تعالىٰ يحثّه على العمل و يجنّبه عن المخالفة،</w:t>
      </w:r>
    </w:p>
    <w:p>
      <w:pPr>
        <w:pStyle w:val="BookText"/>
        <w:rPr/>
      </w:pPr>
      <w:r>
        <w:rPr>
          <w:rFonts w:ascii="Amiri" w:hAnsi="Amiri" w:eastAsia="Amiri" w:cs="Amiri"/>
          <w:color w:val="111111"/>
          <w:sz w:val="28"/>
          <w:sz w:val="28"/>
          <w:szCs w:val="28"/>
          <w:rtl w:val="true"/>
          <w:lang w:bidi="ar-SA"/>
        </w:rPr>
        <w:t>مِن غَيرِ خاطِرٍ</w:t>
      </w:r>
    </w:p>
    <w:p>
      <w:pPr>
        <w:pStyle w:val="BookText"/>
        <w:rPr/>
      </w:pPr>
      <w:r>
        <w:rPr>
          <w:rFonts w:ascii="Amiri" w:hAnsi="Amiri" w:eastAsia="Amiri" w:cs="Amiri"/>
          <w:color w:val="111111"/>
          <w:sz w:val="28"/>
          <w:sz w:val="28"/>
          <w:szCs w:val="28"/>
          <w:rtl w:val="true"/>
          <w:lang w:bidi="ar-SA"/>
        </w:rPr>
        <w:t>يعني أنّ هذه العلّة إنّما تُثبت الإمامة بعد ورود الشرع، و وروده ليس بلازم في نظر العقل؛ إذ يجوز الاكتفاء بالأحكام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أردنا إثبات وجوب الإمامة مطلقاً فإنّما نُثبته بدليل آخر يعمّ هذه الحال و غيرها، لا بهذه العلّة المبنيّة علىٰ وجوب التعبّد بأحكام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كتاب التلخيص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الكلام علىٰ وجوبها طريقتان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أ نّها واجبة عقلاً، سواء كان سمع أو لم يكن، ثمّ نبيّن أ نّها واجبة علىٰ كلّ حال ما دام التكليف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بأنّ بعد ورود الشرع لا بدّ من وجود إمام حافظ للشرع يقوم بأحكام الملّة، و نبيّن أنّ وجه الحاجة فيه أيضاً العقل، دون ما ذهب إليه خصومُنا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مُنَبِّهٍ،</w:t>
      </w:r>
      <w:r>
        <w:rPr>
          <w:rStyle w:val="FootnoteAnchor"/>
          <w:rtl w:val="true"/>
        </w:rPr>
        <w:footnoteReference w:id="283"/>
      </w:r>
      <w:r>
        <w:rPr>
          <w:rFonts w:ascii="Amiri" w:hAnsi="Amiri" w:eastAsia="Amiri" w:cs="Amiri"/>
          <w:color w:val="111111"/>
          <w:sz w:val="28"/>
          <w:sz w:val="28"/>
          <w:szCs w:val="28"/>
          <w:rtl w:val="true"/>
          <w:lang w:bidi="ar-SA"/>
        </w:rPr>
        <w:t xml:space="preserve">بل يَستَغني عن المُنبِّهِ، و لا يكونُ عندَنا مُستَغنياً عن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يحكم بقبح التكليف من غير لطف كما ذهب إليه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التنبيه على النظر لا يوجب الإمام من حيث إنّ له التنبيه على النظر؛ إذ قد يحصل التنبُّه من دون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دليل اللطف، فإنّه يقتضي وجود الإمام من حيث هو لطف؛ و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اللطف قد يحصل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آخر لا ينافي ما ذكرناه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مبنيّ علىٰ أنّ لطف الإمام يقوم مقامه غيره،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دليل اللطف، فإنّه يقتضي وجود الإمام من حيث هو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حيث هو فرد من اللطف، فلا يُجدي في إيجاب الإمام و إثباته بكونه لطفاً؛ إذ يجوز أن يتحقّق اللطف في ضمن فرد آخر، فلا يجب بالإمام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غير ذلك فلا محصّل له و لا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لا يدفع الإيراد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يجوز أن ينبّه على الأدلّة و النظر فيها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جاز قيام غير لطف الإمام مقام لطفه و كان مع ذلك لطف الإمام موجباً له، فلِمَ لا يكون التنبيه على النظر من الإمام موجباً له و إن قام غيره مقامه ؟ فما الفرق ؟ و إن جعل المجموع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يجوز أن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يجوز أن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واحداً، فمع إباء سياق العبارة عنه يلزم استدراك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و إن جاز التنبّه من غير تنبيه من الخلق، لكن لا يكون بُدّ من التنبيه من اللّٰه و الإلهام منه، فلا يُجدي نفعاً؛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كلامه قدّس سرّه علىٰ أنّ لطف الإمام لا يقوم مقامه شيء، كما سيتبيّن إن شاء اللّٰه تعالىٰ ، بخلاف كونه منبّهاً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التلخيص،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في الألطاف ما يقوم مقام الإمامة، فيحسن التكليف من دونها إذا فعل اللّٰه تعالىٰ ما يقوم مقامها من اللطف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يتمّ ما ذكرتموه من السؤال لو صحّ أن يكون في الألطاف ما يقوم مقام الإمامة، و عندنا أنّ الأمر بخلاف ذلك؛ لأنّا قد علمنا أ نّه لا يقوم شيء من الألطاف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طاب ثراه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لطف الإمام لا ينحصر في الترغيب و التنفير، فيسقط السؤال رأساً؛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الإمامِ ما دامَ السهوُ و الغَلَطُ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علَى المُكلَّفينَ فيما يَنقُلونَه و يَروونَه و يؤدّونه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فإنّ هذه العِلّةَ في الحاجةِ إلَى الإمامِ تَجري مَجرَى الأُولىٰ‌</w:t>
      </w:r>
      <w:r>
        <w:rPr>
          <w:rStyle w:val="FootnoteAnchor"/>
          <w:rtl w:val="true"/>
        </w:rPr>
        <w:footnoteReference w:id="287"/>
      </w:r>
      <w:r>
        <w:rPr>
          <w:rFonts w:ascii="Amiri" w:hAnsi="Amiri" w:eastAsia="Amiri" w:cs="Amiri"/>
          <w:color w:val="111111"/>
          <w:sz w:val="28"/>
          <w:sz w:val="28"/>
          <w:szCs w:val="28"/>
          <w:rtl w:val="true"/>
          <w:lang w:bidi="ar-SA"/>
        </w:rPr>
        <w:t>في أنّها لَيسَت بلازمةٍ في كلِّ حالٍ، و إنّما هي مُختصّةٌ بالأحوالِ التي يُحتاجُ فيها إلىٰ نَقلِ الشرائعِ و أدائها،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يُجوِّزُ ارتفاعَ التعبُّدِ بِكُلِّ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ذلكَ وجهٌ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يُحتاجُ فيه إلَى الإمامِ مع التعبُّدِ بالشرائعِ ، و المكلَّفونَ و إن لَم يَجُز علَى الجماعةِ مِنهم</w:t>
      </w:r>
      <w:r>
        <w:rPr>
          <w:rStyle w:val="FootnoteAnchor"/>
          <w:rtl w:val="true"/>
        </w:rPr>
        <w:footnoteReference w:id="288"/>
      </w:r>
      <w:r>
        <w:rPr>
          <w:rFonts w:ascii="Amiri" w:hAnsi="Amiri" w:eastAsia="Amiri" w:cs="Amiri"/>
          <w:color w:val="111111"/>
          <w:sz w:val="28"/>
          <w:sz w:val="28"/>
          <w:szCs w:val="28"/>
          <w:rtl w:val="true"/>
          <w:lang w:bidi="ar-SA"/>
        </w:rPr>
        <w:t>السهوُ عمّا يَسمَعونَه مِن الإمام شِفاهاً، و لا عن كثيرٍ ممّا تأكَّدَ</w:t>
      </w:r>
      <w:r>
        <w:rPr>
          <w:rStyle w:val="FootnoteAnchor"/>
          <w:rtl w:val="true"/>
        </w:rPr>
        <w:footnoteReference w:id="289"/>
      </w:r>
      <w:r>
        <w:rPr>
          <w:rFonts w:ascii="Amiri" w:hAnsi="Amiri" w:eastAsia="Amiri" w:cs="Amiri"/>
          <w:color w:val="111111"/>
          <w:sz w:val="28"/>
          <w:sz w:val="28"/>
          <w:szCs w:val="28"/>
          <w:rtl w:val="true"/>
          <w:lang w:bidi="ar-SA"/>
        </w:rPr>
        <w:t>عِلمُهم به مِن الأخبارِ، فإنّ تعمُّدَ الخَطَإ عَلَيهم جائزٌ في الحالَينِ ؛</w:t>
      </w:r>
      <w:r>
        <w:rPr>
          <w:rStyle w:val="FootnoteAnchor"/>
          <w:rtl w:val="true"/>
        </w:rPr>
        <w:footnoteReference w:id="290"/>
      </w:r>
      <w:r>
        <w:rPr>
          <w:rFonts w:ascii="Amiri" w:hAnsi="Amiri" w:eastAsia="Amiri" w:cs="Amiri"/>
          <w:color w:val="111111"/>
          <w:sz w:val="28"/>
          <w:sz w:val="28"/>
          <w:szCs w:val="28"/>
          <w:rtl w:val="true"/>
          <w:lang w:bidi="ar-SA"/>
        </w:rPr>
        <w:t xml:space="preserve">و بَينَ جوازِه </w:t>
      </w:r>
      <w:bookmarkStart w:id="231" w:name="pg20044_770783"/>
    </w:p>
    <w:p>
      <w:pPr>
        <w:pStyle w:val="BookText"/>
        <w:rPr/>
      </w:pPr>
      <w:bookmarkEnd w:id="231"/>
      <w:r>
        <w:rPr>
          <w:rFonts w:ascii="Amiri" w:hAnsi="Amiri" w:eastAsia="Amiri" w:cs="Amiri"/>
          <w:color w:val="111111"/>
          <w:sz w:val="28"/>
          <w:sz w:val="28"/>
          <w:szCs w:val="28"/>
          <w:rtl w:val="true"/>
          <w:lang w:bidi="ar-SA"/>
        </w:rPr>
        <w:t>عَلَيهم فيما يَسمَعونه مِن الإمامِ و هو حاضرٌ مَوجودُ العَينِ قَريبُ الدارِ، و بَينَ ما يَجوزُ عَلَيهم بَعدَ وفاةِ الرسولِ أو الإمامِ‌</w:t>
      </w:r>
      <w:r>
        <w:rPr>
          <w:rStyle w:val="FootnoteAnchor"/>
          <w:rtl w:val="true"/>
        </w:rPr>
        <w:footnoteReference w:id="291"/>
      </w:r>
      <w:r>
        <w:rPr>
          <w:rFonts w:ascii="Amiri" w:hAnsi="Amiri" w:eastAsia="Amiri" w:cs="Amiri"/>
          <w:color w:val="111111"/>
          <w:sz w:val="28"/>
          <w:sz w:val="28"/>
          <w:szCs w:val="28"/>
          <w:rtl w:val="true"/>
          <w:lang w:bidi="ar-SA"/>
        </w:rPr>
        <w:t>فرقٌ واضحٌ؛ لأنّ ما يَقَعُ مِن ذلكَ و الإمامُ موجودٌ يُمكنُ للإمامِ استدراكُه</w:t>
      </w:r>
      <w:r>
        <w:rPr>
          <w:rStyle w:val="FootnoteAnchor"/>
          <w:rtl w:val="true"/>
        </w:rPr>
        <w:footnoteReference w:id="292"/>
      </w:r>
      <w:r>
        <w:rPr>
          <w:rFonts w:ascii="Amiri" w:hAnsi="Amiri" w:eastAsia="Amiri" w:cs="Amiri"/>
          <w:color w:val="111111"/>
          <w:sz w:val="28"/>
          <w:sz w:val="28"/>
          <w:szCs w:val="28"/>
          <w:rtl w:val="true"/>
          <w:lang w:bidi="ar-SA"/>
        </w:rPr>
        <w:t xml:space="preserve">و تَلافيهِ، و ما يَقَعُ بَعدَ وفاتِه لا يكونُ له مُستدرَكٌ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إذا استَمَرَّ مِنهم الغَلَطُ</w:t>
      </w:r>
      <w:r>
        <w:rPr>
          <w:rStyle w:val="FootnoteAnchor"/>
          <w:rtl w:val="true"/>
        </w:rPr>
        <w:footnoteReference w:id="294"/>
      </w:r>
      <w:r>
        <w:rPr>
          <w:rFonts w:ascii="Amiri" w:hAnsi="Amiri" w:eastAsia="Amiri" w:cs="Amiri"/>
          <w:color w:val="111111"/>
          <w:sz w:val="28"/>
          <w:sz w:val="28"/>
          <w:szCs w:val="28"/>
          <w:rtl w:val="true"/>
          <w:lang w:bidi="ar-SA"/>
        </w:rPr>
        <w:t xml:space="preserve">في هذه الأحوالِ ، بَطَلَت الحُجّةُ بالشَّرعِ علىٰ مَن يأتي مِن الأخلافِ </w:t>
      </w:r>
      <w:r>
        <w:rPr>
          <w:rFonts w:eastAsia="Amiri" w:cs="Amiri" w:ascii="Amiri" w:hAnsi="Amiri"/>
          <w:color w:val="111111"/>
          <w:sz w:val="28"/>
          <w:szCs w:val="28"/>
          <w:rtl w:val="true"/>
          <w:lang w:bidi="ar-SA"/>
        </w:rPr>
        <w:t>.</w:t>
      </w:r>
      <w:r>
        <w:rPr>
          <w:rStyle w:val="FootnoteAnchor"/>
          <w:rtl w:val="true"/>
        </w:rPr>
        <w:footnoteReference w:id="295"/>
      </w:r>
    </w:p>
    <w:p>
      <w:pPr>
        <w:pStyle w:val="Heading6"/>
        <w:numPr>
          <w:ilvl w:val="5"/>
          <w:numId w:val="1"/>
        </w:numPr>
        <w:rPr/>
      </w:pPr>
      <w:bookmarkStart w:id="232" w:name="__RefHeading___Toc828436_2320776876"/>
      <w:bookmarkStart w:id="233" w:name="_Toc83"/>
      <w:bookmarkEnd w:id="232"/>
      <w:r>
        <w:rPr>
          <w:rtl w:val="true"/>
        </w:rPr>
        <w:t>نفيُ أن يكونَ المكلّفُ معذوراً إذا فرّط في معرفة الإمام</w:t>
      </w:r>
      <w:bookmarkEnd w:id="23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الإمامِ </w:t>
      </w:r>
      <w:r>
        <w:rPr>
          <w:rStyle w:val="FootnoteAnchor"/>
          <w:rtl w:val="true"/>
        </w:rPr>
        <w:footnoteReference w:id="296"/>
      </w:r>
      <w:r>
        <w:rPr>
          <w:rFonts w:ascii="Amiri" w:hAnsi="Amiri" w:eastAsia="Amiri" w:cs="Amiri"/>
          <w:color w:val="111111"/>
          <w:sz w:val="28"/>
          <w:sz w:val="28"/>
          <w:szCs w:val="28"/>
          <w:rtl w:val="true"/>
          <w:lang w:bidi="ar-SA"/>
        </w:rPr>
        <w:t>مع الجَهلِ به غَيرُ مُعتَبَرٍ</w:t>
      </w:r>
      <w:r>
        <w:rPr>
          <w:rStyle w:val="FootnoteAnchor"/>
          <w:rtl w:val="true"/>
        </w:rPr>
        <w:footnoteReference w:id="297"/>
      </w:r>
      <w:r>
        <w:rPr>
          <w:rFonts w:ascii="Amiri" w:hAnsi="Amiri" w:eastAsia="Amiri" w:cs="Amiri"/>
          <w:color w:val="111111"/>
          <w:sz w:val="28"/>
          <w:sz w:val="28"/>
          <w:szCs w:val="28"/>
          <w:rtl w:val="true"/>
          <w:lang w:bidi="ar-SA"/>
        </w:rPr>
        <w:t xml:space="preserve">لأنّه بمَنزلةِ غَيرِه عندَ </w:t>
      </w:r>
    </w:p>
    <w:p>
      <w:pPr>
        <w:pStyle w:val="BookText"/>
        <w:rPr/>
      </w:pPr>
      <w:r>
        <w:rPr>
          <w:rFonts w:ascii="Amiri" w:hAnsi="Amiri" w:eastAsia="Amiri" w:cs="Amiri"/>
          <w:color w:val="111111"/>
          <w:sz w:val="28"/>
          <w:sz w:val="28"/>
          <w:szCs w:val="28"/>
          <w:rtl w:val="true"/>
          <w:lang w:bidi="ar-SA"/>
        </w:rPr>
        <w:t xml:space="preserve">المُكلَّفِ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الحالُ هذه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فلا بُدَّ مِن العِلمِ بالإمامِ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اللّٰهِ تَعالىٰ أن يوجِبَ العِلمَ به و يُمكِّنَ‌</w:t>
      </w:r>
      <w:r>
        <w:rPr>
          <w:rStyle w:val="FootnoteAnchor"/>
          <w:rtl w:val="true"/>
        </w:rPr>
        <w:footnoteReference w:id="300"/>
      </w:r>
      <w:r>
        <w:rPr>
          <w:rFonts w:ascii="Amiri" w:hAnsi="Amiri" w:eastAsia="Amiri" w:cs="Amiri"/>
          <w:color w:val="111111"/>
          <w:sz w:val="28"/>
          <w:sz w:val="28"/>
          <w:szCs w:val="28"/>
          <w:rtl w:val="true"/>
          <w:lang w:bidi="ar-SA"/>
        </w:rPr>
        <w:t>مِنه، فإن فَرَّطَ المكلَّفُ في العِلمِ‌</w:t>
      </w:r>
      <w:r>
        <w:rPr>
          <w:rStyle w:val="FootnoteAnchor"/>
          <w:rtl w:val="true"/>
        </w:rPr>
        <w:footnoteReference w:id="301"/>
      </w:r>
      <w:r>
        <w:rPr>
          <w:rFonts w:ascii="Amiri" w:hAnsi="Amiri" w:eastAsia="Amiri" w:cs="Amiri"/>
          <w:color w:val="111111"/>
          <w:sz w:val="28"/>
          <w:sz w:val="28"/>
          <w:szCs w:val="28"/>
          <w:rtl w:val="true"/>
          <w:lang w:bidi="ar-SA"/>
        </w:rPr>
        <w:t>به لَم يَكُن معذوراً، و إن أخرَجَ نفسَه مِن</w:t>
      </w:r>
      <w:r>
        <w:rPr>
          <w:rStyle w:val="FootnoteAnchor"/>
          <w:rtl w:val="true"/>
        </w:rPr>
        <w:footnoteReference w:id="302"/>
      </w:r>
      <w:r>
        <w:rPr>
          <w:rFonts w:ascii="Amiri" w:hAnsi="Amiri" w:eastAsia="Amiri" w:cs="Amiri"/>
          <w:color w:val="111111"/>
          <w:sz w:val="28"/>
          <w:sz w:val="28"/>
          <w:szCs w:val="28"/>
          <w:rtl w:val="true"/>
          <w:lang w:bidi="ar-SA"/>
        </w:rPr>
        <w:t>الانتفاعِ به و التمكُّنِ مِن لِقائه بأمرٍ يَتمكَّنُ مِن إزالتِه</w:t>
      </w:r>
      <w:r>
        <w:rPr>
          <w:rStyle w:val="FootnoteAnchor"/>
          <w:rtl w:val="true"/>
        </w:rPr>
        <w:footnoteReference w:id="303"/>
      </w:r>
      <w:r>
        <w:rPr>
          <w:rFonts w:ascii="Amiri" w:hAnsi="Amiri" w:eastAsia="Amiri" w:cs="Amiri"/>
          <w:color w:val="111111"/>
          <w:sz w:val="28"/>
          <w:sz w:val="28"/>
          <w:szCs w:val="28"/>
          <w:rtl w:val="true"/>
          <w:lang w:bidi="ar-SA"/>
        </w:rPr>
        <w:t>لَم يَكُن أيضاً معذوراً، و لا سَقَطَت الحُجّةُ عنه؛ فكَيفَ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يؤدّي إلىٰ أن يُعذَرَ كُلُّ مَن لَم يَعرِفْ إمامَه؛ لأنّه لَم</w:t>
      </w:r>
    </w:p>
    <w:p>
      <w:pPr>
        <w:pStyle w:val="BookText"/>
        <w:rPr/>
      </w:pPr>
      <w:r>
        <w:rPr>
          <w:rFonts w:ascii="Amiri" w:hAnsi="Amiri" w:eastAsia="Amiri" w:cs="Amiri"/>
          <w:color w:val="111111"/>
          <w:sz w:val="28"/>
          <w:sz w:val="28"/>
          <w:szCs w:val="28"/>
          <w:rtl w:val="true"/>
          <w:lang w:bidi="ar-SA"/>
        </w:rPr>
        <w:t>تُزَحْ عِلّتُه</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 إنّما كانَ يَصِحُّ كلامُه لَو كانَ كُلُّ مَن لا يَعرفُ الإمامَ لا يَتمكَّنُ مِن معرفتِه، و لا له سبيلٌ‌</w:t>
      </w:r>
      <w:r>
        <w:rPr>
          <w:rStyle w:val="FootnoteAnchor"/>
          <w:rtl w:val="true"/>
        </w:rPr>
        <w:footnoteReference w:id="305"/>
      </w:r>
      <w:r>
        <w:rPr>
          <w:rFonts w:ascii="Amiri" w:hAnsi="Amiri" w:eastAsia="Amiri" w:cs="Amiri"/>
          <w:color w:val="111111"/>
          <w:sz w:val="28"/>
          <w:sz w:val="28"/>
          <w:szCs w:val="28"/>
          <w:rtl w:val="true"/>
          <w:lang w:bidi="ar-SA"/>
        </w:rPr>
        <w:t>إلَى الانتفاعِ به؛ فأمّا و الأمرُ بخِلافِ ذلكَ ، فلا إشكالَ في لزومِ الحُجّةِ له بتفريطِه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يقولُه جماعتُنا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حصولَها هو اللُّطفُ ، و لا عُذرَ لِمَن لَم تَحصُلْ له إذا فَرَّطَ في التوصُّلِ إليها؛ مِن حَيثُ كانَ مُتمكِّناً مِن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حاضراً و لم يتشارك الناس في معرفته كما في أكثر أئمّتكم، أو كان غائباً كما في إمام زماننا، فأيّ فائدة في وجوده ؟ فحاله كحال غيره، فنكون معذورين؛ لأنّه لم تُزح عِللنا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و إن لم يحصل معرفته لكنّ التمكّن من معرفته حاصل لكلّ أحد كما قاله قدّس سرّه، فقد أُزيحت العلّة بالتمكين من المعرفة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 نّه لو صحّ ما قال لجاز مثله في النبيّ لمن لم يحصل له معرفته و كان متمكّناً منها، بل لو صحّ لم تكن المعرفة لطفاً فيما هي لطف فيه من التكاليف لمن لم تحصل له من الكفّار و أهل الإلحاد مع تمكّنهم من تحصيلها، فيكونون معذورين؛ و هو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bookmarkStart w:id="234" w:name="pg20044_770785"/>
    </w:p>
    <w:p>
      <w:pPr>
        <w:pStyle w:val="Heading6"/>
        <w:numPr>
          <w:ilvl w:val="5"/>
          <w:numId w:val="1"/>
        </w:numPr>
        <w:rPr/>
      </w:pPr>
      <w:bookmarkStart w:id="235" w:name="__RefHeading___Toc828438_2320776876"/>
      <w:bookmarkStart w:id="236" w:name="_Toc84"/>
      <w:bookmarkEnd w:id="234"/>
      <w:bookmarkEnd w:id="235"/>
      <w:r>
        <w:rPr>
          <w:rtl w:val="true"/>
        </w:rPr>
        <w:t>عدم وجوب عدد معيّن في الأئمّة</w:t>
      </w:r>
      <w:bookmarkEnd w:id="236"/>
    </w:p>
    <w:p>
      <w:pPr>
        <w:pStyle w:val="BookText"/>
        <w:rPr/>
      </w:pPr>
      <w:r>
        <w:rPr>
          <w:rFonts w:ascii="Amiri" w:hAnsi="Amiri" w:eastAsia="Amiri" w:cs="Amiri"/>
          <w:color w:val="111111"/>
          <w:sz w:val="28"/>
          <w:sz w:val="28"/>
          <w:szCs w:val="28"/>
          <w:rtl w:val="true"/>
          <w:lang w:bidi="ar-SA"/>
        </w:rPr>
        <w:t>فأمّا إلزامُه إيجابَ أئمّةٍ عِدّةٍ بحَسَبِ حاجةِ المكلَّفينَ،</w:t>
      </w:r>
      <w:r>
        <w:rPr>
          <w:rStyle w:val="FootnoteAnchor"/>
          <w:rtl w:val="true"/>
        </w:rPr>
        <w:footnoteReference w:id="306"/>
      </w:r>
      <w:r>
        <w:rPr>
          <w:rFonts w:ascii="Amiri" w:hAnsi="Amiri" w:eastAsia="Amiri" w:cs="Amiri"/>
          <w:color w:val="111111"/>
          <w:sz w:val="28"/>
          <w:sz w:val="28"/>
          <w:szCs w:val="28"/>
          <w:rtl w:val="true"/>
          <w:lang w:bidi="ar-SA"/>
        </w:rPr>
        <w:t>فغَيرُ لازمٍ لَو فَطِنَ لمَوضعِ عُمدتِنا</w:t>
      </w:r>
      <w:r>
        <w:rPr>
          <w:rStyle w:val="FootnoteAnchor"/>
          <w:rtl w:val="true"/>
        </w:rPr>
        <w:footnoteReference w:id="307"/>
      </w:r>
      <w:r>
        <w:rPr>
          <w:rFonts w:ascii="Amiri" w:hAnsi="Amiri" w:eastAsia="Amiri" w:cs="Amiri"/>
          <w:color w:val="111111"/>
          <w:sz w:val="28"/>
          <w:sz w:val="28"/>
          <w:szCs w:val="28"/>
          <w:rtl w:val="true"/>
          <w:lang w:bidi="ar-SA"/>
        </w:rPr>
        <w:t xml:space="preserve">لأنّ الذي يَقتضيه العقلُ و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بوُجودِ الرئاسةِ، لا عدداً مخصوصاً</w:t>
      </w:r>
      <w:r>
        <w:rPr>
          <w:rStyle w:val="FootnoteAnchor"/>
          <w:rtl w:val="true"/>
        </w:rPr>
        <w:footnoteReference w:id="308"/>
      </w:r>
      <w:r>
        <w:rPr>
          <w:rFonts w:ascii="Amiri" w:hAnsi="Amiri" w:eastAsia="Amiri" w:cs="Amiri"/>
          <w:color w:val="111111"/>
          <w:sz w:val="28"/>
          <w:sz w:val="28"/>
          <w:szCs w:val="28"/>
          <w:rtl w:val="true"/>
          <w:lang w:bidi="ar-SA"/>
        </w:rPr>
        <w:t>فيها، و لا رئاسةً مخصوصةً، و إنّما يُرجَعُ في صفاتِ الرؤساءِ و أعدادِهم إلىٰ أدلّةٍ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Style w:val="FootnoteAnchor"/>
          <w:rtl w:val="true"/>
        </w:rPr>
        <w:footnoteReference w:id="309"/>
      </w:r>
      <w:r>
        <w:rPr>
          <w:rFonts w:ascii="Amiri" w:hAnsi="Amiri" w:eastAsia="Amiri" w:cs="Amiri"/>
          <w:color w:val="111111"/>
          <w:sz w:val="28"/>
          <w:sz w:val="28"/>
          <w:szCs w:val="28"/>
          <w:rtl w:val="true"/>
          <w:lang w:bidi="ar-SA"/>
        </w:rPr>
        <w:t>يَمتنعُ قيامُ الدليلِ‌</w:t>
      </w:r>
      <w:r>
        <w:rPr>
          <w:rStyle w:val="FootnoteAnchor"/>
          <w:rtl w:val="true"/>
        </w:rPr>
        <w:footnoteReference w:id="310"/>
      </w:r>
      <w:r>
        <w:rPr>
          <w:rFonts w:ascii="Amiri" w:hAnsi="Amiri" w:eastAsia="Amiri" w:cs="Amiri"/>
          <w:color w:val="111111"/>
          <w:sz w:val="28"/>
          <w:sz w:val="28"/>
          <w:szCs w:val="28"/>
          <w:rtl w:val="true"/>
          <w:lang w:bidi="ar-SA"/>
        </w:rPr>
        <w:t xml:space="preserve">علىٰ أنّ الإمامَ </w:t>
      </w:r>
      <w:r>
        <w:rPr>
          <w:rStyle w:val="FootnoteAnchor"/>
          <w:rtl w:val="true"/>
        </w:rPr>
        <w:footnoteReference w:id="311"/>
      </w:r>
      <w:r>
        <w:rPr>
          <w:rFonts w:ascii="Amiri" w:hAnsi="Amiri" w:eastAsia="Amiri" w:cs="Amiri"/>
          <w:color w:val="111111"/>
          <w:sz w:val="28"/>
          <w:sz w:val="28"/>
          <w:szCs w:val="28"/>
          <w:rtl w:val="true"/>
          <w:lang w:bidi="ar-SA"/>
        </w:rPr>
        <w:t xml:space="preserve">يَجِبُ أن يكونَ واحداً في العالَمِ ، و يَكونَ أُمَراؤه و خُلَفاؤه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ورائهم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يُغنونَ عن وجودِ جماعةٍ مِن الأئمّةِ ، و كُلُّ ذلك غيرُ قادحٍ في أنّ الرئاسةَ لُطفٌ ، علىٰ ما ذَهَبنا إليه</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828440_2320776876"/>
      <w:bookmarkStart w:id="238" w:name="_Toc85"/>
      <w:bookmarkEnd w:id="237"/>
      <w:r>
        <w:rPr>
          <w:rtl w:val="true"/>
        </w:rPr>
        <w:t>كيفيّة إزاحة علّة المكلّفين في معرفة الإمام</w:t>
      </w:r>
      <w:bookmarkEnd w:id="23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إذا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الحالِ التي تَظهَرُ إمامتُه لا يَخلو </w:t>
      </w:r>
    </w:p>
    <w:p>
      <w:pPr>
        <w:pStyle w:val="BookText"/>
        <w:rPr/>
      </w:pPr>
      <w:r>
        <w:rPr>
          <w:rFonts w:ascii="Amiri" w:hAnsi="Amiri" w:eastAsia="Amiri" w:cs="Amiri"/>
          <w:color w:val="111111"/>
          <w:sz w:val="28"/>
          <w:sz w:val="28"/>
          <w:szCs w:val="28"/>
          <w:rtl w:val="true"/>
          <w:lang w:bidi="ar-SA"/>
        </w:rPr>
        <w:t xml:space="preserve">مِن أن يَقِفَ كُلُّ </w:t>
      </w:r>
      <w:r>
        <w:rPr>
          <w:rStyle w:val="FootnoteAnchor"/>
          <w:rtl w:val="true"/>
        </w:rPr>
        <w:footnoteReference w:id="312"/>
      </w:r>
      <w:r>
        <w:rPr>
          <w:rFonts w:ascii="Amiri" w:hAnsi="Amiri" w:eastAsia="Amiri" w:cs="Amiri"/>
          <w:color w:val="111111"/>
          <w:sz w:val="28"/>
          <w:sz w:val="28"/>
          <w:szCs w:val="28"/>
          <w:rtl w:val="true"/>
          <w:lang w:bidi="ar-SA"/>
        </w:rPr>
        <w:t>العالَمِ عليه،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وقوفُ الجميعِ غَيرُ ممكنٍ ، فيَجِبُ أن تكونَ العِلّةُ غيرَ مُزاحةٍ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فأوّلُ ما نقولُ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نوجِبُ إمامةَ واحدٍ في الزمانِ بالدليلِ الذي دَلَّنا علىٰ</w:t>
      </w:r>
    </w:p>
    <w:p>
      <w:pPr>
        <w:pStyle w:val="BookText"/>
        <w:rPr/>
      </w:pPr>
      <w:r>
        <w:rPr>
          <w:rFonts w:ascii="Amiri" w:hAnsi="Amiri" w:eastAsia="Amiri" w:cs="Amiri"/>
          <w:color w:val="111111"/>
          <w:sz w:val="28"/>
          <w:sz w:val="28"/>
          <w:szCs w:val="28"/>
          <w:rtl w:val="true"/>
          <w:lang w:bidi="ar-SA"/>
        </w:rPr>
        <w:t>وجوبِ الرئاسةِ في الجملةِ‌</w:t>
      </w:r>
      <w:r>
        <w:rPr>
          <w:rStyle w:val="FootnoteAnchor"/>
          <w:rtl w:val="true"/>
        </w:rPr>
        <w:footnoteReference w:id="314"/>
      </w:r>
      <w:r>
        <w:rPr>
          <w:rFonts w:ascii="Amiri" w:hAnsi="Amiri" w:eastAsia="Amiri" w:cs="Amiri"/>
          <w:color w:val="111111"/>
          <w:sz w:val="28"/>
          <w:sz w:val="28"/>
          <w:szCs w:val="28"/>
          <w:rtl w:val="true"/>
          <w:lang w:bidi="ar-SA"/>
        </w:rPr>
        <w:t>، و إنّما المَرجِعُ في ذلكَ إلىٰ أُمورٍ أُخَرَ، و قد يجوزُ أن تَختَلِفَ المصلحةُ فيه؛ فيكونَ تارةً إماماً واحداً، و تارةً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بما سألَ‌</w:t>
      </w:r>
      <w:r>
        <w:rPr>
          <w:rStyle w:val="FootnoteAnchor"/>
          <w:rtl w:val="true"/>
        </w:rPr>
        <w:footnoteReference w:id="31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ظهورِ إمامتِه، و لزومِ الجَهلِ‌</w:t>
      </w:r>
      <w:r>
        <w:rPr>
          <w:rStyle w:val="FootnoteAnchor"/>
          <w:rtl w:val="true"/>
        </w:rPr>
        <w:footnoteReference w:id="316"/>
      </w:r>
      <w:r>
        <w:rPr>
          <w:rFonts w:ascii="IRNazanin" w:hAnsi="IRNazanin" w:eastAsia="IRNazanin"/>
          <w:color w:val="111111"/>
          <w:sz w:val="28"/>
          <w:sz w:val="28"/>
          <w:szCs w:val="28"/>
          <w:rtl w:val="true"/>
          <w:lang w:bidi="fa-IR"/>
        </w:rPr>
        <w:t>بها</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الإمامةِ و أوّلَ الأئمّةِ، ففي ذلك الحالِ إذا لَم يَتمكَّنِ الجميعُ مِن العِلمِ بحالِ الإمامِ الظاهرِ في أحَدِ المواضِعِ ، قد يَجوزُ</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مقصوده قدّس سرّه أ نّه لو فُرض تعلّق التكليف بالجميع في أوّل وَهْلة بمعرفة إمام الوقت و التزام الحجّة في ابتداء ظهوره لم يحصل ذلك الغرض إلّابنصب أئمّة متعدّدين، و كذلك الأمر في النبيّ لو فُرض ذلك، و لا خدشة فيه؛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أئمّةٍ عِدّةٍ ؛</w:t>
      </w:r>
    </w:p>
    <w:p>
      <w:pPr>
        <w:pStyle w:val="BookText"/>
        <w:rPr/>
      </w:pPr>
      <w:r>
        <w:rPr>
          <w:rFonts w:ascii="Amiri" w:hAnsi="Amiri" w:eastAsia="Amiri" w:cs="Amiri"/>
          <w:color w:val="111111"/>
          <w:sz w:val="28"/>
          <w:sz w:val="28"/>
          <w:szCs w:val="28"/>
          <w:rtl w:val="true"/>
          <w:lang w:bidi="ar-SA"/>
        </w:rPr>
        <w:t>لِتكونَ عِلّةُ الجميعِ مُزاحةً‌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إن سألَ‌</w:t>
      </w:r>
      <w:r>
        <w:rPr>
          <w:rStyle w:val="FootnoteAnchor"/>
          <w:rtl w:val="true"/>
        </w:rPr>
        <w:footnoteReference w:id="320"/>
      </w:r>
      <w:r>
        <w:rPr>
          <w:rFonts w:ascii="Amiri" w:hAnsi="Amiri" w:eastAsia="Amiri" w:cs="Amiri"/>
          <w:color w:val="111111"/>
          <w:sz w:val="28"/>
          <w:sz w:val="28"/>
          <w:szCs w:val="28"/>
          <w:rtl w:val="true"/>
          <w:lang w:bidi="ar-SA"/>
        </w:rPr>
        <w:t xml:space="preserve">عن الأحوالِ التي تَلي الابتداءَ </w:t>
      </w:r>
      <w:r>
        <w:rPr>
          <w:rStyle w:val="FootnoteAnchor"/>
          <w:rtl w:val="true"/>
        </w:rPr>
        <w:footnoteReference w:id="321"/>
      </w:r>
      <w:r>
        <w:rPr>
          <w:rFonts w:ascii="Amiri" w:hAnsi="Amiri" w:eastAsia="Amiri" w:cs="Amiri"/>
          <w:color w:val="111111"/>
          <w:sz w:val="28"/>
          <w:sz w:val="28"/>
          <w:szCs w:val="28"/>
          <w:rtl w:val="true"/>
          <w:lang w:bidi="ar-SA"/>
        </w:rPr>
        <w:t>مِن حَيثُ لَم يُمكِنْ مَن هو في أطرافِ البلادِ العِلمُ بحالِ الإمامِ و ظُهورِه</w:t>
      </w:r>
      <w:r>
        <w:rPr>
          <w:rStyle w:val="FootnoteAnchor"/>
          <w:rtl w:val="true"/>
        </w:rPr>
        <w:footnoteReference w:id="322"/>
      </w:r>
      <w:r>
        <w:rPr>
          <w:rFonts w:ascii="Amiri" w:hAnsi="Amiri" w:eastAsia="Amiri" w:cs="Amiri"/>
          <w:color w:val="111111"/>
          <w:sz w:val="28"/>
          <w:sz w:val="28"/>
          <w:szCs w:val="28"/>
          <w:rtl w:val="true"/>
          <w:lang w:bidi="ar-SA"/>
        </w:rPr>
        <w:t>عندَ حصولِ النصِّ عليه و نَصبِه إماماً، فعندَنا أنّ هؤلاءِ و إن لَم يَتَمكَّنوا مِن العِلمِ بما ذُكِرَ في الحالِ فهُم عالِمونَ بإمامةِ الإمامِ الذي هو قَبلَ ذلك الإمامِ الظاهرِ، و مُتصرِّفونَ مِن قِبَلِ أُمرائه و وُلاتِه و بحَسَبِ تدبيرِهم، و هذا كافٍ لهُم في مصلحتِهم، و لَيسَ يَتّصلُ بِهم فَقدُ الإمامِ و مَوتُه إلّامع اتّصالِ غَيرِه و ظُهورِه و قيامِه بِهم</w:t>
      </w:r>
      <w:r>
        <w:rPr>
          <w:rStyle w:val="FootnoteAnchor"/>
          <w:rtl w:val="true"/>
        </w:rPr>
        <w:footnoteReference w:id="323"/>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يَخلو في حالٍ مِن الأحوالِ مِن المعرفةِ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في كلامِه شُبهةٌ لَو أمكَنَ أن يَتّصلَ بِهم فَقدُ الإمامِ و يَعرَوا</w:t>
      </w:r>
      <w:r>
        <w:rPr>
          <w:rStyle w:val="FootnoteAnchor"/>
          <w:rtl w:val="true"/>
        </w:rPr>
        <w:footnoteReference w:id="325"/>
      </w:r>
      <w:r>
        <w:rPr>
          <w:rFonts w:ascii="Amiri" w:hAnsi="Amiri" w:eastAsia="Amiri" w:cs="Amiri"/>
          <w:color w:val="111111"/>
          <w:sz w:val="28"/>
          <w:sz w:val="28"/>
          <w:szCs w:val="28"/>
          <w:rtl w:val="true"/>
          <w:lang w:bidi="ar-SA"/>
        </w:rPr>
        <w:t>مِن اعتقادِ إمامتِه، مِن غَيرِ أن يَتّصلَ بِهم قيامُ الإمامِ الآخَرِ مَقامَه؛ فأمّا و الأمرُ علىٰ ما ذَكرناه، فالقَدحُ بمِثلِ ذلكَ ساقطٌ</w:t>
      </w:r>
      <w:r>
        <w:rPr>
          <w:rFonts w:eastAsia="Amiri" w:cs="Amiri" w:ascii="Amiri" w:hAnsi="Amiri"/>
          <w:color w:val="111111"/>
          <w:sz w:val="28"/>
          <w:szCs w:val="28"/>
          <w:rtl w:val="true"/>
          <w:lang w:bidi="ar-SA"/>
        </w:rPr>
        <w:t xml:space="preserve">. </w:t>
      </w:r>
      <w:bookmarkStart w:id="239" w:name="pg20044_770788"/>
    </w:p>
    <w:p>
      <w:pPr>
        <w:pStyle w:val="Heading6"/>
        <w:numPr>
          <w:ilvl w:val="5"/>
          <w:numId w:val="1"/>
        </w:numPr>
        <w:rPr/>
      </w:pPr>
      <w:bookmarkStart w:id="240" w:name="__RefHeading___Toc828442_2320776876"/>
      <w:bookmarkStart w:id="241" w:name="_Toc86"/>
      <w:bookmarkEnd w:id="239"/>
      <w:bookmarkEnd w:id="240"/>
      <w:r>
        <w:rPr>
          <w:rtl w:val="true"/>
        </w:rPr>
        <w:t>عدم التلازم بين ثبوت الفترة في الرسل، و ثبوتها في الأئمّة</w:t>
      </w:r>
      <w:bookmarkEnd w:id="241"/>
    </w:p>
    <w:p>
      <w:pPr>
        <w:pStyle w:val="BookText"/>
        <w:rPr/>
      </w:pPr>
      <w:r>
        <w:rPr>
          <w:rFonts w:ascii="Amiri" w:hAnsi="Amiri" w:eastAsia="Amiri" w:cs="Amiri"/>
          <w:color w:val="111111"/>
          <w:sz w:val="28"/>
          <w:sz w:val="28"/>
          <w:szCs w:val="28"/>
          <w:rtl w:val="true"/>
          <w:lang w:bidi="ar-SA"/>
        </w:rPr>
        <w:t>فأمّا تعلُّقُه بالفَترةِ بَينَ الرُّسُلِ‌</w:t>
      </w:r>
      <w:r>
        <w:rPr>
          <w:rStyle w:val="FootnoteAnchor"/>
          <w:rtl w:val="true"/>
        </w:rPr>
        <w:footnoteReference w:id="326"/>
      </w:r>
      <w:r>
        <w:rPr>
          <w:rFonts w:ascii="Amiri" w:hAnsi="Amiri" w:eastAsia="Amiri" w:cs="Amiri"/>
          <w:color w:val="111111"/>
          <w:sz w:val="28"/>
          <w:sz w:val="28"/>
          <w:szCs w:val="28"/>
          <w:rtl w:val="true"/>
          <w:lang w:bidi="ar-SA"/>
        </w:rPr>
        <w:t>فبَعيدٌ</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خلوّ زمان الفترة من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المعلومَ مِن حالِ الفَترةِ هو خُلوُّ الزمانِ مِن النبيِّ، لا مِن الإمامِ ؛ فمِن أينَ أنّ الفَترةَ إذا ثَبتَت في الرُّسُلِ</w:t>
      </w:r>
    </w:p>
    <w:p>
      <w:pPr>
        <w:pStyle w:val="BookText"/>
        <w:rPr/>
      </w:pPr>
      <w:r>
        <w:rPr>
          <w:rFonts w:ascii="Amiri" w:hAnsi="Amiri" w:eastAsia="Amiri" w:cs="Amiri"/>
          <w:color w:val="111111"/>
          <w:sz w:val="28"/>
          <w:sz w:val="28"/>
          <w:szCs w:val="28"/>
          <w:rtl w:val="true"/>
          <w:lang w:bidi="ar-SA"/>
        </w:rPr>
        <w:t>وَجَبَت في الأئمّةِ؟ و هذا إنّما</w:t>
      </w:r>
      <w:r>
        <w:rPr>
          <w:rStyle w:val="FootnoteAnchor"/>
          <w:rtl w:val="true"/>
        </w:rPr>
        <w:footnoteReference w:id="328"/>
      </w:r>
      <w:r>
        <w:rPr>
          <w:rFonts w:ascii="Amiri" w:hAnsi="Amiri" w:eastAsia="Amiri" w:cs="Amiri"/>
          <w:color w:val="111111"/>
          <w:sz w:val="28"/>
          <w:sz w:val="28"/>
          <w:szCs w:val="28"/>
          <w:rtl w:val="true"/>
          <w:lang w:bidi="ar-SA"/>
        </w:rPr>
        <w:t>يَلزَمُ مَن جَعَلَ النبوّةَ في كلِّ حالٍ واجبةً ، دونَ مَن اعتَبَرَ</w:t>
      </w:r>
      <w:r>
        <w:rPr>
          <w:rStyle w:val="FootnoteAnchor"/>
          <w:rtl w:val="true"/>
        </w:rPr>
        <w:footnoteReference w:id="329"/>
      </w:r>
      <w:r>
        <w:rPr>
          <w:rFonts w:ascii="Amiri" w:hAnsi="Amiri" w:eastAsia="Amiri" w:cs="Amiri"/>
          <w:color w:val="111111"/>
          <w:sz w:val="28"/>
          <w:sz w:val="28"/>
          <w:szCs w:val="28"/>
          <w:rtl w:val="true"/>
          <w:lang w:bidi="ar-SA"/>
        </w:rPr>
        <w:t>ما اعتَبَرناه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828444_2320776876"/>
      <w:bookmarkStart w:id="243" w:name="_Toc87"/>
      <w:bookmarkEnd w:id="242"/>
      <w:r>
        <w:rPr>
          <w:rtl w:val="true"/>
        </w:rPr>
        <w:t>في بيان أنّ الإمامة لطف</w:t>
      </w:r>
      <w:bookmarkEnd w:id="24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حِكايتُه عنّا ما نَذهَبُ إليه</w:t>
      </w:r>
      <w:r>
        <w:rPr>
          <w:rStyle w:val="FootnoteAnchor"/>
          <w:rtl w:val="true"/>
        </w:rPr>
        <w:footnoteReference w:id="331"/>
      </w:r>
      <w:r>
        <w:rPr>
          <w:rFonts w:ascii="Amiri" w:hAnsi="Amiri" w:eastAsia="Amiri" w:cs="Amiri"/>
          <w:color w:val="111111"/>
          <w:sz w:val="28"/>
          <w:sz w:val="28"/>
          <w:szCs w:val="28"/>
          <w:rtl w:val="true"/>
          <w:lang w:bidi="ar-SA"/>
        </w:rPr>
        <w:t>مِن كونِ الإمامِ لُطفاً، 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جَعَلتُموه لُطفاً علىٰ وجهٍ يَعُمُّ‌</w:t>
      </w:r>
      <w:r>
        <w:rPr>
          <w:rStyle w:val="FootnoteAnchor"/>
          <w:rtl w:val="true"/>
        </w:rPr>
        <w:footnoteReference w:id="332"/>
      </w:r>
      <w:r>
        <w:rPr>
          <w:rFonts w:ascii="Amiri" w:hAnsi="Amiri" w:eastAsia="Amiri" w:cs="Amiri"/>
          <w:color w:val="111111"/>
          <w:sz w:val="28"/>
          <w:sz w:val="28"/>
          <w:szCs w:val="28"/>
          <w:rtl w:val="true"/>
          <w:lang w:bidi="ar-SA"/>
        </w:rPr>
        <w:t>أمكَنَكم هذا القَولُ‌</w:t>
      </w:r>
      <w:r>
        <w:rPr>
          <w:rStyle w:val="FootnoteAnchor"/>
          <w:rtl w:val="true"/>
        </w:rPr>
        <w:footnoteReference w:id="333"/>
      </w:r>
      <w:r>
        <w:rPr>
          <w:rFonts w:ascii="Amiri" w:hAnsi="Amiri" w:eastAsia="Amiri" w:cs="Amiri"/>
          <w:color w:val="111111"/>
          <w:sz w:val="28"/>
          <w:sz w:val="28"/>
          <w:szCs w:val="28"/>
          <w:rtl w:val="true"/>
          <w:lang w:bidi="ar-SA"/>
        </w:rPr>
        <w:t>، و إلّافيَجِبُ أن تُجوِّزوا في ذلكَ‌</w:t>
      </w:r>
      <w:r>
        <w:rPr>
          <w:rStyle w:val="FootnoteAnchor"/>
          <w:rtl w:val="true"/>
        </w:rPr>
        <w:footnoteReference w:id="334"/>
      </w:r>
      <w:r>
        <w:rPr>
          <w:rFonts w:ascii="Amiri" w:hAnsi="Amiri" w:eastAsia="Amiri" w:cs="Amiri"/>
          <w:color w:val="111111"/>
          <w:sz w:val="28"/>
          <w:sz w:val="28"/>
          <w:szCs w:val="28"/>
          <w:rtl w:val="true"/>
          <w:lang w:bidi="ar-SA"/>
        </w:rPr>
        <w:t>خُلوَّ بَعضِ الأزمنةِ منه،</w:t>
      </w:r>
      <w:r>
        <w:rPr>
          <w:rStyle w:val="FootnoteAnchor"/>
          <w:rtl w:val="true"/>
        </w:rPr>
        <w:footnoteReference w:id="335"/>
      </w:r>
      <w:r>
        <w:rPr>
          <w:rFonts w:ascii="Amiri" w:hAnsi="Amiri" w:eastAsia="Amiri" w:cs="Amiri"/>
          <w:color w:val="111111"/>
          <w:sz w:val="28"/>
          <w:sz w:val="28"/>
          <w:szCs w:val="28"/>
          <w:rtl w:val="true"/>
          <w:lang w:bidi="ar-SA"/>
        </w:rPr>
        <w:t>أو بَعضِ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مِن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نَقُلْ أنّ هذه المَعرفةَ لُطفٌ إلّابدَليلٍ، فبيِّنوا أنّ مِثلَه مِن الأدلّةِ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ذَكرتُم مِن الإمامةِ</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لِيَتِمَّ ما ذَكرتُم</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فالإمامةُ عندَنا لُطفٌ في الدِّينِ؛ 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w:t>
      </w:r>
      <w:r>
        <w:rPr>
          <w:rStyle w:val="FootnoteAnchor"/>
          <w:rtl w:val="true"/>
        </w:rPr>
        <w:footnoteReference w:id="338"/>
      </w:r>
      <w:r>
        <w:rPr>
          <w:rFonts w:ascii="Amiri" w:hAnsi="Amiri" w:eastAsia="Amiri" w:cs="Amiri"/>
          <w:color w:val="111111"/>
          <w:sz w:val="28"/>
          <w:sz w:val="28"/>
          <w:szCs w:val="28"/>
          <w:rtl w:val="true"/>
          <w:lang w:bidi="ar-SA"/>
        </w:rPr>
        <w:t>الناسَ متىٰ خَلَوا مِن الرؤساءِ و مَن يَفزَعونَ إليه في تدبيرِهم و سياستِهم، اضطرَبَت أحوالُهم، و تَكَدَّرَت عيشتُهم، و فَشا فيهم فِعلُ القَبيحِ، و ظَهَرَ بَينَهم</w:t>
      </w:r>
      <w:r>
        <w:rPr>
          <w:rStyle w:val="FootnoteAnchor"/>
          <w:rtl w:val="true"/>
        </w:rPr>
        <w:footnoteReference w:id="339"/>
      </w:r>
      <w:r>
        <w:rPr>
          <w:rFonts w:ascii="Amiri" w:hAnsi="Amiri" w:eastAsia="Amiri" w:cs="Amiri"/>
          <w:color w:val="111111"/>
          <w:sz w:val="28"/>
          <w:sz w:val="28"/>
          <w:szCs w:val="28"/>
          <w:rtl w:val="true"/>
          <w:lang w:bidi="ar-SA"/>
        </w:rPr>
        <w:t>الظُّلمُ و البَغيُ، و أنّهم متىٰ كانَ لهم رئيسٌ أو رؤساءُ يَرجِعونَ إليهم في أُمورِهم كانوا إلَى الصَّلاحِ أقرَبَ، و مِن الفَسادِ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يعُمُّ كُلَّ قَبيلٍ و بَلدةٍ، و كُلَّ زمانٍ و حالٍ ؛ فقَد ثَبَتَ أنّ وجودَ الرؤساءِ لُطفٌ بحَسَبِ ما نَذهَبُ إليه</w:t>
      </w:r>
      <w:r>
        <w:rPr>
          <w:rFonts w:eastAsia="Amiri" w:cs="Amiri" w:ascii="Amiri" w:hAnsi="Amiri"/>
          <w:color w:val="111111"/>
          <w:sz w:val="28"/>
          <w:szCs w:val="28"/>
          <w:rtl w:val="true"/>
          <w:lang w:bidi="ar-SA"/>
        </w:rPr>
        <w:t xml:space="preserve">. </w:t>
      </w:r>
      <w:bookmarkStart w:id="244" w:name="pg20044_770790"/>
    </w:p>
    <w:p>
      <w:pPr>
        <w:pStyle w:val="Heading6"/>
        <w:numPr>
          <w:ilvl w:val="5"/>
          <w:numId w:val="1"/>
        </w:numPr>
        <w:rPr/>
      </w:pPr>
      <w:bookmarkStart w:id="245" w:name="__RefHeading___Toc828446_2320776876"/>
      <w:bookmarkStart w:id="246" w:name="_Toc88"/>
      <w:bookmarkEnd w:id="244"/>
      <w:bookmarkEnd w:id="245"/>
      <w:r>
        <w:rPr>
          <w:rtl w:val="true"/>
        </w:rPr>
        <w:t>عدم لزوم التسوية بين الإمامة و المعرفة من كلّ وجه</w:t>
      </w:r>
      <w:bookmarkEnd w:id="246"/>
    </w:p>
    <w:p>
      <w:pPr>
        <w:pStyle w:val="BookText"/>
        <w:rPr/>
      </w:pPr>
      <w:r>
        <w:rPr>
          <w:rFonts w:ascii="Amiri" w:hAnsi="Amiri" w:eastAsia="Amiri" w:cs="Amiri"/>
          <w:color w:val="111111"/>
          <w:sz w:val="28"/>
          <w:sz w:val="28"/>
          <w:szCs w:val="28"/>
          <w:rtl w:val="true"/>
          <w:lang w:bidi="ar-SA"/>
        </w:rPr>
        <w:t>فأمّا تعلُّقُه بعُمومِ اللُّطفِ في المعرفةِ و إيجابُه عَلَينا إلحاقَ الإمامةِ بها في</w:t>
      </w:r>
    </w:p>
    <w:p>
      <w:pPr>
        <w:pStyle w:val="BookText"/>
        <w:rPr/>
      </w:pPr>
      <w:r>
        <w:rPr>
          <w:rFonts w:ascii="Amiri" w:hAnsi="Amiri" w:eastAsia="Amiri" w:cs="Amiri"/>
          <w:color w:val="111111"/>
          <w:sz w:val="28"/>
          <w:sz w:val="28"/>
          <w:szCs w:val="28"/>
          <w:rtl w:val="true"/>
          <w:lang w:bidi="ar-SA"/>
        </w:rPr>
        <w:t>ذلكَ‌</w:t>
      </w:r>
      <w:r>
        <w:rPr>
          <w:rStyle w:val="FootnoteAnchor"/>
          <w:rtl w:val="true"/>
        </w:rPr>
        <w:footnoteReference w:id="340"/>
      </w:r>
      <w:r>
        <w:rPr>
          <w:rFonts w:ascii="IRNazanin" w:hAnsi="IRNazanin" w:eastAsia="IRNazanin"/>
          <w:color w:val="111111"/>
          <w:sz w:val="28"/>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فبَعيدٌ؛ لأنّ المعرفةَ لَم تَعُمَّ كلَّ تكليفٍ و مُكلَّفٍ مِن حَيثُ كانَت لُطفاً؛ بَل مِن حَيثُ اختَصَّت بما أَوجَبَ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يَمتَنِعُ‌</w:t>
      </w:r>
      <w:r>
        <w:rPr>
          <w:rStyle w:val="FootnoteAnchor"/>
          <w:rtl w:val="true"/>
        </w:rPr>
        <w:footnoteReference w:id="342"/>
      </w:r>
      <w:r>
        <w:rPr>
          <w:rFonts w:ascii="Amiri" w:hAnsi="Amiri" w:eastAsia="Amiri" w:cs="Amiri"/>
          <w:color w:val="111111"/>
          <w:sz w:val="28"/>
          <w:sz w:val="28"/>
          <w:szCs w:val="28"/>
          <w:rtl w:val="true"/>
          <w:lang w:bidi="ar-SA"/>
        </w:rPr>
        <w:t>في الألطافِ أن يَختَلِفَ؛</w:t>
      </w:r>
      <w:r>
        <w:rPr>
          <w:rStyle w:val="FootnoteAnchor"/>
          <w:rtl w:val="true"/>
        </w:rPr>
        <w:footnoteReference w:id="343"/>
      </w:r>
      <w:r>
        <w:rPr>
          <w:rFonts w:ascii="Amiri" w:hAnsi="Amiri" w:eastAsia="Amiri" w:cs="Amiri"/>
          <w:color w:val="111111"/>
          <w:sz w:val="28"/>
          <w:sz w:val="28"/>
          <w:szCs w:val="28"/>
          <w:rtl w:val="true"/>
          <w:lang w:bidi="ar-SA"/>
        </w:rPr>
        <w:t>فيَكونَ بعضُها عامّاً مِن كُلِّ وجهٍ، و بعضُها خاصّاً مِن كُلِّ وجهٍ، و بَعضٌ آخَرُ عامّاً مِن وجهٍ و خاصّاً مِن وجهٍ آخَرَ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فمِثالُ ما هو عامٌّ مِن كُلِّ وجهٍ المعرفةُ؛ فإنّها تعُمُّ كلَّ مُكلَّفٍ و تكليفٍ أمكَنَ أن تَكونَ لُطفاً فيه</w:t>
      </w:r>
      <w:r>
        <w:rPr>
          <w:rStyle w:val="FootnoteAnchor"/>
          <w:rtl w:val="true"/>
        </w:rPr>
        <w:footnoteReference w:id="344"/>
      </w:r>
      <w:r>
        <w:rPr>
          <w:rFonts w:ascii="Amiri" w:hAnsi="Amiri" w:eastAsia="Amiri" w:cs="Amiri"/>
          <w:color w:val="111111"/>
          <w:sz w:val="28"/>
          <w:sz w:val="28"/>
          <w:szCs w:val="28"/>
          <w:rtl w:val="true"/>
          <w:lang w:bidi="ar-SA"/>
        </w:rPr>
        <w:t xml:space="preserve">، و تَعُمُّ أيضاً الأحوالَ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يَعُمُّ مِن وجهٍ و يَخُصُّ مِن آخَرَ فكالصلاةِ؛</w:t>
      </w:r>
      <w:r>
        <w:rPr>
          <w:rStyle w:val="FootnoteAnchor"/>
          <w:rtl w:val="true"/>
        </w:rPr>
        <w:footnoteReference w:id="345"/>
      </w:r>
      <w:r>
        <w:rPr>
          <w:rFonts w:ascii="Amiri" w:hAnsi="Amiri" w:eastAsia="Amiri" w:cs="Amiri"/>
          <w:color w:val="111111"/>
          <w:sz w:val="28"/>
          <w:sz w:val="28"/>
          <w:szCs w:val="28"/>
          <w:rtl w:val="true"/>
          <w:lang w:bidi="ar-SA"/>
        </w:rPr>
        <w:t>لأنّها تَجِبُ علىٰ كُلِّ مُكلَّفٍ غَيرِ مَعذورٍ بحُصولِ مَنعٍ أو ما يَجري مَجراه،</w:t>
      </w:r>
      <w:r>
        <w:rPr>
          <w:rStyle w:val="FootnoteAnchor"/>
          <w:rtl w:val="true"/>
        </w:rPr>
        <w:footnoteReference w:id="346"/>
      </w:r>
      <w:r>
        <w:rPr>
          <w:rFonts w:ascii="Amiri" w:hAnsi="Amiri" w:eastAsia="Amiri" w:cs="Amiri"/>
          <w:color w:val="111111"/>
          <w:sz w:val="28"/>
          <w:sz w:val="28"/>
          <w:szCs w:val="28"/>
          <w:rtl w:val="true"/>
          <w:lang w:bidi="ar-SA"/>
        </w:rPr>
        <w:t>و لَيسَ يُمكِنُ القَطعُ علىٰ عُمومِ‌</w:t>
      </w:r>
      <w:r>
        <w:rPr>
          <w:rStyle w:val="FootnoteAnchor"/>
          <w:rtl w:val="true"/>
        </w:rPr>
        <w:footnoteReference w:id="347"/>
      </w:r>
      <w:r>
        <w:rPr>
          <w:rFonts w:ascii="Amiri" w:hAnsi="Amiri" w:eastAsia="Amiri" w:cs="Amiri"/>
          <w:color w:val="111111"/>
          <w:sz w:val="28"/>
          <w:sz w:val="28"/>
          <w:szCs w:val="28"/>
          <w:rtl w:val="true"/>
          <w:lang w:bidi="ar-SA"/>
        </w:rPr>
        <w:t>كَونِها لُطفاً في كُلِّ تكليفٍ؛ بَل لا يَمتَنِعُ أن تَكونَ خاصّةً في التكليفِ، و إن كانَت عامّةً في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شُبهةَ في أنّها</w:t>
      </w:r>
      <w:r>
        <w:rPr>
          <w:rStyle w:val="FootnoteAnchor"/>
          <w:rtl w:val="true"/>
        </w:rPr>
        <w:footnoteReference w:id="348"/>
      </w:r>
      <w:r>
        <w:rPr>
          <w:rFonts w:ascii="Amiri" w:hAnsi="Amiri" w:eastAsia="Amiri" w:cs="Amiri"/>
          <w:color w:val="111111"/>
          <w:sz w:val="28"/>
          <w:sz w:val="28"/>
          <w:szCs w:val="28"/>
          <w:rtl w:val="true"/>
          <w:lang w:bidi="ar-SA"/>
        </w:rPr>
        <w:t>لَيسَت بعامّةٍ لها</w:t>
      </w:r>
      <w:r>
        <w:rPr>
          <w:rStyle w:val="FootnoteAnchor"/>
          <w:rtl w:val="true"/>
        </w:rPr>
        <w:footnoteReference w:id="349"/>
      </w:r>
      <w:r>
        <w:rPr>
          <w:rFonts w:ascii="Amiri" w:hAnsi="Amiri" w:eastAsia="Amiri" w:cs="Amiri"/>
          <w:color w:val="111111"/>
          <w:sz w:val="28"/>
          <w:sz w:val="28"/>
          <w:szCs w:val="28"/>
          <w:rtl w:val="true"/>
          <w:lang w:bidi="ar-SA"/>
        </w:rPr>
        <w:t>لوُجودِنا</w:t>
      </w:r>
      <w:r>
        <w:rPr>
          <w:rStyle w:val="FootnoteAnchor"/>
          <w:rtl w:val="true"/>
        </w:rPr>
        <w:footnoteReference w:id="350"/>
      </w:r>
      <w:r>
        <w:rPr>
          <w:rFonts w:ascii="Amiri" w:hAnsi="Amiri" w:eastAsia="Amiri" w:cs="Amiri"/>
          <w:color w:val="111111"/>
          <w:sz w:val="28"/>
          <w:sz w:val="28"/>
          <w:szCs w:val="28"/>
          <w:rtl w:val="true"/>
          <w:lang w:bidi="ar-SA"/>
        </w:rPr>
        <w:t>أحوالاً لا يَجِبُ فيها فِعلُ الصلاةِ، بَل لا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الأحوالُ التي لا يَجِبُ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الأحوالُ التي لَم تُوقَّتْ‌</w:t>
      </w:r>
      <w:r>
        <w:rPr>
          <w:rStyle w:val="FootnoteAnchor"/>
          <w:rtl w:val="true"/>
        </w:rPr>
        <w:footnoteReference w:id="351"/>
      </w:r>
      <w:r>
        <w:rPr>
          <w:rFonts w:ascii="Amiri" w:hAnsi="Amiri" w:eastAsia="Amiri" w:cs="Amiri"/>
          <w:color w:val="111111"/>
          <w:sz w:val="28"/>
          <w:sz w:val="28"/>
          <w:szCs w:val="28"/>
          <w:rtl w:val="true"/>
          <w:lang w:bidi="ar-SA"/>
        </w:rPr>
        <w:t>للصلاةِ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لا يَحسُنُ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نَهَى اللّٰهُ عزّ و جلّ عن الصلاةِ مع حُضورِها</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هو خاصٌّ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فكخَلقِ الولدِ لزَيدٍ، أو تَثميرِ مالِ عَمروٍ؛ فإنّه لا يَمتَنِعُ أن يَكونَ لُطفاً في بَعضِ تكاليفِه، بَل في واحدٍ منها، و كذلك لا يَمتَنِعُ أن يَكونَ له لُطفاً دونَ 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Style w:val="FootnoteAnchor"/>
          <w:rtl w:val="true"/>
        </w:rPr>
        <w:footnoteReference w:id="353"/>
      </w:r>
      <w:r>
        <w:rPr>
          <w:rFonts w:ascii="Amiri" w:hAnsi="Amiri" w:eastAsia="Amiri" w:cs="Amiri"/>
          <w:color w:val="111111"/>
          <w:sz w:val="28"/>
          <w:sz w:val="28"/>
          <w:szCs w:val="28"/>
          <w:rtl w:val="true"/>
          <w:lang w:bidi="ar-SA"/>
        </w:rPr>
        <w:t xml:space="preserve">أيضاً في الأحوالِ ؛ حتّىٰ يَكونَ لُطفاً </w:t>
      </w:r>
    </w:p>
    <w:p>
      <w:pPr>
        <w:pStyle w:val="BookText"/>
        <w:rPr/>
      </w:pPr>
      <w:r>
        <w:rPr>
          <w:rFonts w:ascii="Amiri" w:hAnsi="Amiri" w:eastAsia="Amiri" w:cs="Amiri"/>
          <w:color w:val="111111"/>
          <w:sz w:val="28"/>
          <w:sz w:val="28"/>
          <w:szCs w:val="28"/>
          <w:rtl w:val="true"/>
          <w:lang w:bidi="ar-SA"/>
        </w:rPr>
        <w:t>في حالٍ و لا يَكونَ لُطفاً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ثَبَتَت</w:t>
      </w:r>
      <w:r>
        <w:rPr>
          <w:rStyle w:val="FootnoteAnchor"/>
          <w:rtl w:val="true"/>
        </w:rPr>
        <w:footnoteReference w:id="354"/>
      </w:r>
      <w:r>
        <w:rPr>
          <w:rFonts w:ascii="Amiri" w:hAnsi="Amiri" w:eastAsia="Amiri" w:cs="Amiri"/>
          <w:color w:val="111111"/>
          <w:sz w:val="28"/>
          <w:sz w:val="28"/>
          <w:szCs w:val="28"/>
          <w:rtl w:val="true"/>
          <w:lang w:bidi="ar-SA"/>
        </w:rPr>
        <w:t>هذه الجُملةُ، فما المانِعُ مِن أن يكونَ وجودُ الإمامِ لُطفاً لكُلِّ مُكلَّفٍ كانَ علىٰ صفةِ‌</w:t>
      </w:r>
      <w:r>
        <w:rPr>
          <w:rStyle w:val="FootnoteAnchor"/>
          <w:rtl w:val="true"/>
        </w:rPr>
        <w:footnoteReference w:id="355"/>
      </w:r>
      <w:r>
        <w:rPr>
          <w:rFonts w:ascii="Amiri" w:hAnsi="Amiri" w:eastAsia="Amiri" w:cs="Amiri"/>
          <w:color w:val="111111"/>
          <w:sz w:val="28"/>
          <w:sz w:val="28"/>
          <w:szCs w:val="28"/>
          <w:rtl w:val="true"/>
          <w:lang w:bidi="ar-SA"/>
        </w:rPr>
        <w:t>مَن يَجوزُ فيه فِعلُ‌</w:t>
      </w:r>
      <w:r>
        <w:rPr>
          <w:rStyle w:val="FootnoteAnchor"/>
          <w:rtl w:val="true"/>
        </w:rPr>
        <w:footnoteReference w:id="356"/>
      </w:r>
      <w:r>
        <w:rPr>
          <w:rFonts w:ascii="Amiri" w:hAnsi="Amiri" w:eastAsia="Amiri" w:cs="Amiri"/>
          <w:color w:val="111111"/>
          <w:sz w:val="28"/>
          <w:sz w:val="28"/>
          <w:szCs w:val="28"/>
          <w:rtl w:val="true"/>
          <w:lang w:bidi="ar-SA"/>
        </w:rPr>
        <w:t>القبيحِ‌</w:t>
      </w:r>
      <w:r>
        <w:rPr>
          <w:rStyle w:val="FootnoteAnchor"/>
          <w:rtl w:val="true"/>
        </w:rPr>
        <w:footnoteReference w:id="357"/>
      </w:r>
      <w:r>
        <w:rPr>
          <w:rFonts w:ascii="Amiri" w:hAnsi="Amiri" w:eastAsia="Amiri" w:cs="Amiri"/>
          <w:color w:val="111111"/>
          <w:sz w:val="28"/>
          <w:sz w:val="28"/>
          <w:szCs w:val="28"/>
          <w:rtl w:val="true"/>
          <w:lang w:bidi="ar-SA"/>
        </w:rPr>
        <w:t xml:space="preserve">، و في كُلِّ حالٍ، و إن جَوَّزنا اختصاصَه ببَعضِ التكاليفِ دونَ بَعضٍ؟ فَليسَ يَجِبُ إذا سَوَّينا بَينَه و بَينَ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358"/>
      </w:r>
      <w:r>
        <w:rPr>
          <w:rFonts w:ascii="Amiri" w:hAnsi="Amiri" w:eastAsia="Amiri" w:cs="Amiri"/>
          <w:color w:val="111111"/>
          <w:sz w:val="28"/>
          <w:sz w:val="28"/>
          <w:szCs w:val="28"/>
          <w:rtl w:val="true"/>
          <w:lang w:bidi="ar-SA"/>
        </w:rPr>
        <w:t xml:space="preserve">ألزَمْنا الخُصومَ أن يَكونَ مُختَصّاً بمكلَّفٍ دونَ آخَرَ، و بحالٍ دونَ حالٍ، و كانَ قَصدُنا بذلكَ إلحاقَه بالمعرفةِ في شُمولِ مَن اختَصَّ بالصِّفةِ التي ذَكرناها مِن المكلَّفينَ ، و عُمومِ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يَلزَمَنا التسويةُ بَينَه و بَينَ المعرفةِ </w:t>
      </w:r>
      <w:r>
        <w:rPr>
          <w:rStyle w:val="FootnoteAnchor"/>
          <w:rtl w:val="true"/>
        </w:rPr>
        <w:footnoteReference w:id="359"/>
      </w:r>
      <w:r>
        <w:rPr>
          <w:rFonts w:ascii="Amiri" w:hAnsi="Amiri" w:eastAsia="Amiri" w:cs="Amiri"/>
          <w:color w:val="111111"/>
          <w:sz w:val="28"/>
          <w:sz w:val="28"/>
          <w:szCs w:val="28"/>
          <w:rtl w:val="true"/>
          <w:lang w:bidi="ar-SA"/>
        </w:rPr>
        <w:t>مِن</w:t>
      </w:r>
      <w:r>
        <w:rPr>
          <w:rStyle w:val="FootnoteAnchor"/>
          <w:rtl w:val="true"/>
        </w:rPr>
        <w:footnoteReference w:id="360"/>
      </w:r>
      <w:r>
        <w:rPr>
          <w:rFonts w:ascii="Amiri" w:hAnsi="Amiri" w:eastAsia="Amiri" w:cs="Amiri"/>
          <w:color w:val="111111"/>
          <w:sz w:val="28"/>
          <w:sz w:val="28"/>
          <w:szCs w:val="28"/>
          <w:rtl w:val="true"/>
          <w:lang w:bidi="ar-SA"/>
        </w:rPr>
        <w:t xml:space="preserve">كُلِّ وَجهٍ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لَم يَظهَرْ لنا القَطعُ علىٰ كَونِ الإمامِ لُطفاً في كُلِّ الأفعالِ و التكاليفِ </w:t>
      </w:r>
    </w:p>
    <w:p>
      <w:pPr>
        <w:pStyle w:val="BookText"/>
        <w:rPr/>
      </w:pPr>
      <w:r>
        <w:rPr>
          <w:rFonts w:ascii="Amiri" w:hAnsi="Amiri" w:eastAsia="Amiri" w:cs="Amiri"/>
          <w:color w:val="111111"/>
          <w:sz w:val="28"/>
          <w:sz w:val="28"/>
          <w:szCs w:val="28"/>
          <w:rtl w:val="true"/>
          <w:lang w:bidi="ar-SA"/>
        </w:rPr>
        <w:t>كظُهورِه</w:t>
      </w:r>
      <w:r>
        <w:rPr>
          <w:rStyle w:val="FootnoteAnchor"/>
          <w:rtl w:val="true"/>
        </w:rPr>
        <w:footnoteReference w:id="361"/>
      </w:r>
      <w:r>
        <w:rPr>
          <w:rFonts w:ascii="Amiri" w:hAnsi="Amiri" w:eastAsia="Amiri" w:cs="Amiri"/>
          <w:color w:val="111111"/>
          <w:sz w:val="28"/>
          <w:sz w:val="28"/>
          <w:szCs w:val="28"/>
          <w:rtl w:val="true"/>
          <w:lang w:bidi="ar-SA"/>
        </w:rPr>
        <w:t>فيما يَتعلَّقُ بأفعالِ الجَوارحِ، فإنّه لا يَمتَنِعُ أيضاً أن يَكونَ لُطفاً فيما يَختَصُّ القلوبَ مِن الاعتقاداتِ و القُصودِ؛ لأنّ المعلومَ مِن حالِ الناسِ أنّ صَلاحَ سَرائرِهم كالتابعِ لصَلاحِ ظَواهرِهم، و أنّ‌</w:t>
      </w:r>
      <w:r>
        <w:rPr>
          <w:rStyle w:val="FootnoteAnchor"/>
          <w:rtl w:val="true"/>
        </w:rPr>
        <w:footnoteReference w:id="362"/>
      </w:r>
      <w:r>
        <w:rPr>
          <w:rFonts w:ascii="Amiri" w:hAnsi="Amiri" w:eastAsia="Amiri" w:cs="Amiri"/>
          <w:color w:val="111111"/>
          <w:sz w:val="28"/>
          <w:sz w:val="28"/>
          <w:szCs w:val="28"/>
          <w:rtl w:val="true"/>
          <w:lang w:bidi="ar-SA"/>
        </w:rPr>
        <w:t>استقامةَ أُمورِهم و حُسنَ طريقتِهم فيما يَقَعُ مِن أفعالِهم الظاهرةِ مِن أكبرِ</w:t>
      </w:r>
      <w:r>
        <w:rPr>
          <w:rStyle w:val="FootnoteAnchor"/>
          <w:rtl w:val="true"/>
        </w:rPr>
        <w:footnoteReference w:id="363"/>
      </w:r>
      <w:r>
        <w:rPr>
          <w:rFonts w:ascii="Amiri" w:hAnsi="Amiri" w:eastAsia="Amiri" w:cs="Amiri"/>
          <w:color w:val="111111"/>
          <w:sz w:val="28"/>
          <w:sz w:val="28"/>
          <w:szCs w:val="28"/>
          <w:rtl w:val="true"/>
          <w:lang w:bidi="ar-SA"/>
        </w:rPr>
        <w:t>الدواعي إلَى استقامةِ ضَمائرِهم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أن يَكونَ الإمامُ لُطفاً في الكُلِّ</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 إنّما تَكَلَّفْنا ما تَقدَّمَ مِن الكلامِ حَيثُ كانَ هذا الوجهُ </w:t>
      </w:r>
      <w:r>
        <w:rPr>
          <w:rStyle w:val="FootnoteAnchor"/>
          <w:rtl w:val="true"/>
        </w:rPr>
        <w:footnoteReference w:id="365"/>
      </w:r>
      <w:r>
        <w:rPr>
          <w:rFonts w:ascii="Amiri" w:hAnsi="Amiri" w:eastAsia="Amiri" w:cs="Amiri"/>
          <w:color w:val="111111"/>
          <w:sz w:val="28"/>
          <w:sz w:val="28"/>
          <w:szCs w:val="28"/>
          <w:rtl w:val="true"/>
          <w:lang w:bidi="ar-SA"/>
        </w:rPr>
        <w:t>كأنّه غيرُ مقطوعٍ عليه، و ممّا يُمكِنُ أن يَعتَرِضَ التجويزُ</w:t>
      </w:r>
      <w:r>
        <w:rPr>
          <w:rStyle w:val="FootnoteAnchor"/>
          <w:rtl w:val="true"/>
        </w:rPr>
        <w:footnoteReference w:id="366"/>
      </w:r>
      <w:r>
        <w:rPr>
          <w:rFonts w:ascii="Amiri" w:hAnsi="Amiri" w:eastAsia="Amiri" w:cs="Amiri"/>
          <w:color w:val="111111"/>
          <w:sz w:val="28"/>
          <w:sz w:val="28"/>
          <w:szCs w:val="28"/>
          <w:rtl w:val="true"/>
          <w:lang w:bidi="ar-SA"/>
        </w:rPr>
        <w:t>فيه</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قدّس سرّه استظهر حيث جاز أن يكون غرضه النقض التفصيليّ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الدليل و 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لجواز دخول العموم في مفهوم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مشعراً بأنّ المنع 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الأقسام التي لا نزاع لأحد من القائلين باللطف فيها، ثمّ لمّا جوّز أن يكون في مقام النقض الإجماليّ استند إلىٰ ذلك الاحتمال،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يمكن أن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 في مقام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مقصوده قدّس سرّه أنّا إنّما نذكر في مقام سند المنع ما نقطع به و لا نجوّز غيره، و هذا الاحتمال و إن أمكن أن يُذكر في هذا المقام إلّاأ نّه لمّا كان غير مقطوع به عدلنا عنه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قَدَّرناه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247" w:name="pg20044_770794"/>
    </w:p>
    <w:p>
      <w:pPr>
        <w:pStyle w:val="Heading6"/>
        <w:numPr>
          <w:ilvl w:val="5"/>
          <w:numId w:val="1"/>
        </w:numPr>
        <w:rPr/>
      </w:pPr>
      <w:bookmarkStart w:id="248" w:name="__RefHeading___Toc828448_2320776876"/>
      <w:bookmarkStart w:id="249" w:name="_Toc89"/>
      <w:bookmarkEnd w:id="247"/>
      <w:bookmarkEnd w:id="248"/>
      <w:r>
        <w:rPr>
          <w:rtl w:val="true"/>
        </w:rPr>
        <w:t>عدم دلالة العقل علىٰ عدد الرؤساء و لا صفاتهم</w:t>
      </w:r>
      <w:bookmarkEnd w:id="24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الإمامةُ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قالَ مِثلَه في الإمارةِ و سائرِ مَن يَقومُ بشَيءٍ مِن أُمورِ</w:t>
      </w:r>
      <w:r>
        <w:rPr>
          <w:rStyle w:val="FootnoteAnchor"/>
          <w:rtl w:val="true"/>
        </w:rPr>
        <w:footnoteReference w:id="368"/>
      </w:r>
      <w:r>
        <w:rPr>
          <w:rFonts w:ascii="Amiri" w:hAnsi="Amiri" w:eastAsia="Amiri" w:cs="Amiri"/>
          <w:color w:val="111111"/>
          <w:sz w:val="28"/>
          <w:sz w:val="28"/>
          <w:szCs w:val="28"/>
          <w:rtl w:val="true"/>
          <w:lang w:bidi="ar-SA"/>
        </w:rPr>
        <w:t xml:space="preserve">الدِّينِ ، و بَينَ مَن يَقولُ ذلكَ في إمامٍ واحدٍ و بَينَ مَن يقولُ </w:t>
      </w:r>
      <w:r>
        <w:rPr>
          <w:rStyle w:val="FootnoteAnchor"/>
          <w:rtl w:val="true"/>
        </w:rPr>
        <w:footnoteReference w:id="369"/>
      </w:r>
      <w:r>
        <w:rPr>
          <w:rFonts w:ascii="Amiri" w:hAnsi="Amiri" w:eastAsia="Amiri" w:cs="Amiri"/>
          <w:color w:val="111111"/>
          <w:sz w:val="28"/>
          <w:sz w:val="28"/>
          <w:szCs w:val="28"/>
          <w:rtl w:val="true"/>
          <w:lang w:bidi="ar-SA"/>
        </w:rPr>
        <w:t>في إمامَينِ و</w:t>
      </w:r>
      <w:r>
        <w:rPr>
          <w:rStyle w:val="FootnoteAnchor"/>
          <w:rtl w:val="true"/>
        </w:rPr>
        <w:footnoteReference w:id="370"/>
      </w:r>
      <w:r>
        <w:rPr>
          <w:rFonts w:ascii="Amiri" w:hAnsi="Amiri" w:eastAsia="Amiri" w:cs="Amiri"/>
          <w:color w:val="111111"/>
          <w:sz w:val="28"/>
          <w:sz w:val="28"/>
          <w:szCs w:val="28"/>
          <w:rtl w:val="true"/>
          <w:lang w:bidi="ar-SA"/>
        </w:rPr>
        <w:t xml:space="preserve">أئمّةٍ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فقَد تقدَّمَ مِن كلامِنا ما يُفسِدُه</w:t>
      </w:r>
      <w:r>
        <w:rPr>
          <w:rStyle w:val="FootnoteAnchor"/>
          <w:rtl w:val="true"/>
        </w:rPr>
        <w:footnoteReference w:id="372"/>
      </w:r>
      <w:r>
        <w:rPr>
          <w:rFonts w:ascii="Amiri" w:hAnsi="Amiri" w:eastAsia="Amiri" w:cs="Amiri"/>
          <w:color w:val="111111"/>
          <w:sz w:val="28"/>
          <w:sz w:val="28"/>
          <w:szCs w:val="28"/>
          <w:rtl w:val="true"/>
          <w:lang w:bidi="ar-SA"/>
        </w:rPr>
        <w:t>و بيّنّا أنّ العقولَ دالّةٌ علىٰ وجوبِ الرئاسةِ في الجُملةِ، و لَيسَت دالّةً علىٰ عددِ الرؤساءِ و لا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الإمارةُ و ما جَرىٰ مَجراها مِن</w:t>
      </w:r>
      <w:r>
        <w:rPr>
          <w:rStyle w:val="FootnoteAnchor"/>
          <w:rtl w:val="true"/>
        </w:rPr>
        <w:footnoteReference w:id="373"/>
      </w:r>
      <w:r>
        <w:rPr>
          <w:rFonts w:ascii="Amiri" w:hAnsi="Amiri" w:eastAsia="Amiri" w:cs="Amiri"/>
          <w:color w:val="111111"/>
          <w:sz w:val="28"/>
          <w:sz w:val="28"/>
          <w:szCs w:val="28"/>
          <w:rtl w:val="true"/>
          <w:lang w:bidi="ar-SA"/>
        </w:rPr>
        <w:t>الوِلاياتِ رئاسةٌ في الدِّينِ، و مكانُ اللُّطفِ بها و الانتفاعِ ظاهرٌ، و إنّما لَم نَجعَلْ إمامَ الكُلِّ و رئيسَ الجَميعِ بصِفةِ الأُمَراءِ لعِلَلٍ أُخَرَ سنَذكُرُها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يَلزَمُ كلامُه لَو كُنّا نَجعَلُ الدليلَ علىٰ وجوبِ الإمامةِ بصِفاتِها التي تَختَصُّ بها ما قَدَّمْناه مِن وجوبِ الرئاسةِ‌</w:t>
      </w:r>
      <w:r>
        <w:rPr>
          <w:rStyle w:val="FootnoteAnchor"/>
          <w:rtl w:val="true"/>
        </w:rPr>
        <w:footnoteReference w:id="374"/>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العقولَ لا تُفَرِّقُ فيما أَوجَبتُموه بَينَ رئاسةِ الإمامِ و الأميرِ، و رئاسةِ واحدٍ و جَماعةٍ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إذا عَوَّلْنا في وجوبِ الرئاسةِ في الجُملةِ علىٰ ما ذَكَرناه</w:t>
      </w:r>
      <w:r>
        <w:rPr>
          <w:rStyle w:val="FootnoteAnchor"/>
          <w:rtl w:val="true"/>
        </w:rPr>
        <w:footnoteReference w:id="375"/>
      </w:r>
      <w:r>
        <w:rPr>
          <w:rFonts w:ascii="Amiri" w:hAnsi="Amiri" w:eastAsia="Amiri" w:cs="Amiri"/>
          <w:color w:val="111111"/>
          <w:sz w:val="28"/>
          <w:sz w:val="28"/>
          <w:szCs w:val="28"/>
          <w:rtl w:val="true"/>
          <w:lang w:bidi="ar-SA"/>
        </w:rPr>
        <w:t>، و في صِفاتِ الرئيسِ و عَدَدِ الرؤَساءِ علىٰ غَيرِه، لَم يَلزَمْنا كلامُه</w:t>
      </w:r>
      <w:r>
        <w:rPr>
          <w:rFonts w:eastAsia="Amiri" w:cs="Amiri" w:ascii="Amiri" w:hAnsi="Amiri"/>
          <w:color w:val="111111"/>
          <w:sz w:val="28"/>
          <w:szCs w:val="28"/>
          <w:rtl w:val="true"/>
          <w:lang w:bidi="ar-SA"/>
        </w:rPr>
        <w:t xml:space="preserve">. </w:t>
      </w:r>
      <w:bookmarkStart w:id="250" w:name="pg20044_770795"/>
    </w:p>
    <w:p>
      <w:pPr>
        <w:pStyle w:val="BookText"/>
        <w:rPr/>
      </w:pPr>
      <w:bookmarkEnd w:id="250"/>
      <w:r>
        <w:rPr>
          <w:rFonts w:ascii="Amiri" w:hAnsi="Amiri" w:eastAsia="Amiri" w:cs="Amiri"/>
          <w:color w:val="111111"/>
          <w:sz w:val="28"/>
          <w:sz w:val="28"/>
          <w:szCs w:val="28"/>
          <w:rtl w:val="true"/>
          <w:lang w:bidi="ar-SA"/>
        </w:rPr>
        <w:t>فأمّا تَكرارُه القَولَ بأنّ معرفةَ الإمامِ لا تُمكِنُ جَميعَ المُكلَّفينَ إذا كانَ واحداً، فقَد بيّنّا ما فيه</w:t>
      </w:r>
      <w:r>
        <w:rPr>
          <w:rStyle w:val="FootnoteAnchor"/>
          <w:rtl w:val="true"/>
        </w:rPr>
        <w:footnoteReference w:id="376"/>
      </w:r>
      <w:r>
        <w:rPr>
          <w:rFonts w:ascii="Amiri" w:hAnsi="Amiri" w:eastAsia="Amiri" w:cs="Amiri"/>
          <w:color w:val="111111"/>
          <w:sz w:val="28"/>
          <w:sz w:val="28"/>
          <w:szCs w:val="28"/>
          <w:rtl w:val="true"/>
          <w:lang w:bidi="ar-SA"/>
        </w:rPr>
        <w:t xml:space="preserve">، و فصَّلْنا الكلامَ تفصيلاً يُزيلُ الشُّبهةَ </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828450_2320776876"/>
      <w:bookmarkStart w:id="252" w:name="_Toc90"/>
      <w:bookmarkEnd w:id="251"/>
      <w:r>
        <w:rPr>
          <w:rtl w:val="true"/>
        </w:rPr>
        <w:t>إمكان معرفة الجميع بالإمام</w:t>
      </w:r>
      <w:bookmarkEnd w:id="25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يَجِبُ علىٰ هذا القَولِ أن يَتمكَّنَ كُلُّ مُكلَّفٍ مِن معرفةِ الأُمورِ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قالوا لنا</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ذلك في حالٍ دونَ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فجَوِّزوه في قَومٍ دون قَومٍ‌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يَجِبُ علىٰ هذا التعليلِ أن نَعرِفَ </w:t>
      </w:r>
      <w:r>
        <w:rPr>
          <w:rStyle w:val="FootnoteAnchor"/>
          <w:rtl w:val="true"/>
        </w:rPr>
        <w:footnoteReference w:id="379"/>
      </w:r>
      <w:r>
        <w:rPr>
          <w:rFonts w:ascii="Amiri" w:hAnsi="Amiri" w:eastAsia="Amiri" w:cs="Amiri"/>
          <w:color w:val="111111"/>
          <w:sz w:val="28"/>
          <w:sz w:val="28"/>
          <w:szCs w:val="28"/>
          <w:rtl w:val="true"/>
          <w:lang w:bidi="ar-SA"/>
        </w:rPr>
        <w:t xml:space="preserve">إمامَ زَمانِنا، و إلّافيَجِبُ أن نَكونَ مَعذورينَ </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 شيءٌ مِن الكلامِ علىٰ مَعناه</w:t>
      </w:r>
      <w:r>
        <w:rPr>
          <w:rStyle w:val="FootnoteAnchor"/>
          <w:rtl w:val="true"/>
        </w:rPr>
        <w:footnoteReference w:id="381"/>
      </w:r>
      <w:r>
        <w:rPr>
          <w:rFonts w:ascii="Amiri" w:hAnsi="Amiri" w:eastAsia="Amiri" w:cs="Amiri"/>
          <w:color w:val="111111"/>
          <w:sz w:val="28"/>
          <w:sz w:val="28"/>
          <w:szCs w:val="28"/>
          <w:rtl w:val="true"/>
          <w:lang w:bidi="ar-SA"/>
        </w:rPr>
        <w:t>، 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الإمامِ و معرفةَ ما يؤدّيهِ و إن لَم يَحصُلا لكُلِّ أحَدٍ، فإنّ الجَميعَ مُتمكِّنونَ مِن حصولِ المعرفةِ له،</w:t>
      </w:r>
      <w:r>
        <w:rPr>
          <w:rStyle w:val="FootnoteAnchor"/>
          <w:rtl w:val="true"/>
        </w:rPr>
        <w:footnoteReference w:id="382"/>
      </w:r>
      <w:r>
        <w:rPr>
          <w:rFonts w:ascii="Amiri" w:hAnsi="Amiri" w:eastAsia="Amiri" w:cs="Amiri"/>
          <w:color w:val="111111"/>
          <w:sz w:val="28"/>
          <w:sz w:val="28"/>
          <w:szCs w:val="28"/>
          <w:rtl w:val="true"/>
          <w:lang w:bidi="ar-SA"/>
        </w:rPr>
        <w:t xml:space="preserve">و استماعِ الأداءِ </w:t>
      </w:r>
      <w:r>
        <w:rPr>
          <w:rStyle w:val="FootnoteAnchor"/>
          <w:rtl w:val="true"/>
        </w:rPr>
        <w:footnoteReference w:id="383"/>
      </w:r>
      <w:r>
        <w:rPr>
          <w:rFonts w:ascii="Amiri" w:hAnsi="Amiri" w:eastAsia="Amiri" w:cs="Amiri"/>
          <w:color w:val="111111"/>
          <w:sz w:val="28"/>
          <w:sz w:val="28"/>
          <w:szCs w:val="28"/>
          <w:rtl w:val="true"/>
          <w:lang w:bidi="ar-SA"/>
        </w:rPr>
        <w:t xml:space="preserve">مِنه؛ لأنّهم قادرونَ علىٰ إزالةِ خَوفِه، فيَتمكَّنَ </w:t>
      </w:r>
      <w:r>
        <w:rPr>
          <w:rStyle w:val="FootnoteAnchor"/>
          <w:rtl w:val="true"/>
        </w:rPr>
        <w:footnoteReference w:id="384"/>
      </w:r>
      <w:r>
        <w:rPr>
          <w:rFonts w:ascii="Amiri" w:hAnsi="Amiri" w:eastAsia="Amiri" w:cs="Amiri"/>
          <w:color w:val="111111"/>
          <w:sz w:val="28"/>
          <w:sz w:val="28"/>
          <w:szCs w:val="28"/>
          <w:rtl w:val="true"/>
          <w:lang w:bidi="ar-SA"/>
        </w:rPr>
        <w:t xml:space="preserve">عندَ ذلكَ مِن </w:t>
      </w:r>
      <w:bookmarkStart w:id="253" w:name="pg20044_770796"/>
    </w:p>
    <w:p>
      <w:pPr>
        <w:pStyle w:val="BookText"/>
        <w:rPr/>
      </w:pPr>
      <w:bookmarkEnd w:id="253"/>
      <w:r>
        <w:rPr>
          <w:rFonts w:ascii="Amiri" w:hAnsi="Amiri" w:eastAsia="Amiri" w:cs="Amiri"/>
          <w:color w:val="111111"/>
          <w:sz w:val="28"/>
          <w:sz w:val="28"/>
          <w:szCs w:val="28"/>
          <w:rtl w:val="true"/>
          <w:lang w:bidi="ar-SA"/>
        </w:rPr>
        <w:t>الظهورِ</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كلامه قدّس سرّه جواب هذا السؤال، و الجواب الإجماليّ عنه هو أنّا قد علمنا بالقاطع وجوب الأصلح و فعل اللطف عليه تعالىٰ ، فنعلم أ نّه تعالىٰ لم يترك ما هو الواجب عليه من نصب الإمام في كلّ زمان بعد ما تبيّن كونه لطفاً، و عند ما علمنا وجوده لا يلزم علينا معرفة سبب غيبته و استتاره و لم يضرّنا الجهل به؛ لأنّه تعالىٰ لم يكلّفنا بذلك، و إن علمنا إجمالاً أ نّه راجع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في ذلك كلاماً مبسوطاً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الدَّلالةِ علىٰ نَفسِه، و بَيانِ ما يَلزَمُه بَيانُه؛ فارتفاعُ المعرفةِ به و بما يؤدّيهِ إذا كانَ يَرجِعُ إلينا و كُنّا مُتمكِّنينَ مِن إزالتِه، لَم يَجِبْ ما ظَنَّه مِن ثُبوتِ عُذرِ مَن لَم يَعرِفْ إمامَ زَمانِه</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828452_2320776876"/>
      <w:bookmarkStart w:id="255" w:name="_Toc91"/>
      <w:bookmarkEnd w:id="254"/>
      <w:r>
        <w:rPr>
          <w:rtl w:val="true"/>
        </w:rPr>
        <w:t>الفرق بين خبر الإمام في حياته، و خبر الرسول بعد وفاته</w:t>
      </w:r>
      <w:bookmarkEnd w:id="25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Style w:val="FootnoteAnchor"/>
          <w:rtl w:val="true"/>
        </w:rPr>
        <w:footnoteReference w:id="386"/>
      </w:r>
      <w:r>
        <w:rPr>
          <w:rFonts w:ascii="Amiri" w:hAnsi="Amiri" w:eastAsia="Amiri" w:cs="Amiri"/>
          <w:color w:val="111111"/>
          <w:sz w:val="28"/>
          <w:sz w:val="28"/>
          <w:szCs w:val="28"/>
          <w:rtl w:val="true"/>
          <w:lang w:bidi="ar-SA"/>
        </w:rPr>
        <w:t>خَبَرَ الأئمّةِ‌</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388"/>
      </w:r>
      <w:r>
        <w:rPr>
          <w:rFonts w:ascii="Amiri" w:hAnsi="Amiri" w:eastAsia="Amiri" w:cs="Amiri"/>
          <w:color w:val="111111"/>
          <w:sz w:val="28"/>
          <w:sz w:val="28"/>
          <w:szCs w:val="28"/>
          <w:rtl w:val="true"/>
          <w:lang w:bidi="ar-SA"/>
        </w:rPr>
        <w:t xml:space="preserve">أغنىٰ </w:t>
      </w:r>
      <w:r>
        <w:rPr>
          <w:rStyle w:val="FootnoteAnchor"/>
          <w:rtl w:val="true"/>
        </w:rPr>
        <w:footnoteReference w:id="389"/>
      </w:r>
      <w:r>
        <w:rPr>
          <w:rFonts w:ascii="Amiri" w:hAnsi="Amiri" w:eastAsia="Amiri" w:cs="Amiri"/>
          <w:color w:val="111111"/>
          <w:sz w:val="28"/>
          <w:sz w:val="28"/>
          <w:szCs w:val="28"/>
          <w:rtl w:val="true"/>
          <w:lang w:bidi="ar-SA"/>
        </w:rPr>
        <w:t xml:space="preserve">عن مُشاهَدةِ الإمامِ </w:t>
      </w:r>
      <w:r>
        <w:rPr>
          <w:rStyle w:val="FootnoteAnchor"/>
          <w:rtl w:val="true"/>
        </w:rPr>
        <w:footnoteReference w:id="3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فخَبَرُ الرسولِ و التواتُرُ بأنْ يُغنِيَ </w:t>
      </w:r>
      <w:r>
        <w:rPr>
          <w:rStyle w:val="FootnoteAnchor"/>
          <w:rtl w:val="true"/>
        </w:rPr>
        <w:footnoteReference w:id="391"/>
      </w:r>
      <w:r>
        <w:rPr>
          <w:rFonts w:ascii="Amiri" w:hAnsi="Amiri" w:eastAsia="Amiri" w:cs="Amiri"/>
          <w:color w:val="111111"/>
          <w:sz w:val="28"/>
          <w:sz w:val="28"/>
          <w:szCs w:val="28"/>
          <w:rtl w:val="true"/>
          <w:lang w:bidi="ar-SA"/>
        </w:rPr>
        <w:t xml:space="preserve">عن الإمامِ أَولىٰ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العلماء، فلا يكون فيكم من يفتي أحداً أو يحكم بحكم، و في هذا خروج من دين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يتولّىٰ ذلك فقهاء الشيعة بما نقلوه عن أئمّتهم الطاهرين سلام اللّٰه عليهم أجمعين، و من خرج عن هذه الطريقة فليس له أن يُفتي و لا يحكم بحكم؛ إذ مداره على العمل بالظنون التي لا مدرك لها يعوّل عليه كما يحصل من القياس و الاستحسان، و على الحكم بالرأي الذي هو رجمٌ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محصول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صحّ ذلك فلا حاجة بكم إلى الإمام أصلاً؛ لأنّه إذا جاز الاستغناء بخبرٍ ممّن تقدّم مِن الأئمّة عليهم السلام عن مشاهدة إمام الزمان، جاز الاستغناء بخبر النبيّ صلّى اللّٰه عليه و آله و التواتر عن الإمام رأساً، بل هذا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علىٰ تقدير حصول الاستغناء عنه في العلم بالشريعة بعد النقل إنّما يلزم ما ذكرته لو كان لطف الإمامة منحصراً في تعليم الشريعة و الحكم بها،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أوردت هنا علىٰ دليل وجوب الإمامة من جهة تعليم الشريعة و وجوب رجوع الناس إليه في أحكامها، لا علىٰ غيره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أوردته علىٰ هذا الدليل إنّما يلزم لو اكتفينا بهذا القدر، و مَدار هذه الطريقة من الاستدلال علىٰ تعليم الشريعة لو احتيج إليه و حفظها من التغيير و التبديل و السهو و النسيان في النقل و تعمّد الإعراض عنه من الناقلين أو بعضهم بحيث لا يبقىٰ بعده ما يحصل به التواتر، و أنّ جواز وقوع ذلك كلّه يوجب وجود الإمام و إن كان غائباً، و ظاهر أنّ ما ذكرته لا يفيد الاستغناء عنه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كلامه إنّما هو في غيبة صاحب الزمان عليه السلام و أ نّه يلزم عليكم تعطّل الفتاوىٰ و الأحكام، و إذ أجبنا عنه بثبوت النقل عن الأئمّة عليهم السلام و استغنائنا به عن مشاهدة الإمام عليه السلام في أحكام الشرع لم يرد جواز استغنائنا بخبر النبيّ صلّى اللّٰه عليه و آله عن الإمام رأساً؛ لأنّه لو سُلّم الاستغناء عنه في ذلك في الجملة لم يلزم الاستغناء عنه مطلقاً، كيف و في الأئمّة الماضين عليهم السلام من يحصل بوجوده من اللطف ما ليس المانع من ظهوره من إمام الزمان عليه السلام إلّاما يستند إلى المكلّفين ؟ فتأمّل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الأولويّة التي ادّعاها ممنوعة، كيف و تعدُّد الرواة عن كلّ واحد من الأئمّة عليهم السلام و قول الكلّ واحد لا اختلاف بينهم أصلاً؟ ممّا يعين علىٰ حصول التواتر و سهولة أمره، بخلاف ما إذا كان المخبَر عنه واحداً هو النبيّ صلّى اللّٰه عليه و آله و لم يكن بعده مَن حكمه حكمه، و قوله قوله؛ وهو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بيّنّا ما يُفصَلُ به بَينَ الأمرَينِ </w:t>
      </w:r>
      <w:r>
        <w:rPr>
          <w:rStyle w:val="FootnoteAnchor"/>
          <w:rtl w:val="true"/>
        </w:rPr>
        <w:footnoteReference w:id="393"/>
      </w:r>
      <w:r>
        <w:rPr>
          <w:rFonts w:ascii="Amiri" w:hAnsi="Amiri" w:eastAsia="Amiri" w:cs="Amiri"/>
          <w:color w:val="111111"/>
          <w:sz w:val="28"/>
          <w:sz w:val="28"/>
          <w:szCs w:val="28"/>
          <w:rtl w:val="true"/>
          <w:lang w:bidi="ar-SA"/>
        </w:rPr>
        <w:t>، و بيّنّا الفَرقَ بَينَ لُزومِ الحُجّةِ بالأخبارِ التي يَكونُ الإمامُ مِن وَرائها و حاضِراً لها و مُتمكِّناً مِن استِدراكِ ما يَقَعُ فيها من الغَلَطِ</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الشيخ رحمه اللّٰه علىٰ وفق ما سيجيء في كلام السيِّد قدّس سرّه بأنّا لا ننكر اختلاف الشيعة في المذاهب، إلّاأ نّهم لم يختلفوا إلّافيما عليه دليل ذهب عن طريقه بعض و وصل إليه بعض؛ و هذا كما نقوله فيمن اختلف في الأُصول و إن كان خصومنا متّفقين معنا علىٰ أنّ عليها أدلّة موصلة إلى العلم، و ليس اختلافهم موجباً لارتفاع الأدلّة علىٰ ما اختلفوا فيه، فكذلك عندنا الاختلاف في الشرعيّات؛ لأنّ علىٰ كلّ حكم منه دليلاً شرعيّاً مَن لم يصل إليه و عدل عنه فإنّما أُتي من قِبل نفسه، و ليس هكذا مذهب مخالفينا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 نّهم مُجمعون معنا علىٰ أن لا دليلَ علىٰ كلّ حكمٍ يوصِل إلى العلم، و هذا يُسقط ما اعترضوا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الأمر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بالظنّ في الفروع،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الاختلاف بحسب اختلاف الظنون التي لها مدرك شرعيّ أو عقليّ يجوز التمسّك به، و ذلك إنّما يحصل بوصول المدارك الشرعيّة إلينا و هو لا يستتبّ إلّابوجود الإمام من وراء الناقلين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فحرمان القطع في المسائل قد كان مستنداً إلىٰ غيبة الإمام المستندة إلىٰ تقصير المكلّفين، و كان على الإمام حفظ المدارك الشرعيّة بحيث لا يخرج من الناس ما هو الحقّ من المذاهب في الأحكام الشرعيّة، و حيث لم يمكن حصول القطع في كلّ المسائل و لم يسقط التكليف عنهم، لم يكن بُدّ من تحصيل الظنون في استخراج الأحكام من مآخذها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حاجة إلى القول بأنّ الاختلاف يحصل من تفريط بعضهم في طريق الوصول إلىٰ ما هو الحقّ ؛ فليُتأمَّل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بَينَ الأخبارِ التي لا إمامَ مِن وَرائها و لا مَعصومَ يُرجَعُ إليه عندَ وقوعِ الغَلَطِ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فَرقٌ واضحٌ في استغنائنا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مُشاهَدةِ الإمامِ بالخَبَرِ عنه إذا كان موجوداً، و عدمِ استغنائنا عن الرسولِ بالأخبارِ بَعدَ وفاتِه إذا لَم يَكُن في الزمانِ إمامٌ يَتَلافىٰ ما يَقَعُ مِن الغَلَطِ فيها</w:t>
      </w:r>
      <w:r>
        <w:rPr>
          <w:rFonts w:eastAsia="Amiri" w:cs="Amiri" w:ascii="Amiri" w:hAnsi="Amiri"/>
          <w:color w:val="111111"/>
          <w:sz w:val="28"/>
          <w:szCs w:val="28"/>
          <w:rtl w:val="true"/>
          <w:lang w:bidi="ar-SA"/>
        </w:rPr>
        <w:t>.</w:t>
      </w:r>
      <w:bookmarkStart w:id="256" w:name="pg20044_770799"/>
    </w:p>
    <w:p>
      <w:pPr>
        <w:pStyle w:val="Heading6"/>
        <w:numPr>
          <w:ilvl w:val="5"/>
          <w:numId w:val="1"/>
        </w:numPr>
        <w:rPr/>
      </w:pPr>
      <w:bookmarkStart w:id="257" w:name="__RefHeading___Toc828454_2320776876"/>
      <w:bookmarkStart w:id="258" w:name="_Toc92"/>
      <w:bookmarkEnd w:id="256"/>
      <w:bookmarkEnd w:id="257"/>
      <w:r>
        <w:rPr>
          <w:rtl w:val="true"/>
        </w:rPr>
        <w:t>عودة إلى البحث عن المقارنة بين المعرفة و الإمامة في كونهما لطفاً</w:t>
      </w:r>
      <w:bookmarkEnd w:id="25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ظَنَنتُم</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أجاب السيِّد قدّس سرّه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الفرق تحكُّم فاسد؛ إذ كما أنّ جميع العقلاء يعلمون أنّ خوف المضرّة صارف عن القبيح و رجاء المنفعة داع إلى الخير، كذلك يعلمون أنّ وجود الإمام مقرِّب إلى الخير و مقلّل للظُّلم و الفساد و مُبعِّد عنهما، و ليس من يدّعي أحدهما و ينفي الآخر أَولىٰ ممّن يعكس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استواء الألطاف في العموم غير لازم و لم يقل به أحد، و العموم في المعرفة ليس من حيث كونها لطفاً، بل لأمرٍ زائدٍ علىٰ كونها لطفاً كما تقدّم في كلامه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 لِما نَعلَمُه مِن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اجتماعَ الكلمةِ علىٰ رئيسٍ واحدٍ مُطاعٍ أقرَبُ إلَى التآلُفِ علَى الخَيرِ و الطاعةِ ، و العُدولِ عن الظُّلمِ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السؤالِ </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397"/>
      </w:r>
      <w:r>
        <w:rPr>
          <w:rFonts w:ascii="Amiri" w:hAnsi="Amiri" w:eastAsia="Amiri" w:cs="Amiri"/>
          <w:color w:val="111111"/>
          <w:sz w:val="28"/>
          <w:sz w:val="28"/>
          <w:szCs w:val="28"/>
          <w:rtl w:val="true"/>
          <w:lang w:bidi="ar-SA"/>
        </w:rPr>
        <w:t>الوجهَ الذي له قُلنا إنّها</w:t>
      </w:r>
      <w:r>
        <w:rPr>
          <w:rStyle w:val="FootnoteAnchor"/>
          <w:rtl w:val="true"/>
        </w:rPr>
        <w:footnoteReference w:id="398"/>
      </w:r>
      <w:r>
        <w:rPr>
          <w:rFonts w:ascii="Amiri" w:hAnsi="Amiri" w:eastAsia="Amiri" w:cs="Amiri"/>
          <w:color w:val="111111"/>
          <w:sz w:val="28"/>
          <w:sz w:val="28"/>
          <w:szCs w:val="28"/>
          <w:rtl w:val="true"/>
          <w:lang w:bidi="ar-SA"/>
        </w:rPr>
        <w:t xml:space="preserve">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كُلَّ مُكلَّفٍ، و كُلَّ فِعلٍ مِن أفعالِه؛ إذ</w:t>
      </w:r>
      <w:r>
        <w:rPr>
          <w:rStyle w:val="FootnoteAnchor"/>
          <w:rtl w:val="true"/>
        </w:rPr>
        <w:footnoteReference w:id="399"/>
      </w:r>
      <w:r>
        <w:rPr>
          <w:rFonts w:ascii="Amiri" w:hAnsi="Amiri" w:eastAsia="Amiri" w:cs="Amiri"/>
          <w:color w:val="111111"/>
          <w:sz w:val="28"/>
          <w:sz w:val="28"/>
          <w:szCs w:val="28"/>
          <w:rtl w:val="true"/>
          <w:lang w:bidi="ar-SA"/>
        </w:rPr>
        <w:t>لا أحَدَ مِن العُقَلاءِ إلّاو هو عالِمٌ أنّ خَوفَ المَضَرّةِ صارِفٌ، و رَجاءَ المَنفعةِ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بيّنّا فيما مَضَى اختلافَ الألطافِ في عُمومِها و خُصوصِها، و أنّه لا يَجِبُ حَملُ بَعضِها علىٰ بَعضٍ ، و بيّنّا غرضَنا في تشبيهِ الإمامةِ </w:t>
      </w:r>
      <w:r>
        <w:rPr>
          <w:rStyle w:val="FootnoteAnchor"/>
          <w:rtl w:val="true"/>
        </w:rPr>
        <w:footnoteReference w:id="400"/>
      </w:r>
      <w:r>
        <w:rPr>
          <w:rFonts w:ascii="Amiri" w:hAnsi="Amiri" w:eastAsia="Amiri" w:cs="Amiri"/>
          <w:color w:val="111111"/>
          <w:sz w:val="28"/>
          <w:sz w:val="28"/>
          <w:szCs w:val="28"/>
          <w:rtl w:val="true"/>
          <w:lang w:bidi="ar-SA"/>
        </w:rPr>
        <w:t>بالمعرفةِ ، و الوجهَ الذي مِن أجلِه جَمَعْنا بَينَهما؛ و أنّه لا يَلزَمُنا عليه التسويةُ بَينَهما مِن كُلِّ وجهٍ ، و أنّ ذلك و إن تَعذَّرَ لَم يَقدَحْ في كَونِ الإمامةِ لُطفاً مِن الوجهِ الذي ذَكَرناه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أحَدَ مِن العقلاءِ إلّاو هو عالِمٌ أنّ خَوفَ المَضَرّةِ صارِفٌ ، و رَجاءَ المَنفعةِ داعٍ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فكذلك لا أحَدَ مِن العقلاءِ إلّاو هو عالِمٌ بأنّ وجودَ الرؤَساءِ 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انبِساطَ أيديهِم مُقلِّلٌ لِوقوعِ الظُّلمِ و الفَسادِ و البَغيِ و العُدوانِ ، أو رافعٌ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نفسَه حاملٌ لنُصرةِ مَذهبٍ </w:t>
      </w:r>
      <w:r>
        <w:rPr>
          <w:rStyle w:val="FootnoteAnchor"/>
          <w:rtl w:val="true"/>
        </w:rPr>
        <w:footnoteReference w:id="403"/>
      </w:r>
      <w:r>
        <w:rPr>
          <w:rFonts w:ascii="Amiri" w:hAnsi="Amiri" w:eastAsia="Amiri" w:cs="Amiri"/>
          <w:color w:val="111111"/>
          <w:sz w:val="28"/>
          <w:sz w:val="28"/>
          <w:szCs w:val="28"/>
          <w:rtl w:val="true"/>
          <w:lang w:bidi="ar-SA"/>
        </w:rPr>
        <w:t xml:space="preserve">له فاسدٍ علىٰ أن يَدفَعَ ما ذَكَرناه في الرئاسةِ و ما يَعلَمُه العقلاءُ مِن وجودِ الصَّلاحِ بها، لَم يَجِدْ فَرقاً بَينَه و بَينَ مَن حَمَلَ نفسَه أيضاً </w:t>
      </w:r>
      <w:bookmarkStart w:id="259" w:name="pg20044_770801"/>
    </w:p>
    <w:p>
      <w:pPr>
        <w:pStyle w:val="BookText"/>
        <w:rPr/>
      </w:pPr>
      <w:bookmarkEnd w:id="259"/>
      <w:r>
        <w:rPr>
          <w:rFonts w:ascii="Amiri" w:hAnsi="Amiri" w:eastAsia="Amiri" w:cs="Amiri"/>
          <w:color w:val="111111"/>
          <w:sz w:val="28"/>
          <w:sz w:val="28"/>
          <w:szCs w:val="28"/>
          <w:rtl w:val="true"/>
          <w:lang w:bidi="ar-SA"/>
        </w:rPr>
        <w:t>علىٰ مِثلِ ذلك</w:t>
      </w:r>
      <w:r>
        <w:rPr>
          <w:rStyle w:val="FootnoteAnchor"/>
          <w:rtl w:val="true"/>
        </w:rPr>
        <w:footnoteReference w:id="404"/>
      </w:r>
      <w:r>
        <w:rPr>
          <w:rFonts w:ascii="Amiri" w:hAnsi="Amiri" w:eastAsia="Amiri" w:cs="Amiri"/>
          <w:color w:val="111111"/>
          <w:sz w:val="28"/>
          <w:sz w:val="28"/>
          <w:szCs w:val="28"/>
          <w:rtl w:val="true"/>
          <w:lang w:bidi="ar-SA"/>
        </w:rPr>
        <w:t>فيما ذَكَرَ؛</w:t>
      </w:r>
      <w:r>
        <w:rPr>
          <w:rStyle w:val="FootnoteAnchor"/>
          <w:rtl w:val="true"/>
        </w:rPr>
        <w:footnoteReference w:id="405"/>
      </w:r>
      <w:r>
        <w:rPr>
          <w:rFonts w:ascii="Amiri" w:hAnsi="Amiri" w:eastAsia="Amiri" w:cs="Amiri"/>
          <w:color w:val="111111"/>
          <w:sz w:val="28"/>
          <w:sz w:val="28"/>
          <w:szCs w:val="28"/>
          <w:rtl w:val="true"/>
          <w:lang w:bidi="ar-SA"/>
        </w:rPr>
        <w:t>مِن خَوفِ المَضَرّةِ و كَونِه صارِفاً، و رَجاءِ المَنفعةِ و كَونِه داعياً</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828456_2320776876"/>
      <w:bookmarkStart w:id="261" w:name="_Toc93"/>
      <w:bookmarkEnd w:id="260"/>
      <w:r>
        <w:rPr>
          <w:rtl w:val="true"/>
        </w:rPr>
        <w:t>عدم حاجة الإمام إلى إمام</w:t>
      </w:r>
      <w:bookmarkEnd w:id="261"/>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w:t>
      </w:r>
      <w:r>
        <w:rPr>
          <w:rStyle w:val="FootnoteAnchor"/>
          <w:rtl w:val="true"/>
        </w:rPr>
        <w:footnoteReference w:id="406"/>
      </w:r>
      <w:r>
        <w:rPr>
          <w:rFonts w:ascii="Amiri" w:hAnsi="Amiri" w:eastAsia="Amiri" w:cs="Amiri"/>
          <w:color w:val="111111"/>
          <w:sz w:val="28"/>
          <w:sz w:val="28"/>
          <w:szCs w:val="28"/>
          <w:rtl w:val="true"/>
          <w:lang w:bidi="ar-SA"/>
        </w:rPr>
        <w:t>ذلكَ‌</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هذا تقرير كلامه مطابقاً لما قرَّره الشيخ رحمه اللّٰه، إلّاأ نّه بنى استغناء الناس عن الإمام علىٰ قياسهم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جاز خلوّ بعض المكلّفين من رئيس جاز خلوّ الكلّ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التلخيص،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 كلامه علىٰ أ نّه أبطل لطف الإمام بلزوم التسلسل، دون لزوم كون الإمام إماماً لنفسه مع كونه أظهر و أخصر لقوله أن يكون من مصالحه إمام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يخدشه أ نّه يلزم خلاف الفرض؛ إذ بناؤه علىٰ أنّ الإمام إمام لكلّ مكلّف، و لو كان له إمام ثان لم يكن هو إماماً لذلك الثاني، و هكذا؛ لأنّه مفسدة أُخرىٰ ترد علىٰ كون الإمام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كلامه علىٰ أنّ الإمامة لو وجبَ أن تكون لطفاً لكانت عامّة، فيكون للإمام إمام ثان، و الأوّل ليس لطفاً في الثاني، فلا يكون عامّاً، فلا يكون إماماً؛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البناء على القياس، فهو بناء علىٰ ما هو أشنع من أن يخفىٰ ، و إن كان مثله ليس ببعيد عن القاضي، إلّاأنّ الحمل علىٰ ما يكون أقلّ مفسدة ممّا ينبغي أن يُصار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أُورد علىٰ ما حملنا عليه بأنّ انتفاء الدليل مطلقاً لا يستلزم انتفاء المدلول فضلاً عن انتفاء دليل خاصّ ، فلا يلزم عدم الحاجة إلى الإمام أصلاً، كان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الاستغناء عنه من هذه الجهة؛ أعني كونه لطفاً، و هو أوثق ما تعتمدون عليه؛ فتدبَّر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المعرفةَ أَوجَبْنا كَونَها مَصلحةً للكُلِّ‌</w:t>
      </w:r>
      <w:r>
        <w:rPr>
          <w:rStyle w:val="FootnoteAnchor"/>
          <w:rtl w:val="true"/>
        </w:rPr>
        <w:footnoteReference w:id="408"/>
      </w:r>
      <w:r>
        <w:rPr>
          <w:rFonts w:ascii="Amiri" w:hAnsi="Amiri" w:eastAsia="Amiri" w:cs="Amiri"/>
          <w:color w:val="111111"/>
          <w:sz w:val="28"/>
          <w:sz w:val="28"/>
          <w:szCs w:val="28"/>
          <w:rtl w:val="true"/>
          <w:lang w:bidi="ar-SA"/>
        </w:rPr>
        <w:t>، فيَلزَمُهم في الإمامِ أن يَكونَ مِن مَصالحِه إمامٌ ثانٍ، و متىٰ جَوَّزوا استِغناءَه عن إمامٍ لَزِمَ ذلكَ في غَيرِه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فبَعيدٌ عن الصَّوابِ؛ لأنّ الوجهَ الذي مِن أجلِه أوجَبْنا كَونَ الإمام لُطفاً لا يَتعدّىٰ إلى إمامٍ‌</w:t>
      </w:r>
      <w:r>
        <w:rPr>
          <w:rStyle w:val="FootnoteAnchor"/>
          <w:rtl w:val="true"/>
        </w:rPr>
        <w:footnoteReference w:id="410"/>
      </w:r>
      <w:r>
        <w:rPr>
          <w:rFonts w:ascii="Amiri" w:hAnsi="Amiri" w:eastAsia="Amiri" w:cs="Amiri"/>
          <w:color w:val="111111"/>
          <w:sz w:val="28"/>
          <w:sz w:val="28"/>
          <w:szCs w:val="28"/>
          <w:rtl w:val="true"/>
          <w:lang w:bidi="ar-SA"/>
        </w:rPr>
        <w:t>لأنّه إنّما يَكونُ لُطفاً لِمَن لا يؤمَنُ مِنه فِعلُ القَبيحِ، دونَ مَن كانَ ذلك مأموناً مِنه</w:t>
      </w:r>
      <w:r>
        <w:rPr>
          <w:rStyle w:val="FootnoteAnchor"/>
          <w:rtl w:val="true"/>
        </w:rPr>
        <w:footnoteReference w:id="411"/>
      </w:r>
      <w:r>
        <w:rPr>
          <w:rFonts w:ascii="Amiri" w:hAnsi="Amiri" w:eastAsia="Amiri" w:cs="Amiri"/>
          <w:color w:val="111111"/>
          <w:sz w:val="28"/>
          <w:sz w:val="28"/>
          <w:szCs w:val="28"/>
          <w:rtl w:val="true"/>
          <w:lang w:bidi="ar-SA"/>
        </w:rPr>
        <w:t>فكَيفَ يَلزَمُنا القولُ بحاجةِ الإمامِ إلىٰ إمامٍ مع عصمتِه و كمالِه و أمانِنا مِن وقوعِ شَيءٍ مِن القبيحِ مِنه، قياساً علىٰ حاجةِ الرَّعيّةِ التي لا يؤمَنُ مِنها كُلُّ ما ذَكَرناه؟</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يمكن أن يكون قدّس سرّه أراد بالقياس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ما ذكرته؛ إذ القاضي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منع كون العموم معتبراً في اللطف من حيث إنّه لطف، و إليه يئول جواب السيِّد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قيلَ أيضاً</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إنّما ارتفَعَت حاجتُه إلىٰ إمامٍ مِن حَيثُ لَم يَصِحَّ فيه أن يَكونَ تابعاً مأموماً؛ و ذلك لأنّ الدليلَ قد دَلَّ علىٰ أنّ الإمامَ لا بُدَّ مِن أن يَكونَ معصوماً كامِلاً وافِراً عالِماً</w:t>
      </w:r>
      <w:r>
        <w:rPr>
          <w:rStyle w:val="FootnoteAnchor"/>
          <w:rtl w:val="true"/>
        </w:rPr>
        <w:footnoteReference w:id="414"/>
      </w:r>
      <w:r>
        <w:rPr>
          <w:rFonts w:ascii="Amiri" w:hAnsi="Amiri" w:eastAsia="Amiri" w:cs="Amiri"/>
          <w:color w:val="111111"/>
          <w:sz w:val="28"/>
          <w:sz w:val="28"/>
          <w:szCs w:val="28"/>
          <w:rtl w:val="true"/>
          <w:lang w:bidi="ar-SA"/>
        </w:rPr>
        <w:t>غيرَ مُفتَقِرٍ في شَيءٍ مِن ضُروبِ‌</w:t>
      </w:r>
      <w:r>
        <w:rPr>
          <w:rStyle w:val="FootnoteAnchor"/>
          <w:rtl w:val="true"/>
        </w:rPr>
        <w:footnoteReference w:id="415"/>
      </w:r>
      <w:r>
        <w:rPr>
          <w:rFonts w:ascii="Amiri" w:hAnsi="Amiri" w:eastAsia="Amiri" w:cs="Amiri"/>
          <w:color w:val="111111"/>
          <w:sz w:val="28"/>
          <w:sz w:val="28"/>
          <w:szCs w:val="28"/>
          <w:rtl w:val="true"/>
          <w:lang w:bidi="ar-SA"/>
        </w:rPr>
        <w:t>العِلمِ و الفَضلِ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ذلكَ ثابتاً، فلَو كانَ له إمامٌ لَم يَكُنْ بُدٌّ مِن أن يَكونَ مُقتَدياً به في بَعضِ الأفعالِ، أو</w:t>
      </w:r>
      <w:r>
        <w:rPr>
          <w:rStyle w:val="FootnoteAnchor"/>
          <w:rtl w:val="true"/>
        </w:rPr>
        <w:footnoteReference w:id="416"/>
      </w:r>
      <w:r>
        <w:rPr>
          <w:rFonts w:ascii="Amiri" w:hAnsi="Amiri" w:eastAsia="Amiri" w:cs="Amiri"/>
          <w:color w:val="111111"/>
          <w:sz w:val="28"/>
          <w:sz w:val="28"/>
          <w:szCs w:val="28"/>
          <w:rtl w:val="true"/>
          <w:lang w:bidi="ar-SA"/>
        </w:rPr>
        <w:t>مُستَفيداً مِنه بَعضَ العُلومِ، أو</w:t>
      </w:r>
      <w:r>
        <w:rPr>
          <w:rStyle w:val="FootnoteAnchor"/>
          <w:rtl w:val="true"/>
        </w:rPr>
        <w:footnoteReference w:id="417"/>
      </w:r>
      <w:r>
        <w:rPr>
          <w:rFonts w:ascii="Amiri" w:hAnsi="Amiri" w:eastAsia="Amiri" w:cs="Amiri"/>
          <w:color w:val="111111"/>
          <w:sz w:val="28"/>
          <w:sz w:val="28"/>
          <w:szCs w:val="28"/>
          <w:rtl w:val="true"/>
          <w:lang w:bidi="ar-SA"/>
        </w:rPr>
        <w:t>مُحتاجاً إليه في تكميلِ أمرٍ لَم يَحصُلْ عليه؛ لأنّه لا يَجوزُ أن يَكونَ إمامٌ لا يُفتَقَرُ إليه في شَيءٍ مِن هذه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صفاتُ الإمامِ التي قَدَّمناها تُحيلُ </w:t>
      </w:r>
      <w:r>
        <w:rPr>
          <w:rStyle w:val="FootnoteAnchor"/>
          <w:rtl w:val="true"/>
        </w:rPr>
        <w:footnoteReference w:id="418"/>
      </w:r>
      <w:r>
        <w:rPr>
          <w:rFonts w:ascii="Amiri" w:hAnsi="Amiri" w:eastAsia="Amiri" w:cs="Amiri"/>
          <w:color w:val="111111"/>
          <w:sz w:val="28"/>
          <w:sz w:val="28"/>
          <w:szCs w:val="28"/>
          <w:rtl w:val="true"/>
          <w:lang w:bidi="ar-SA"/>
        </w:rPr>
        <w:t xml:space="preserve">حاجتَه إلىٰ غيرِه في شَيءٍ ممّا عَدَّدناه، و الرُّجوعَ إليه في قليلٍ مِنه و كثيرٍ، استَحالَ أن يَكونَ للإمامِ إمامٌ مِن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 حاجة الإمام إلى الإمام علىٰ حاجة الرعيّة إليه، و بعد بطلان المقدّم ببطلان التالي أثبت عدم حاجة الناس إلى الإمام، فتقرير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الرعيّة إلى الإمام لاحتاج الإمام إلى الإمام، و الثاني باطل، فكذا الأوّل، فصحّ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قياساً علىٰ حاجة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تكلّف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يستقيم ذلك لو أثبت حاجة الإمام إلى الإمام بالقياس، و ليس كذلك، بل أثبت ذلك بعموم اللطف و هو ظاهر، نعم لو حُمل القياس علىٰ معناه اللغويّ صحّ ذلك؛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جَرىٰ ما ذَكَرناه هاهُنا مَجرىٰ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المعرفةَ لُطفٌ في كُلِّ تكليفٍ‌</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أمّا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ذكرته من عدم كون الإمامة لطفاً بناءً علىٰ اعتبار العموم في اللطف كالمعرفة، لزم أن لا تكون المعرفة أيضاً لطفاً؛ لأنّها ليست لطفاً في نفسها، و لا في التكاليف التي تتقدّمها، و هو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اللطف إنّما هو بالنسبة إلىٰ ما يمكن أن يكون لطفاً فيه؛ فكما أنّ المعرفة ليست لطفاً فيما لا يمكن أن تكون لطفاً فيه و لا ينافي ذلك كونها عامّة، كذلك الإمامة لا يَمنع عدمُ كونها لطفاً لنفس الإمام و غيره ممّا لا يمكن أن تكون لطفاً فيه أن تكون 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سِوَى التكاليفِ التي تَقدَّمُها،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 تكليفِ النظَرِ في طريقِها و ما جَرىٰ مَجراه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خرجَت المعرفةُ مِن أن تَكونَ لُطفاً في بعضِ التكليفِ مِن حَيثُ لَم يَصِحَّ أن تَكونَ لُطفاً فيه، و قامَ غيرُها مَقامَها في اللُّطفِ، و لَم يَلزَمْ علىٰ ذلكَ أن لا تَكونَ لُطفاً فيما يَصِحُّ أن تَكونَ لُطفاً فيه، لَم يَمتَنِعْ أيضاً أن يَكونَ الإمامُ لُطفاً لكُلِّ مُكلَّفٍ صَحَّ فيه مَعنَى الاقتِداءِ و الائتِمام بغيرِه</w:t>
      </w:r>
      <w:r>
        <w:rPr>
          <w:rStyle w:val="FootnoteAnchor"/>
          <w:rtl w:val="true"/>
        </w:rPr>
        <w:footnoteReference w:id="420"/>
      </w:r>
      <w:r>
        <w:rPr>
          <w:rFonts w:ascii="Amiri" w:hAnsi="Amiri" w:eastAsia="Amiri" w:cs="Amiri"/>
          <w:color w:val="111111"/>
          <w:sz w:val="28"/>
          <w:sz w:val="28"/>
          <w:szCs w:val="28"/>
          <w:rtl w:val="true"/>
          <w:lang w:bidi="ar-SA"/>
        </w:rPr>
        <w:t xml:space="preserve">و إن لَم يَكُنْ لُطفاً لِمَن لا يَصِحُّ ذلك فيه مِن الأئمّةِ و الأنبياءِ، بَل قامَ لهم غيرُ الإمامةِ في اللُّطفِ </w:t>
      </w:r>
      <w:r>
        <w:rPr>
          <w:rStyle w:val="FootnoteAnchor"/>
          <w:rtl w:val="true"/>
        </w:rPr>
        <w:footnoteReference w:id="421"/>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لَكانَ وجهاً قويّاً مُعتَمَداً</w:t>
      </w:r>
      <w:r>
        <w:rPr>
          <w:rFonts w:eastAsia="Amiri" w:cs="Amiri" w:ascii="Amiri" w:hAnsi="Amiri"/>
          <w:color w:val="111111"/>
          <w:sz w:val="28"/>
          <w:szCs w:val="28"/>
          <w:rtl w:val="true"/>
          <w:lang w:bidi="ar-SA"/>
        </w:rPr>
        <w:t>.</w:t>
      </w:r>
      <w:r>
        <w:rPr>
          <w:rStyle w:val="FootnoteAnchor"/>
          <w:rtl w:val="true"/>
        </w:rPr>
        <w:footnoteReference w:id="423"/>
      </w:r>
      <w:bookmarkStart w:id="262" w:name="pg20044_770805"/>
    </w:p>
    <w:p>
      <w:pPr>
        <w:pStyle w:val="Heading6"/>
        <w:numPr>
          <w:ilvl w:val="5"/>
          <w:numId w:val="1"/>
        </w:numPr>
        <w:rPr/>
      </w:pPr>
      <w:bookmarkStart w:id="263" w:name="__RefHeading___Toc828458_2320776876"/>
      <w:bookmarkStart w:id="264" w:name="_Toc94"/>
      <w:bookmarkEnd w:id="262"/>
      <w:bookmarkEnd w:id="263"/>
      <w:r>
        <w:rPr>
          <w:rtl w:val="true"/>
        </w:rPr>
        <w:t>عدم اقتصار الحاجة إلى الإمام علىٰ دفع الفُرقة</w:t>
      </w:r>
      <w:bookmarkEnd w:id="264"/>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يَلزَمُهم علىٰ عِلّتِهم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لَو كلَّفَ‌</w:t>
      </w:r>
      <w:r>
        <w:rPr>
          <w:rStyle w:val="FootnoteAnchor"/>
          <w:rtl w:val="true"/>
        </w:rPr>
        <w:footnoteReference w:id="424"/>
      </w:r>
      <w:r>
        <w:rPr>
          <w:rFonts w:ascii="Amiri" w:hAnsi="Amiri" w:eastAsia="Amiri" w:cs="Amiri"/>
          <w:color w:val="111111"/>
          <w:sz w:val="28"/>
          <w:sz w:val="28"/>
          <w:szCs w:val="28"/>
          <w:rtl w:val="true"/>
          <w:lang w:bidi="ar-SA"/>
        </w:rPr>
        <w:t>مُكلَّفاً واحداً، أن يَستَغنِيَ‌</w:t>
      </w:r>
      <w:r>
        <w:rPr>
          <w:rStyle w:val="FootnoteAnchor"/>
          <w:rtl w:val="true"/>
        </w:rPr>
        <w:footnoteReference w:id="425"/>
      </w:r>
      <w:r>
        <w:rPr>
          <w:rFonts w:ascii="Amiri" w:hAnsi="Amiri" w:eastAsia="Amiri" w:cs="Amiri"/>
          <w:color w:val="111111"/>
          <w:sz w:val="28"/>
          <w:sz w:val="28"/>
          <w:szCs w:val="28"/>
          <w:rtl w:val="true"/>
          <w:lang w:bidi="ar-SA"/>
        </w:rPr>
        <w:t>عن إمامٍ؛ لأنّ الأُلفةَ و الفُرقةَ إنّما يَصِحّانِ في الجَماعةِ</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فطَريفٌ؛</w:t>
      </w:r>
      <w:r>
        <w:rPr>
          <w:rStyle w:val="FootnoteAnchor"/>
          <w:rtl w:val="true"/>
        </w:rPr>
        <w:footnoteReference w:id="427"/>
      </w:r>
      <w:r>
        <w:rPr>
          <w:rFonts w:ascii="Amiri" w:hAnsi="Amiri" w:eastAsia="Amiri" w:cs="Amiri"/>
          <w:color w:val="111111"/>
          <w:sz w:val="28"/>
          <w:sz w:val="28"/>
          <w:szCs w:val="28"/>
          <w:rtl w:val="true"/>
          <w:lang w:bidi="ar-SA"/>
        </w:rPr>
        <w:t>لأنّ الذي حَكاه عنّا مِن الاستِدلالِ لَم نَقتَصِرْ فيه علىٰ ذِكرِ الفُرقةِ عندَ عدمِ الإمامِ فَقَط، بَل قد ذَكَرنا أيضاً وقوعَ الظُّلمِ و الفَسادِ، و فِعلَ الخَيرِ و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 الأُلفةَ و الفُرقةَ إنّما تَصِحّانِ في الجَماعةِ و لا تَصِحّانِ في الواحدِ</w:t>
      </w:r>
      <w:r>
        <w:rPr>
          <w:rStyle w:val="FootnoteAnchor"/>
          <w:rtl w:val="true"/>
        </w:rPr>
        <w:footnoteReference w:id="428"/>
      </w:r>
      <w:r>
        <w:rPr>
          <w:rFonts w:ascii="Amiri" w:hAnsi="Amiri" w:eastAsia="Amiri" w:cs="Amiri"/>
          <w:color w:val="111111"/>
          <w:sz w:val="28"/>
          <w:sz w:val="28"/>
          <w:szCs w:val="28"/>
          <w:rtl w:val="true"/>
          <w:lang w:bidi="ar-SA"/>
        </w:rPr>
        <w:t>أما يَصِحُّ في الواحدِ فِعلُ الطاعةِ و تَجنُّبُ المعصيةِ‌</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يصحّ في الواحد فعل الطاعة و تجنُّب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صحّة يستوي أو يجوز معها الطرفان، فيُحتاج إلى اللطف بالغايتين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خُلق وحده يجوز منه فعل العنف و الكذب و نحوه ممّا لا يتعدّىٰ إلىٰ غيره، و الإمام لطف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سَهوٌ مِن صاحبِ الكتابِ </w:t>
      </w:r>
      <w:r>
        <w:rPr>
          <w:rFonts w:eastAsia="Amiri" w:cs="Amiri" w:ascii="Amiri" w:hAnsi="Amiri"/>
          <w:color w:val="111111"/>
          <w:sz w:val="28"/>
          <w:szCs w:val="28"/>
          <w:rtl w:val="true"/>
          <w:lang w:bidi="ar-SA"/>
        </w:rPr>
        <w:t>.</w:t>
      </w:r>
      <w:bookmarkStart w:id="265" w:name="pg20044_770806"/>
    </w:p>
    <w:p>
      <w:pPr>
        <w:pStyle w:val="Heading6"/>
        <w:numPr>
          <w:ilvl w:val="5"/>
          <w:numId w:val="1"/>
        </w:numPr>
        <w:rPr/>
      </w:pPr>
      <w:bookmarkStart w:id="266" w:name="__RefHeading___Toc828460_2320776876"/>
      <w:bookmarkStart w:id="267" w:name="_Toc95"/>
      <w:bookmarkEnd w:id="265"/>
      <w:bookmarkEnd w:id="266"/>
      <w:r>
        <w:rPr>
          <w:rtl w:val="true"/>
        </w:rPr>
        <w:t>استغناء المعصوم عن إمام يَصرفه عن فعل القبيح</w:t>
      </w:r>
      <w:bookmarkEnd w:id="267"/>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إذا كان المعلومُ مِن حالِ الجَماعةِ أنّها تَبقىٰ علَى الطاعةِ كالملائكةِ أن تَستَغنِيَ عن الإمامِ</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فلا شَكَّ أنّ مَن كانَ معصوماً فهو مُستَغنٍ عن إمامٍ يَكونُ لُطفاً له في الامتناعِ مِن القَبيحِ‌</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السيّد فما يعمّ إمامةُ أمير المؤمنين عليه السلام الحسنين عليهما السلام، و كذا كلّ إمام لا يعمّ إمامتُه مَن عاصره ممّن يصير إماماً بعده؛ لعصمتهم عليهم السلام قبل الإمامة كعصمتهم حال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الإمام من هذا الوجه أعني الزجر عن القبيح لا يستلزم الاستغناء مطلقاً؛ فإنّ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إلىٰ من سبق إمامتُه مادام السابق حيّاً، و لذا لا يكون إماماً إلّابعد وفاة السابق و حينئذٍ يصير أفضل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في الكافي بعدّة طرق أنّ الإمام الأخير يَعرف ما عند الأوّل في آخر دقيقة تبقىٰ من روحه، و يمكن أن يكون الأوّل لطفاً في بقاء العصمة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كان إماماً في زمن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صامتاً، و كذا الحسنان صلوات اللّٰه عليهما؛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مُتِّعنا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لَيسَ مَعنَى المعصومِ أكثَرَ مِن أن يُعلَمَ أنّه يَبقىٰ علَى الطاعةِ و لا يَخرُجُ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في الاستغناءِ عن الإمامِ مِن هذا الوجهِ بَينَ مَن المعلومُ أنّه يَبقىٰ علَى الطاعةِ كالملائكةِ ، و بَينَ الأئمّةِ و الأنبياءِ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8" w:name="pg20044_770807"/>
    </w:p>
    <w:p>
      <w:pPr>
        <w:pStyle w:val="Heading6"/>
        <w:numPr>
          <w:ilvl w:val="5"/>
          <w:numId w:val="1"/>
        </w:numPr>
        <w:rPr/>
      </w:pPr>
      <w:bookmarkStart w:id="269" w:name="__RefHeading___Toc828462_2320776876"/>
      <w:bookmarkStart w:id="270" w:name="_Toc96"/>
      <w:bookmarkEnd w:id="268"/>
      <w:bookmarkEnd w:id="269"/>
      <w:r>
        <w:rPr>
          <w:rtl w:val="true"/>
        </w:rPr>
        <w:t>لزوم الرئاسة علىٰ كلّ حال</w:t>
      </w:r>
      <w:bookmarkEnd w:id="270"/>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 العقلاءِ‌</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يترتّب علىٰ بعث النبيّ من تفرُّق كلمة من بُعث إليهم و تشتُّت شملهم و إفضاء الأمر إلى التحارب و التقاتل و الفساد في الدِّين كقتل النبيّ و المؤمنين و فعل ما نهىٰ عنه و حرّمه ما لو لم يُبعث النبيّ و لم يُشرّع لهم الأحكام و خُلّوا و أنفسهم و لم يُقهروا على الطاعة و الانقياد و لم يؤمروا بالاستسلام و التذلّل و اكتُفي بما تقتضيه عقولهم من الأحكام لم يقع شيء منه، فلو صحّ ما ذكره لكان تركُ البعث أرجح و أَولىٰ و فعلُه عدولاً عمّا هو الأصلح بحالهم، و لا يحوم حوله من أقرّ بقضيّة العقل و أوجب فعل الأصلح عليه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 يقع من الفساد عند وجود الرئيس لولاه لم يمتنع أن يقع من الفساد أضعاف ذلك، و لكان يحصل من الظلم و التعدّي ما لم يقع عند وجوده؛ و هذا كما نقول نحن و مخالفونا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يقع من الفساد و الهرج و المرج عند بعثة الأنبياء و تنفيذ الرُّسل لولاهم لوقع أضعاف ذلك، و أنّ بعثتهم لا تخرج أن يكون فيها لطف و إن لم يظهر؛ و كذلك جوابنا في الرياسة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التلخيص،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إذا تُرِكَ و اختيارَه، و لَم يُجعَلْ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تابِعاً لغيرِه و مُنقاداً</w:t>
      </w:r>
    </w:p>
    <w:p>
      <w:pPr>
        <w:pStyle w:val="BookText"/>
        <w:rPr/>
      </w:pPr>
      <w:r>
        <w:rPr>
          <w:rFonts w:ascii="Amiri" w:hAnsi="Amiri" w:eastAsia="Amiri" w:cs="Amiri"/>
          <w:color w:val="111111"/>
          <w:sz w:val="28"/>
          <w:sz w:val="28"/>
          <w:szCs w:val="28"/>
          <w:rtl w:val="true"/>
          <w:lang w:bidi="ar-SA"/>
        </w:rPr>
        <w:t>له، يَكونُ‌</w:t>
      </w:r>
      <w:r>
        <w:rPr>
          <w:rStyle w:val="FootnoteAnchor"/>
          <w:rtl w:val="true"/>
        </w:rPr>
        <w:footnoteReference w:id="433"/>
      </w:r>
      <w:r>
        <w:rPr>
          <w:rFonts w:ascii="Amiri" w:hAnsi="Amiri" w:eastAsia="Amiri" w:cs="Amiri"/>
          <w:color w:val="111111"/>
          <w:sz w:val="28"/>
          <w:sz w:val="28"/>
          <w:szCs w:val="28"/>
          <w:rtl w:val="true"/>
          <w:lang w:bidi="ar-SA"/>
        </w:rPr>
        <w:t>أقرَبَ إلَى الصَّلاحِ؛ و متىٰ قُهِرَ علَى اتّباعِ غيرِه، كانَ مِن الصَّلاحِ أبعَدَ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فإنّا لا نَشُكُّ أنّ في</w:t>
      </w:r>
      <w:r>
        <w:rPr>
          <w:rStyle w:val="FootnoteAnchor"/>
          <w:rtl w:val="true"/>
        </w:rPr>
        <w:footnoteReference w:id="435"/>
      </w:r>
      <w:r>
        <w:rPr>
          <w:rFonts w:ascii="Amiri" w:hAnsi="Amiri" w:eastAsia="Amiri" w:cs="Amiri"/>
          <w:color w:val="111111"/>
          <w:sz w:val="28"/>
          <w:sz w:val="28"/>
          <w:szCs w:val="28"/>
          <w:rtl w:val="true"/>
          <w:lang w:bidi="ar-SA"/>
        </w:rPr>
        <w:t>العقلاءِ مَن إذا قُهِرَ علَى اتّباعِ غيرِه لَم يَستَقِمْ حالُه و كانَ إلَى الفَسادِ أقرَبَ، غيرَ أنّه و إن لَم يَصلُحْ حالُه علىٰ مَن قُهِرَ علَى اتّباعِه لنِفارِه عنه</w:t>
      </w:r>
      <w:r>
        <w:rPr>
          <w:rStyle w:val="FootnoteAnchor"/>
          <w:rtl w:val="true"/>
        </w:rPr>
        <w:footnoteReference w:id="436"/>
      </w:r>
      <w:r>
        <w:rPr>
          <w:rFonts w:ascii="Amiri" w:hAnsi="Amiri" w:eastAsia="Amiri" w:cs="Amiri"/>
          <w:color w:val="111111"/>
          <w:sz w:val="28"/>
          <w:sz w:val="28"/>
          <w:szCs w:val="28"/>
          <w:rtl w:val="true"/>
          <w:lang w:bidi="ar-SA"/>
        </w:rPr>
        <w:t>و كراهتِه له أو لِغيرِ ذلكَ ، فلا بُدَّ مِن أن يَكونَ ممّن يَصلُحُ حالُه أو يَستقيمُ علىٰ غيرِه ممّن يَرتَضيهِ و يَميلُ إليه و يؤثِرُ رئاستَه و 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إنّما يَكونُ قَدْحاً في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الصَّلاحَ حاصلٌ عندَ وجودِ كلِّ رئيسٍ ، 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نَقُلْ بهذا</w:t>
      </w:r>
      <w:r>
        <w:rPr>
          <w:rStyle w:val="FootnoteAnchor"/>
          <w:rtl w:val="true"/>
        </w:rPr>
        <w:footnoteReference w:id="437"/>
      </w:r>
      <w:r>
        <w:rPr>
          <w:rFonts w:ascii="Amiri" w:hAnsi="Amiri" w:eastAsia="Amiri" w:cs="Amiri"/>
          <w:color w:val="111111"/>
          <w:sz w:val="28"/>
          <w:sz w:val="28"/>
          <w:szCs w:val="28"/>
          <w:rtl w:val="true"/>
          <w:lang w:bidi="ar-SA"/>
        </w:rPr>
        <w:t>فيَقدَحَ به في قولِنا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المَوضِعُ الذي يُحتاجُ إلىٰ تحصيلِه</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الناسِ لا يَجوزُ أن يَكونَ مع فَقدِ </w:t>
      </w:r>
    </w:p>
    <w:p>
      <w:pPr>
        <w:pStyle w:val="BookText"/>
        <w:rPr/>
      </w:pPr>
      <w:r>
        <w:rPr>
          <w:rFonts w:ascii="Amiri" w:hAnsi="Amiri" w:eastAsia="Amiri" w:cs="Amiri"/>
          <w:color w:val="111111"/>
          <w:sz w:val="28"/>
          <w:sz w:val="28"/>
          <w:szCs w:val="28"/>
          <w:rtl w:val="true"/>
          <w:lang w:bidi="ar-SA"/>
        </w:rPr>
        <w:t>رئيسٍ ما في الجُملةِ كحالِهم عندَ وجودِه، و إن كانَ لا يَمتَنِعُ أن يَكرَهوا رئيساً دونَ رئيسٍ، و يَفسُدوا عندَ رئاسةٍ دونَ 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يُبيِّنُ هذا و يَكشِفُه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يَفسُدونَ و يَضطرِبونَ عندَ إقامةِ بعضِ</w:t>
      </w:r>
    </w:p>
    <w:p>
      <w:pPr>
        <w:pStyle w:val="BookText"/>
        <w:rPr/>
      </w:pPr>
      <w:r>
        <w:rPr>
          <w:rFonts w:ascii="Amiri" w:hAnsi="Amiri" w:eastAsia="Amiri" w:cs="Amiri"/>
          <w:color w:val="111111"/>
          <w:sz w:val="28"/>
          <w:sz w:val="28"/>
          <w:szCs w:val="28"/>
          <w:rtl w:val="true"/>
          <w:lang w:bidi="ar-SA"/>
        </w:rPr>
        <w:t>الرؤَساءِ، لَو أُقيمَ لهم مَن يَختارونَه و نُصِبَ لهم مَن يَرتَضونَه</w:t>
      </w:r>
      <w:r>
        <w:rPr>
          <w:rStyle w:val="FootnoteAnchor"/>
          <w:rtl w:val="true"/>
        </w:rPr>
        <w:footnoteReference w:id="439"/>
      </w:r>
      <w:r>
        <w:rPr>
          <w:rFonts w:ascii="Amiri" w:hAnsi="Amiri" w:eastAsia="Amiri" w:cs="Amiri"/>
          <w:color w:val="111111"/>
          <w:sz w:val="28"/>
          <w:sz w:val="28"/>
          <w:szCs w:val="28"/>
          <w:rtl w:val="true"/>
          <w:lang w:bidi="ar-SA"/>
        </w:rPr>
        <w:t>، لَسَكَنوا إليه وَ صَلَحوا عليه؛ فدَلَّ ذلكَ علىٰ أنّ فَسادَهم عندَ رئاسةِ مَن كَرِهوه لَم يَكُنْ‌</w:t>
      </w:r>
      <w:r>
        <w:rPr>
          <w:rStyle w:val="FootnoteAnchor"/>
          <w:rtl w:val="true"/>
        </w:rPr>
        <w:footnoteReference w:id="440"/>
      </w:r>
      <w:r>
        <w:rPr>
          <w:rFonts w:ascii="Amiri" w:hAnsi="Amiri" w:eastAsia="Amiri" w:cs="Amiri"/>
          <w:color w:val="111111"/>
          <w:sz w:val="28"/>
          <w:sz w:val="28"/>
          <w:szCs w:val="28"/>
          <w:rtl w:val="true"/>
          <w:lang w:bidi="ar-SA"/>
        </w:rPr>
        <w:t>لأمرٍ يَتعلَّقُ بأصلِ الرئاسةِ و جُملةِ الرؤَساءِ، بل لأجلِ رئيسٍ دونَ رئيسٍ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الخَوارجُ‌</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خَلعِهم</w:t>
      </w:r>
      <w:r>
        <w:rPr>
          <w:rStyle w:val="FootnoteAnchor"/>
          <w:rtl w:val="true"/>
        </w:rPr>
        <w:footnoteReference w:id="442"/>
      </w:r>
      <w:r>
        <w:rPr>
          <w:rFonts w:ascii="Amiri" w:hAnsi="Amiri" w:eastAsia="Amiri" w:cs="Amiri"/>
          <w:color w:val="111111"/>
          <w:sz w:val="28"/>
          <w:sz w:val="28"/>
          <w:szCs w:val="28"/>
          <w:rtl w:val="true"/>
          <w:lang w:bidi="ar-SA"/>
        </w:rPr>
        <w:t>لطاعةِ السُّلطانِ و مُروقِهم عن كلمتِه</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يَخلوا مِن الرؤَساءِ و نَصبِ الأُمَراءِ، و رؤَساؤهم في كُلِّ وقتٍ بَعدَ آخَرَ</w:t>
      </w:r>
      <w:r>
        <w:rPr>
          <w:rStyle w:val="FootnoteAnchor"/>
          <w:rtl w:val="true"/>
        </w:rPr>
        <w:footnoteReference w:id="444"/>
      </w:r>
      <w:r>
        <w:rPr>
          <w:rFonts w:ascii="Amiri" w:hAnsi="Amiri" w:eastAsia="Amiri" w:cs="Amiri"/>
          <w:color w:val="111111"/>
          <w:sz w:val="28"/>
          <w:sz w:val="28"/>
          <w:szCs w:val="28"/>
          <w:rtl w:val="true"/>
          <w:lang w:bidi="ar-SA"/>
        </w:rPr>
        <w:t xml:space="preserve">معروفونَ </w:t>
      </w:r>
      <w:r>
        <w:rPr>
          <w:rFonts w:eastAsia="Amiri" w:cs="Amiri" w:ascii="Amiri" w:hAnsi="Amiri"/>
          <w:color w:val="111111"/>
          <w:sz w:val="28"/>
          <w:szCs w:val="28"/>
          <w:rtl w:val="true"/>
          <w:lang w:bidi="ar-SA"/>
        </w:rPr>
        <w:t xml:space="preserve">. </w:t>
      </w:r>
      <w:bookmarkStart w:id="271" w:name="pg20044_770810"/>
    </w:p>
    <w:p>
      <w:pPr>
        <w:pStyle w:val="BookText"/>
        <w:rPr/>
      </w:pPr>
      <w:bookmarkEnd w:id="271"/>
      <w:r>
        <w:rPr>
          <w:rFonts w:ascii="Amiri" w:hAnsi="Amiri" w:eastAsia="Amiri" w:cs="Amiri"/>
          <w:color w:val="111111"/>
          <w:sz w:val="28"/>
          <w:sz w:val="28"/>
          <w:szCs w:val="28"/>
          <w:rtl w:val="true"/>
          <w:lang w:bidi="ar-SA"/>
        </w:rPr>
        <w:t xml:space="preserve">و كذلكَ مَن لَم يَزِلَّ عن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الدَّعارَةِ </w:t>
      </w:r>
      <w:r>
        <w:rPr>
          <w:rStyle w:val="FootnoteAnchor"/>
          <w:rtl w:val="true"/>
        </w:rPr>
        <w:footnoteReference w:id="445"/>
      </w:r>
      <w:r>
        <w:rPr>
          <w:rFonts w:ascii="Amiri" w:hAnsi="Amiri" w:eastAsia="Amiri" w:cs="Amiri"/>
          <w:color w:val="111111"/>
          <w:sz w:val="28"/>
          <w:sz w:val="28"/>
          <w:szCs w:val="28"/>
          <w:rtl w:val="true"/>
          <w:lang w:bidi="ar-SA"/>
        </w:rPr>
        <w:t xml:space="preserve">و التلَصُّصِ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لهم رئيسٌ يَفزَعونَ إلىٰ رأيِه، و</w:t>
      </w:r>
      <w:r>
        <w:rPr>
          <w:rStyle w:val="FootnoteAnchor"/>
          <w:rtl w:val="true"/>
        </w:rPr>
        <w:footnoteReference w:id="447"/>
      </w:r>
      <w:r>
        <w:rPr>
          <w:rFonts w:ascii="Amiri" w:hAnsi="Amiri" w:eastAsia="Amiri" w:cs="Amiri"/>
          <w:color w:val="111111"/>
          <w:sz w:val="28"/>
          <w:sz w:val="28"/>
          <w:szCs w:val="28"/>
          <w:rtl w:val="true"/>
          <w:lang w:bidi="ar-SA"/>
        </w:rPr>
        <w:t>كبيرٌ يَتدبَّرونَ بتَدبيرِه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نازَعَ مِنهم</w:t>
      </w:r>
      <w:r>
        <w:rPr>
          <w:rStyle w:val="FootnoteAnchor"/>
          <w:rtl w:val="true"/>
        </w:rPr>
        <w:footnoteReference w:id="448"/>
      </w:r>
      <w:r>
        <w:rPr>
          <w:rFonts w:ascii="Amiri" w:hAnsi="Amiri" w:eastAsia="Amiri" w:cs="Amiri"/>
          <w:color w:val="111111"/>
          <w:sz w:val="28"/>
          <w:sz w:val="28"/>
          <w:szCs w:val="28"/>
          <w:rtl w:val="true"/>
          <w:lang w:bidi="ar-SA"/>
        </w:rPr>
        <w:t xml:space="preserve">الإماميّةَ فيما ادَّعَيناه أوّلاً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يَكونَ حُكمُ وجودِ الرئاسةِ في الجُملةِ حُكمَ ارتفاعِها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نبَّهناه علىٰ غَفلتِه، و دَفعِه</w:t>
      </w:r>
      <w:r>
        <w:rPr>
          <w:rStyle w:val="FootnoteAnchor"/>
          <w:rtl w:val="true"/>
        </w:rPr>
        <w:footnoteReference w:id="450"/>
      </w:r>
      <w:r>
        <w:rPr>
          <w:rFonts w:ascii="Amiri" w:hAnsi="Amiri" w:eastAsia="Amiri" w:cs="Amiri"/>
          <w:color w:val="111111"/>
          <w:sz w:val="28"/>
          <w:sz w:val="28"/>
          <w:szCs w:val="28"/>
          <w:rtl w:val="true"/>
          <w:lang w:bidi="ar-SA"/>
        </w:rPr>
        <w:t>لِما</w:t>
      </w:r>
      <w:r>
        <w:rPr>
          <w:rStyle w:val="FootnoteAnchor"/>
          <w:rtl w:val="true"/>
        </w:rPr>
        <w:footnoteReference w:id="451"/>
      </w:r>
      <w:r>
        <w:rPr>
          <w:rFonts w:ascii="Amiri" w:hAnsi="Amiri" w:eastAsia="Amiri" w:cs="Amiri"/>
          <w:color w:val="111111"/>
          <w:sz w:val="28"/>
          <w:sz w:val="28"/>
          <w:szCs w:val="28"/>
          <w:rtl w:val="true"/>
          <w:lang w:bidi="ar-SA"/>
        </w:rPr>
        <w:t>هو ثابتٌ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خالَفَنا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بَعضَ العقلاءِ قد يَكرهُ بَعضَ الرؤَساءِ و لا يَنقادُ له، و يَفسُدُ عندَ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يَضُرَّنا خِلافُه؛ لأنّا قد بيّنّا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قادِحٍ في طريقتِنا</w:t>
      </w:r>
      <w:r>
        <w:rPr>
          <w:rFonts w:eastAsia="Amiri" w:cs="Amiri" w:ascii="Amiri" w:hAnsi="Amiri"/>
          <w:color w:val="111111"/>
          <w:sz w:val="28"/>
          <w:szCs w:val="28"/>
          <w:rtl w:val="true"/>
          <w:lang w:bidi="ar-SA"/>
        </w:rPr>
        <w:t>.</w:t>
      </w:r>
      <w:r>
        <w:rPr>
          <w:rStyle w:val="FootnoteAnchor"/>
          <w:rtl w:val="true"/>
        </w:rPr>
        <w:footnoteReference w:id="452"/>
      </w:r>
    </w:p>
    <w:p>
      <w:pPr>
        <w:pStyle w:val="Heading6"/>
        <w:numPr>
          <w:ilvl w:val="5"/>
          <w:numId w:val="1"/>
        </w:numPr>
        <w:rPr/>
      </w:pPr>
      <w:bookmarkStart w:id="272" w:name="__RefHeading___Toc828464_2320776876"/>
      <w:bookmarkStart w:id="273" w:name="_Toc97"/>
      <w:bookmarkEnd w:id="272"/>
      <w:r>
        <w:rPr>
          <w:rtl w:val="true"/>
        </w:rPr>
        <w:t>نفي الدليل العقلي علىٰ عدد الأئمّة، و معنىٰ لزوم وجود رئيس في كلّ بلد</w:t>
      </w:r>
      <w:bookmarkEnd w:id="27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فيَلزَمُهم علىٰ هذه الطريقةِ إثباتُ أئمّةٍ ؛ لأنّ المُتعالَمَ </w:t>
      </w:r>
      <w:r>
        <w:rPr>
          <w:rStyle w:val="FootnoteAnchor"/>
          <w:rtl w:val="true"/>
        </w:rPr>
        <w:footnoteReference w:id="453"/>
      </w:r>
      <w:r>
        <w:rPr>
          <w:rFonts w:ascii="Amiri" w:hAnsi="Amiri" w:eastAsia="Amiri" w:cs="Amiri"/>
          <w:color w:val="111111"/>
          <w:sz w:val="28"/>
          <w:sz w:val="28"/>
          <w:szCs w:val="28"/>
          <w:rtl w:val="true"/>
          <w:lang w:bidi="ar-SA"/>
        </w:rPr>
        <w:t xml:space="preserve">أنّ أهلَ كُلِّ </w:t>
      </w:r>
    </w:p>
    <w:p>
      <w:pPr>
        <w:pStyle w:val="BookText"/>
        <w:rPr/>
      </w:pPr>
      <w:r>
        <w:rPr>
          <w:rFonts w:ascii="Amiri" w:hAnsi="Amiri" w:eastAsia="Amiri" w:cs="Amiri"/>
          <w:color w:val="111111"/>
          <w:sz w:val="28"/>
          <w:sz w:val="28"/>
          <w:szCs w:val="28"/>
          <w:rtl w:val="true"/>
          <w:lang w:bidi="ar-SA"/>
        </w:rPr>
        <w:t>بَلَدٍ إذا كانَ لهم رئيسٌ يُشارِفُ‌</w:t>
      </w:r>
      <w:r>
        <w:rPr>
          <w:rStyle w:val="FootnoteAnchor"/>
          <w:rtl w:val="true"/>
        </w:rPr>
        <w:footnoteReference w:id="454"/>
      </w:r>
      <w:r>
        <w:rPr>
          <w:rFonts w:ascii="Amiri" w:hAnsi="Amiri" w:eastAsia="Amiri" w:cs="Amiri"/>
          <w:color w:val="111111"/>
          <w:sz w:val="28"/>
          <w:sz w:val="28"/>
          <w:szCs w:val="28"/>
          <w:rtl w:val="true"/>
          <w:lang w:bidi="ar-SA"/>
        </w:rPr>
        <w:t xml:space="preserve">أحوالَهم و لا يَغيبُ عنهم، و يأخُذُ حالاً بَعدَ حالٍ علىٰ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المُعوَجَّ مِنهم، و يُزيلُ الشَّتاتَ‌</w:t>
      </w:r>
      <w:r>
        <w:rPr>
          <w:rStyle w:val="FootnoteAnchor"/>
          <w:rtl w:val="true"/>
        </w:rPr>
        <w:footnoteReference w:id="455"/>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أنّهم أقرَبُ إلَى الصَّلاحِ مِن أن يَكونَ الرئيسُ في العالَمِ واحداً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فقَد بيّنّا فيما سَلَفَ بُطلانَ التعلُّقِ بهذا المعنىٰ‌</w:t>
      </w:r>
      <w:r>
        <w:rPr>
          <w:rStyle w:val="FootnoteAnchor"/>
          <w:rtl w:val="true"/>
        </w:rPr>
        <w:footnoteReference w:id="458"/>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العقول لا تَدُلُّ علىٰ إثباتِ عَدَدٍ في الأئمّةِ و الرؤَساءِ دونَ عَدَدٍ، و أنّه موقوفٌ علىٰ ما يَعلَمُه اللّٰهُ تَعالىٰ مِن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ما ظَنَّه مِن أنّ اعتبارَنا يوجِبُ‌</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يجب علينا ما ظنّه على الإطلاق بحيث يجوز أن يكون متعلَّق النظر كون اعتبارنا لما يقتضيه العقل يوجب وجود الرئيس الذي هو بصفة إمام الكلّ في كلّ مكان، و أن يكون متعلَّقه كون اعتبارنا يقتضي وجود رئيس مّا سواء كان بصفة رئيس الكلّ أو منصوباً من قِبله في كلّ مكان؛ و حينئذٍ يستقيم الترديد الذي بعده؛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الرئيسِ في كُلِّ مكانٍ و في كُلِّ بَلَدٍ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أرادَ بذلكَ أنّ رئاسةً مّا يَجِبُ في كُلِّ بَلَدٍ؛ فهو صحيحٌ، و عندَنا أنّ الإمامَ و إن كانَ </w:t>
      </w:r>
      <w:bookmarkStart w:id="274" w:name="pg20044_770812"/>
    </w:p>
    <w:p>
      <w:pPr>
        <w:pStyle w:val="BookText"/>
        <w:rPr/>
      </w:pPr>
      <w:bookmarkEnd w:id="274"/>
      <w:r>
        <w:rPr>
          <w:rFonts w:ascii="Amiri" w:hAnsi="Amiri" w:eastAsia="Amiri" w:cs="Amiri"/>
          <w:color w:val="111111"/>
          <w:sz w:val="28"/>
          <w:sz w:val="28"/>
          <w:szCs w:val="28"/>
          <w:rtl w:val="true"/>
          <w:lang w:bidi="ar-SA"/>
        </w:rPr>
        <w:t>واحداً فواجبٌ‌</w:t>
      </w:r>
      <w:r>
        <w:rPr>
          <w:rStyle w:val="FootnoteAnchor"/>
          <w:rtl w:val="true"/>
        </w:rPr>
        <w:footnoteReference w:id="460"/>
      </w:r>
      <w:r>
        <w:rPr>
          <w:rFonts w:ascii="Amiri" w:hAnsi="Amiri" w:eastAsia="Amiri" w:cs="Amiri"/>
          <w:color w:val="111111"/>
          <w:sz w:val="28"/>
          <w:sz w:val="28"/>
          <w:szCs w:val="28"/>
          <w:rtl w:val="true"/>
          <w:lang w:bidi="ar-SA"/>
        </w:rPr>
        <w:t>عليه أن يَستَخلِفَ الخُلَفاءَ في البُلدانِ ، و يؤمِّرَ الأُمَراءَ 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أنّه لا بُدَّ مِن أن يَكونَ الرئيسُ في كُلِّ مَوضِعٍ بصفةِ رئيسِ الكُلِّ و إمامِ الجَميعِ ، فهو اقتراحٌ طَريفٌ لا يَدُلُّ عليه العقلُ ، و لا يَجِبُ عَلَينا التِزامُه مِن حَيثُ أَوجَبْنا الرئاسةَ في الجُملةِ ، و الذي نُبَيِّنُه فيما بَعدُ بمَشيئةِ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مَصيرِنا إلىٰ مَوضِعِه مِن صفةِ إمامِ الكُلِّ و أحوالِه، و ما يَجِبُ أن يَكونَ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تِلكَ الصفاتِ لا يَجِبُ أن تَكونَ لخُلَفائه و الوُلاةِ مِن قِبَلِه</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828466_2320776876"/>
      <w:bookmarkStart w:id="276" w:name="_Toc98"/>
      <w:bookmarkEnd w:id="275"/>
      <w:r>
        <w:rPr>
          <w:rtl w:val="true"/>
        </w:rPr>
        <w:t>تجويز العقل أن يكون لكلّ بلد إمام</w:t>
      </w:r>
      <w:bookmarkEnd w:id="27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يُوَلّي في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w:t>
      </w:r>
      <w:r>
        <w:rPr>
          <w:rStyle w:val="FootnoteAnchor"/>
          <w:rtl w:val="true"/>
        </w:rPr>
        <w:footnoteReference w:id="461"/>
      </w:r>
      <w:r>
        <w:rPr>
          <w:rFonts w:ascii="Amiri" w:hAnsi="Amiri" w:eastAsia="Amiri" w:cs="Amiri"/>
          <w:color w:val="111111"/>
          <w:sz w:val="28"/>
          <w:sz w:val="28"/>
          <w:szCs w:val="28"/>
          <w:rtl w:val="true"/>
          <w:lang w:bidi="ar-SA"/>
        </w:rPr>
        <w:t>الصَّلاحُ أن لا يَتَّبِعَ الرؤَساءُ بَعضُهم بَعضاً، و يَنقادَ</w:t>
      </w:r>
    </w:p>
    <w:p>
      <w:pPr>
        <w:pStyle w:val="BookText"/>
        <w:rPr/>
      </w:pPr>
      <w:r>
        <w:rPr>
          <w:rFonts w:ascii="Amiri" w:hAnsi="Amiri" w:eastAsia="Amiri" w:cs="Amiri"/>
          <w:color w:val="111111"/>
          <w:sz w:val="28"/>
          <w:sz w:val="28"/>
          <w:szCs w:val="28"/>
          <w:rtl w:val="true"/>
          <w:lang w:bidi="ar-SA"/>
        </w:rPr>
        <w:t>بَعضُهم لِبَعضٍ؛ لأنّ مِن حَقِّ الرئيسِ أن يُمَيَّزَ</w:t>
      </w:r>
      <w:r>
        <w:rPr>
          <w:rStyle w:val="FootnoteAnchor"/>
          <w:rtl w:val="true"/>
        </w:rPr>
        <w:footnoteReference w:id="462"/>
      </w:r>
      <w:r>
        <w:rPr>
          <w:rFonts w:ascii="Amiri" w:hAnsi="Amiri" w:eastAsia="Amiri" w:cs="Amiri"/>
          <w:color w:val="111111"/>
          <w:sz w:val="28"/>
          <w:sz w:val="28"/>
          <w:szCs w:val="28"/>
          <w:rtl w:val="true"/>
          <w:lang w:bidi="ar-SA"/>
        </w:rPr>
        <w:t xml:space="preserve">في ذلكَ عن الرَّعيّةِ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فلَسنا نُنكِرُ أن يَكونَ الصَّلاحُ في بَعضِ الأحوالِ علىٰ جهةِ التقديرِ</w:t>
      </w:r>
      <w:r>
        <w:rPr>
          <w:rStyle w:val="FootnoteAnchor"/>
          <w:rtl w:val="true"/>
        </w:rPr>
        <w:footnoteReference w:id="464"/>
      </w:r>
      <w:r>
        <w:rPr>
          <w:rFonts w:ascii="Amiri" w:hAnsi="Amiri" w:eastAsia="Amiri" w:cs="Amiri"/>
          <w:color w:val="111111"/>
          <w:sz w:val="28"/>
          <w:sz w:val="28"/>
          <w:szCs w:val="28"/>
          <w:rtl w:val="true"/>
          <w:lang w:bidi="ar-SA"/>
        </w:rPr>
        <w:t xml:space="preserve">ما ذَكَره، و إذا وَقَعَ ذلكَ نَصَبَ اللّٰهُ تَعالىٰ في كُلِّ بَلَدٍ إماماً له صفاتُ إمامِ الجَميعِ ؛ فإنّ العقلَ يُسَوِّغُ ذلكَ و لا يَمنَعُ مِنه، بَل لا يَمنَعُ </w:t>
      </w:r>
      <w:r>
        <w:rPr>
          <w:rStyle w:val="FootnoteAnchor"/>
          <w:rtl w:val="true"/>
        </w:rPr>
        <w:footnoteReference w:id="465"/>
      </w:r>
      <w:r>
        <w:rPr>
          <w:rFonts w:ascii="Amiri" w:hAnsi="Amiri" w:eastAsia="Amiri" w:cs="Amiri"/>
          <w:color w:val="111111"/>
          <w:sz w:val="28"/>
          <w:sz w:val="28"/>
          <w:szCs w:val="28"/>
          <w:rtl w:val="true"/>
          <w:lang w:bidi="ar-SA"/>
        </w:rPr>
        <w:t xml:space="preserve">أن يَنصِبَ اللّٰهُ تَعالىٰ لكُلِّ واحدٍ مِن الناسِ </w:t>
      </w:r>
      <w:bookmarkStart w:id="277" w:name="pg20044_770813"/>
    </w:p>
    <w:p>
      <w:pPr>
        <w:pStyle w:val="BookText"/>
        <w:rPr/>
      </w:pPr>
      <w:bookmarkEnd w:id="277"/>
      <w:r>
        <w:rPr>
          <w:rFonts w:ascii="Amiri" w:hAnsi="Amiri" w:eastAsia="Amiri" w:cs="Amiri"/>
          <w:color w:val="111111"/>
          <w:sz w:val="28"/>
          <w:sz w:val="28"/>
          <w:szCs w:val="28"/>
          <w:rtl w:val="true"/>
          <w:lang w:bidi="ar-SA"/>
        </w:rPr>
        <w:t xml:space="preserve">إماماً، و إنّما الذي مَنَعْنا مِنه أن يَكونَ ذلك واجباً؛ فأمّا أن يَكونَ جائزاً فممّا لا يَضُرُّنا، و لا يَنفَعُ صاحبَ الكتابِ </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828468_2320776876"/>
      <w:bookmarkStart w:id="279" w:name="_Toc99"/>
      <w:bookmarkEnd w:id="278"/>
      <w:r>
        <w:rPr>
          <w:rtl w:val="true"/>
        </w:rPr>
        <w:t>الفرق بين دليل وجوب النصّ على الإمام، و دليل وجوب الرئاسة في الجملة</w:t>
      </w:r>
      <w:bookmarkEnd w:id="27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w:t>
      </w:r>
      <w:r>
        <w:rPr>
          <w:rStyle w:val="FootnoteAnchor"/>
          <w:rtl w:val="true"/>
        </w:rPr>
        <w:footnoteReference w:id="466"/>
      </w:r>
      <w:r>
        <w:rPr>
          <w:rFonts w:ascii="Amiri" w:hAnsi="Amiri" w:eastAsia="Amiri" w:cs="Amiri"/>
          <w:color w:val="111111"/>
          <w:sz w:val="28"/>
          <w:sz w:val="28"/>
          <w:szCs w:val="28"/>
          <w:rtl w:val="true"/>
          <w:lang w:bidi="ar-SA"/>
        </w:rPr>
        <w:t>جازَ لبَعضِهم أن يَكونَ تابعاً لبَعضٍ، جازَ في أوّلِهم أن يَكونَ تابعاً للجَماعةِ‌</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يُحتمل أن يريد أ نّه إذا جاز اتّباع الوالي لإمام الكلّ ، جاز اتّباع إمام الكلّ للجماعة الناصبين له؛ قياساً لتبعيّة الإمام لهم علىٰ تبعيّة الوالي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إنّما يتمّ إذا كان تبعيّة إمام الكلّ للجماعة مثل تبعيّة الوالي لإمام الكلّ و هو تبعيّة الأدنىٰ للأعلىٰ ، فيكون تبعيّة إمام الكلّ للجماعة تبعيّة الأدنىٰ للأعلىٰ ، و إلّالم يصحّ القياس؛ لأنّه لا يجوز قياس متابعة الأعلىٰ للأدنىٰ على العكس، و لا علىٰ متابعة المساوي للمساوي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جاز لبعض الناس أن يتّبع بعضهم بعضاً كما جاز لرعايا أُمراء الإمام و خلفائه متابعتهم لهم، و جازت المتبوعيّة و الرياسة من غير نصبٍ منه تعالىٰ ، جاز لإمام الكلّ المتبوعيّة و الرياسة من غير أن يكون منصوباً من قِبله تعالىٰ بأن يكون تابعاً للجماعة إذا أرادوا نصبه؛ قياساً لاتّباع الإمام الجماعة على اتّباع الرعايا لمن ولّاه الإمام، و مع عدم كون المتبوع منصوباً من قِبله تعالىٰ فيهما؛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إذا أرادوا نَصبَه؛ فمِن أينَ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بُدَّ مِن إمامٍ مِن قِبَلِه تَعالىٰ؟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80" w:name="pg20044_770814"/>
    </w:p>
    <w:p>
      <w:pPr>
        <w:pStyle w:val="BookText"/>
        <w:rPr/>
      </w:pPr>
      <w:bookmarkEnd w:id="280"/>
      <w:r>
        <w:rPr>
          <w:rFonts w:ascii="Amiri" w:hAnsi="Amiri" w:eastAsia="Amiri" w:cs="Amiri"/>
          <w:color w:val="111111"/>
          <w:sz w:val="28"/>
          <w:sz w:val="28"/>
          <w:szCs w:val="28"/>
          <w:rtl w:val="true"/>
          <w:lang w:bidi="ar-SA"/>
        </w:rPr>
        <w:t>فهو رجوعٌ إلَى الظنِّ عَلَينا إيجابَ النصِّ علَى الإمامِ مِن قِبَلِ اللّٰهِ تَعالىٰ مِن حَيثُ أوجَبْنا الرئاسةَ في الجُملةِ و حصولَ اللُّطفِ بها، و قد كرَّرنا</w:t>
      </w:r>
      <w:r>
        <w:rPr>
          <w:rStyle w:val="FootnoteAnchor"/>
          <w:rtl w:val="true"/>
        </w:rPr>
        <w:footnoteReference w:id="468"/>
      </w:r>
      <w:r>
        <w:rPr>
          <w:rFonts w:ascii="Amiri" w:hAnsi="Amiri" w:eastAsia="Amiri" w:cs="Amiri"/>
          <w:color w:val="111111"/>
          <w:sz w:val="28"/>
          <w:sz w:val="28"/>
          <w:szCs w:val="28"/>
          <w:rtl w:val="true"/>
          <w:lang w:bidi="ar-SA"/>
        </w:rPr>
        <w:t xml:space="preserve">أنّ الطريقَينِ مُختَلِفانِ ، و أنّ الذي به يوجَبُ </w:t>
      </w:r>
      <w:r>
        <w:rPr>
          <w:rStyle w:val="FootnoteAnchor"/>
          <w:rtl w:val="true"/>
        </w:rPr>
        <w:footnoteReference w:id="469"/>
      </w:r>
      <w:r>
        <w:rPr>
          <w:rFonts w:ascii="Amiri" w:hAnsi="Amiri" w:eastAsia="Amiri" w:cs="Amiri"/>
          <w:color w:val="111111"/>
          <w:sz w:val="28"/>
          <w:sz w:val="28"/>
          <w:szCs w:val="28"/>
          <w:rtl w:val="true"/>
          <w:lang w:bidi="ar-SA"/>
        </w:rPr>
        <w:t xml:space="preserve">النصُّ عليه لَيسَ هو الذي دَلَّ علىٰ ثُبوتِ اللُّطفِ في الرئاسةِ علىٰ سَبيلِ الجُملةِ </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828470_2320776876"/>
      <w:bookmarkStart w:id="282" w:name="_Toc100"/>
      <w:bookmarkEnd w:id="281"/>
      <w:r>
        <w:rPr>
          <w:rtl w:val="true"/>
        </w:rPr>
        <w:t>إلزام صاحبِ المغني القولَ بتبعيّة الإمام للرعيّة</w:t>
      </w:r>
      <w:bookmarkEnd w:id="282"/>
    </w:p>
    <w:p>
      <w:pPr>
        <w:pStyle w:val="BookText"/>
        <w:rPr/>
      </w:pPr>
      <w:r>
        <w:rPr>
          <w:rFonts w:ascii="Amiri" w:hAnsi="Amiri" w:eastAsia="Amiri" w:cs="Amiri"/>
          <w:color w:val="111111"/>
          <w:sz w:val="28"/>
          <w:sz w:val="28"/>
          <w:szCs w:val="28"/>
          <w:rtl w:val="true"/>
          <w:lang w:bidi="ar-SA"/>
        </w:rPr>
        <w:t>علىٰ أنّ الذي 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في أوّلِهم أن يَكونَ تابعاً للجَماعةِ إذا أرادوا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w:t>
      </w:r>
      <w:r>
        <w:rPr>
          <w:rStyle w:val="FootnoteAnchor"/>
          <w:rtl w:val="true"/>
        </w:rPr>
        <w:footnoteReference w:id="470"/>
      </w:r>
      <w:r>
        <w:rPr>
          <w:rFonts w:ascii="Amiri" w:hAnsi="Amiri" w:eastAsia="Amiri" w:cs="Amiri"/>
          <w:color w:val="111111"/>
          <w:sz w:val="28"/>
          <w:sz w:val="28"/>
          <w:szCs w:val="28"/>
          <w:rtl w:val="true"/>
          <w:lang w:bidi="ar-SA"/>
        </w:rPr>
        <w:t xml:space="preserve">مِنه باتّباعِ الإمامِ و انقيادِه لمَن يُريدُ نَصبَه مِن الرَّعيّةِ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بنىٰ ذلك على الإلزام علينا، و محصول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جوّزتم كون الرئيس تابعاً لغيره و عدم إباء الرياسة عنه، فلو صحّ ذلك صحّ أن يكون رئيس الكلّ تابعاً للجماعة الذين ينصبونه، فلو لم يجوّز القاضي ذلك جاز له أن يقول ذلك بطريق الجدل، و ليس فيه اعتراف و لا تصريح بأ نّه ممّا يعتقده و يقرّ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هو و لا أحد من ذوي نحلته وجود الولاة و الخلفاء لمن يعتقدونه إماماً و أنّهم من أهل الاتّباع و الانقياد له، فلو لم يقتض ذلك جواز كون الإمام تابعاً لغيره عنده بطل ما ألزمه، و إلّافهو معترف و مصرّح بجواز تلك التبعيّة لإمام الكلّ ؛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المقصود من القياس إثبات جواز التبعيّة للإمام بالنسبة إلى الجماعة الناصبين له بأنّ الرياسة لا تنافي التبعيّة للغير؛ سواء كان علىٰ سبيل الجدل أم لا، و هو مبنيّ علىٰ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انقياد الإمام لمن يريد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و إلّالم يفد القياس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بناء القياس علىٰ ذلك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علىٰ</w:t>
      </w:r>
    </w:p>
    <w:p>
      <w:pPr>
        <w:pStyle w:val="BookText"/>
        <w:rPr/>
      </w:pPr>
      <w:r>
        <w:rPr>
          <w:rFonts w:ascii="Amiri" w:hAnsi="Amiri" w:eastAsia="Amiri" w:cs="Amiri"/>
          <w:color w:val="111111"/>
          <w:sz w:val="28"/>
          <w:sz w:val="28"/>
          <w:szCs w:val="28"/>
          <w:rtl w:val="true"/>
          <w:lang w:bidi="ar-SA"/>
        </w:rPr>
        <w:t>آكَدِ الوجوهِ‌</w:t>
      </w:r>
      <w:r>
        <w:rPr>
          <w:rStyle w:val="FootnoteAnchor"/>
          <w:rtl w:val="true"/>
        </w:rPr>
        <w:footnoteReference w:id="472"/>
      </w:r>
      <w:r>
        <w:rPr>
          <w:rFonts w:ascii="Amiri" w:hAnsi="Amiri" w:eastAsia="Amiri" w:cs="Amiri"/>
          <w:color w:val="111111"/>
          <w:sz w:val="28"/>
          <w:sz w:val="28"/>
          <w:szCs w:val="28"/>
          <w:rtl w:val="true"/>
          <w:lang w:bidi="ar-SA"/>
        </w:rPr>
        <w:t>التي لَم يَزَلْ أصحابُنا يَسومونَ‌</w:t>
      </w:r>
      <w:r>
        <w:rPr>
          <w:rStyle w:val="FootnoteAnchor"/>
          <w:rtl w:val="true"/>
        </w:rPr>
        <w:footnoteReference w:id="473"/>
      </w:r>
      <w:r>
        <w:rPr>
          <w:rFonts w:ascii="Amiri" w:hAnsi="Amiri" w:eastAsia="Amiri" w:cs="Amiri"/>
          <w:color w:val="111111"/>
          <w:sz w:val="28"/>
          <w:sz w:val="28"/>
          <w:szCs w:val="28"/>
          <w:rtl w:val="true"/>
          <w:lang w:bidi="ar-SA"/>
        </w:rPr>
        <w:t xml:space="preserve">أهلَ مَذهبِه التزامَها، و القَولَ بها فيَمتَنِعونَ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ما أجابوا به هو أنّ نصب الإمام من الرعيّة لا يوجب تبعيّته و انقياده لهم حتّىٰ يرد ما ذكرتم، و القاضي قد اعترف هنا بالتبعيّة علىٰ سبيل الطاعة و التصرّف بين أمرهم و نهيهم، و هو أبيَن فساداً من الاتّباع و الانقياد في حال من الأحوال كحال النصب مثلاً، و سيجيء الكلام علىٰ ذلك الجواب و توجيه الإيراد بما لا مدفع له، إن شاء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جَعَلَ اتّباعَه للجَماعةِ إذا أرادوا نَصبَه كاتّباعِ رَعايا أُمَرائه و خُلَفائه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نَحنُ نَعلَمُ أنّ اتّباعَ هؤلاءِ و انقيادَهم هو علىٰ سَبيلِ الطاعةِ</w:t>
      </w:r>
      <w:bookmarkStart w:id="283" w:name="pg20044_770816"/>
    </w:p>
    <w:p>
      <w:pPr>
        <w:pStyle w:val="BookText"/>
        <w:rPr/>
      </w:pPr>
      <w:bookmarkEnd w:id="283"/>
      <w:r>
        <w:rPr>
          <w:rFonts w:ascii="Amiri" w:hAnsi="Amiri" w:eastAsia="Amiri" w:cs="Amiri"/>
          <w:color w:val="111111"/>
          <w:sz w:val="28"/>
          <w:sz w:val="28"/>
          <w:szCs w:val="28"/>
          <w:rtl w:val="true"/>
          <w:lang w:bidi="ar-SA"/>
        </w:rPr>
        <w:t>و التصرُّفِ بَينَ أمرِهم و نَهيِهم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نَشِطَ</w:t>
      </w:r>
      <w:r>
        <w:rPr>
          <w:rStyle w:val="FootnoteAnchor"/>
          <w:rtl w:val="true"/>
        </w:rPr>
        <w:footnoteReference w:id="475"/>
      </w:r>
      <w:r>
        <w:rPr>
          <w:rFonts w:ascii="Amiri" w:hAnsi="Amiri" w:eastAsia="Amiri" w:cs="Amiri"/>
          <w:color w:val="111111"/>
          <w:sz w:val="28"/>
          <w:sz w:val="28"/>
          <w:szCs w:val="28"/>
          <w:rtl w:val="true"/>
          <w:lang w:bidi="ar-SA"/>
        </w:rPr>
        <w:t>أن يَجعَلَ حُكمَ الإمامِ مع مَن يَختارُه و يَنصِبُه</w:t>
      </w:r>
      <w:r>
        <w:rPr>
          <w:rStyle w:val="FootnoteAnchor"/>
          <w:rtl w:val="true"/>
        </w:rPr>
        <w:footnoteReference w:id="476"/>
      </w:r>
      <w:r>
        <w:rPr>
          <w:rFonts w:ascii="Amiri" w:hAnsi="Amiri" w:eastAsia="Amiri" w:cs="Amiri"/>
          <w:color w:val="111111"/>
          <w:sz w:val="28"/>
          <w:sz w:val="28"/>
          <w:szCs w:val="28"/>
          <w:rtl w:val="true"/>
          <w:lang w:bidi="ar-SA"/>
        </w:rPr>
        <w:t>حُكمَ الرَّعيّةِ مع الأميرِ و مَن جَرىٰ مَجراه مِن الوُلاةِ ، فما بَقِيَ مِن</w:t>
      </w:r>
      <w:r>
        <w:rPr>
          <w:rStyle w:val="FootnoteAnchor"/>
          <w:rtl w:val="true"/>
        </w:rPr>
        <w:footnoteReference w:id="477"/>
      </w:r>
      <w:r>
        <w:rPr>
          <w:rFonts w:ascii="Amiri" w:hAnsi="Amiri" w:eastAsia="Amiri" w:cs="Amiri"/>
          <w:color w:val="111111"/>
          <w:sz w:val="28"/>
          <w:sz w:val="28"/>
          <w:szCs w:val="28"/>
          <w:rtl w:val="true"/>
          <w:lang w:bidi="ar-SA"/>
        </w:rPr>
        <w:t>الشَّناعةِ مَوضِعٌ لَم يَصِرْ إليه، و قد زادَ علىٰ ما أرادَه</w:t>
      </w:r>
      <w:r>
        <w:rPr>
          <w:rStyle w:val="FootnoteAnchor"/>
          <w:rtl w:val="true"/>
        </w:rPr>
        <w:footnoteReference w:id="478"/>
      </w:r>
      <w:r>
        <w:rPr>
          <w:rFonts w:ascii="Amiri" w:hAnsi="Amiri" w:eastAsia="Amiri" w:cs="Amiri"/>
          <w:color w:val="111111"/>
          <w:sz w:val="28"/>
          <w:sz w:val="28"/>
          <w:szCs w:val="28"/>
          <w:rtl w:val="true"/>
          <w:lang w:bidi="ar-SA"/>
        </w:rPr>
        <w:t xml:space="preserve">أصحابُنا مِن أهلِ مذهبِه في التزامِ </w:t>
      </w:r>
      <w:r>
        <w:rPr>
          <w:rStyle w:val="FootnoteAnchor"/>
          <w:rtl w:val="true"/>
        </w:rPr>
        <w:footnoteReference w:id="479"/>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828472_2320776876"/>
      <w:bookmarkStart w:id="285" w:name="_Toc101"/>
      <w:bookmarkEnd w:id="284"/>
      <w:r>
        <w:rPr>
          <w:rtl w:val="true"/>
        </w:rPr>
        <w:t>في بيان أنّ الحاجة إلى الرئيس من الضروريّات البديهيّة</w:t>
      </w:r>
      <w:bookmarkEnd w:id="28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 في عقولِ العقلاءِ الفَزَعُ إلىٰ نَصبِ رئيسٍ يَجمَعُ الكلمةَ،</w:t>
      </w:r>
      <w:r>
        <w:rPr>
          <w:rStyle w:val="FootnoteAnchor"/>
          <w:rtl w:val="true"/>
        </w:rPr>
        <w:footnoteReference w:id="480"/>
      </w:r>
      <w:r>
        <w:rPr>
          <w:rFonts w:ascii="Amiri" w:hAnsi="Amiri" w:eastAsia="Amiri" w:cs="Amiri"/>
          <w:color w:val="111111"/>
          <w:sz w:val="28"/>
          <w:sz w:val="28"/>
          <w:szCs w:val="28"/>
          <w:rtl w:val="true"/>
          <w:lang w:bidi="ar-SA"/>
        </w:rPr>
        <w:t>و يَنظِمُ الشَّملَ ،</w:t>
      </w:r>
      <w:r>
        <w:rPr>
          <w:rStyle w:val="FootnoteAnchor"/>
          <w:rtl w:val="true"/>
        </w:rPr>
        <w:footnoteReference w:id="481"/>
      </w:r>
      <w:r>
        <w:rPr>
          <w:rFonts w:ascii="Amiri" w:hAnsi="Amiri" w:eastAsia="Amiri" w:cs="Amiri"/>
          <w:color w:val="111111"/>
          <w:sz w:val="28"/>
          <w:sz w:val="28"/>
          <w:szCs w:val="28"/>
          <w:rtl w:val="true"/>
          <w:lang w:bidi="ar-SA"/>
        </w:rPr>
        <w:t>و يَجمَعُ علَى الصَّلاحِ ، و يُزيلُ الفَسادَ،</w:t>
      </w:r>
    </w:p>
    <w:p>
      <w:pPr>
        <w:pStyle w:val="BookText"/>
        <w:rPr/>
      </w:pPr>
      <w:r>
        <w:rPr>
          <w:rFonts w:ascii="Amiri" w:hAnsi="Amiri" w:eastAsia="Amiri" w:cs="Amiri"/>
          <w:color w:val="111111"/>
          <w:sz w:val="28"/>
          <w:sz w:val="28"/>
          <w:szCs w:val="28"/>
          <w:rtl w:val="true"/>
          <w:lang w:bidi="ar-SA"/>
        </w:rPr>
        <w:t xml:space="preserve">إمام الكلّ أيضاً كذلك، و لا فرق عندهم بين فرقة و فرقة في جواز نصب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اتّباع إمام الكلّ للجماعة الناصبين له مثل اتّباع رعايا أُمراء الإمام لهم بأن يكون علىٰ وجه الانقياد للتصرّف بالأمر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تكلّف، 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نسبة الرعايا إلى الأمراء كنسبة الأُمراء إلى الإمام؛ لكون الأُمراء رعايا للإمام، فتدبَّر تفهم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حاشية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الظاهر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كاتّباع أمرائه له، 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بما ذكره لتَساوي نسبة أُمرائه إليه و نسبة رعايا أُمرائه إليهم مع زيادة شناعة هذا التشبيه، ففعل كذلك إظهاراً لهذه الشناعة الزائدة؛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مولانا محمّد هادي مازندراني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الموجودُ في عقلِ‌</w:t>
      </w:r>
      <w:r>
        <w:rPr>
          <w:rStyle w:val="FootnoteAnchor"/>
          <w:rtl w:val="true"/>
        </w:rPr>
        <w:footnoteReference w:id="482"/>
      </w:r>
      <w:r>
        <w:rPr>
          <w:rFonts w:ascii="Amiri" w:hAnsi="Amiri" w:eastAsia="Amiri" w:cs="Amiri"/>
          <w:color w:val="111111"/>
          <w:sz w:val="28"/>
          <w:sz w:val="28"/>
          <w:szCs w:val="28"/>
          <w:rtl w:val="true"/>
          <w:lang w:bidi="ar-SA"/>
        </w:rPr>
        <w:t>العقلاءِ عندَ الحوادثِ و النوائبِ‌</w:t>
      </w:r>
      <w:r>
        <w:rPr>
          <w:rStyle w:val="FootnoteAnchor"/>
          <w:rtl w:val="true"/>
        </w:rPr>
        <w:footnoteReference w:id="483"/>
      </w:r>
      <w:r>
        <w:rPr>
          <w:rFonts w:ascii="Amiri" w:hAnsi="Amiri" w:eastAsia="Amiri" w:cs="Amiri"/>
          <w:color w:val="111111"/>
          <w:sz w:val="28"/>
          <w:sz w:val="28"/>
          <w:szCs w:val="28"/>
          <w:rtl w:val="true"/>
          <w:lang w:bidi="ar-SA"/>
        </w:rPr>
        <w:t>، و قد بَلَغَ حالُه في الظهورِ إلىٰ أنّ غيرَ العُقَلاءِ يَشرَكُهم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السؤالِ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مقرَّرٌ</w:t>
      </w:r>
      <w:r>
        <w:rPr>
          <w:rStyle w:val="FootnoteAnchor"/>
          <w:rtl w:val="true"/>
        </w:rPr>
        <w:footnoteReference w:id="486"/>
      </w:r>
      <w:r>
        <w:rPr>
          <w:rFonts w:ascii="Amiri" w:hAnsi="Amiri" w:eastAsia="Amiri" w:cs="Amiri"/>
          <w:color w:val="111111"/>
          <w:sz w:val="28"/>
          <w:sz w:val="28"/>
          <w:szCs w:val="28"/>
          <w:rtl w:val="true"/>
          <w:lang w:bidi="ar-SA"/>
        </w:rPr>
        <w:t xml:space="preserve">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يُدَّعىٰ عِلمُ اضطرارٍ، و ذلك ممّا لا سَبيلَ إليه؛ لأنّا نَجِدُ مِن أنفُسِنا خِلافَه</w:t>
      </w:r>
      <w:r>
        <w:rPr>
          <w:rStyle w:val="FootnoteAnchor"/>
          <w:rtl w:val="true"/>
        </w:rPr>
        <w:footnoteReference w:id="487"/>
      </w:r>
      <w:r>
        <w:rPr>
          <w:rFonts w:ascii="Amiri" w:hAnsi="Amiri" w:eastAsia="Amiri" w:cs="Amiri"/>
          <w:color w:val="111111"/>
          <w:sz w:val="28"/>
          <w:sz w:val="28"/>
          <w:szCs w:val="28"/>
          <w:rtl w:val="true"/>
          <w:lang w:bidi="ar-SA"/>
        </w:rPr>
        <w:t xml:space="preserve">، و لأنّ الاختلافَ في ذلك ممكنٌ مع سَلامةِ الأحوالِ ، و لأنّه </w:t>
      </w:r>
    </w:p>
    <w:p>
      <w:pPr>
        <w:pStyle w:val="BookText"/>
        <w:rPr/>
      </w:pPr>
      <w:r>
        <w:rPr>
          <w:rFonts w:ascii="Amiri" w:hAnsi="Amiri" w:eastAsia="Amiri" w:cs="Amiri"/>
          <w:color w:val="111111"/>
          <w:sz w:val="28"/>
          <w:sz w:val="28"/>
          <w:szCs w:val="28"/>
          <w:rtl w:val="true"/>
          <w:lang w:bidi="ar-SA"/>
        </w:rPr>
        <w:t>لَيسَ بأن يُدَّعىٰ في العقلِ إماماً واحداً</w:t>
      </w:r>
      <w:r>
        <w:rPr>
          <w:rStyle w:val="FootnoteAnchor"/>
          <w:rtl w:val="true"/>
        </w:rPr>
        <w:footnoteReference w:id="488"/>
      </w:r>
      <w:r>
        <w:rPr>
          <w:rFonts w:ascii="Amiri" w:hAnsi="Amiri" w:eastAsia="Amiri" w:cs="Amiri"/>
          <w:color w:val="111111"/>
          <w:sz w:val="28"/>
          <w:sz w:val="28"/>
          <w:szCs w:val="28"/>
          <w:rtl w:val="true"/>
          <w:lang w:bidi="ar-SA"/>
        </w:rPr>
        <w:t>بأَولىٰ مِن أن يُدَّعىٰ جَماعةً ، و</w:t>
      </w:r>
    </w:p>
    <w:p>
      <w:pPr>
        <w:pStyle w:val="BookText"/>
        <w:rPr/>
      </w:pPr>
      <w:r>
        <w:rPr>
          <w:rFonts w:ascii="IRNazanin" w:hAnsi="IRNazanin" w:eastAsia="IRNazanin"/>
          <w:color w:val="111111"/>
          <w:sz w:val="28"/>
          <w:sz w:val="28"/>
          <w:szCs w:val="28"/>
          <w:rtl w:val="true"/>
          <w:lang w:bidi="fa-IR"/>
        </w:rPr>
        <w:t>لا</w:t>
      </w:r>
      <w:r>
        <w:rPr>
          <w:rStyle w:val="FootnoteAnchor"/>
          <w:rtl w:val="true"/>
        </w:rPr>
        <w:footnoteReference w:id="489"/>
      </w:r>
      <w:r>
        <w:rPr>
          <w:rFonts w:ascii="Amiri" w:hAnsi="Amiri" w:eastAsia="Amiri" w:cs="Amiri"/>
          <w:color w:val="111111"/>
          <w:sz w:val="28"/>
          <w:sz w:val="28"/>
          <w:szCs w:val="28"/>
          <w:rtl w:val="true"/>
          <w:lang w:bidi="ar-SA"/>
        </w:rPr>
        <w:t>بأن يُدَّعىٰ معصوماً أَولىٰ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تدَّعي</w:t>
      </w:r>
      <w:r>
        <w:rPr>
          <w:rStyle w:val="FootnoteAnchor"/>
          <w:rtl w:val="true"/>
        </w:rPr>
        <w:footnoteReference w:id="490"/>
      </w:r>
      <w:r>
        <w:rPr>
          <w:rFonts w:ascii="Amiri" w:hAnsi="Amiri" w:eastAsia="Amiri" w:cs="Amiri"/>
          <w:color w:val="111111"/>
          <w:sz w:val="28"/>
          <w:sz w:val="28"/>
          <w:szCs w:val="28"/>
          <w:rtl w:val="true"/>
          <w:lang w:bidi="ar-SA"/>
        </w:rPr>
        <w:t>عِلمَ الاكتسابِ فبيِّنْ طريقَه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فقَد بيّنّا ما الذي يُعلَمُ ضَرورةً مِن هذا البابِ ، و ما الذي يُعلَمُ اكتساباً، و نبَّهْنا عليه؛ 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ضرورةً هو</w:t>
      </w:r>
      <w:r>
        <w:rPr>
          <w:rStyle w:val="FootnoteAnchor"/>
          <w:rtl w:val="true"/>
        </w:rPr>
        <w:footnoteReference w:id="492"/>
      </w:r>
      <w:r>
        <w:rPr>
          <w:rFonts w:ascii="Amiri" w:hAnsi="Amiri" w:eastAsia="Amiri" w:cs="Amiri"/>
          <w:color w:val="111111"/>
          <w:sz w:val="28"/>
          <w:sz w:val="28"/>
          <w:szCs w:val="28"/>
          <w:rtl w:val="true"/>
          <w:lang w:bidi="ar-SA"/>
        </w:rPr>
        <w:t xml:space="preserve">أنّ الناسَ </w:t>
      </w:r>
      <w:r>
        <w:rPr>
          <w:rStyle w:val="FootnoteAnchor"/>
          <w:rtl w:val="true"/>
        </w:rPr>
        <w:footnoteReference w:id="493"/>
      </w:r>
      <w:r>
        <w:rPr>
          <w:rFonts w:ascii="Amiri" w:hAnsi="Amiri" w:eastAsia="Amiri" w:cs="Amiri"/>
          <w:color w:val="111111"/>
          <w:sz w:val="28"/>
          <w:sz w:val="28"/>
          <w:szCs w:val="28"/>
          <w:rtl w:val="true"/>
          <w:lang w:bidi="ar-SA"/>
        </w:rPr>
        <w:t>لا يجوزُ أن يَكونَ حالُهم عندَ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أحقّ و أحرىٰ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نّهم إنّما أفرغوا وسعهم عند وفاة النبيّ صلّى اللّٰه عليه و آله قبل أن يفرغوا من أمره إلىٰ نصب الإمام؛ لأنّهم كانوا يرون وجوبه ضرورة، بل يرون أ نّه أوجب و آكد من تجهيز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المسارعة و المبادرة المؤذنة بمعنى الاختلاس و الاستلاب نكتة لا تخفىٰ على البصير؛ و هي أنّ القوم إنّما بادروا إلىٰ ما فعلوه لئلّا تفوتهم الفرصة التي لم يزالوا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أظهروا الإسلام منتظرين لانتهازها، ولا تزول المكنة التي كانوا قديماً مرتقبين لاختلاسها؛ حيث علموا أنّ الأصحاب إذا اجتمعوا واتّفقت كلمتهم و أخذوا بما تقتضيه عقولهم وتؤكّده وصيّة نبيّهم وتنصيصه علىٰ من هو أولىٰ بهم من أنفسهم اختاروا أفضلهم و أكرمهم، و أجلّهم قَدْراً، و أعظمهم شأناً، و أعلاهم مكاناً، و أشدّهم بلاءً في الإسلام، و أحبّهم إلى اللّٰه و رسوله، و أكثرهم اجتهاداً في ترويج هذا الدِّين، و إعلاء كلمته، و رفع مناره، و تثبيت قواعده و تشييد مبانيه، و أعرفهم بالأسرار الإلهيّة، و أعلمهم بالأحكام الدينيّة، و أخصّهم برسول اللّٰه صلّى اللّٰه عليه و آله سرّاً و جهاراً و ليلاً و نهاراً، و مَن هو بمنزلة نفسه، أو كرأسه من بدنه، كما أخبر به في حديثه المشهور؛ فلذلك لم يلبثوا حتّىٰ يفرغ أهل بيته من تجهيزه و القيام بمراسم مصيبته، فبادروا إلىٰ مطلوبهم، و انتهزوا الفرصة حينما رأوهم مشغولين بمصيبته، و في مثل هذا الوقت يكثر التغلّب و يهون الخطب كما لا يخفىٰ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 الرؤَساءِ المُطاعينَ، و انبساطِ أيديهِم، و نُفوذِ أوامرِهم و نواهيهِم، و تمكُّنِهم مِن الحَلِّ و العَقدِ، و القَبضِ و البَسطِ، و الإحسانِ و الإساءةِ؛ كحالِهم إذا لَم يَكونوا في الصَّلاحِ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المُشتَبِهُ الذي يُرجَعُ فيه إلىٰ طريقةِ الاستدلالِ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494"/>
      </w:r>
      <w:r>
        <w:rPr>
          <w:rFonts w:ascii="Amiri" w:hAnsi="Amiri" w:eastAsia="Amiri" w:cs="Amiri"/>
          <w:color w:val="111111"/>
          <w:sz w:val="28"/>
          <w:sz w:val="28"/>
          <w:szCs w:val="28"/>
          <w:rtl w:val="true"/>
          <w:lang w:bidi="ar-SA"/>
        </w:rPr>
        <w:t>هذه حالُهم عندَ كُلِّ رئيسٍ، أو هو أمرٌ يَجوزُ اختصاصُه ببعضِ الرؤَساءِ دونَ بَعضٍ؟ و هل غيرُ الإمامِ يَقومُ مَقامَ الإمامِ في ذلك، أو هو ممّا</w:t>
      </w:r>
      <w:r>
        <w:rPr>
          <w:rStyle w:val="FootnoteAnchor"/>
          <w:rtl w:val="true"/>
        </w:rPr>
        <w:footnoteReference w:id="495"/>
      </w:r>
      <w:r>
        <w:rPr>
          <w:rFonts w:ascii="Amiri" w:hAnsi="Amiri" w:eastAsia="Amiri" w:cs="Amiri"/>
          <w:color w:val="111111"/>
          <w:sz w:val="28"/>
          <w:sz w:val="28"/>
          <w:szCs w:val="28"/>
          <w:rtl w:val="true"/>
          <w:lang w:bidi="ar-SA"/>
        </w:rPr>
        <w:t>لا يَنوبُ مَنابَه فيه؟ و هل هذه الحاجةُ مُستمِرّةٌ لازمةٌ، أو هي مُنقَطِعةٌ يَجوزُ ارتفاعُها؟ فهذه الوجوهُ و ما قارَبَها هي التي يُمكِنُ أن يَقَعَ الخِلافُ‌</w:t>
      </w:r>
      <w:r>
        <w:rPr>
          <w:rStyle w:val="FootnoteAnchor"/>
          <w:rtl w:val="true"/>
        </w:rPr>
        <w:footnoteReference w:id="496"/>
      </w:r>
      <w:r>
        <w:rPr>
          <w:rFonts w:ascii="Amiri" w:hAnsi="Amiri" w:eastAsia="Amiri" w:cs="Amiri"/>
          <w:color w:val="111111"/>
          <w:sz w:val="28"/>
          <w:sz w:val="28"/>
          <w:szCs w:val="28"/>
          <w:rtl w:val="true"/>
          <w:lang w:bidi="ar-SA"/>
        </w:rPr>
        <w:t xml:space="preserve">فيها، و يُبيَّنَ بالدليلِ </w:t>
      </w:r>
      <w:r>
        <w:rPr>
          <w:rStyle w:val="FootnoteAnchor"/>
          <w:rtl w:val="true"/>
        </w:rPr>
        <w:footnoteReference w:id="497"/>
      </w:r>
      <w:r>
        <w:rPr>
          <w:rFonts w:ascii="Amiri" w:hAnsi="Amiri" w:eastAsia="Amiri" w:cs="Amiri"/>
          <w:color w:val="111111"/>
          <w:sz w:val="28"/>
          <w:sz w:val="28"/>
          <w:szCs w:val="28"/>
          <w:rtl w:val="true"/>
          <w:lang w:bidi="ar-SA"/>
        </w:rPr>
        <w:t>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قدَّمناه</w:t>
      </w:r>
      <w:r>
        <w:rPr>
          <w:rStyle w:val="FootnoteAnchor"/>
          <w:rtl w:val="true"/>
        </w:rPr>
        <w:footnoteReference w:id="498"/>
      </w:r>
      <w:r>
        <w:rPr>
          <w:rFonts w:ascii="Amiri" w:hAnsi="Amiri" w:eastAsia="Amiri" w:cs="Amiri"/>
          <w:color w:val="111111"/>
          <w:sz w:val="28"/>
          <w:sz w:val="28"/>
          <w:szCs w:val="28"/>
          <w:rtl w:val="true"/>
          <w:lang w:bidi="ar-SA"/>
        </w:rPr>
        <w:t xml:space="preserve">فلا طريقَ إليه مِن جهةِ الاستدلالِ ؛ لأنّه في حيِّزِ الضروراتِ </w:t>
      </w:r>
      <w:r>
        <w:rPr>
          <w:rStyle w:val="FootnoteAnchor"/>
          <w:rtl w:val="true"/>
        </w:rPr>
        <w:footnoteReference w:id="4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رئيس في الجملة، سواء كان ضروريّاً أو نظريّاً، والمقصود هو إثبات الإمام الموصوف بالصفات المخصوصة، وهو الذي يتعلّق به بحث أصحابنا الإماميّة في الكلام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داخل في المقصود؛ لأنّ ما نريد إثباته، بعضه ممّا يُدرك بالضرورة من غير نظر و لا اكتساب، و بعضه ممّا يُعلم بالنظر و الاكتساب؛ كيف لا؟ و إثبات وجوب الإمام الموصوف بالصفات المخصوصة يتوقّف علىٰ وجوب أصل الرياسة، لا أنّ بيان وجوب رئيس في الجملة مقصود أصالةً واستقلالاً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هو معلومٌ بالعاداتِ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أنّ مَن حَمَلَ نفسَه علىٰ دفعِه لم يَنفَصِلْ ممّن دَفَعَه عمّا يَعتقِدُه</w:t>
      </w:r>
      <w:r>
        <w:rPr>
          <w:rStyle w:val="FootnoteAnchor"/>
          <w:rtl w:val="true"/>
        </w:rPr>
        <w:footnoteReference w:id="500"/>
      </w:r>
      <w:r>
        <w:rPr>
          <w:rFonts w:ascii="Amiri" w:hAnsi="Amiri" w:eastAsia="Amiri" w:cs="Amiri"/>
          <w:color w:val="111111"/>
          <w:sz w:val="28"/>
          <w:sz w:val="28"/>
          <w:szCs w:val="28"/>
          <w:rtl w:val="true"/>
          <w:lang w:bidi="ar-SA"/>
        </w:rPr>
        <w:t>في جميعِ العاداتِ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ما ذَكَرناه مُستَقِرّاً في العقولِ، معلوماً لسائرِ العقلاءِ؟ و نَحنُ</w:t>
      </w:r>
    </w:p>
    <w:p>
      <w:pPr>
        <w:pStyle w:val="BookText"/>
        <w:rPr/>
      </w:pPr>
      <w:r>
        <w:rPr>
          <w:rFonts w:ascii="Amiri" w:hAnsi="Amiri" w:eastAsia="Amiri" w:cs="Amiri"/>
          <w:color w:val="111111"/>
          <w:sz w:val="28"/>
          <w:sz w:val="28"/>
          <w:szCs w:val="28"/>
          <w:rtl w:val="true"/>
          <w:lang w:bidi="ar-SA"/>
        </w:rPr>
        <w:t>نَجِدُ جميعَ حُكَماءِ الأُمَمِ يَحُضّونَ‌</w:t>
      </w:r>
      <w:r>
        <w:rPr>
          <w:rStyle w:val="FootnoteAnchor"/>
          <w:rtl w:val="true"/>
        </w:rPr>
        <w:footnoteReference w:id="501"/>
      </w:r>
      <w:r>
        <w:rPr>
          <w:rFonts w:ascii="Amiri" w:hAnsi="Amiri" w:eastAsia="Amiri" w:cs="Amiri"/>
          <w:color w:val="111111"/>
          <w:sz w:val="28"/>
          <w:sz w:val="28"/>
          <w:szCs w:val="28"/>
          <w:rtl w:val="true"/>
          <w:lang w:bidi="ar-SA"/>
        </w:rPr>
        <w:t>عليه، و يوصونَ به، و يُحذِّرونَ مِن التغافُلِ عنه و التفريطِ</w:t>
      </w:r>
      <w:r>
        <w:rPr>
          <w:rStyle w:val="FootnoteAnchor"/>
          <w:rtl w:val="true"/>
        </w:rPr>
        <w:footnoteReference w:id="502"/>
      </w:r>
      <w:r>
        <w:rPr>
          <w:rFonts w:ascii="Amiri" w:hAnsi="Amiri" w:eastAsia="Amiri" w:cs="Amiri"/>
          <w:color w:val="111111"/>
          <w:sz w:val="28"/>
          <w:sz w:val="28"/>
          <w:szCs w:val="28"/>
          <w:rtl w:val="true"/>
          <w:lang w:bidi="ar-SA"/>
        </w:rPr>
        <w:t>في القيامِ به؛ و هذا أَرْدَشيرُ بن بابَكَ‌</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 الساسانيّين،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استولىٰ على الأقاليم و العمران جميعاً، و أوّل من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إلّابالرجال، و لا رجال إلّابالمال، و لا مال إلّابالعمارة، و لا عمارة إلّابالعدل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خَضوم خيرٌ من ملِكٍ غَشوم، و ملِكٌ غَشوم خيرٌ من فتنةٍ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بالمُلك يقوىٰ ، و المُلكُ بالدين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ألفاظُه و وَصاياهُ في الحِكمةِ و ما يَتعلَّقُ بالأخذِ بالحَزمِ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الدِّينُ أخَوانِ تَوأَمانِ؛</w:t>
      </w:r>
      <w:r>
        <w:rPr>
          <w:rStyle w:val="FootnoteAnchor"/>
          <w:rtl w:val="true"/>
        </w:rPr>
        <w:footnoteReference w:id="504"/>
      </w:r>
      <w:r>
        <w:rPr>
          <w:rFonts w:ascii="Amiri" w:hAnsi="Amiri" w:eastAsia="Amiri" w:cs="Amiri"/>
          <w:color w:val="111111"/>
          <w:sz w:val="28"/>
          <w:sz w:val="28"/>
          <w:szCs w:val="28"/>
          <w:rtl w:val="true"/>
          <w:lang w:bidi="ar-SA"/>
        </w:rPr>
        <w:t>لا قِوامَ لأحَدِهما إلّابصاحبِه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مِن أمثالِهم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المُلكِ و الدِّينِ مَثَلُ الروحِ و الجَسَدِ؛ فلا انتِفاعَ بالروحِ مِن غيرِ جَسَدٍ، و لا بجَسَدٍ مِن غيرِ روحٍ</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أمّا حُكماءُ العَرَبِ فقَولُهم في ذلك معروفٌ شايعٌ؛ قال الأَفوَهُ‌</w:t>
      </w:r>
      <w:r>
        <w:rPr>
          <w:rStyle w:val="FootnoteAnchor"/>
          <w:rtl w:val="true"/>
        </w:rPr>
        <w:footnoteReference w:id="507"/>
      </w:r>
      <w:r>
        <w:rPr>
          <w:rFonts w:ascii="Amiri" w:hAnsi="Amiri" w:eastAsia="Amiri" w:cs="Amiri"/>
          <w:color w:val="111111"/>
          <w:sz w:val="28"/>
          <w:sz w:val="28"/>
          <w:szCs w:val="28"/>
          <w:rtl w:val="true"/>
          <w:lang w:bidi="ar-SA"/>
        </w:rPr>
        <w:t>الأَوْدِيُّ‌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يَصلُحُ الناسُ فَوْضىٰ‌</w:t>
      </w:r>
      <w:r>
        <w:rPr>
          <w:rStyle w:val="FootnoteAnchor"/>
          <w:rtl w:val="true"/>
        </w:rPr>
        <w:footnoteReference w:id="509"/>
      </w:r>
      <w:r>
        <w:rPr>
          <w:rFonts w:ascii="Amiri" w:hAnsi="Amiri" w:eastAsia="Amiri" w:cs="Amiri"/>
          <w:color w:val="111111"/>
          <w:sz w:val="28"/>
          <w:sz w:val="28"/>
          <w:szCs w:val="28"/>
          <w:rtl w:val="true"/>
          <w:lang w:bidi="ar-SA"/>
        </w:rPr>
        <w:t>لا سَراةَ‌</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في مروءة؛ سَرىٰ يَسرو، و سَريَ يَسرىٰ ، سَرواً فيهما، و سَرُوَ يَسرو سَراوةً ، أي صارَ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السَّريّ سَراةٌ ، و هو جمع عزيز أن يُجمع فَعيل علىٰ فَعَلَة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سَراةَ إذا جُهّالُهم سادُوا</w:t>
      </w:r>
    </w:p>
    <w:p>
      <w:pPr>
        <w:pStyle w:val="BookText"/>
        <w:rPr/>
      </w:pPr>
      <w:r>
        <w:rPr>
          <w:rFonts w:ascii="Amiri" w:hAnsi="Amiri" w:eastAsia="Amiri" w:cs="Amiri"/>
          <w:color w:val="111111"/>
          <w:sz w:val="28"/>
          <w:sz w:val="28"/>
          <w:szCs w:val="28"/>
          <w:rtl w:val="true"/>
          <w:lang w:bidi="ar-SA"/>
        </w:rPr>
        <w:t>تُهدَى الأُمورُ بأهلِ الحَزمِ ما صَلَحَت</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تَوَلَّت فبالأشرارِ تَنقادُ</w:t>
      </w:r>
    </w:p>
    <w:p>
      <w:pPr>
        <w:pStyle w:val="BookText"/>
        <w:rPr/>
      </w:pPr>
      <w:r>
        <w:rPr>
          <w:rFonts w:ascii="Amiri" w:hAnsi="Amiri" w:eastAsia="Amiri" w:cs="Amiri"/>
          <w:color w:val="111111"/>
          <w:sz w:val="28"/>
          <w:sz w:val="28"/>
          <w:szCs w:val="28"/>
          <w:rtl w:val="true"/>
          <w:lang w:bidi="ar-SA"/>
        </w:rPr>
        <w:t xml:space="preserve">فالبَيتُ لا يَبتَني إلّابأعمِدةٍ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عِمادَ إذا لَم تُرسَ أَوتادُ</w:t>
      </w:r>
    </w:p>
    <w:p>
      <w:pPr>
        <w:pStyle w:val="BookText"/>
        <w:rPr/>
      </w:pPr>
      <w:r>
        <w:rPr>
          <w:rFonts w:ascii="Amiri" w:hAnsi="Amiri" w:eastAsia="Amiri" w:cs="Amiri"/>
          <w:color w:val="111111"/>
          <w:sz w:val="28"/>
          <w:sz w:val="28"/>
          <w:szCs w:val="28"/>
          <w:rtl w:val="true"/>
          <w:lang w:bidi="ar-SA"/>
        </w:rPr>
        <w:t xml:space="preserve">فإنْ تَجَمَّعَ أَوتادٌ و أعمِدةٌ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 ، بَلَغَ الأمرُ الذي كادوا</w:t>
      </w:r>
      <w:r>
        <w:rPr>
          <w:rStyle w:val="FootnoteAnchor"/>
          <w:rtl w:val="true"/>
        </w:rPr>
        <w:footnoteReference w:id="512"/>
      </w:r>
      <w:r>
        <w:rPr>
          <w:rFonts w:ascii="IRNazanin" w:hAnsi="IRNazanin" w:eastAsia="IRNazanin"/>
          <w:color w:val="111111"/>
          <w:sz w:val="28"/>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فما يكونُ قولُ العقلاءِ و الألبّاءِ فيه هذا القولَ، و وصيّتُهم به جاريةً علىٰ هذا الوجهِ، كيفَ يُمكنُ أن يُدَّعَى</w:t>
      </w:r>
      <w:r>
        <w:rPr>
          <w:rStyle w:val="FootnoteAnchor"/>
          <w:rtl w:val="true"/>
        </w:rPr>
        <w:footnoteReference w:id="514"/>
      </w:r>
      <w:r>
        <w:rPr>
          <w:rFonts w:ascii="Amiri" w:hAnsi="Amiri" w:eastAsia="Amiri" w:cs="Amiri"/>
          <w:color w:val="111111"/>
          <w:sz w:val="28"/>
          <w:sz w:val="28"/>
          <w:szCs w:val="28"/>
          <w:rtl w:val="true"/>
          <w:lang w:bidi="ar-SA"/>
        </w:rPr>
        <w:t>اختلافُ العقلاءِ فيه، و أنّه أمرٌ يُستَغنىٰ عنه أحياناً و يُحتاجُ إليه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مَن حَكيتُم عنه ما ذَكَرتُموه غالِطٌ و متوَهِّمٌ لخِلافِ‌</w:t>
      </w:r>
      <w:r>
        <w:rPr>
          <w:rStyle w:val="FootnoteAnchor"/>
          <w:rtl w:val="true"/>
        </w:rPr>
        <w:footnoteReference w:id="515"/>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لَم نَحتَجَّ بقَولِه</w:t>
      </w:r>
      <w:r>
        <w:rPr>
          <w:rStyle w:val="FootnoteAnchor"/>
          <w:rtl w:val="true"/>
        </w:rPr>
        <w:footnoteReference w:id="516"/>
      </w:r>
      <w:r>
        <w:rPr>
          <w:rFonts w:ascii="Amiri" w:hAnsi="Amiri" w:eastAsia="Amiri" w:cs="Amiri"/>
          <w:color w:val="111111"/>
          <w:sz w:val="28"/>
          <w:sz w:val="28"/>
          <w:szCs w:val="28"/>
          <w:rtl w:val="true"/>
          <w:lang w:bidi="ar-SA"/>
        </w:rPr>
        <w:t>علىٰ وجهٍ يَقدَحُ فيه مِثلُ هذا الكلامِ ، و إنّما أرَدنا أنّ اعتقادَ الحاجةِ إلَى الرؤَساء و عمومِ النفعِ بهم</w:t>
      </w:r>
      <w:r>
        <w:rPr>
          <w:rStyle w:val="FootnoteAnchor"/>
          <w:rtl w:val="true"/>
        </w:rPr>
        <w:footnoteReference w:id="517"/>
      </w:r>
      <w:r>
        <w:rPr>
          <w:rFonts w:ascii="Amiri" w:hAnsi="Amiri" w:eastAsia="Amiri" w:cs="Amiri"/>
          <w:color w:val="111111"/>
          <w:sz w:val="28"/>
          <w:sz w:val="28"/>
          <w:szCs w:val="28"/>
          <w:rtl w:val="true"/>
          <w:lang w:bidi="ar-SA"/>
        </w:rPr>
        <w:t>شاملٌ للعقلاءِ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يُعرف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الحاجب و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أنّه اسم جمع لا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286" w:name="pg20044_770823"/>
    </w:p>
    <w:p>
      <w:pPr>
        <w:pStyle w:val="BookText"/>
        <w:rPr/>
      </w:pPr>
      <w:bookmarkEnd w:id="286"/>
      <w:r>
        <w:rPr>
          <w:rFonts w:ascii="Amiri" w:hAnsi="Amiri" w:eastAsia="Amiri" w:cs="Amiri"/>
          <w:color w:val="111111"/>
          <w:sz w:val="28"/>
          <w:sz w:val="28"/>
          <w:szCs w:val="28"/>
          <w:rtl w:val="true"/>
          <w:lang w:bidi="ar-SA"/>
        </w:rPr>
        <w:t>و أنّه ممّا لا يَختصُّ به أحَدٌ، فاستَشهَدنا بقَولِ مَن قد صَحَّت حِكمتُه، و تبيَّنَت</w:t>
      </w:r>
      <w:r>
        <w:rPr>
          <w:rStyle w:val="FootnoteAnchor"/>
          <w:rtl w:val="true"/>
        </w:rPr>
        <w:footnoteReference w:id="518"/>
      </w:r>
      <w:r>
        <w:rPr>
          <w:rFonts w:ascii="Amiri" w:hAnsi="Amiri" w:eastAsia="Amiri" w:cs="Amiri"/>
          <w:color w:val="111111"/>
          <w:sz w:val="28"/>
          <w:sz w:val="28"/>
          <w:szCs w:val="28"/>
          <w:rtl w:val="true"/>
          <w:lang w:bidi="ar-SA"/>
        </w:rPr>
        <w:t>معرفتُه بالسياسةِ و ما يَرجِعُ إلَى الأخذِ بالحَزمِ و التدبيرِ؛ ليَكونَ أبلَغَ فيما قَصَدْنا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فكيفَ غَلِطَ هؤلاءِ فيما ذَكَرناه و لَم يَغلَطوا في جميعِ ما وَصَّوا به</w:t>
      </w:r>
    </w:p>
    <w:p>
      <w:pPr>
        <w:pStyle w:val="BookText"/>
        <w:rPr/>
      </w:pPr>
      <w:r>
        <w:rPr>
          <w:rFonts w:ascii="Amiri" w:hAnsi="Amiri" w:eastAsia="Amiri" w:cs="Amiri"/>
          <w:color w:val="111111"/>
          <w:sz w:val="28"/>
          <w:sz w:val="28"/>
          <w:szCs w:val="28"/>
          <w:rtl w:val="true"/>
          <w:lang w:bidi="ar-SA"/>
        </w:rPr>
        <w:t>مِن الحِكَمِ و الآدابِ و التدبيرِ و السياسةِ ، و نَحنُ نَجِدُ جميعَ العقلاءِ يَفزَعونَ في هذه الأُمورِ إلىٰ كُتُبِ هؤلاءِ القَومِ و يَستفيدونَ مِنها ما يَسوسونَ به أمرَ مَعايِشِهم و أكثرِ مُتَصرَّفاتِهم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ادّعاءُ الغَلَطِ عَلَيهم في هذا دونَ غَيرِه إلّافِراراً مِن لُزومِ الحُجّةِ؟</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828474_2320776876"/>
      <w:bookmarkStart w:id="288" w:name="_Toc102"/>
      <w:bookmarkEnd w:id="287"/>
      <w:r>
        <w:rPr>
          <w:rtl w:val="true"/>
        </w:rPr>
        <w:t>إشارة إلىٰ ما تقدّم من عدم دلالة العقل علىٰ عدد الأئمّة و صفاتهم</w:t>
      </w:r>
      <w:bookmarkEnd w:id="288"/>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بأن يدَّعِيَ إماماً واحداً بأَولىٰ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يدَّعِيَ </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جماعةً ، و لا معصوماً بأَولىٰ </w:t>
      </w:r>
      <w:r>
        <w:rPr>
          <w:rStyle w:val="FootnoteAnchor"/>
          <w:rtl w:val="true"/>
        </w:rPr>
        <w:footnoteReference w:id="520"/>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مضىٰ ما فيه</w:t>
      </w:r>
      <w:r>
        <w:rPr>
          <w:rStyle w:val="FootnoteAnchor"/>
          <w:rtl w:val="true"/>
        </w:rPr>
        <w:footnoteReference w:id="522"/>
      </w:r>
      <w:r>
        <w:rPr>
          <w:rFonts w:ascii="Amiri" w:hAnsi="Amiri" w:eastAsia="Amiri" w:cs="Amiri"/>
          <w:color w:val="111111"/>
          <w:sz w:val="28"/>
          <w:sz w:val="28"/>
          <w:szCs w:val="28"/>
          <w:rtl w:val="true"/>
          <w:lang w:bidi="ar-SA"/>
        </w:rPr>
        <w:t>، و بيّنّا أنّ الذي به</w:t>
      </w:r>
      <w:r>
        <w:rPr>
          <w:rStyle w:val="FootnoteAnchor"/>
          <w:rtl w:val="true"/>
        </w:rPr>
        <w:footnoteReference w:id="523"/>
      </w:r>
      <w:r>
        <w:rPr>
          <w:rFonts w:ascii="Amiri" w:hAnsi="Amiri" w:eastAsia="Amiri" w:cs="Amiri"/>
          <w:color w:val="111111"/>
          <w:sz w:val="28"/>
          <w:sz w:val="28"/>
          <w:szCs w:val="28"/>
          <w:rtl w:val="true"/>
          <w:lang w:bidi="ar-SA"/>
        </w:rPr>
        <w:t>يَثبُتُ وجوبُ الرئاسةِ و حصولُ اللطفِ بها</w:t>
      </w:r>
      <w:r>
        <w:rPr>
          <w:rStyle w:val="FootnoteAnchor"/>
          <w:rtl w:val="true"/>
        </w:rPr>
        <w:footnoteReference w:id="524"/>
      </w:r>
      <w:r>
        <w:rPr>
          <w:rFonts w:ascii="Amiri" w:hAnsi="Amiri" w:eastAsia="Amiri" w:cs="Amiri"/>
          <w:color w:val="111111"/>
          <w:sz w:val="28"/>
          <w:sz w:val="28"/>
          <w:szCs w:val="28"/>
          <w:rtl w:val="true"/>
          <w:lang w:bidi="ar-SA"/>
        </w:rPr>
        <w:t>في الجُملةِ غيرُ الذي به يثبُتُ صفاتُ الرؤَساءِ و أعدادُهم</w:t>
      </w:r>
      <w:r>
        <w:rPr>
          <w:rFonts w:eastAsia="Amiri" w:cs="Amiri" w:ascii="Amiri" w:hAnsi="Amiri"/>
          <w:color w:val="111111"/>
          <w:sz w:val="28"/>
          <w:szCs w:val="28"/>
          <w:rtl w:val="true"/>
          <w:lang w:bidi="ar-SA"/>
        </w:rPr>
        <w:t xml:space="preserve">. </w:t>
      </w:r>
      <w:bookmarkStart w:id="289" w:name="pg20044_770824"/>
    </w:p>
    <w:p>
      <w:pPr>
        <w:pStyle w:val="Heading6"/>
        <w:numPr>
          <w:ilvl w:val="5"/>
          <w:numId w:val="1"/>
        </w:numPr>
        <w:rPr/>
      </w:pPr>
      <w:bookmarkStart w:id="290" w:name="__RefHeading___Toc828476_2320776876"/>
      <w:bookmarkStart w:id="291" w:name="_Toc103"/>
      <w:bookmarkEnd w:id="289"/>
      <w:bookmarkEnd w:id="290"/>
      <w:r>
        <w:rPr>
          <w:rtl w:val="true"/>
        </w:rPr>
        <w:t>تأكيد ما تقدّم من ذهاب العقلاء إلىٰ ضرورة وجود رئيس</w:t>
      </w:r>
      <w:bookmarkEnd w:id="291"/>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قائلاً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المتقرِّرُ</w:t>
      </w:r>
      <w:r>
        <w:rPr>
          <w:rStyle w:val="FootnoteAnchor"/>
          <w:rtl w:val="true"/>
        </w:rPr>
        <w:footnoteReference w:id="525"/>
      </w:r>
      <w:r>
        <w:rPr>
          <w:rFonts w:ascii="Amiri" w:hAnsi="Amiri" w:eastAsia="Amiri" w:cs="Amiri"/>
          <w:color w:val="111111"/>
          <w:sz w:val="28"/>
          <w:sz w:val="28"/>
          <w:szCs w:val="28"/>
          <w:rtl w:val="true"/>
          <w:lang w:bidi="ar-SA"/>
        </w:rPr>
        <w:t>في العقولِ فَزَعُهم إلَى اختيارِ أنفسِهم</w:t>
      </w:r>
      <w:r>
        <w:rPr>
          <w:rStyle w:val="FootnoteAnchor"/>
          <w:rtl w:val="true"/>
        </w:rPr>
        <w:footnoteReference w:id="526"/>
      </w:r>
      <w:r>
        <w:rPr>
          <w:rFonts w:ascii="Amiri" w:hAnsi="Amiri" w:eastAsia="Amiri" w:cs="Amiri"/>
          <w:color w:val="111111"/>
          <w:sz w:val="28"/>
          <w:sz w:val="28"/>
          <w:szCs w:val="28"/>
          <w:rtl w:val="true"/>
          <w:lang w:bidi="ar-SA"/>
        </w:rPr>
        <w:t>في نَصبِ رئيسٍ جامعٍ‌</w:t>
      </w:r>
      <w:r>
        <w:rPr>
          <w:rStyle w:val="FootnoteAnchor"/>
          <w:rtl w:val="true"/>
        </w:rPr>
        <w:footnoteReference w:id="527"/>
      </w:r>
      <w:r>
        <w:rPr>
          <w:rFonts w:ascii="Amiri" w:hAnsi="Amiri" w:eastAsia="Amiri" w:cs="Amiri"/>
          <w:color w:val="111111"/>
          <w:sz w:val="28"/>
          <w:sz w:val="28"/>
          <w:szCs w:val="28"/>
          <w:rtl w:val="true"/>
          <w:lang w:bidi="ar-SA"/>
        </w:rPr>
        <w:t xml:space="preserve">للكلِمِ ، فيَجِبُ أن يَبطُلَ </w:t>
      </w:r>
      <w:r>
        <w:rPr>
          <w:rStyle w:val="FootnoteAnchor"/>
          <w:rtl w:val="true"/>
        </w:rPr>
        <w:footnoteReference w:id="528"/>
      </w:r>
      <w:r>
        <w:rPr>
          <w:rFonts w:ascii="Amiri" w:hAnsi="Amiri" w:eastAsia="Amiri" w:cs="Amiri"/>
          <w:color w:val="111111"/>
          <w:sz w:val="28"/>
          <w:sz w:val="28"/>
          <w:szCs w:val="28"/>
          <w:rtl w:val="true"/>
          <w:lang w:bidi="ar-SA"/>
        </w:rPr>
        <w:t xml:space="preserve">بذلك إثباتُ الإمامِ بنَصٍّ أو مُعجِزةٍ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أقرَبَ ممّا ذَكَروه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سلَفَ </w:t>
      </w:r>
      <w:r>
        <w:rPr>
          <w:rStyle w:val="FootnoteAnchor"/>
          <w:rtl w:val="true"/>
        </w:rPr>
        <w:footnoteReference w:id="531"/>
      </w:r>
      <w:r>
        <w:rPr>
          <w:rFonts w:ascii="Amiri" w:hAnsi="Amiri" w:eastAsia="Amiri" w:cs="Amiri"/>
          <w:color w:val="111111"/>
          <w:sz w:val="28"/>
          <w:sz w:val="28"/>
          <w:szCs w:val="28"/>
          <w:rtl w:val="true"/>
          <w:lang w:bidi="ar-SA"/>
        </w:rPr>
        <w:t>مِن الكلامِ عليه في هذا المعنى</w:t>
      </w:r>
      <w:r>
        <w:rPr>
          <w:rStyle w:val="FootnoteAnchor"/>
          <w:rtl w:val="true"/>
        </w:rPr>
        <w:footnoteReference w:id="532"/>
      </w:r>
      <w:r>
        <w:rPr>
          <w:rFonts w:ascii="Amiri" w:hAnsi="Amiri" w:eastAsia="Amiri" w:cs="Amiri"/>
          <w:color w:val="111111"/>
          <w:sz w:val="28"/>
          <w:sz w:val="28"/>
          <w:szCs w:val="28"/>
          <w:rtl w:val="true"/>
          <w:lang w:bidi="ar-SA"/>
        </w:rPr>
        <w:t>المتكرِّرِ ما يُغني</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فإنّهم إنّما فَزِعوا إلَى اختيارِ أنفُسِهم، عندَ جَهلِهم بأنّ لهم إماماً يَجِبُ عَلَيهم طاعتُه، و عندَ نُفورِهم عمّن نُصِبَ لهم مِن الأئمّة و عِصيانِهم لهم؛ ففَزِعوا إلىٰ نَصبِ رئيسٍ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292" w:name="pg20044_770825"/>
    </w:p>
    <w:p>
      <w:pPr>
        <w:pStyle w:val="BookText"/>
        <w:rPr/>
      </w:pPr>
      <w:bookmarkEnd w:id="292"/>
      <w:r>
        <w:rPr>
          <w:rFonts w:ascii="Amiri" w:hAnsi="Amiri" w:eastAsia="Amiri" w:cs="Amiri"/>
          <w:color w:val="111111"/>
          <w:sz w:val="28"/>
          <w:sz w:val="28"/>
          <w:szCs w:val="28"/>
          <w:rtl w:val="true"/>
          <w:lang w:bidi="ar-SA"/>
        </w:rPr>
        <w:t xml:space="preserve">مِن حَيثُ فوَّتوا أنفسَهم الانتفاعَ بمَن نُصِبَ </w:t>
      </w:r>
      <w:r>
        <w:rPr>
          <w:rStyle w:val="FootnoteAnchor"/>
          <w:rtl w:val="true"/>
        </w:rPr>
        <w:footnoteReference w:id="535"/>
      </w:r>
      <w:r>
        <w:rPr>
          <w:rFonts w:ascii="Amiri" w:hAnsi="Amiri" w:eastAsia="Amiri" w:cs="Amiri"/>
          <w:color w:val="111111"/>
          <w:sz w:val="28"/>
          <w:sz w:val="28"/>
          <w:szCs w:val="28"/>
          <w:rtl w:val="true"/>
          <w:lang w:bidi="ar-SA"/>
        </w:rPr>
        <w:t>لهم، و هذا يؤكِّدُ ما ذَكَرناه</w:t>
      </w:r>
      <w:r>
        <w:rPr>
          <w:rStyle w:val="FootnoteAnchor"/>
          <w:rtl w:val="true"/>
        </w:rPr>
        <w:footnoteReference w:id="536"/>
      </w:r>
      <w:r>
        <w:rPr>
          <w:rFonts w:ascii="Amiri" w:hAnsi="Amiri" w:eastAsia="Amiri" w:cs="Amiri"/>
          <w:color w:val="111111"/>
          <w:sz w:val="28"/>
          <w:sz w:val="28"/>
          <w:szCs w:val="28"/>
          <w:rtl w:val="true"/>
          <w:lang w:bidi="ar-SA"/>
        </w:rPr>
        <w:t xml:space="preserve">مِن مُثابَرةِ </w:t>
      </w:r>
      <w:r>
        <w:rPr>
          <w:rStyle w:val="FootnoteAnchor"/>
          <w:rtl w:val="true"/>
        </w:rPr>
        <w:footnoteReference w:id="537"/>
      </w:r>
      <w:r>
        <w:rPr>
          <w:rFonts w:ascii="Amiri" w:hAnsi="Amiri" w:eastAsia="Amiri" w:cs="Amiri"/>
          <w:color w:val="111111"/>
          <w:sz w:val="28"/>
          <w:sz w:val="28"/>
          <w:szCs w:val="28"/>
          <w:rtl w:val="true"/>
          <w:lang w:bidi="ar-SA"/>
        </w:rPr>
        <w:t>العقلاءِ علىٰ أمرِ الرئاسةِ ، و اعتقادِهم وجوبَها، و حصولَ الضَّرَرِ في الإخلالِ بها</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828478_2320776876"/>
      <w:bookmarkStart w:id="294" w:name="_Toc104"/>
      <w:bookmarkEnd w:id="293"/>
      <w:r>
        <w:rPr>
          <w:rtl w:val="true"/>
        </w:rPr>
        <w:t>في بيان أنّ الحاجة إلى الإمام عامّة لجميع الأحوال</w:t>
      </w:r>
      <w:bookmarkEnd w:id="294"/>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قائلاً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المتعالَمُ‌</w:t>
      </w:r>
      <w:r>
        <w:rPr>
          <w:rStyle w:val="FootnoteAnchor"/>
          <w:rtl w:val="true"/>
        </w:rPr>
        <w:footnoteReference w:id="538"/>
      </w:r>
      <w:r>
        <w:rPr>
          <w:rFonts w:ascii="Amiri" w:hAnsi="Amiri" w:eastAsia="Amiri" w:cs="Amiri"/>
          <w:color w:val="111111"/>
          <w:sz w:val="28"/>
          <w:sz w:val="28"/>
          <w:szCs w:val="28"/>
          <w:rtl w:val="true"/>
          <w:lang w:bidi="ar-SA"/>
        </w:rPr>
        <w:t>أنّهم يَنصِبون رئيساً عندَ الحوادثِ، لا في كُلِّ حالٍ ؛ لأنّهم</w:t>
      </w:r>
      <w:r>
        <w:rPr>
          <w:rStyle w:val="FootnoteAnchor"/>
          <w:rtl w:val="true"/>
        </w:rPr>
        <w:footnoteReference w:id="539"/>
      </w:r>
      <w:r>
        <w:rPr>
          <w:rFonts w:ascii="Amiri" w:hAnsi="Amiri" w:eastAsia="Amiri" w:cs="Amiri"/>
          <w:color w:val="111111"/>
          <w:sz w:val="28"/>
          <w:sz w:val="28"/>
          <w:szCs w:val="28"/>
          <w:rtl w:val="true"/>
          <w:lang w:bidi="ar-SA"/>
        </w:rPr>
        <w:t>مع سَلامةِ أحوالِهم قد لا يَفعَلونَ ذلكَ ، فإذا</w:t>
      </w:r>
    </w:p>
    <w:p>
      <w:pPr>
        <w:pStyle w:val="BookText"/>
        <w:rPr/>
      </w:pPr>
      <w:r>
        <w:rPr>
          <w:rFonts w:ascii="Amiri" w:hAnsi="Amiri" w:eastAsia="Amiri" w:cs="Amiri"/>
          <w:color w:val="111111"/>
          <w:sz w:val="28"/>
          <w:sz w:val="28"/>
          <w:szCs w:val="28"/>
          <w:rtl w:val="true"/>
          <w:lang w:bidi="ar-SA"/>
        </w:rPr>
        <w:t>لغرض نفسانيّ ، و ذلك لا يدلّ علىٰ عدم حكم عقولهم بوجوب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اتّحاد الطريق لم يتوجّه الإيراد، بل ما ذكرت من الفزع إلى الاختيار يؤكّد المدّعىٰ في الجملة؛ حيث يقطعون بأن لا محيص عن وجود الرياسة و حصول الضرر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يصحّ أن لو كان القاضي مُعلِّلاً، فلعلّه في مقام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 بأنّ الظاهر من كلام القاضي المعارضة، بناءً علىٰ أنّ المقصود إثبات الإمام المنصوص،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أن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المنع لا يبطل أصل الدعوىٰ ،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أقرب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كلامه قدّس سرّه عليه؛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 نّه لو كان منعاً لكان منعاً للمقدّمة الضروريّة المنزّلة على الضرورة، فينبغي في المقام التنبيه لإزالة الخفاء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يقرّر كلامه قدّس سرّه بأنّ ما ذكرته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أن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سلف في كلامنا من أنّ طريق إثبات وجوب الرياسة غير طريق إثبات وجوب الصفات المخصوصة للإمام، و ما ذكرته من أنّ المتقرّر في العقول فزعهم إلى الاختيار، فلا ينافي طريق إثبات وجوب أصل الرياسة بل يؤكّده، و لا يُبطل أيضاً طريق إثبات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جودته، و عدم ورود شيء عليه؛ فليُفهَم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دُفِعوا إلىٰ‌</w:t>
      </w:r>
      <w:r>
        <w:rPr>
          <w:rStyle w:val="FootnoteAnchor"/>
          <w:rtl w:val="true"/>
        </w:rPr>
        <w:footnoteReference w:id="540"/>
      </w:r>
      <w:r>
        <w:rPr>
          <w:rFonts w:ascii="Amiri" w:hAnsi="Amiri" w:eastAsia="Amiri" w:cs="Amiri"/>
          <w:color w:val="111111"/>
          <w:sz w:val="28"/>
          <w:sz w:val="28"/>
          <w:szCs w:val="28"/>
          <w:rtl w:val="true"/>
          <w:lang w:bidi="ar-SA"/>
        </w:rPr>
        <w:t xml:space="preserve">محارَبةٍ و منازَعةٍ </w:t>
      </w:r>
      <w:r>
        <w:rPr>
          <w:rStyle w:val="FootnoteAnchor"/>
          <w:rtl w:val="true"/>
        </w:rPr>
        <w:footnoteReference w:id="541"/>
      </w:r>
      <w:r>
        <w:rPr>
          <w:rFonts w:ascii="Amiri" w:hAnsi="Amiri" w:eastAsia="Amiri" w:cs="Amiri"/>
          <w:color w:val="111111"/>
          <w:sz w:val="28"/>
          <w:sz w:val="28"/>
          <w:szCs w:val="28"/>
          <w:rtl w:val="true"/>
          <w:lang w:bidi="ar-SA"/>
        </w:rPr>
        <w:t>،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أقرَبَ ممّا قالوه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فقَد بيّنّا أنّ الأمرَ الذي يُحتاجُ فيه إلىٰ إمامٍ لَيسَ ممّا يَحدُثُ في حالٍ دونَ حالٍ ، بل هو عامٌّ في الأحوالِ </w:t>
      </w:r>
      <w:r>
        <w:rPr>
          <w:rStyle w:val="FootnoteAnchor"/>
          <w:rtl w:val="true"/>
        </w:rPr>
        <w:footnoteReference w:id="543"/>
      </w:r>
      <w:r>
        <w:rPr>
          <w:rFonts w:ascii="Amiri" w:hAnsi="Amiri" w:eastAsia="Amiri" w:cs="Amiri"/>
          <w:color w:val="111111"/>
          <w:sz w:val="28"/>
          <w:sz w:val="28"/>
          <w:szCs w:val="28"/>
          <w:rtl w:val="true"/>
          <w:lang w:bidi="ar-SA"/>
        </w:rPr>
        <w:t>فكيفَ يَصِحُّ ما ذَكَروه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فكيفَ يَجوزُ الاستِغناءُ عن الإمامِ في حالِ الأمنِ‌</w:t>
      </w:r>
      <w:r>
        <w:rPr>
          <w:rStyle w:val="FootnoteAnchor"/>
          <w:rtl w:val="true"/>
        </w:rPr>
        <w:footnoteReference w:id="544"/>
      </w:r>
      <w:r>
        <w:rPr>
          <w:rFonts w:ascii="Amiri" w:hAnsi="Amiri" w:eastAsia="Amiri" w:cs="Amiri"/>
          <w:color w:val="111111"/>
          <w:sz w:val="28"/>
          <w:sz w:val="28"/>
          <w:szCs w:val="28"/>
          <w:rtl w:val="true"/>
          <w:lang w:bidi="ar-SA"/>
        </w:rPr>
        <w:t xml:space="preserve">و ارتفاعِ الحاجةِ إلَى الحَربِ و المنازَعةِ و ما جَرىٰ مَجراهما، و نَحنُ نَعلَمُ أنّ حالَ الأمنِ لا يؤمَنُ </w:t>
      </w:r>
      <w:r>
        <w:rPr>
          <w:rStyle w:val="FootnoteAnchor"/>
          <w:rtl w:val="true"/>
        </w:rPr>
        <w:footnoteReference w:id="545"/>
      </w:r>
      <w:r>
        <w:rPr>
          <w:rFonts w:ascii="Amiri" w:hAnsi="Amiri" w:eastAsia="Amiri" w:cs="Amiri"/>
          <w:color w:val="111111"/>
          <w:sz w:val="28"/>
          <w:sz w:val="28"/>
          <w:szCs w:val="28"/>
          <w:rtl w:val="true"/>
          <w:lang w:bidi="ar-SA"/>
        </w:rPr>
        <w:t xml:space="preserve">فيها التظالُمُ و التغالُبُ ، و امتدادُ يدِ القويِّ إلَى الضعيفِ ، إلىٰ سائرِ ما يُستَغنىٰ عن ذِكرِه مِن وجوهِ الفَسادِ التي لا يَمنَعُ </w:t>
      </w:r>
      <w:r>
        <w:rPr>
          <w:rStyle w:val="FootnoteAnchor"/>
          <w:rtl w:val="true"/>
        </w:rPr>
        <w:footnoteReference w:id="546"/>
      </w:r>
      <w:r>
        <w:rPr>
          <w:rFonts w:ascii="Amiri" w:hAnsi="Amiri" w:eastAsia="Amiri" w:cs="Amiri"/>
          <w:color w:val="111111"/>
          <w:sz w:val="28"/>
          <w:sz w:val="28"/>
          <w:szCs w:val="28"/>
          <w:rtl w:val="true"/>
          <w:lang w:bidi="ar-SA"/>
        </w:rPr>
        <w:t>الأمنُ مِنها و لا يُحيلُ وقوعَها</w:t>
      </w:r>
      <w:r>
        <w:rPr>
          <w:rStyle w:val="FootnoteAnchor"/>
          <w:rtl w:val="true"/>
        </w:rPr>
        <w:footnoteReference w:id="547"/>
      </w:r>
      <w:r>
        <w:rPr>
          <w:rFonts w:ascii="Amiri" w:hAnsi="Amiri" w:eastAsia="Amiri" w:cs="Amiri"/>
          <w:color w:val="111111"/>
          <w:sz w:val="28"/>
          <w:sz w:val="28"/>
          <w:szCs w:val="28"/>
          <w:rtl w:val="true"/>
          <w:lang w:bidi="ar-SA"/>
        </w:rPr>
        <w:t xml:space="preserve">؟ و إذا كان كُلُّ هذا متوَقَّعاً مُمكِناً، و وجودُ مَن يُهابُ مكانُه و تُخشىٰ سَطوَتُه أو يوَقَّرُ في نفسِه </w:t>
      </w:r>
      <w:bookmarkStart w:id="295" w:name="pg20044_770827"/>
    </w:p>
    <w:p>
      <w:pPr>
        <w:pStyle w:val="BookText"/>
        <w:rPr/>
      </w:pPr>
      <w:bookmarkEnd w:id="295"/>
      <w:r>
        <w:rPr>
          <w:rFonts w:ascii="Amiri" w:hAnsi="Amiri" w:eastAsia="Amiri" w:cs="Amiri"/>
          <w:color w:val="111111"/>
          <w:sz w:val="28"/>
          <w:sz w:val="28"/>
          <w:szCs w:val="28"/>
          <w:rtl w:val="true"/>
          <w:lang w:bidi="ar-SA"/>
        </w:rPr>
        <w:t>و يُستَحيىٰ مِن مُجاهَدَتِه</w:t>
      </w:r>
      <w:r>
        <w:rPr>
          <w:rStyle w:val="FootnoteAnchor"/>
          <w:rtl w:val="true"/>
        </w:rPr>
        <w:footnoteReference w:id="548"/>
      </w:r>
      <w:r>
        <w:rPr>
          <w:rFonts w:ascii="Amiri" w:hAnsi="Amiri" w:eastAsia="Amiri" w:cs="Amiri"/>
          <w:color w:val="111111"/>
          <w:sz w:val="28"/>
          <w:sz w:val="28"/>
          <w:szCs w:val="28"/>
          <w:rtl w:val="true"/>
          <w:lang w:bidi="ar-SA"/>
        </w:rPr>
        <w:t>يَرفَعُ ذلكَ أو يُقلِّلُه، فقَد بَطَلَ ما ظَنَّه مَن اختِصاصِ الحاجةِ إليه بحالٍ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فَرقَ بَينَ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قد يَجوزُ أن يُستَغنىٰ عنه في الأمنِ عندَ الاستِغناءِ عن</w:t>
      </w:r>
      <w:r>
        <w:rPr>
          <w:rStyle w:val="FootnoteAnchor"/>
          <w:rtl w:val="true"/>
        </w:rPr>
        <w:footnoteReference w:id="549"/>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يَجوزُ أيضاً أن يُستَغنىٰ عنه في الحَربِ و غيرِها ممّا ادُّعِيَ </w:t>
      </w:r>
      <w:r>
        <w:rPr>
          <w:rStyle w:val="FootnoteAnchor"/>
          <w:rtl w:val="true"/>
        </w:rPr>
        <w:footnoteReference w:id="550"/>
      </w:r>
      <w:r>
        <w:rPr>
          <w:rFonts w:ascii="Amiri" w:hAnsi="Amiri" w:eastAsia="Amiri" w:cs="Amiri"/>
          <w:color w:val="111111"/>
          <w:sz w:val="28"/>
          <w:sz w:val="28"/>
          <w:szCs w:val="28"/>
          <w:rtl w:val="true"/>
          <w:lang w:bidi="ar-SA"/>
        </w:rPr>
        <w:t>أنّه يُحتاجُ إليه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يُصحِّحُ الحاجةَ إليه في الحَربِ و المنازَعاتِ ، بمِثلِه يُصحَّحُ الحاجةُ إليه في جميعِ الأحوالِ </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828480_2320776876"/>
      <w:bookmarkStart w:id="297" w:name="_Toc105"/>
      <w:bookmarkEnd w:id="296"/>
      <w:r>
        <w:rPr>
          <w:rtl w:val="true"/>
        </w:rPr>
        <w:t>تجويز ترك العقلاءِ نصبَ الإمام مع إدراكهم لقبح ذلك عقلاً</w:t>
      </w:r>
      <w:bookmarkEnd w:id="297"/>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مع سَلامةِ الأحوالِ قد لا 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غيرَ أنّهم إذا لَم</w:t>
      </w:r>
    </w:p>
    <w:p>
      <w:pPr>
        <w:pStyle w:val="BookText"/>
        <w:rPr/>
      </w:pPr>
      <w:r>
        <w:rPr>
          <w:rFonts w:ascii="Amiri" w:hAnsi="Amiri" w:eastAsia="Amiri" w:cs="Amiri"/>
          <w:color w:val="111111"/>
          <w:sz w:val="28"/>
          <w:sz w:val="28"/>
          <w:szCs w:val="28"/>
          <w:rtl w:val="true"/>
          <w:lang w:bidi="ar-SA"/>
        </w:rPr>
        <w:t>يَفعَلوه أعقَبَهم مِن الضَّرَرِ و الانتِشارِ</w:t>
      </w:r>
      <w:r>
        <w:rPr>
          <w:rStyle w:val="FootnoteAnchor"/>
          <w:rtl w:val="true"/>
        </w:rPr>
        <w:footnoteReference w:id="551"/>
      </w:r>
      <w:r>
        <w:rPr>
          <w:rFonts w:ascii="Amiri" w:hAnsi="Amiri" w:eastAsia="Amiri" w:cs="Amiri"/>
          <w:color w:val="111111"/>
          <w:sz w:val="28"/>
          <w:sz w:val="28"/>
          <w:szCs w:val="28"/>
          <w:rtl w:val="true"/>
          <w:lang w:bidi="ar-SA"/>
        </w:rPr>
        <w:t xml:space="preserve">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احتجاجُنا بفِعلِهم</w:t>
      </w:r>
      <w:r>
        <w:rPr>
          <w:rStyle w:val="FootnoteAnchor"/>
          <w:rtl w:val="true"/>
        </w:rPr>
        <w:footnoteReference w:id="552"/>
      </w:r>
      <w:r>
        <w:rPr>
          <w:rFonts w:ascii="Amiri" w:hAnsi="Amiri" w:eastAsia="Amiri" w:cs="Amiri"/>
          <w:color w:val="111111"/>
          <w:sz w:val="28"/>
          <w:sz w:val="28"/>
          <w:szCs w:val="28"/>
          <w:rtl w:val="true"/>
          <w:lang w:bidi="ar-SA"/>
        </w:rPr>
        <w:t>حَسبُ ، و إنّما احتَجَجنا بأنّهم</w:t>
      </w:r>
      <w:r>
        <w:rPr>
          <w:rStyle w:val="FootnoteAnchor"/>
          <w:rtl w:val="true"/>
        </w:rPr>
        <w:footnoteReference w:id="553"/>
      </w:r>
      <w:r>
        <w:rPr>
          <w:rFonts w:ascii="Amiri" w:hAnsi="Amiri" w:eastAsia="Amiri" w:cs="Amiri"/>
          <w:color w:val="111111"/>
          <w:sz w:val="28"/>
          <w:sz w:val="28"/>
          <w:szCs w:val="28"/>
          <w:rtl w:val="true"/>
          <w:lang w:bidi="ar-SA"/>
        </w:rPr>
        <w:t xml:space="preserve">يَفعَلونَ ذلكَ و يُبادِرونَ إليه لوجوبِه في عقولِهم، و متىٰ أغفَلوه تَبيَّنوا غِبَّ </w:t>
      </w:r>
      <w:r>
        <w:rPr>
          <w:rStyle w:val="FootnoteAnchor"/>
          <w:rtl w:val="true"/>
        </w:rPr>
        <w:footnoteReference w:id="554"/>
      </w:r>
      <w:r>
        <w:rPr>
          <w:rFonts w:ascii="Amiri" w:hAnsi="Amiri" w:eastAsia="Amiri" w:cs="Amiri"/>
          <w:color w:val="111111"/>
          <w:sz w:val="28"/>
          <w:sz w:val="28"/>
          <w:szCs w:val="28"/>
          <w:rtl w:val="true"/>
          <w:lang w:bidi="ar-SA"/>
        </w:rPr>
        <w:t>مَضرَّتِه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أنّهم إذا لَم يَفعَلوا ذلكَ عَلِموا مِن أنفُسِهم أنّهم مُهمِلونَ و تارِكونَ لِما يَجِبُ في عقولِهم، و أنّهم مُستَعمِلونَ الهَوىٰ و مُتَّبِعونَ له؛ كما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عقلاءَ ، و ارتكبوا الظُّلمَ و ما جَرىٰ مَجراه في القَبائحِ 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فاعِلونَ لِما تَقتَضي</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عُقولُهم خِلافَه، و أنّهم في ذلكَ عامِلونَ علَى الهَوىٰ و مائلونَ مع الطِّباعِ ؛ و لا يُخِلُّ ذلك بمعرفتِهم بقُبحِ </w:t>
      </w:r>
      <w:r>
        <w:rPr>
          <w:rStyle w:val="FootnoteAnchor"/>
          <w:rtl w:val="true"/>
        </w:rPr>
        <w:footnoteReference w:id="556"/>
      </w:r>
      <w:r>
        <w:rPr>
          <w:rFonts w:ascii="Amiri" w:hAnsi="Amiri" w:eastAsia="Amiri" w:cs="Amiri"/>
          <w:color w:val="111111"/>
          <w:sz w:val="28"/>
          <w:sz w:val="28"/>
          <w:szCs w:val="28"/>
          <w:rtl w:val="true"/>
          <w:lang w:bidi="ar-SA"/>
        </w:rPr>
        <w:t>ما صَنَعوه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حُكمُهم إذا أَهمَلوا أمرَ الإمامةِ و تَوانَوا عن إقامةِ الرؤَساءِ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قائلاً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فَزَعُهم إلىٰ نَصبِ رئيسٍ كفَزَعِهم إلَى الاستِبدالِ به</w:t>
      </w:r>
      <w:r>
        <w:rPr>
          <w:rStyle w:val="FootnoteAnchor"/>
          <w:rtl w:val="true"/>
        </w:rPr>
        <w:footnoteReference w:id="557"/>
      </w:r>
      <w:r>
        <w:rPr>
          <w:rFonts w:ascii="Amiri" w:hAnsi="Amiri" w:eastAsia="Amiri" w:cs="Amiri"/>
          <w:color w:val="111111"/>
          <w:sz w:val="28"/>
          <w:sz w:val="28"/>
          <w:szCs w:val="28"/>
          <w:rtl w:val="true"/>
          <w:lang w:bidi="ar-SA"/>
        </w:rPr>
        <w:t xml:space="preserve">إذا كَرِهوا مِنه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عَلِموا مَرتَبةَ غيرِه، فيَجِبُ أن تَكونَ الإمامةُ هذه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أقرَبَ ممّا ذَكَروه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قولُه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 قائلاً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فِرقةٍ تَفزَعُ إلىٰ رئيسٍ غيرِ الذي تَفزَعُ إليه سائرُ الفِرَقِ ، فيَجِبُ إثباتُ رئيسٍ لكُلِّ فِرقةٍ </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لَكانَ أقرَبَ ممّا ذَكَروه</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تكرَّرَ منّا الكلامُ عليه لتَكرارِه له</w:t>
      </w:r>
      <w:r>
        <w:rPr>
          <w:rStyle w:val="FootnoteAnchor"/>
          <w:rtl w:val="true"/>
        </w:rPr>
        <w:footnoteReference w:id="562"/>
      </w:r>
      <w:r>
        <w:rPr>
          <w:rFonts w:ascii="Amiri" w:hAnsi="Amiri" w:eastAsia="Amiri" w:cs="Amiri"/>
          <w:color w:val="111111"/>
          <w:sz w:val="28"/>
          <w:sz w:val="28"/>
          <w:szCs w:val="28"/>
          <w:rtl w:val="true"/>
          <w:lang w:bidi="ar-SA"/>
        </w:rPr>
        <w:t>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يَظُنُّ أنّ طريقتَنا في إثباتِ </w:t>
      </w:r>
      <w:bookmarkStart w:id="298" w:name="pg20044_770829"/>
    </w:p>
    <w:p>
      <w:pPr>
        <w:pStyle w:val="BookText"/>
        <w:rPr/>
      </w:pPr>
      <w:bookmarkEnd w:id="298"/>
      <w:r>
        <w:rPr>
          <w:rFonts w:ascii="Amiri" w:hAnsi="Amiri" w:eastAsia="Amiri" w:cs="Amiri"/>
          <w:color w:val="111111"/>
          <w:sz w:val="28"/>
          <w:sz w:val="28"/>
          <w:szCs w:val="28"/>
          <w:rtl w:val="true"/>
          <w:lang w:bidi="ar-SA"/>
        </w:rPr>
        <w:t>الإمامةِ و ما نوجِبُها به هو</w:t>
      </w:r>
      <w:r>
        <w:rPr>
          <w:rStyle w:val="FootnoteAnchor"/>
          <w:rtl w:val="true"/>
        </w:rPr>
        <w:footnoteReference w:id="563"/>
      </w:r>
      <w:r>
        <w:rPr>
          <w:rFonts w:ascii="Amiri" w:hAnsi="Amiri" w:eastAsia="Amiri" w:cs="Amiri"/>
          <w:color w:val="111111"/>
          <w:sz w:val="28"/>
          <w:sz w:val="28"/>
          <w:szCs w:val="28"/>
          <w:rtl w:val="true"/>
          <w:lang w:bidi="ar-SA"/>
        </w:rPr>
        <w:t>طريقتُنا إلىٰ إثباتِ صفاتِ الإمامِ التي يَختَصُّ بها، و كَونِه عليه نَصٌّ مِن قِبَلِ اللّٰهِ تعالىٰ ؛ و هذا ظَنٌّ مِنه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المُتقرِّرُ في العقولِ أنّهم يَنصِبونَ رئيساً عندَ ظَنِّهم الحاجةَ إليه كما يَنصِبونَ وكيلاً عندَ ذلكَ؛ و لذلكَ‌</w:t>
      </w:r>
      <w:r>
        <w:rPr>
          <w:rStyle w:val="FootnoteAnchor"/>
          <w:rtl w:val="true"/>
        </w:rPr>
        <w:footnoteReference w:id="564"/>
      </w:r>
      <w:r>
        <w:rPr>
          <w:rFonts w:ascii="Amiri" w:hAnsi="Amiri" w:eastAsia="Amiri" w:cs="Amiri"/>
          <w:color w:val="111111"/>
          <w:sz w:val="28"/>
          <w:sz w:val="28"/>
          <w:szCs w:val="28"/>
          <w:rtl w:val="true"/>
          <w:lang w:bidi="ar-SA"/>
        </w:rPr>
        <w:t>لَو ظَنّوا الغِنىٰ عنه لَم يَتكلَّفوه</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فقَد بيّنّا أنّهم عالِمونَ بالحاجةِ إلَى الإمامِ‌</w:t>
      </w:r>
      <w:r>
        <w:rPr>
          <w:rStyle w:val="FootnoteAnchor"/>
          <w:rtl w:val="true"/>
        </w:rPr>
        <w:footnoteReference w:id="566"/>
      </w:r>
      <w:r>
        <w:rPr>
          <w:rFonts w:ascii="Amiri" w:hAnsi="Amiri" w:eastAsia="Amiri" w:cs="Amiri"/>
          <w:color w:val="111111"/>
          <w:sz w:val="28"/>
          <w:sz w:val="28"/>
          <w:szCs w:val="28"/>
          <w:rtl w:val="true"/>
          <w:lang w:bidi="ar-SA"/>
        </w:rPr>
        <w:t>و الرئيسِ، لا ظانّونَ‌</w:t>
      </w:r>
      <w:r>
        <w:rPr>
          <w:rStyle w:val="FootnoteAnchor"/>
          <w:rtl w:val="true"/>
        </w:rPr>
        <w:footnoteReference w:id="567"/>
      </w:r>
      <w:r>
        <w:rPr>
          <w:rFonts w:ascii="Amiri" w:hAnsi="Amiri" w:eastAsia="Amiri" w:cs="Amiri"/>
          <w:color w:val="111111"/>
          <w:sz w:val="28"/>
          <w:sz w:val="28"/>
          <w:szCs w:val="28"/>
          <w:rtl w:val="true"/>
          <w:lang w:bidi="ar-SA"/>
        </w:rPr>
        <w:t xml:space="preserve">، و أنّ حاجتَهم إلىٰ ذلكَ لا تَختَلِفُ باختلافِ الأوقاتِ، و إنّ </w:t>
      </w:r>
      <w:r>
        <w:rPr>
          <w:rStyle w:val="FootnoteAnchor"/>
          <w:rtl w:val="true"/>
        </w:rPr>
        <w:footnoteReference w:id="568"/>
      </w:r>
      <w:r>
        <w:rPr>
          <w:rFonts w:ascii="Amiri" w:hAnsi="Amiri" w:eastAsia="Amiri" w:cs="Amiri"/>
          <w:color w:val="111111"/>
          <w:sz w:val="28"/>
          <w:sz w:val="28"/>
          <w:szCs w:val="28"/>
          <w:rtl w:val="true"/>
          <w:lang w:bidi="ar-SA"/>
        </w:rPr>
        <w:t xml:space="preserve">الاستغناءَ عن الرؤَساءِ لا يَجوزُ أن يَتخيَّلَه عاقلٌ ؛ و ذلكَ كافٍ </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828482_2320776876"/>
      <w:bookmarkStart w:id="300" w:name="_Toc106"/>
      <w:bookmarkEnd w:id="299"/>
      <w:r>
        <w:rPr>
          <w:rtl w:val="true"/>
        </w:rPr>
        <w:t>إشارة إلىٰ ما تقدّم من عدم التلازم بين دليل إثبات الإمامة، و إثبات صفات الإمام</w:t>
      </w:r>
      <w:bookmarkEnd w:id="300"/>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مَن قالَ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المُتقرِّرُ في العقولِ‌</w:t>
      </w:r>
      <w:r>
        <w:rPr>
          <w:rStyle w:val="FootnoteAnchor"/>
          <w:rtl w:val="true"/>
        </w:rPr>
        <w:footnoteReference w:id="570"/>
      </w:r>
      <w:r>
        <w:rPr>
          <w:rFonts w:ascii="Amiri" w:hAnsi="Amiri" w:eastAsia="Amiri" w:cs="Amiri"/>
          <w:color w:val="111111"/>
          <w:sz w:val="28"/>
          <w:sz w:val="28"/>
          <w:szCs w:val="28"/>
          <w:rtl w:val="true"/>
          <w:lang w:bidi="ar-SA"/>
        </w:rPr>
        <w:t>وجوبُ نَصبِ الإمامِ لحُصولِ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المُتقرِّرُ في العقولِ وجوبُ </w:t>
      </w:r>
      <w:r>
        <w:rPr>
          <w:rStyle w:val="FootnoteAnchor"/>
          <w:rtl w:val="true"/>
        </w:rPr>
        <w:footnoteReference w:id="571"/>
      </w:r>
      <w:r>
        <w:rPr>
          <w:rFonts w:ascii="Amiri" w:hAnsi="Amiri" w:eastAsia="Amiri" w:cs="Amiri"/>
          <w:color w:val="111111"/>
          <w:sz w:val="28"/>
          <w:sz w:val="28"/>
          <w:szCs w:val="28"/>
          <w:rtl w:val="true"/>
          <w:lang w:bidi="ar-SA"/>
        </w:rPr>
        <w:t xml:space="preserve">الصَّلاةِ و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إلىٰ ما ثَبَتَ </w:t>
      </w:r>
      <w:r>
        <w:rPr>
          <w:rStyle w:val="FootnoteAnchor"/>
          <w:rtl w:val="true"/>
        </w:rPr>
        <w:footnoteReference w:id="572"/>
      </w:r>
      <w:r>
        <w:rPr>
          <w:rFonts w:ascii="Amiri" w:hAnsi="Amiri" w:eastAsia="Amiri" w:cs="Amiri"/>
          <w:color w:val="111111"/>
          <w:sz w:val="28"/>
          <w:sz w:val="28"/>
          <w:szCs w:val="28"/>
          <w:rtl w:val="true"/>
          <w:lang w:bidi="ar-SA"/>
        </w:rPr>
        <w:t>في العقلِ مِن وجوبِ الخُضوعِ للمعبودِ، و إذا</w:t>
      </w:r>
      <w:r>
        <w:rPr>
          <w:rStyle w:val="FootnoteAnchor"/>
          <w:rtl w:val="true"/>
        </w:rPr>
        <w:footnoteReference w:id="573"/>
      </w:r>
      <w:r>
        <w:rPr>
          <w:rFonts w:ascii="Amiri" w:hAnsi="Amiri" w:eastAsia="Amiri" w:cs="Amiri"/>
          <w:color w:val="111111"/>
          <w:sz w:val="28"/>
          <w:sz w:val="28"/>
          <w:szCs w:val="28"/>
          <w:rtl w:val="true"/>
          <w:lang w:bidi="ar-SA"/>
        </w:rPr>
        <w:t>كانَ ذلكَ لا يَدُلُّ علىٰ وجوبِهما بهذه</w:t>
      </w:r>
      <w:r>
        <w:rPr>
          <w:rStyle w:val="FootnoteAnchor"/>
          <w:rtl w:val="true"/>
        </w:rPr>
        <w:footnoteReference w:id="574"/>
      </w:r>
      <w:r>
        <w:rPr>
          <w:rFonts w:ascii="Amiri" w:hAnsi="Amiri" w:eastAsia="Amiri" w:cs="Amiri"/>
          <w:color w:val="111111"/>
          <w:sz w:val="28"/>
          <w:sz w:val="28"/>
          <w:szCs w:val="28"/>
          <w:rtl w:val="true"/>
          <w:lang w:bidi="ar-SA"/>
        </w:rPr>
        <w:t>الشرائطِ</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إنّما يَقتَضي الخُضوعَ فَقَط، و لا يَقتَضي الخُضوعَ بهذَينِ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اختَصّا به مِن الشرائطِ</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يدلّ علىٰ خصوصيّة الرئيس و صفاته، كما أنّ العقل إنّما يدلّ على الخضوع في الجملة للّٰه تعالىٰ ، و لا يدلّ علىٰ خصوص الصلاة و الصيام و لا علىٰ شرائطها؛ لكنّ في أوّل كلامه نوع تشويش،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من يدّعي دلالة العقل على الإمام بالصفات المخصوصة و من يدّعي دلالته علىٰ خصوص الخضوع بذينك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 و الأمر هيّن؛ فإنّه أراد وجوب نصب الإمام على الصفات المخصوصة ليحصل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المتقرّر في العقول وجوب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دلالة ما يدلّ علىٰ أصل الخضوع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يلائم ما سوّىٰ بينه و بينه و هو وجود رئيس في الجملة لحصول الأمن، و يلائم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ذلك لا يدلّ علىٰ وجوبهما بهذه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النفي فيه يرجع إلى القيد،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أنّ ما لا يدلّ عليه العقل هي الشرائط، لا 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صحيح؛ لأنّ ما يدلّ علىٰ أصل الخضوع لا يدلّ على الخضوع بهذين الفعلين،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يقتضي الخضوع بهذين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عدم دلالة ما يدلّ علىٰ أصل الخضوع على الفعلين و يدفع عدم الملاءَمة لما بعده بأن يجعل الشرائط قيداً لأصل الخضوع و الصلاة هي الخضوع مقيَّداً بما اعتُبر من الشرائط، فالنسبة غير صحيحة؛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فكذلكَ لَو ثَبَتَ ما قالوه مِن نَصبِ رئيسٍ في العقلِ لَما</w:t>
      </w:r>
      <w:r>
        <w:rPr>
          <w:rStyle w:val="FootnoteAnchor"/>
          <w:rtl w:val="true"/>
        </w:rPr>
        <w:footnoteReference w:id="576"/>
      </w:r>
      <w:r>
        <w:rPr>
          <w:rFonts w:ascii="Amiri" w:hAnsi="Amiri" w:eastAsia="Amiri" w:cs="Amiri"/>
          <w:color w:val="111111"/>
          <w:sz w:val="28"/>
          <w:sz w:val="28"/>
          <w:szCs w:val="28"/>
          <w:rtl w:val="true"/>
          <w:lang w:bidi="ar-SA"/>
        </w:rPr>
        <w:t xml:space="preserve">دَلَّ علىٰ ما قالوه؛ لأنّه لَم يَثبُتْ نَصبُه علَى الصفةِ التي ذَكَروها، فلا بُدَّ مِن رُجوعِهم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سِواه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رَضينا بما ذَكَره و مَثَّلَ به مِن أمرِ الصلاةِ و الصيامِ و ما أشبَهَهما مِن العباداتِ الشرعيّةِ؛ لأنّ العقلَ و إن دَلَّ علىٰ وجوبِ الخُضوعِ للمعبودِ في الجُملةِ، فهو غيرُ دالٍّ علَى استعمالِ ضَربٍ مِن الخُضوعِ مخصوصٍ؛ و إنّما يُرجَعُ في ذلكَ إلىٰ أدلّةٍ أُخَرَ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القولُ في الإمامةِ عندَنا؛ 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الحاجةِ إلَى الرئاسةِ في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و وجوبِ إقامةِ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بنَفسِ ما دَلَّ به</w:t>
      </w:r>
      <w:r>
        <w:rPr>
          <w:rStyle w:val="FootnoteAnchor"/>
          <w:rtl w:val="true"/>
        </w:rPr>
        <w:footnoteReference w:id="579"/>
      </w:r>
      <w:r>
        <w:rPr>
          <w:rFonts w:ascii="Amiri" w:hAnsi="Amiri" w:eastAsia="Amiri" w:cs="Amiri"/>
          <w:color w:val="111111"/>
          <w:sz w:val="28"/>
          <w:sz w:val="28"/>
          <w:szCs w:val="28"/>
          <w:rtl w:val="true"/>
          <w:lang w:bidi="ar-SA"/>
        </w:rPr>
        <w:t>علَى الحاجةِ إليهم في الجُملةِ علىٰ صفاتِهم المخصوصةِ، و أحوالِهم المعيَّنةِ ؛ بَل لا بُدَّ في</w:t>
      </w:r>
      <w:r>
        <w:rPr>
          <w:rStyle w:val="FootnoteAnchor"/>
          <w:rtl w:val="true"/>
        </w:rPr>
        <w:footnoteReference w:id="580"/>
      </w:r>
      <w:r>
        <w:rPr>
          <w:rFonts w:ascii="Amiri" w:hAnsi="Amiri" w:eastAsia="Amiri" w:cs="Amiri"/>
          <w:color w:val="111111"/>
          <w:sz w:val="28"/>
          <w:sz w:val="28"/>
          <w:szCs w:val="28"/>
          <w:rtl w:val="true"/>
          <w:lang w:bidi="ar-SA"/>
        </w:rPr>
        <w:t>إثباتِ ذلكَ مِن الرُّجوعِ إلىٰ طريقةٍ أُخرىٰ ، و هي و إن كانَت مِن جُملةِ طُرُقِ العقلِ و أدلّتِه، فلَيسَت نَفسَ ما دَلَّنا علىٰ وجوبِ الرئاسةِ كما بيَّنَه</w:t>
      </w:r>
      <w:r>
        <w:rPr>
          <w:rStyle w:val="FootnoteAnchor"/>
          <w:rtl w:val="true"/>
        </w:rPr>
        <w:footnoteReference w:id="581"/>
      </w:r>
      <w:r>
        <w:rPr>
          <w:rFonts w:ascii="Amiri" w:hAnsi="Amiri" w:eastAsia="Amiri" w:cs="Amiri"/>
          <w:color w:val="111111"/>
          <w:sz w:val="28"/>
          <w:sz w:val="28"/>
          <w:szCs w:val="28"/>
          <w:rtl w:val="true"/>
          <w:lang w:bidi="ar-SA"/>
        </w:rPr>
        <w:t xml:space="preserve">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طريقتَنا في وجوبِ الرئاسةِ و صفاتِ الرؤَساءِ و أعدادِهم واحدةٌ </w:t>
      </w:r>
      <w:r>
        <w:rPr>
          <w:rFonts w:eastAsia="Amiri" w:cs="Amiri" w:ascii="Amiri" w:hAnsi="Amiri"/>
          <w:color w:val="111111"/>
          <w:sz w:val="28"/>
          <w:szCs w:val="28"/>
          <w:rtl w:val="true"/>
          <w:lang w:bidi="ar-SA"/>
        </w:rPr>
        <w:t xml:space="preserve">. </w:t>
      </w:r>
      <w:bookmarkStart w:id="301" w:name="pg20044_770832"/>
    </w:p>
    <w:p>
      <w:pPr>
        <w:pStyle w:val="Heading6"/>
        <w:numPr>
          <w:ilvl w:val="5"/>
          <w:numId w:val="1"/>
        </w:numPr>
        <w:rPr/>
      </w:pPr>
      <w:bookmarkStart w:id="302" w:name="__RefHeading___Toc828484_2320776876"/>
      <w:bookmarkStart w:id="303" w:name="_Toc107"/>
      <w:bookmarkEnd w:id="301"/>
      <w:bookmarkEnd w:id="302"/>
      <w:r>
        <w:rPr>
          <w:rtl w:val="true"/>
        </w:rPr>
        <w:t>في بيان أنّنا نحتجّ بما يعلمه العقلاء من وجوب الإمامة، لا بفعلهم فقط</w:t>
      </w:r>
      <w:bookmarkEnd w:id="30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العقلاءَ قد يَفعَلونَ ما هو واجبٌ‌</w:t>
      </w:r>
      <w:r>
        <w:rPr>
          <w:rStyle w:val="FootnoteAnchor"/>
          <w:rtl w:val="true"/>
        </w:rPr>
        <w:footnoteReference w:id="582"/>
      </w:r>
      <w:r>
        <w:rPr>
          <w:rFonts w:ascii="Amiri" w:hAnsi="Amiri" w:eastAsia="Amiri" w:cs="Amiri"/>
          <w:color w:val="111111"/>
          <w:sz w:val="28"/>
          <w:sz w:val="28"/>
          <w:szCs w:val="28"/>
          <w:rtl w:val="true"/>
          <w:lang w:bidi="ar-SA"/>
        </w:rPr>
        <w:t>و ما لَيسَ بواجبٍ؛ فمِن أينَ أنّه واجبٌ؟ و قد يَفعَلونَ‌</w:t>
      </w:r>
      <w:r>
        <w:rPr>
          <w:rStyle w:val="FootnoteAnchor"/>
          <w:rtl w:val="true"/>
        </w:rPr>
        <w:footnoteReference w:id="583"/>
      </w:r>
      <w:r>
        <w:rPr>
          <w:rFonts w:ascii="Amiri" w:hAnsi="Amiri" w:eastAsia="Amiri" w:cs="Amiri"/>
          <w:color w:val="111111"/>
          <w:sz w:val="28"/>
          <w:sz w:val="28"/>
          <w:szCs w:val="28"/>
          <w:rtl w:val="true"/>
          <w:lang w:bidi="ar-SA"/>
        </w:rPr>
        <w:t>ما يَحسُنُ و ما لا يَحسُنُ؛ فمِن أين أنّه حَسَنٌ؟ و قد يَفعَلونَ ما يَشتَرِكونَ في معرفتِه و سببِه</w:t>
      </w:r>
      <w:r>
        <w:rPr>
          <w:rStyle w:val="FootnoteAnchor"/>
          <w:rtl w:val="true"/>
        </w:rPr>
        <w:footnoteReference w:id="584"/>
      </w:r>
      <w:r>
        <w:rPr>
          <w:rFonts w:ascii="Amiri" w:hAnsi="Amiri" w:eastAsia="Amiri" w:cs="Amiri"/>
          <w:color w:val="111111"/>
          <w:sz w:val="28"/>
          <w:sz w:val="28"/>
          <w:szCs w:val="28"/>
          <w:rtl w:val="true"/>
          <w:lang w:bidi="ar-SA"/>
        </w:rPr>
        <w:t>و ما يَفترِقونَ فيه؛ فمِن أينَ أنّ جميعَهم قد وقَفوا علىٰ سببِ وجوبِه</w:t>
      </w:r>
      <w:r>
        <w:rPr>
          <w:rStyle w:val="FootnoteAnchor"/>
          <w:rtl w:val="true"/>
        </w:rPr>
        <w:footnoteReference w:id="585"/>
      </w:r>
      <w:r>
        <w:rPr>
          <w:rFonts w:ascii="Amiri" w:hAnsi="Amiri" w:eastAsia="Amiri" w:cs="Amiri"/>
          <w:color w:val="111111"/>
          <w:sz w:val="28"/>
          <w:sz w:val="28"/>
          <w:szCs w:val="28"/>
          <w:rtl w:val="true"/>
          <w:lang w:bidi="ar-SA"/>
        </w:rPr>
        <w:t xml:space="preserve">؟ و هذا يبيِّنُ أنّ فِعلَهم لَيسَ بحُجّةٍ إلّاإذا كانَ </w:t>
      </w:r>
      <w:r>
        <w:rPr>
          <w:rStyle w:val="FootnoteAnchor"/>
          <w:rtl w:val="true"/>
        </w:rPr>
        <w:footnoteReference w:id="586"/>
      </w:r>
      <w:r>
        <w:rPr>
          <w:rFonts w:ascii="Amiri" w:hAnsi="Amiri" w:eastAsia="Amiri" w:cs="Amiri"/>
          <w:color w:val="111111"/>
          <w:sz w:val="28"/>
          <w:sz w:val="28"/>
          <w:szCs w:val="28"/>
          <w:rtl w:val="true"/>
          <w:lang w:bidi="ar-SA"/>
        </w:rPr>
        <w:t xml:space="preserve">عن معرفةٍ </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بيّنّا</w:t>
      </w:r>
      <w:r>
        <w:rPr>
          <w:rStyle w:val="FootnoteAnchor"/>
          <w:rtl w:val="true"/>
        </w:rPr>
        <w:footnoteReference w:id="588"/>
      </w:r>
      <w:r>
        <w:rPr>
          <w:rFonts w:ascii="Amiri" w:hAnsi="Amiri" w:eastAsia="Amiri" w:cs="Amiri"/>
          <w:color w:val="111111"/>
          <w:sz w:val="28"/>
          <w:sz w:val="28"/>
          <w:szCs w:val="28"/>
          <w:rtl w:val="true"/>
          <w:lang w:bidi="ar-SA"/>
        </w:rPr>
        <w:t>أنّ تعلُّقَنا لَم يكُن بفِعلِهم فَقَط، بَل بما يَعلَمونه مِن وجوبِ ذلك الفِعلِ عَلَيهم</w:t>
      </w:r>
      <w:r>
        <w:rPr>
          <w:rStyle w:val="FootnoteAnchor"/>
          <w:rtl w:val="true"/>
        </w:rPr>
        <w:footnoteReference w:id="589"/>
      </w:r>
      <w:r>
        <w:rPr>
          <w:rFonts w:ascii="Amiri" w:hAnsi="Amiri" w:eastAsia="Amiri" w:cs="Amiri"/>
          <w:color w:val="111111"/>
          <w:sz w:val="28"/>
          <w:sz w:val="28"/>
          <w:szCs w:val="28"/>
          <w:rtl w:val="true"/>
          <w:lang w:bidi="ar-SA"/>
        </w:rPr>
        <w:t xml:space="preserve">، و ما في تَركِه مِن الاستِضرارِ و في فِعلِه مِن الصَّلاحِ ؛ و أنّه ممّا لا يَختَلِفُ حالُه مع كَونِ المكلَّفينَ علىٰ ما هم عليه، بَل العِلمُ بوجودِه مُستمِرٌّ غيرُ مُنقَطِعٍ </w:t>
      </w:r>
      <w:r>
        <w:rPr>
          <w:rFonts w:eastAsia="Amiri" w:cs="Amiri" w:ascii="Amiri" w:hAnsi="Amiri"/>
          <w:color w:val="111111"/>
          <w:sz w:val="28"/>
          <w:szCs w:val="28"/>
          <w:rtl w:val="true"/>
          <w:lang w:bidi="ar-SA"/>
        </w:rPr>
        <w:t xml:space="preserve">. </w:t>
      </w:r>
      <w:bookmarkStart w:id="304" w:name="pg20044_770833"/>
    </w:p>
    <w:p>
      <w:pPr>
        <w:pStyle w:val="BookText"/>
        <w:rPr/>
      </w:pPr>
      <w:bookmarkEnd w:id="304"/>
      <w:r>
        <w:rPr>
          <w:rFonts w:ascii="Amiri" w:hAnsi="Amiri" w:eastAsia="Amiri" w:cs="Amiri"/>
          <w:color w:val="111111"/>
          <w:sz w:val="28"/>
          <w:sz w:val="28"/>
          <w:szCs w:val="28"/>
          <w:rtl w:val="true"/>
          <w:lang w:bidi="ar-SA"/>
        </w:rPr>
        <w:t>و إذا كنّا قد فَرَغنا مِن ذلكَ، فقَد سَقَطَ ما ذَكَره في هذا الفَصلِ؛ لأنّهم إذا كانوا قد فَعَلوه مع العِلمِ بوجوبِه، فقَد زادَ ذلكَ علىٰ إثباتِ حُسنِه</w:t>
      </w:r>
      <w:r>
        <w:rPr>
          <w:rStyle w:val="FootnoteAnchor"/>
          <w:rtl w:val="true"/>
        </w:rPr>
        <w:footnoteReference w:id="590"/>
      </w:r>
      <w:r>
        <w:rPr>
          <w:rFonts w:ascii="Amiri" w:hAnsi="Amiri" w:eastAsia="Amiri" w:cs="Amiri"/>
          <w:color w:val="111111"/>
          <w:sz w:val="28"/>
          <w:sz w:val="28"/>
          <w:szCs w:val="28"/>
          <w:rtl w:val="true"/>
          <w:lang w:bidi="ar-SA"/>
        </w:rPr>
        <w:t>لأنّ الواجبَ</w:t>
      </w:r>
    </w:p>
    <w:p>
      <w:pPr>
        <w:pStyle w:val="BookText"/>
        <w:rPr/>
      </w:pPr>
      <w:r>
        <w:rPr>
          <w:rFonts w:ascii="Amiri" w:hAnsi="Amiri" w:eastAsia="Amiri" w:cs="Amiri"/>
          <w:color w:val="111111"/>
          <w:sz w:val="28"/>
          <w:sz w:val="28"/>
          <w:szCs w:val="28"/>
          <w:rtl w:val="true"/>
          <w:lang w:bidi="ar-SA"/>
        </w:rPr>
        <w:t>في العقولِ لا يَكونُ إلّاحَسَناً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 </w:t>
      </w:r>
      <w:r>
        <w:rPr>
          <w:rStyle w:val="FootnoteAnchor"/>
          <w:rtl w:val="true"/>
        </w:rPr>
        <w:footnoteReference w:id="591"/>
      </w:r>
      <w:r>
        <w:rPr>
          <w:rFonts w:ascii="Amiri" w:hAnsi="Amiri" w:eastAsia="Amiri" w:cs="Amiri"/>
          <w:color w:val="111111"/>
          <w:sz w:val="28"/>
          <w:sz w:val="28"/>
          <w:szCs w:val="28"/>
          <w:rtl w:val="true"/>
          <w:lang w:bidi="ar-SA"/>
        </w:rPr>
        <w:t>أيضاً أنّهم مُشتَرِكونَ في معرفةِ سببِ وجوبِه، و قد تقدَّمَ فَصلُنا</w:t>
      </w:r>
      <w:r>
        <w:rPr>
          <w:rStyle w:val="FootnoteAnchor"/>
          <w:rtl w:val="true"/>
        </w:rPr>
        <w:footnoteReference w:id="592"/>
      </w:r>
      <w:r>
        <w:rPr>
          <w:rFonts w:ascii="Amiri" w:hAnsi="Amiri" w:eastAsia="Amiri" w:cs="Amiri"/>
          <w:color w:val="111111"/>
          <w:sz w:val="28"/>
          <w:sz w:val="28"/>
          <w:szCs w:val="28"/>
          <w:rtl w:val="true"/>
          <w:lang w:bidi="ar-SA"/>
        </w:rPr>
        <w:t xml:space="preserve">بَينَ ما يُعلَمُ مِن ذلكَ باضطِرارٍ و ما يُعلَمُ باكتسابٍ </w:t>
      </w:r>
      <w:r>
        <w:rPr>
          <w:rStyle w:val="FootnoteAnchor"/>
          <w:rtl w:val="true"/>
        </w:rPr>
        <w:footnoteReference w:id="593"/>
      </w:r>
      <w:r>
        <w:rPr>
          <w:rFonts w:ascii="Amiri" w:hAnsi="Amiri" w:eastAsia="Amiri" w:cs="Amiri"/>
          <w:color w:val="111111"/>
          <w:sz w:val="28"/>
          <w:sz w:val="28"/>
          <w:szCs w:val="28"/>
          <w:rtl w:val="true"/>
          <w:lang w:bidi="ar-SA"/>
        </w:rPr>
        <w:t>فلا وَجهَ لإعادتِه</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828486_2320776876"/>
      <w:bookmarkStart w:id="306" w:name="_Toc108"/>
      <w:bookmarkEnd w:id="305"/>
      <w:r>
        <w:rPr>
          <w:rtl w:val="true"/>
        </w:rPr>
        <w:t>نفي معرفة مَن يستغني بتناصُف الناس عن الإمام</w:t>
      </w:r>
      <w:bookmarkEnd w:id="30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العقلاءَ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يَنصِبُ رئيساً، و مِنهم مَن يُعوِّلُ علىٰ ما يَعلَمُه</w:t>
      </w:r>
      <w:r>
        <w:rPr>
          <w:rStyle w:val="FootnoteAnchor"/>
          <w:rtl w:val="true"/>
        </w:rPr>
        <w:footnoteReference w:id="594"/>
      </w:r>
      <w:r>
        <w:rPr>
          <w:rFonts w:ascii="Amiri" w:hAnsi="Amiri" w:eastAsia="Amiri" w:cs="Amiri"/>
          <w:color w:val="111111"/>
          <w:sz w:val="28"/>
          <w:sz w:val="28"/>
          <w:szCs w:val="28"/>
          <w:rtl w:val="true"/>
          <w:lang w:bidi="ar-SA"/>
        </w:rPr>
        <w:t>مِن حالِ جميعِهم في بَذلِ النَّصَفةِ مِن أنفُسِهم</w:t>
      </w:r>
      <w:r>
        <w:rPr>
          <w:rStyle w:val="FootnoteAnchor"/>
          <w:rtl w:val="true"/>
        </w:rPr>
        <w:footnoteReference w:id="595"/>
      </w:r>
      <w:r>
        <w:rPr>
          <w:rFonts w:ascii="Amiri" w:hAnsi="Amiri" w:eastAsia="Amiri" w:cs="Amiri"/>
          <w:color w:val="111111"/>
          <w:sz w:val="28"/>
          <w:sz w:val="28"/>
          <w:szCs w:val="28"/>
          <w:rtl w:val="true"/>
          <w:lang w:bidi="ar-SA"/>
        </w:rPr>
        <w:t xml:space="preserve">، و مِنهم مَن يُبطِلُ الرئيسَ و يَعزِلُه و يعودُ إلىٰ طريقةِ الشورىٰ </w:t>
      </w:r>
      <w:r>
        <w:rPr>
          <w:rFonts w:eastAsia="Amiri" w:cs="Amiri" w:ascii="Amiri" w:hAnsi="Amiri"/>
          <w:color w:val="111111"/>
          <w:sz w:val="28"/>
          <w:szCs w:val="28"/>
          <w:rtl w:val="true"/>
          <w:lang w:bidi="ar-SA"/>
        </w:rPr>
        <w:t>....</w:t>
      </w:r>
      <w:r>
        <w:rPr>
          <w:rStyle w:val="FootnoteAnchor"/>
          <w:rtl w:val="true"/>
        </w:rPr>
        <w:footnoteReference w:id="596"/>
      </w:r>
      <w:bookmarkStart w:id="307" w:name="pg20044_770834"/>
    </w:p>
    <w:p>
      <w:pPr>
        <w:pStyle w:val="BookText"/>
        <w:rPr/>
      </w:pPr>
      <w:bookmarkEnd w:id="307"/>
      <w:r>
        <w:rPr>
          <w:rFonts w:ascii="Amiri" w:hAnsi="Amiri" w:eastAsia="Amiri" w:cs="Amiri"/>
          <w:color w:val="111111"/>
          <w:sz w:val="28"/>
          <w:sz w:val="28"/>
          <w:szCs w:val="28"/>
          <w:rtl w:val="true"/>
          <w:lang w:bidi="ar-SA"/>
        </w:rPr>
        <w:t>فقَد عَرَفْنا و عَرَفَ‌</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يَفزَعُ إلىٰ نَصبِ الرؤَساءِ مِن العقلاءِ، و يُثابِرُ</w:t>
      </w:r>
      <w:r>
        <w:rPr>
          <w:rStyle w:val="FootnoteAnchor"/>
          <w:rtl w:val="true"/>
        </w:rPr>
        <w:footnoteReference w:id="598"/>
      </w:r>
      <w:r>
        <w:rPr>
          <w:rFonts w:ascii="Amiri" w:hAnsi="Amiri" w:eastAsia="Amiri" w:cs="Amiri"/>
          <w:color w:val="111111"/>
          <w:sz w:val="28"/>
          <w:sz w:val="28"/>
          <w:szCs w:val="28"/>
          <w:rtl w:val="true"/>
          <w:lang w:bidi="ar-SA"/>
        </w:rPr>
        <w:t>علىٰ أمرِ الرئاسةِ، و يَحذَرُ مِن التفريطِ فيها و الإهمالِ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يُعرَفُ‌</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يُعوِّلُ علىٰ بَذلِ النَّصَفةِ مِن نَفسِه</w:t>
      </w:r>
      <w:r>
        <w:rPr>
          <w:rStyle w:val="FootnoteAnchor"/>
          <w:rtl w:val="true"/>
        </w:rPr>
        <w:footnoteReference w:id="600"/>
      </w:r>
      <w:r>
        <w:rPr>
          <w:rFonts w:ascii="Amiri" w:hAnsi="Amiri" w:eastAsia="Amiri" w:cs="Amiri"/>
          <w:color w:val="111111"/>
          <w:sz w:val="28"/>
          <w:sz w:val="28"/>
          <w:szCs w:val="28"/>
          <w:rtl w:val="true"/>
          <w:lang w:bidi="ar-SA"/>
        </w:rPr>
        <w:t xml:space="preserve">، و يَظُنُّ الاستِغناءَ عن الرؤَساءِ و الأئمّةِ؟ و قد كانَ يَجِبُ عليه إذا ادَّعىٰ ذلكَ أن يُشيرَ إلىٰ مَن لا يُمكِنُ جَحدُ مَكانِه، و لا يُعوِّلَ علىٰ مَحضِ الدعوىٰ </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828488_2320776876"/>
      <w:bookmarkStart w:id="309" w:name="_Toc109"/>
      <w:bookmarkEnd w:id="308"/>
      <w:r>
        <w:rPr>
          <w:rtl w:val="true"/>
        </w:rPr>
        <w:t>عدم التنافي بين القول بالشورىٰ ، و القول بوجوب الإمام</w:t>
      </w:r>
      <w:bookmarkEnd w:id="3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يَعزِلُ الرئيسَ و يَعودُ إلَى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نَعلَمُ بأيِّ طريقٍ يَقدَحُ في مَذهَبِنا؟ لأنّ رُجوعَ مَن يَرجِعُ إلَى الشورىٰ لَم يُخرَجْ به عن طريقةِ مَن يَعتَقِدُ الحاجةَ إلَى الرؤَساءِ و لُزومِ إقامتِهم؛ لأنّ الشورىٰ إنّما هي زمانُ الفَحصِ عن المُستحِقِّ لأمرِ الرئاسةِ، و ذلكَ يؤكِّدُ أمرَ الحاجةِ إلَى الإمامِ؛ اللّهمّ إلّاأن يريدَ بلَفظةِ‌</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الإهمالَ و الاستِغناءَ عن الإمامِ، فإذا كان يُريدُ ذلكَ فهو غيرُ مفهومٍ مِن هذه اللفظةِ، مع الاصطلاحِ الواقعِ علىٰ معناها، و قد مضَى الكلامُ علىٰ </w:t>
      </w:r>
      <w:bookmarkStart w:id="310" w:name="pg20044_770835"/>
    </w:p>
    <w:p>
      <w:pPr>
        <w:pStyle w:val="BookText"/>
        <w:rPr/>
      </w:pPr>
      <w:bookmarkEnd w:id="310"/>
      <w:r>
        <w:rPr>
          <w:rFonts w:ascii="Amiri" w:hAnsi="Amiri" w:eastAsia="Amiri" w:cs="Amiri"/>
          <w:color w:val="111111"/>
          <w:sz w:val="28"/>
          <w:sz w:val="28"/>
          <w:szCs w:val="28"/>
          <w:rtl w:val="true"/>
          <w:lang w:bidi="ar-SA"/>
        </w:rPr>
        <w:t xml:space="preserve">فَسادِ ذلكَ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مُستَقصىً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828490_2320776876"/>
      <w:bookmarkStart w:id="312" w:name="_Toc110"/>
      <w:bookmarkEnd w:id="311"/>
      <w:r>
        <w:rPr>
          <w:rtl w:val="true"/>
        </w:rPr>
        <w:t>شمول الإمامة لشؤون الدين و الدنيا، و عدم اختصاصها بالدنيا</w:t>
      </w:r>
      <w:bookmarkEnd w:id="31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الذي يَفعَلُه العقلاءُ لا مَدخَلَ له في بابِ الإمامةِ </w:t>
      </w:r>
      <w:r>
        <w:rPr>
          <w:rStyle w:val="FootnoteAnchor"/>
          <w:rtl w:val="true"/>
        </w:rPr>
        <w:footnoteReference w:id="604"/>
      </w:r>
      <w:r>
        <w:rPr>
          <w:rFonts w:ascii="Amiri" w:hAnsi="Amiri" w:eastAsia="Amiri" w:cs="Amiri"/>
          <w:color w:val="111111"/>
          <w:sz w:val="28"/>
          <w:sz w:val="28"/>
          <w:szCs w:val="28"/>
          <w:rtl w:val="true"/>
          <w:lang w:bidi="ar-SA"/>
        </w:rPr>
        <w:t xml:space="preserve">لأنّهم يَفعَلونَ ما يَتَّصِلُ باجتلابِ المَنافِعِ و دَفعِ المَضارِّ، و الاستعانةُ بالغيرِ عندَ الحاجةِ تَدخُلُ </w:t>
      </w:r>
      <w:r>
        <w:rPr>
          <w:rStyle w:val="FootnoteAnchor"/>
          <w:rtl w:val="true"/>
        </w:rPr>
        <w:footnoteReference w:id="605"/>
      </w:r>
      <w:r>
        <w:rPr>
          <w:rFonts w:ascii="Amiri" w:hAnsi="Amiri" w:eastAsia="Amiri" w:cs="Amiri"/>
          <w:color w:val="111111"/>
          <w:sz w:val="28"/>
          <w:sz w:val="28"/>
          <w:szCs w:val="28"/>
          <w:rtl w:val="true"/>
          <w:lang w:bidi="ar-SA"/>
        </w:rPr>
        <w:t xml:space="preserve">في هذا البابِ ، و لا فَرقَ بَينَ الاستعانةِ بوَكيلٍ </w:t>
      </w:r>
    </w:p>
    <w:p>
      <w:pPr>
        <w:pStyle w:val="BookText"/>
        <w:rPr/>
      </w:pPr>
      <w:r>
        <w:rPr>
          <w:rFonts w:ascii="Amiri" w:hAnsi="Amiri" w:eastAsia="Amiri" w:cs="Amiri"/>
          <w:color w:val="111111"/>
          <w:sz w:val="28"/>
          <w:sz w:val="28"/>
          <w:szCs w:val="28"/>
          <w:rtl w:val="true"/>
          <w:lang w:bidi="ar-SA"/>
        </w:rPr>
        <w:t>يقومُ بأمرِ الدارِ و الضَّيعةِ‌</w:t>
      </w:r>
      <w:r>
        <w:rPr>
          <w:rStyle w:val="FootnoteAnchor"/>
          <w:rtl w:val="true"/>
        </w:rPr>
        <w:footnoteReference w:id="606"/>
      </w:r>
      <w:r>
        <w:rPr>
          <w:rFonts w:ascii="Amiri" w:hAnsi="Amiri" w:eastAsia="Amiri" w:cs="Amiri"/>
          <w:color w:val="111111"/>
          <w:sz w:val="28"/>
          <w:sz w:val="28"/>
          <w:szCs w:val="28"/>
          <w:rtl w:val="true"/>
          <w:lang w:bidi="ar-SA"/>
        </w:rPr>
        <w:t>، و الاستعانةِ بأميرٍ</w:t>
      </w:r>
      <w:r>
        <w:rPr>
          <w:rStyle w:val="FootnoteAnchor"/>
          <w:rtl w:val="true"/>
        </w:rPr>
        <w:footnoteReference w:id="607"/>
      </w:r>
      <w:r>
        <w:rPr>
          <w:rFonts w:ascii="Amiri" w:hAnsi="Amiri" w:eastAsia="Amiri" w:cs="Amiri"/>
          <w:color w:val="111111"/>
          <w:sz w:val="28"/>
          <w:sz w:val="28"/>
          <w:szCs w:val="28"/>
          <w:rtl w:val="true"/>
          <w:lang w:bidi="ar-SA"/>
        </w:rPr>
        <w:t>يقومُ بحِفظِ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مَن يَدَّعي نَصْبَ إمامٍ‌</w:t>
      </w:r>
      <w:r>
        <w:rPr>
          <w:rStyle w:val="FootnoteAnchor"/>
          <w:rtl w:val="true"/>
        </w:rPr>
        <w:footnoteReference w:id="608"/>
      </w:r>
      <w:r>
        <w:rPr>
          <w:rFonts w:ascii="Amiri" w:hAnsi="Amiri" w:eastAsia="Amiri" w:cs="Amiri"/>
          <w:color w:val="111111"/>
          <w:sz w:val="28"/>
          <w:sz w:val="28"/>
          <w:szCs w:val="28"/>
          <w:rtl w:val="true"/>
          <w:lang w:bidi="ar-SA"/>
        </w:rPr>
        <w:t>بهذه الطريقةِ، و بَينَ مَن يَدَّعي جميعَ ما يَتعلَّقُ باجتِلابِ المَنافعِ و دَفعِ المَضارِّ، و يَجعلُه أصلاً في هذا البابِ‌</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كما ادَّعاه مِن أنّ الحاجةَ إلَى الإمامِ مخصوصةٌ باجتِلابِ‌</w:t>
      </w:r>
      <w:r>
        <w:rPr>
          <w:rStyle w:val="FootnoteAnchor"/>
          <w:rtl w:val="true"/>
        </w:rPr>
        <w:footnoteReference w:id="610"/>
      </w:r>
      <w:r>
        <w:rPr>
          <w:rFonts w:ascii="Amiri" w:hAnsi="Amiri" w:eastAsia="Amiri" w:cs="Amiri"/>
          <w:color w:val="111111"/>
          <w:sz w:val="28"/>
          <w:sz w:val="28"/>
          <w:szCs w:val="28"/>
          <w:rtl w:val="true"/>
          <w:lang w:bidi="ar-SA"/>
        </w:rPr>
        <w:t xml:space="preserve">المَنافعِ و دَفعِ المَضارِّ الدُّنياويّةِ </w:t>
      </w:r>
      <w:r>
        <w:rPr>
          <w:rStyle w:val="FootnoteAnchor"/>
          <w:rtl w:val="true"/>
        </w:rPr>
        <w:footnoteReference w:id="611"/>
      </w:r>
      <w:r>
        <w:rPr>
          <w:rStyle w:val="FootnoteAnchor"/>
          <w:rtl w:val="true"/>
        </w:rPr>
        <w:footnoteReference w:id="612"/>
      </w:r>
      <w:r>
        <w:rPr>
          <w:rFonts w:ascii="Amiri" w:hAnsi="Amiri" w:eastAsia="Amiri" w:cs="Amiri"/>
          <w:color w:val="111111"/>
          <w:sz w:val="28"/>
          <w:sz w:val="28"/>
          <w:szCs w:val="28"/>
          <w:rtl w:val="true"/>
          <w:lang w:bidi="ar-SA"/>
        </w:rPr>
        <w:t>بَل الذي ذَكَره و</w:t>
      </w:r>
      <w:r>
        <w:rPr>
          <w:rStyle w:val="FootnoteAnchor"/>
          <w:rtl w:val="true"/>
        </w:rPr>
        <w:footnoteReference w:id="613"/>
      </w:r>
      <w:r>
        <w:rPr>
          <w:rFonts w:ascii="Amiri" w:hAnsi="Amiri" w:eastAsia="Amiri" w:cs="Amiri"/>
          <w:color w:val="111111"/>
          <w:sz w:val="28"/>
          <w:sz w:val="28"/>
          <w:szCs w:val="28"/>
          <w:rtl w:val="true"/>
          <w:lang w:bidi="ar-SA"/>
        </w:rPr>
        <w:t>إن كانَ حاصلاً فيها، فقَد يَتعلَّقُ بها أمرٌ</w:t>
      </w:r>
      <w:r>
        <w:rPr>
          <w:rStyle w:val="FootnoteAnchor"/>
          <w:rtl w:val="true"/>
        </w:rPr>
        <w:footnoteReference w:id="614"/>
      </w:r>
      <w:r>
        <w:rPr>
          <w:rFonts w:ascii="Amiri" w:hAnsi="Amiri" w:eastAsia="Amiri" w:cs="Amiri"/>
          <w:color w:val="111111"/>
          <w:sz w:val="28"/>
          <w:sz w:val="28"/>
          <w:szCs w:val="28"/>
          <w:rtl w:val="true"/>
          <w:lang w:bidi="ar-SA"/>
        </w:rPr>
        <w:t xml:space="preserve">ما يَرجِعُ إلَى الدِّينِ و اللُّطفِ في فِعلِ الواجباتِ و الامتناعِ </w:t>
      </w:r>
      <w:r>
        <w:rPr>
          <w:rStyle w:val="FootnoteAnchor"/>
          <w:rtl w:val="true"/>
        </w:rPr>
        <w:footnoteReference w:id="615"/>
      </w:r>
      <w:r>
        <w:rPr>
          <w:rFonts w:ascii="Amiri" w:hAnsi="Amiri" w:eastAsia="Amiri" w:cs="Amiri"/>
          <w:color w:val="111111"/>
          <w:sz w:val="28"/>
          <w:sz w:val="28"/>
          <w:szCs w:val="28"/>
          <w:rtl w:val="true"/>
          <w:lang w:bidi="ar-SA"/>
        </w:rPr>
        <w:t xml:space="preserve">مِنَ المُقبَّحاتِ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أنّا قد دلَّلنا علىٰ أنّ بوجودِ الرؤَساءِ و انبِساطِ أيديهِم و قوّةِ سُلطانِهم يَرتفِعُ كثيرٌ مِن الظُّلمِ و البَغيِ ، و يَخِفُّ أكثرُ ما يَجري عندَ فَقدِهم مِن الفَسادِ و </w:t>
      </w:r>
    </w:p>
    <w:p>
      <w:pPr>
        <w:pStyle w:val="BookText"/>
        <w:rPr/>
      </w:pPr>
      <w:r>
        <w:rPr>
          <w:rFonts w:ascii="Amiri" w:hAnsi="Amiri" w:eastAsia="Amiri" w:cs="Amiri"/>
          <w:color w:val="111111"/>
          <w:sz w:val="28"/>
          <w:sz w:val="28"/>
          <w:szCs w:val="28"/>
          <w:rtl w:val="true"/>
          <w:lang w:bidi="ar-SA"/>
        </w:rPr>
        <w:t>الانتِشارِ؟ و كُلُّ ذلك يبيِّنُ أنّ للرئاسةِ دُخولاً</w:t>
      </w:r>
      <w:r>
        <w:rPr>
          <w:rStyle w:val="FootnoteAnchor"/>
          <w:rtl w:val="true"/>
        </w:rPr>
        <w:footnoteReference w:id="616"/>
      </w:r>
      <w:r>
        <w:rPr>
          <w:rFonts w:ascii="Amiri" w:hAnsi="Amiri" w:eastAsia="Amiri" w:cs="Amiri"/>
          <w:color w:val="111111"/>
          <w:sz w:val="28"/>
          <w:sz w:val="28"/>
          <w:szCs w:val="28"/>
          <w:rtl w:val="true"/>
          <w:lang w:bidi="ar-SA"/>
        </w:rPr>
        <w:t>في الدِّينِ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يُدفَعُ تأثيرُ</w:t>
      </w:r>
      <w:r>
        <w:rPr>
          <w:rStyle w:val="FootnoteAnchor"/>
          <w:rtl w:val="true"/>
        </w:rPr>
        <w:footnoteReference w:id="617"/>
      </w:r>
      <w:r>
        <w:rPr>
          <w:rFonts w:ascii="Amiri" w:hAnsi="Amiri" w:eastAsia="Amiri" w:cs="Amiri"/>
          <w:color w:val="111111"/>
          <w:sz w:val="28"/>
          <w:sz w:val="28"/>
          <w:szCs w:val="28"/>
          <w:rtl w:val="true"/>
          <w:lang w:bidi="ar-SA"/>
        </w:rPr>
        <w:t xml:space="preserve">الرئاسةِ في أمرِ الدِّينِ ، مع ما ذَكَرناه مِن تقليلِها لوقوعِ كثيرٍ مِن المقبَّحاتِ ، و تكثيرِها لفِعلِ الواجباتِ </w:t>
      </w:r>
      <w:r>
        <w:rPr>
          <w:rStyle w:val="FootnoteAnchor"/>
          <w:rtl w:val="true"/>
        </w:rPr>
        <w:footnoteReference w:id="6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الرئاسةُ إنّما تَجِبُ مِن حَيثُ كانَت لُطفاً في واجباتِ العقولِ، لَم يَجِبْ علَى الناسِ إقامةُ الرؤَساءِ؛ لأنّهم</w:t>
      </w:r>
      <w:r>
        <w:rPr>
          <w:rStyle w:val="FootnoteAnchor"/>
          <w:rtl w:val="true"/>
        </w:rPr>
        <w:footnoteReference w:id="619"/>
      </w:r>
      <w:r>
        <w:rPr>
          <w:rFonts w:ascii="Amiri" w:hAnsi="Amiri" w:eastAsia="Amiri" w:cs="Amiri"/>
          <w:color w:val="111111"/>
          <w:sz w:val="28"/>
          <w:sz w:val="28"/>
          <w:szCs w:val="28"/>
          <w:rtl w:val="true"/>
          <w:lang w:bidi="ar-SA"/>
        </w:rPr>
        <w:t>لا يَجِبُ عَلَيهم أن</w:t>
      </w:r>
    </w:p>
    <w:p>
      <w:pPr>
        <w:pStyle w:val="BookText"/>
        <w:rPr/>
      </w:pPr>
      <w:r>
        <w:rPr>
          <w:rFonts w:ascii="Amiri" w:hAnsi="Amiri" w:eastAsia="Amiri" w:cs="Amiri"/>
          <w:color w:val="111111"/>
          <w:sz w:val="28"/>
          <w:sz w:val="28"/>
          <w:szCs w:val="28"/>
          <w:rtl w:val="true"/>
          <w:lang w:bidi="ar-SA"/>
        </w:rPr>
        <w:t>يَلطُفوا لغَيرِهم في فِعلِ الواجباتِ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620"/>
      </w:r>
      <w:r>
        <w:rPr>
          <w:rFonts w:ascii="Amiri" w:hAnsi="Amiri" w:eastAsia="Amiri" w:cs="Amiri"/>
          <w:color w:val="111111"/>
          <w:sz w:val="28"/>
          <w:sz w:val="28"/>
          <w:szCs w:val="28"/>
          <w:rtl w:val="true"/>
          <w:lang w:bidi="ar-SA"/>
        </w:rPr>
        <w:t>كانَ غرضُ مَن يَنصِبُ الأئمّةَ في نَصبِهم دَفْعَ ما يَقَعُ مِن المفسِدينَ مِن الظُّلمِ و العُدوانِ علىٰ ما ادَّعَيتم، فقَد صارَ واجباً عَلَيهم أن يَلطُفوا لغَيرِهم فيما يَتعلَّقُ بالدِّينِ، و فَسادُ ذلك ظاهرٌ</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فَسَدَ لَم يَبقَ إلّاأنّ غرضَهم في نَصبِ </w:t>
      </w:r>
      <w:r>
        <w:rPr>
          <w:rStyle w:val="FootnoteAnchor"/>
          <w:rtl w:val="true"/>
        </w:rPr>
        <w:footnoteReference w:id="622"/>
      </w:r>
      <w:r>
        <w:rPr>
          <w:rFonts w:ascii="Amiri" w:hAnsi="Amiri" w:eastAsia="Amiri" w:cs="Amiri"/>
          <w:color w:val="111111"/>
          <w:sz w:val="28"/>
          <w:sz w:val="28"/>
          <w:szCs w:val="28"/>
          <w:rtl w:val="true"/>
          <w:lang w:bidi="ar-SA"/>
        </w:rPr>
        <w:t xml:space="preserve">الرؤَساءِ مقصورٌ علَى المصالحِ الدُّنياويّةِ ، و دَفعِ المَضارِّ العاجلةِ ، و اجتِلابِ المَنافعِ الحاضِرةِ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العقلاءِ في نَصبِ الرؤَساءِ لَيسَ بمقصورٍ علىٰ أن لا يَقَعَ مِن </w:t>
      </w:r>
      <w:bookmarkStart w:id="313" w:name="pg20044_770838"/>
    </w:p>
    <w:p>
      <w:pPr>
        <w:pStyle w:val="BookText"/>
        <w:rPr/>
      </w:pPr>
      <w:bookmarkEnd w:id="313"/>
      <w:r>
        <w:rPr>
          <w:rFonts w:ascii="Amiri" w:hAnsi="Amiri" w:eastAsia="Amiri" w:cs="Amiri"/>
          <w:color w:val="111111"/>
          <w:sz w:val="28"/>
          <w:sz w:val="28"/>
          <w:szCs w:val="28"/>
          <w:rtl w:val="true"/>
          <w:lang w:bidi="ar-SA"/>
        </w:rPr>
        <w:t>غيرِهم فِعلُ القَبيحِ ، بَل و لأن</w:t>
      </w:r>
      <w:r>
        <w:rPr>
          <w:rStyle w:val="FootnoteAnchor"/>
          <w:rtl w:val="true"/>
        </w:rPr>
        <w:footnoteReference w:id="623"/>
      </w:r>
      <w:r>
        <w:rPr>
          <w:rFonts w:ascii="Amiri" w:hAnsi="Amiri" w:eastAsia="Amiri" w:cs="Amiri"/>
          <w:color w:val="111111"/>
          <w:sz w:val="28"/>
          <w:sz w:val="28"/>
          <w:szCs w:val="28"/>
          <w:rtl w:val="true"/>
          <w:lang w:bidi="ar-SA"/>
        </w:rPr>
        <w:t xml:space="preserve">لا يَقَعَ </w:t>
      </w:r>
      <w:r>
        <w:rPr>
          <w:rStyle w:val="FootnoteAnchor"/>
          <w:rtl w:val="true"/>
        </w:rPr>
        <w:footnoteReference w:id="624"/>
      </w:r>
      <w:r>
        <w:rPr>
          <w:rFonts w:ascii="Amiri" w:hAnsi="Amiri" w:eastAsia="Amiri" w:cs="Amiri"/>
          <w:color w:val="111111"/>
          <w:sz w:val="28"/>
          <w:sz w:val="28"/>
          <w:szCs w:val="28"/>
          <w:rtl w:val="true"/>
          <w:lang w:bidi="ar-SA"/>
        </w:rPr>
        <w:t>مِن غيرِهم و مِنهم أيضاً فِعلُ ما يَقبُحُ في عقولِهم ممّا وجودُ الرؤَساءِ يَرفَعُه أو يُقلِّلُه؛ فقَد عادَ الأمرُ إلىٰ أنّ ذلك لا يَتعلَّقُ بالدُّنيا، و يَجِبُ لأمرٍ</w:t>
      </w:r>
      <w:r>
        <w:rPr>
          <w:rStyle w:val="FootnoteAnchor"/>
          <w:rtl w:val="true"/>
        </w:rPr>
        <w:footnoteReference w:id="625"/>
      </w:r>
      <w:r>
        <w:rPr>
          <w:rFonts w:ascii="Amiri" w:hAnsi="Amiri" w:eastAsia="Amiri" w:cs="Amiri"/>
          <w:color w:val="111111"/>
          <w:sz w:val="28"/>
          <w:sz w:val="28"/>
          <w:szCs w:val="28"/>
          <w:rtl w:val="true"/>
          <w:lang w:bidi="ar-SA"/>
        </w:rPr>
        <w:t xml:space="preserve">يَتعلَّقُ بالدِّينِ </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828492_2320776876"/>
      <w:bookmarkStart w:id="315" w:name="_Toc111"/>
      <w:bookmarkEnd w:id="314"/>
      <w:r>
        <w:rPr>
          <w:rtl w:val="true"/>
        </w:rPr>
        <w:t>بيان وجوب نصب الإمام على اللّٰه تعالىٰ ، لا على الناس</w:t>
      </w:r>
      <w:bookmarkEnd w:id="315"/>
    </w:p>
    <w:p>
      <w:pPr>
        <w:pStyle w:val="BookText"/>
        <w:rPr/>
      </w:pPr>
      <w:r>
        <w:rPr>
          <w:rFonts w:ascii="Amiri" w:hAnsi="Amiri" w:eastAsia="Amiri" w:cs="Amiri"/>
          <w:color w:val="111111"/>
          <w:sz w:val="28"/>
          <w:sz w:val="28"/>
          <w:szCs w:val="28"/>
          <w:rtl w:val="true"/>
          <w:lang w:bidi="ar-SA"/>
        </w:rPr>
        <w:t>علىٰ أنّه لا أحَدَ مِن العقلاءِ‌</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حينئذٍ ربّما يُتوهّم سقوط التمسّك بفعل العقلاء؛ لأنّ المقصود وجوب الإقامة عليه سبحانه، و العقلاء إنّما يقيمون الرؤساء بأيديهم، فلا دلالة لفعلهم علىٰ ما تذهبون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تعلُّقنا بفعلهم إنّما هو لما يعلمونه من الصلاح بوجود الرؤساء و عدمه بعدمهم، و أنّ الاحتياج إليهم دائم لا يزول، و هذا القدر موضع تعلّقنا به أوّل وَهْلة، و العلم به ضروريّ ، نحن و جميع العقلاء مشتركون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إثبات وجوبه على اللّٰه سبحانه، و أ نّه يجب كون الإمام منصوصاً من قِبله تعالىٰ ، فليس كذلك؛ بل له طريق آخر يمكن أن يَذهَل عنه بعض العقلاء أو يخطئوا فيظنّوا وجوب الإقامة عليهم؛ لأنّ النظريّ يتطرّق إليه الغلط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 نّه لو قُرّر الجواب كما ذكرنا لم يطل الكلام؛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حواشي الشيخ محمّد شفيع بن محمّد عليّ الأستراباديّ على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في الحقيقةِ عندَنا نَصبُ الرؤَساءِ و إقامتُهم؛ لأنّنا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إنّما نوجِبُ ذلكَ علَى اللّٰهِ تَعالىٰ، و نُحيلُ‌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يَكونَ نَصبُ الإمامِ ممّا تَمكَّنُ‌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العقلاءُ بآرائِهم و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ظَنَّ بَعضُ العقلاءِ أنّ ذلكَ</w:t>
      </w:r>
      <w:bookmarkStart w:id="316" w:name="pg20044_770839"/>
    </w:p>
    <w:p>
      <w:pPr>
        <w:pStyle w:val="BookText"/>
        <w:rPr/>
      </w:pPr>
      <w:bookmarkEnd w:id="316"/>
      <w:r>
        <w:rPr>
          <w:rFonts w:ascii="Amiri" w:hAnsi="Amiri" w:eastAsia="Amiri" w:cs="Amiri"/>
          <w:color w:val="111111"/>
          <w:sz w:val="28"/>
          <w:sz w:val="28"/>
          <w:szCs w:val="28"/>
          <w:rtl w:val="true"/>
          <w:lang w:bidi="ar-SA"/>
        </w:rPr>
        <w:t>واجبٌ عليه ففَزِعَ عندَ هذا الظَّنِّ إلىٰ نَصبِ الرؤَساءِ مِن حَيثُ جَهِلَ ما ذَكَرناه مِن اختِصاصِ ذلكَ باللّٰهِ تَعالىٰ ، دونَ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إذا اعتَقَدوا وجوبَه عَلَيهم أن يَكونَ واجباً في الحقيقةِ ، و مَوضِعُ تعلُّقِنا بفِعلِهم و ما يَعلَمونه مِن الصَّلاحِ بوجودِ الرؤَساءِ و الفَسادِ بفَقدِهم باقٍ ، و لا يَقدَحُ فيه اعتقادُهم أنّ إقامتَه مِن فُروضِهم؛ لأنّا</w:t>
      </w:r>
      <w:r>
        <w:rPr>
          <w:rStyle w:val="FootnoteAnchor"/>
          <w:rtl w:val="true"/>
        </w:rPr>
        <w:footnoteReference w:id="627"/>
      </w:r>
      <w:r>
        <w:rPr>
          <w:rFonts w:ascii="Amiri" w:hAnsi="Amiri" w:eastAsia="Amiri" w:cs="Amiri"/>
          <w:color w:val="111111"/>
          <w:sz w:val="28"/>
          <w:sz w:val="28"/>
          <w:szCs w:val="28"/>
          <w:rtl w:val="true"/>
          <w:lang w:bidi="ar-SA"/>
        </w:rPr>
        <w:t>قد بيّنّا ما أدخَلَهم في هذا الاعتِقادِ الفاسِدِ و كشَفْناه</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828494_2320776876"/>
      <w:bookmarkStart w:id="318" w:name="_Toc112"/>
      <w:bookmarkEnd w:id="317"/>
      <w:r>
        <w:rPr>
          <w:rtl w:val="true"/>
        </w:rPr>
        <w:t>بيان الفرق بين الحاجة إلى الإمام، و الحاجة إلى الوكيل</w:t>
      </w:r>
      <w:bookmarkEnd w:id="318"/>
    </w:p>
    <w:p>
      <w:pPr>
        <w:pStyle w:val="BookText"/>
        <w:rPr/>
      </w:pPr>
      <w:r>
        <w:rPr>
          <w:rFonts w:ascii="Amiri" w:hAnsi="Amiri" w:eastAsia="Amiri" w:cs="Amiri"/>
          <w:color w:val="111111"/>
          <w:sz w:val="28"/>
          <w:sz w:val="28"/>
          <w:szCs w:val="28"/>
          <w:rtl w:val="true"/>
          <w:lang w:bidi="ar-SA"/>
        </w:rPr>
        <w:t>و الفَرقُ بَينَ الوكيلِ، و الأميرِ و الإمامِ واضِحٌ؛ لأنّا قد دلَّلنا فيما تقدَّمَ علىٰ أنّ الحاجةَ إلَى الرؤَساءِ و الأُمَراءِ ثابتةٌ غيرُ زائلةٍ‌</w:t>
      </w:r>
      <w:r>
        <w:rPr>
          <w:rStyle w:val="FootnoteAnchor"/>
          <w:rtl w:val="true"/>
        </w:rPr>
        <w:footnoteReference w:id="628"/>
      </w:r>
      <w:r>
        <w:rPr>
          <w:rFonts w:ascii="Amiri" w:hAnsi="Amiri" w:eastAsia="Amiri" w:cs="Amiri"/>
          <w:color w:val="111111"/>
          <w:sz w:val="28"/>
          <w:sz w:val="28"/>
          <w:szCs w:val="28"/>
          <w:rtl w:val="true"/>
          <w:lang w:bidi="ar-SA"/>
        </w:rPr>
        <w:t>، و لَيسَ كذلكَ الحاجةُ إلَى الوكيلِ؛ فإنّ مَن لا ضَيعةَ له و لا عَقارَ</w:t>
      </w:r>
      <w:r>
        <w:rPr>
          <w:rStyle w:val="FootnoteAnchor"/>
          <w:rtl w:val="true"/>
        </w:rPr>
        <w:footnoteReference w:id="629"/>
      </w:r>
      <w:r>
        <w:rPr>
          <w:rFonts w:ascii="Amiri" w:hAnsi="Amiri" w:eastAsia="Amiri" w:cs="Amiri"/>
          <w:color w:val="111111"/>
          <w:sz w:val="28"/>
          <w:sz w:val="28"/>
          <w:szCs w:val="28"/>
          <w:rtl w:val="true"/>
          <w:lang w:bidi="ar-SA"/>
        </w:rPr>
        <w:t>و لا ما يَجري مَجراهما ممّا يَتصرَّفُ فيه الوكلاءُ لا حاجةَ به</w:t>
      </w:r>
      <w:r>
        <w:rPr>
          <w:rStyle w:val="FootnoteAnchor"/>
          <w:rtl w:val="true"/>
        </w:rPr>
        <w:footnoteReference w:id="630"/>
      </w:r>
      <w:r>
        <w:rPr>
          <w:rFonts w:ascii="Amiri" w:hAnsi="Amiri" w:eastAsia="Amiri" w:cs="Amiri"/>
          <w:color w:val="111111"/>
          <w:sz w:val="28"/>
          <w:sz w:val="28"/>
          <w:szCs w:val="28"/>
          <w:rtl w:val="true"/>
          <w:lang w:bidi="ar-SA"/>
        </w:rPr>
        <w:t>إلَى الوكيلِ ، و لا يعُدُّه العقلاءُ في تَركِ الاستعانةِ بوَكيلٍ مُهمِلاً و مُفَرِّطاً، و</w:t>
      </w:r>
    </w:p>
    <w:p>
      <w:pPr>
        <w:pStyle w:val="BookText"/>
        <w:rPr/>
      </w:pPr>
      <w:r>
        <w:rPr>
          <w:rFonts w:ascii="Amiri" w:hAnsi="Amiri" w:eastAsia="Amiri" w:cs="Amiri"/>
          <w:color w:val="111111"/>
          <w:sz w:val="28"/>
          <w:sz w:val="28"/>
          <w:szCs w:val="28"/>
          <w:rtl w:val="true"/>
          <w:lang w:bidi="ar-SA"/>
        </w:rPr>
        <w:t xml:space="preserve">لَيسَ نَجِدُ أحَداً مِن العقلاءِ يَستَغني عن أن يَكونَ له رئيسٌ يأخُذُ علىٰ يدِه، و يَمنَعُه عن كثيرٍ ممّا يَتسرَّعُ </w:t>
      </w:r>
      <w:r>
        <w:rPr>
          <w:rStyle w:val="FootnoteAnchor"/>
          <w:rtl w:val="true"/>
        </w:rPr>
        <w:footnoteReference w:id="631"/>
      </w:r>
      <w:r>
        <w:rPr>
          <w:rFonts w:ascii="Amiri" w:hAnsi="Amiri" w:eastAsia="Amiri" w:cs="Amiri"/>
          <w:color w:val="111111"/>
          <w:sz w:val="28"/>
          <w:sz w:val="28"/>
          <w:szCs w:val="28"/>
          <w:rtl w:val="true"/>
          <w:lang w:bidi="ar-SA"/>
        </w:rPr>
        <w:t xml:space="preserve">بطِباعِه و هَواه إليه مِن القَبائحِ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سائرِ مَن يَجوزُ عليه فِعلُ القَبيحِ مِن المُكلَّفينَ حُكمُ صاحبِ الضِّياعِ و الأموالِ التي لا يَتَّسِعُ لتدبيرِها و القيامِ بها؛ فكما</w:t>
      </w:r>
      <w:r>
        <w:rPr>
          <w:rStyle w:val="FootnoteAnchor"/>
          <w:rtl w:val="true"/>
        </w:rPr>
        <w:footnoteReference w:id="632"/>
      </w:r>
      <w:r>
        <w:rPr>
          <w:rFonts w:ascii="Amiri" w:hAnsi="Amiri" w:eastAsia="Amiri" w:cs="Amiri"/>
          <w:color w:val="111111"/>
          <w:sz w:val="28"/>
          <w:sz w:val="28"/>
          <w:szCs w:val="28"/>
          <w:rtl w:val="true"/>
          <w:lang w:bidi="ar-SA"/>
        </w:rPr>
        <w:t>أنّ مَن هذه حالُه إذا تَرَكَ إقامةَ الوكلاءِ و الاستعانةَ بِهم</w:t>
      </w:r>
      <w:r>
        <w:rPr>
          <w:rStyle w:val="FootnoteAnchor"/>
          <w:rtl w:val="true"/>
        </w:rPr>
        <w:footnoteReference w:id="633"/>
      </w:r>
      <w:r>
        <w:rPr>
          <w:rFonts w:ascii="Amiri" w:hAnsi="Amiri" w:eastAsia="Amiri" w:cs="Amiri"/>
          <w:color w:val="111111"/>
          <w:sz w:val="28"/>
          <w:sz w:val="28"/>
          <w:szCs w:val="28"/>
          <w:rtl w:val="true"/>
          <w:lang w:bidi="ar-SA"/>
        </w:rPr>
        <w:t xml:space="preserve">كان مُفرِّطاً مذموماً موبَّخاً، و أعقَبَه ذلك غايةَ الضَّرَرِ، فكذلك حالُ المكلَّفينَ متىٰ خَلَوا مِن الرؤَساءِ و الأُمَراءِ </w:t>
      </w:r>
      <w:r>
        <w:rPr>
          <w:rFonts w:eastAsia="Amiri" w:cs="Amiri" w:ascii="Amiri" w:hAnsi="Amiri"/>
          <w:color w:val="111111"/>
          <w:sz w:val="28"/>
          <w:szCs w:val="28"/>
          <w:rtl w:val="true"/>
          <w:lang w:bidi="ar-SA"/>
        </w:rPr>
        <w:t xml:space="preserve">. </w:t>
      </w:r>
      <w:bookmarkStart w:id="319" w:name="pg20044_770840"/>
    </w:p>
    <w:p>
      <w:pPr>
        <w:pStyle w:val="BookText"/>
        <w:rPr/>
      </w:pPr>
      <w:bookmarkEnd w:id="31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فَرقَ بَينَ مَن يَدَّعي نَصبَ إمامٍ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w:t>
      </w:r>
      <w:r>
        <w:rPr>
          <w:rStyle w:val="FootnoteAnchor"/>
          <w:rtl w:val="true"/>
        </w:rPr>
        <w:footnoteReference w:id="634"/>
      </w:r>
      <w:r>
        <w:rPr>
          <w:rFonts w:ascii="Amiri" w:hAnsi="Amiri" w:eastAsia="Amiri" w:cs="Amiri"/>
          <w:color w:val="111111"/>
          <w:sz w:val="28"/>
          <w:sz w:val="28"/>
          <w:szCs w:val="28"/>
          <w:rtl w:val="true"/>
          <w:lang w:bidi="ar-SA"/>
        </w:rPr>
        <w:t>نَصبَ الإمامِ المُختصِّ بالصفاتِ التي نَذكُرُها</w:t>
      </w:r>
      <w:r>
        <w:rPr>
          <w:rStyle w:val="FootnoteAnchor"/>
          <w:rtl w:val="true"/>
        </w:rPr>
        <w:footnoteReference w:id="635"/>
      </w:r>
      <w:r>
        <w:rPr>
          <w:rFonts w:ascii="Amiri" w:hAnsi="Amiri" w:eastAsia="Amiri" w:cs="Amiri"/>
          <w:color w:val="111111"/>
          <w:sz w:val="28"/>
          <w:sz w:val="28"/>
          <w:szCs w:val="28"/>
          <w:rtl w:val="true"/>
          <w:lang w:bidi="ar-SA"/>
        </w:rPr>
        <w:t xml:space="preserve">، فقَد تقدَّمَ أنّ </w:t>
      </w:r>
      <w:r>
        <w:rPr>
          <w:rStyle w:val="FootnoteAnchor"/>
          <w:rtl w:val="true"/>
        </w:rPr>
        <w:footnoteReference w:id="636"/>
      </w:r>
      <w:r>
        <w:rPr>
          <w:rFonts w:ascii="Amiri" w:hAnsi="Amiri" w:eastAsia="Amiri" w:cs="Amiri"/>
          <w:color w:val="111111"/>
          <w:sz w:val="28"/>
          <w:sz w:val="28"/>
          <w:szCs w:val="28"/>
          <w:rtl w:val="true"/>
          <w:lang w:bidi="ar-SA"/>
        </w:rPr>
        <w:t>بهذه الطريقةِ وَحدَها لا نُثبِتُه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نَصبَ رئيسٍ في الجُملةِ ، فهو الصحيحُ ، و قد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بيّنّا أنّ ما يكونُ طريقاً لاجتِلابِ المَنافعِ يَحسُنُ و لا يَجِبُ، و ما يَكونُ طريقاً لدَفعِ المَضارِّ قد يَجِبُ، و أنّ‌</w:t>
      </w:r>
      <w:r>
        <w:rPr>
          <w:rStyle w:val="FootnoteAnchor"/>
          <w:rtl w:val="true"/>
        </w:rPr>
        <w:footnoteReference w:id="637"/>
      </w:r>
      <w:r>
        <w:rPr>
          <w:rFonts w:ascii="Amiri" w:hAnsi="Amiri" w:eastAsia="Amiri" w:cs="Amiri"/>
          <w:color w:val="111111"/>
          <w:sz w:val="28"/>
          <w:sz w:val="28"/>
          <w:szCs w:val="28"/>
          <w:rtl w:val="true"/>
          <w:lang w:bidi="ar-SA"/>
        </w:rPr>
        <w:t xml:space="preserve">ذلك مُتعلِّقٌ بغالبِ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كلامِه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تقدَّمَ آنِفاً</w:t>
      </w:r>
      <w:r>
        <w:rPr>
          <w:rStyle w:val="FootnoteAnchor"/>
          <w:rtl w:val="true"/>
        </w:rPr>
        <w:footnoteReference w:id="639"/>
      </w:r>
      <w:r>
        <w:rPr>
          <w:rFonts w:ascii="Amiri" w:hAnsi="Amiri" w:eastAsia="Amiri" w:cs="Amiri"/>
          <w:color w:val="111111"/>
          <w:sz w:val="28"/>
          <w:sz w:val="28"/>
          <w:szCs w:val="28"/>
          <w:rtl w:val="true"/>
          <w:lang w:bidi="ar-SA"/>
        </w:rPr>
        <w:t xml:space="preserve">ما يُبطِلُ ما ادَّعاه مِن اختِصاصِ نَصبِ </w:t>
      </w:r>
      <w:r>
        <w:rPr>
          <w:rStyle w:val="FootnoteAnchor"/>
          <w:rtl w:val="true"/>
        </w:rPr>
        <w:footnoteReference w:id="640"/>
      </w:r>
      <w:r>
        <w:rPr>
          <w:rFonts w:ascii="Amiri" w:hAnsi="Amiri" w:eastAsia="Amiri" w:cs="Amiri"/>
          <w:color w:val="111111"/>
          <w:sz w:val="28"/>
          <w:sz w:val="28"/>
          <w:szCs w:val="28"/>
          <w:rtl w:val="true"/>
          <w:lang w:bidi="ar-SA"/>
        </w:rPr>
        <w:t>الرؤَساءِ بدَفعِ المَضارِّ الدُّنياويّةِ ، و اجتِلابِ المَنافعِ العاجِلةِ ، و دلَّلنا</w:t>
      </w:r>
      <w:r>
        <w:rPr>
          <w:rStyle w:val="FootnoteAnchor"/>
          <w:rtl w:val="true"/>
        </w:rPr>
        <w:footnoteReference w:id="641"/>
      </w:r>
      <w:r>
        <w:rPr>
          <w:rFonts w:ascii="Amiri" w:hAnsi="Amiri" w:eastAsia="Amiri" w:cs="Amiri"/>
          <w:color w:val="111111"/>
          <w:sz w:val="28"/>
          <w:sz w:val="28"/>
          <w:szCs w:val="28"/>
          <w:rtl w:val="true"/>
          <w:lang w:bidi="ar-SA"/>
        </w:rPr>
        <w:t>علىٰ أنّ للرئاسةِ تعلُّقاً وكيداً بالدِّينِ بما لا يُمكِنُ دَفعُه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828496_2320776876"/>
      <w:bookmarkStart w:id="321" w:name="_Toc113"/>
      <w:bookmarkEnd w:id="320"/>
      <w:r>
        <w:rPr>
          <w:rtl w:val="true"/>
        </w:rPr>
        <w:t>عدم المنافاة بين جواز اجتماع الناس علىٰ رئيس كافر، و بين وجوب الرئاسة في الجملة</w:t>
      </w:r>
      <w:bookmarkEnd w:id="321"/>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اجتَمَعوا علىٰ رئيسٍ كافرٍ، و رُبَّما اجتَمَعوا علىٰ رئيسٍ مؤمِنٍ ، و </w:t>
      </w:r>
    </w:p>
    <w:p>
      <w:pPr>
        <w:pStyle w:val="BookText"/>
        <w:rPr/>
      </w:pPr>
      <w:r>
        <w:rPr>
          <w:rFonts w:ascii="Amiri" w:hAnsi="Amiri" w:eastAsia="Amiri" w:cs="Amiri"/>
          <w:color w:val="111111"/>
          <w:sz w:val="28"/>
          <w:sz w:val="28"/>
          <w:szCs w:val="28"/>
          <w:rtl w:val="true"/>
          <w:lang w:bidi="ar-SA"/>
        </w:rPr>
        <w:t>يَحُلُّ ذلكَ مَحَلَّ اختِلافِهم في أغراضِهم و شَهَواتِهم، و ما هذا حالُه لا يُجعَلُ أصلاً في بابِ الدياناتِ</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فلَيسَ نُنكِرُ ما ذَكَرَه مِن جَوازِ اجتِماعِ الناسِ علىٰ رئيسٍ كافرٍ، و لا نَمنَعُ مِن أن تَستَقيمَ أحوالُهم علىٰ رئاستِه بَعضَ الاستقامةِ، و لَيسَ ذلكَ بقادحٍ في قولِنا؛ لأنّا نَمنَعُ مِن أن يَنصِبَ اللّٰهُ إماماً كافراً لأمرٍ يَرجِعُ إلىٰ حِكمتِه، لا إلىٰ‌</w:t>
      </w:r>
      <w:r>
        <w:rPr>
          <w:rStyle w:val="FootnoteAnchor"/>
          <w:rtl w:val="true"/>
        </w:rPr>
        <w:footnoteReference w:id="643"/>
      </w:r>
      <w:r>
        <w:rPr>
          <w:rFonts w:ascii="Amiri" w:hAnsi="Amiri" w:eastAsia="Amiri" w:cs="Amiri"/>
          <w:color w:val="111111"/>
          <w:sz w:val="28"/>
          <w:sz w:val="28"/>
          <w:szCs w:val="28"/>
          <w:rtl w:val="true"/>
          <w:lang w:bidi="ar-SA"/>
        </w:rPr>
        <w:t>أنّ رئاسةَ الكافرِ لا يَجوزُ أن تَكونَ؛ إذ في المعلومِ أنّ قَوماً يَستَقيمونَ عندَها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كما نَقولُه نحنُ و أنتم جميعاً أنّه</w:t>
      </w:r>
      <w:r>
        <w:rPr>
          <w:rStyle w:val="FootnoteAnchor"/>
          <w:rtl w:val="true"/>
        </w:rPr>
        <w:footnoteReference w:id="645"/>
      </w:r>
      <w:r>
        <w:rPr>
          <w:rFonts w:ascii="Amiri" w:hAnsi="Amiri" w:eastAsia="Amiri" w:cs="Amiri"/>
          <w:color w:val="111111"/>
          <w:sz w:val="28"/>
          <w:sz w:val="28"/>
          <w:szCs w:val="28"/>
          <w:rtl w:val="true"/>
          <w:lang w:bidi="ar-SA"/>
        </w:rPr>
        <w:t>لا يَمتَنِعُ أن يَعلَمَ اللّٰهُ تَعالىٰ مِن بعضِ عبادِه أنّه لا يؤمِنُ إلّابأن يَفعَلَ‌</w:t>
      </w:r>
      <w:r>
        <w:rPr>
          <w:rStyle w:val="FootnoteAnchor"/>
          <w:rtl w:val="true"/>
        </w:rPr>
        <w:footnoteReference w:id="646"/>
      </w:r>
      <w:r>
        <w:rPr>
          <w:rFonts w:ascii="Amiri" w:hAnsi="Amiri" w:eastAsia="Amiri" w:cs="Amiri"/>
          <w:color w:val="111111"/>
          <w:sz w:val="28"/>
          <w:sz w:val="28"/>
          <w:szCs w:val="28"/>
          <w:rtl w:val="true"/>
          <w:lang w:bidi="ar-SA"/>
        </w:rPr>
        <w:t xml:space="preserve">تَعالىٰ بَعضَ القَبائحِ،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يَجِبُ </w:t>
      </w:r>
      <w:r>
        <w:rPr>
          <w:rStyle w:val="FootnoteAnchor"/>
          <w:rtl w:val="true"/>
        </w:rPr>
        <w:footnoteReference w:id="647"/>
      </w:r>
      <w:r>
        <w:rPr>
          <w:rFonts w:ascii="Amiri" w:hAnsi="Amiri" w:eastAsia="Amiri" w:cs="Amiri"/>
          <w:color w:val="111111"/>
          <w:sz w:val="28"/>
          <w:sz w:val="28"/>
          <w:szCs w:val="28"/>
          <w:rtl w:val="true"/>
          <w:lang w:bidi="ar-SA"/>
        </w:rPr>
        <w:t>أن يَفعلَه، بَل لا يَحسُنُ ؛ فكذلك القولُ في رئاسةِ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لا يَمنَعُ مِن صحّةِ ما ذَكَرناه في وجوبِ الرئاسةِ علَى الجُملةِ ، بَل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لَو عَلِمَ اللّٰهُ تَعالىٰ أنّ سائرَ المكلَّفينَ لا يَصلُحونَ و لا يَستَقيمُ حالُهم إلّاعندَ رئاسةِ كافرٍ، أو عندَ رئاسةِ مَن لَيسَت له</w:t>
      </w:r>
      <w:r>
        <w:rPr>
          <w:rStyle w:val="FootnoteAnchor"/>
          <w:rtl w:val="true"/>
        </w:rPr>
        <w:footnoteReference w:id="648"/>
      </w:r>
      <w:r>
        <w:rPr>
          <w:rFonts w:ascii="Amiri" w:hAnsi="Amiri" w:eastAsia="Amiri" w:cs="Amiri"/>
          <w:color w:val="111111"/>
          <w:sz w:val="28"/>
          <w:sz w:val="28"/>
          <w:szCs w:val="28"/>
          <w:rtl w:val="true"/>
          <w:lang w:bidi="ar-SA"/>
        </w:rPr>
        <w:t>الصِّفاتُ المخصوصةُ التي تَدَّعونَها للأئمّةِ؟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اللّٰهُ ذلك أسقَطَ عن المُكلَّفينَ ما الإمامةُ لُطفٌ فيه مِن التكليفِ ، </w:t>
      </w:r>
      <w:bookmarkStart w:id="322" w:name="pg20044_770842"/>
    </w:p>
    <w:p>
      <w:pPr>
        <w:pStyle w:val="BookText"/>
        <w:rPr/>
      </w:pPr>
      <w:bookmarkEnd w:id="322"/>
      <w:r>
        <w:rPr>
          <w:rFonts w:ascii="Amiri" w:hAnsi="Amiri" w:eastAsia="Amiri" w:cs="Amiri"/>
          <w:color w:val="111111"/>
          <w:sz w:val="28"/>
          <w:sz w:val="28"/>
          <w:szCs w:val="28"/>
          <w:rtl w:val="true"/>
          <w:lang w:bidi="ar-SA"/>
        </w:rPr>
        <w:t>أو لَم يَخلُقْهم 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مَجرىٰ </w:t>
      </w:r>
      <w:r>
        <w:rPr>
          <w:rStyle w:val="FootnoteAnchor"/>
          <w:rtl w:val="true"/>
        </w:rPr>
        <w:footnoteReference w:id="649"/>
      </w:r>
      <w:r>
        <w:rPr>
          <w:rFonts w:ascii="Amiri" w:hAnsi="Amiri" w:eastAsia="Amiri" w:cs="Amiri"/>
          <w:color w:val="111111"/>
          <w:sz w:val="28"/>
          <w:sz w:val="28"/>
          <w:szCs w:val="28"/>
          <w:rtl w:val="true"/>
          <w:lang w:bidi="ar-SA"/>
        </w:rPr>
        <w:t xml:space="preserve">أن يَعلَمَ اللّٰهُ </w:t>
      </w:r>
      <w:r>
        <w:rPr>
          <w:rStyle w:val="FootnoteAnchor"/>
          <w:rtl w:val="true"/>
        </w:rPr>
        <w:footnoteReference w:id="650"/>
      </w:r>
      <w:r>
        <w:rPr>
          <w:rFonts w:ascii="Amiri" w:hAnsi="Amiri" w:eastAsia="Amiri" w:cs="Amiri"/>
          <w:color w:val="111111"/>
          <w:sz w:val="28"/>
          <w:sz w:val="28"/>
          <w:szCs w:val="28"/>
          <w:rtl w:val="true"/>
          <w:lang w:bidi="ar-SA"/>
        </w:rPr>
        <w:t>سُبحانَه أنّ بَعضَ المُكلَّفينَ لا يَصلُحُ في شَيءٍ مِن تَكاليفِه، و لا يَكونُ شَيءٌ مِن الأفعالِ الحَسَنةِ لُطفاً له، بَل يَعلَمَ أنّ لُطفَه و صَلاحَه</w:t>
      </w:r>
      <w:r>
        <w:rPr>
          <w:rStyle w:val="FootnoteAnchor"/>
          <w:rtl w:val="true"/>
        </w:rPr>
        <w:footnoteReference w:id="651"/>
      </w:r>
      <w:r>
        <w:rPr>
          <w:rFonts w:ascii="Amiri" w:hAnsi="Amiri" w:eastAsia="Amiri" w:cs="Amiri"/>
          <w:color w:val="111111"/>
          <w:sz w:val="28"/>
          <w:sz w:val="28"/>
          <w:szCs w:val="28"/>
          <w:rtl w:val="true"/>
          <w:lang w:bidi="ar-SA"/>
        </w:rPr>
        <w:t xml:space="preserve">في فِعلٍ قَبيحٍ يَفعَلُه سُبحانَه؛ فكما أنّا نوجِبُ إسقاطَ التكليفِ عن هذا أو أن لا يُخلَقَ ، فكذلك نوجِبُه فيمَن تقدَّمَ </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828498_2320776876"/>
      <w:bookmarkStart w:id="324" w:name="_Toc114"/>
      <w:bookmarkEnd w:id="323"/>
      <w:r>
        <w:rPr>
          <w:rtl w:val="true"/>
        </w:rPr>
        <w:t>نفي بعض الوجوه المذكورة لإثبات الحاجة إلى الإمام</w:t>
      </w:r>
      <w:bookmarkEnd w:id="324"/>
    </w:p>
    <w:p>
      <w:pPr>
        <w:pStyle w:val="Heading6"/>
        <w:numPr>
          <w:ilvl w:val="5"/>
          <w:numId w:val="1"/>
        </w:numPr>
        <w:rPr/>
      </w:pPr>
      <w:bookmarkStart w:id="325" w:name="__RefHeading___Toc828500_2320776876"/>
      <w:bookmarkStart w:id="326" w:name="_Toc115"/>
      <w:bookmarkEnd w:id="325"/>
      <w:r>
        <w:rPr/>
        <w:t>1</w:t>
      </w:r>
      <w:r>
        <w:rPr>
          <w:rtl w:val="true"/>
        </w:rPr>
        <w:t xml:space="preserve">، </w:t>
      </w:r>
      <w:r>
        <w:rPr/>
        <w:t>2</w:t>
      </w:r>
      <w:r>
        <w:rPr>
          <w:rtl w:val="true"/>
        </w:rPr>
        <w:t xml:space="preserve">. </w:t>
      </w:r>
      <w:r>
        <w:rPr>
          <w:rtl w:val="true"/>
        </w:rPr>
        <w:t>الخاطر و التنبيه على النظر</w:t>
      </w:r>
      <w:bookmarkEnd w:id="326"/>
    </w:p>
    <w:p>
      <w:pPr>
        <w:pStyle w:val="BookText"/>
        <w:rPr/>
      </w:pPr>
      <w:r>
        <w:rPr>
          <w:rFonts w:ascii="Amiri" w:hAnsi="Amiri" w:eastAsia="Amiri" w:cs="Amiri"/>
          <w:color w:val="111111"/>
          <w:sz w:val="28"/>
          <w:sz w:val="28"/>
          <w:szCs w:val="28"/>
          <w:rtl w:val="true"/>
          <w:lang w:bidi="ar-SA"/>
        </w:rPr>
        <w:t xml:space="preserve">فأمّا ما طَوَّلَه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الخاطِرِ</w:t>
      </w:r>
      <w:r>
        <w:rPr>
          <w:rStyle w:val="FootnoteAnchor"/>
          <w:rtl w:val="true"/>
        </w:rPr>
        <w:footnoteReference w:id="652"/>
      </w:r>
      <w:r>
        <w:rPr>
          <w:rFonts w:ascii="Amiri" w:hAnsi="Amiri" w:eastAsia="Amiri" w:cs="Amiri"/>
          <w:color w:val="111111"/>
          <w:sz w:val="28"/>
          <w:sz w:val="28"/>
          <w:szCs w:val="28"/>
          <w:rtl w:val="true"/>
          <w:lang w:bidi="ar-SA"/>
        </w:rPr>
        <w:t>، و التنبيهِ علَى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في ذلكَ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فلَيسَ ممّا نَتعلَّقُ به و لا نَعتَمِدُه، و قد أفصَحْنا</w:t>
      </w:r>
      <w:r>
        <w:rPr>
          <w:rStyle w:val="FootnoteAnchor"/>
          <w:rtl w:val="true"/>
        </w:rPr>
        <w:footnoteReference w:id="654"/>
      </w:r>
      <w:r>
        <w:rPr>
          <w:rFonts w:ascii="Amiri" w:hAnsi="Amiri" w:eastAsia="Amiri" w:cs="Amiri"/>
          <w:color w:val="111111"/>
          <w:sz w:val="28"/>
          <w:sz w:val="28"/>
          <w:szCs w:val="28"/>
          <w:rtl w:val="true"/>
          <w:lang w:bidi="ar-SA"/>
        </w:rPr>
        <w:t>عن وجهِ الحاجةِ إلَى الإمامِ بما يُغني عن غيرِه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كُنّا قُلنا فيما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يَجوزُ أن يوجَبَ إقامةُ إمامٍ لأمرٍ يَجوزُ أن يقومَ غيرُه فيه مَقامَه</w:t>
      </w:r>
      <w:r>
        <w:rPr>
          <w:rStyle w:val="FootnoteAnchor"/>
          <w:rtl w:val="true"/>
        </w:rPr>
        <w:footnoteReference w:id="6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Style w:val="FootnoteAnchor"/>
          <w:rtl w:val="true"/>
        </w:rPr>
        <w:footnoteReference w:id="657"/>
      </w:r>
      <w:r>
        <w:rPr>
          <w:rFonts w:ascii="Amiri" w:hAnsi="Amiri" w:eastAsia="Amiri" w:cs="Amiri"/>
          <w:color w:val="111111"/>
          <w:sz w:val="28"/>
          <w:sz w:val="28"/>
          <w:szCs w:val="28"/>
          <w:rtl w:val="true"/>
          <w:lang w:bidi="ar-SA"/>
        </w:rPr>
        <w:t>يَجوزُ عندَنا أن يُستَغنىٰ فيه عن الإمامِ ، و إن كانَ بَعضُ أصحابِنا تَعلَّقَ بذلك تقريباً</w:t>
      </w:r>
      <w:r>
        <w:rPr>
          <w:rFonts w:eastAsia="Amiri" w:cs="Amiri" w:ascii="Amiri" w:hAnsi="Amiri"/>
          <w:color w:val="111111"/>
          <w:sz w:val="28"/>
          <w:szCs w:val="28"/>
          <w:rtl w:val="true"/>
          <w:lang w:bidi="ar-SA"/>
        </w:rPr>
        <w:t xml:space="preserve">. </w:t>
      </w:r>
      <w:bookmarkStart w:id="327" w:name="pg20044_770843"/>
    </w:p>
    <w:p>
      <w:pPr>
        <w:pStyle w:val="Heading6"/>
        <w:numPr>
          <w:ilvl w:val="5"/>
          <w:numId w:val="1"/>
        </w:numPr>
        <w:rPr/>
      </w:pPr>
      <w:bookmarkStart w:id="328" w:name="__RefHeading___Toc828502_2320776876"/>
      <w:bookmarkStart w:id="329" w:name="_Toc116"/>
      <w:bookmarkEnd w:id="327"/>
      <w:bookmarkEnd w:id="328"/>
      <w:r>
        <w:rPr/>
        <w:t>3</w:t>
      </w:r>
      <w:r>
        <w:rPr>
          <w:rtl w:val="true"/>
        </w:rPr>
        <w:t xml:space="preserve">، </w:t>
      </w:r>
      <w:r>
        <w:rPr/>
        <w:t>4</w:t>
      </w:r>
      <w:r>
        <w:rPr>
          <w:rtl w:val="true"/>
        </w:rPr>
        <w:t xml:space="preserve">. </w:t>
      </w:r>
      <w:r>
        <w:rPr>
          <w:rtl w:val="true"/>
        </w:rPr>
        <w:t>شكر النعمة و التواتر</w:t>
      </w:r>
      <w:bookmarkEnd w:id="329"/>
    </w:p>
    <w:p>
      <w:pPr>
        <w:pStyle w:val="BookText"/>
        <w:rPr/>
      </w:pPr>
      <w:r>
        <w:rPr>
          <w:rFonts w:ascii="Amiri" w:hAnsi="Amiri" w:eastAsia="Amiri" w:cs="Amiri"/>
          <w:color w:val="111111"/>
          <w:sz w:val="28"/>
          <w:sz w:val="28"/>
          <w:szCs w:val="28"/>
          <w:rtl w:val="true"/>
          <w:lang w:bidi="ar-SA"/>
        </w:rPr>
        <w:t xml:space="preserve">فأمّا ما ذَكَرَه و أَطنَبَ فيه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تَعاطيهِ </w:t>
      </w:r>
      <w:r>
        <w:rPr>
          <w:rStyle w:val="FootnoteAnchor"/>
          <w:rtl w:val="true"/>
        </w:rPr>
        <w:footnoteReference w:id="658"/>
      </w:r>
      <w:r>
        <w:rPr>
          <w:rFonts w:ascii="Amiri" w:hAnsi="Amiri" w:eastAsia="Amiri" w:cs="Amiri"/>
          <w:color w:val="111111"/>
          <w:sz w:val="28"/>
          <w:sz w:val="28"/>
          <w:szCs w:val="28"/>
          <w:rtl w:val="true"/>
          <w:lang w:bidi="ar-SA"/>
        </w:rPr>
        <w:t xml:space="preserve">إفسادَ قولِ مَن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يُحتاجُ إليه لبَيانِ كيفيّةِ الشُّكرِ للّٰهِ تَعالىٰ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فممّا لا نَرتَضيهِ و لا نَعتَمِدُه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التعليلَ لَو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يوجِبُ في كُلِّ عصرٍ حُجّةً لا مَحالةَ؛ لأنّ بيانَ الرسولِ الواحدِ إذا انتَشَرَ بالتواتُرِ في كيفيّةِ الشُّكرِ، أغنىٰ عن حُجّةٍ بَعدَه</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باطلٌ لا يَفسُدُ بمِثلِه المذهبُ الذي حَكاه؛ لأنّ ما بيَّنَه</w:t>
      </w:r>
      <w:r>
        <w:rPr>
          <w:rStyle w:val="FootnoteAnchor"/>
          <w:rtl w:val="true"/>
        </w:rPr>
        <w:footnoteReference w:id="661"/>
      </w:r>
      <w:r>
        <w:rPr>
          <w:rFonts w:ascii="Amiri" w:hAnsi="Amiri" w:eastAsia="Amiri" w:cs="Amiri"/>
          <w:color w:val="111111"/>
          <w:sz w:val="28"/>
          <w:sz w:val="28"/>
          <w:szCs w:val="28"/>
          <w:rtl w:val="true"/>
          <w:lang w:bidi="ar-SA"/>
        </w:rPr>
        <w:t>الرسولُ مِن</w:t>
      </w:r>
      <w:r>
        <w:rPr>
          <w:rStyle w:val="FootnoteAnchor"/>
          <w:rtl w:val="true"/>
        </w:rPr>
        <w:footnoteReference w:id="662"/>
      </w:r>
      <w:r>
        <w:rPr>
          <w:rFonts w:ascii="Amiri" w:hAnsi="Amiri" w:eastAsia="Amiri" w:cs="Amiri"/>
          <w:color w:val="111111"/>
          <w:sz w:val="28"/>
          <w:sz w:val="28"/>
          <w:szCs w:val="28"/>
          <w:rtl w:val="true"/>
          <w:lang w:bidi="ar-SA"/>
        </w:rPr>
        <w:t xml:space="preserve">كيفيّةِ الشُّكرِ لَيسَ ممّا يَجِبُ نَقلُه لا مَحالةَ، و لَو وَجَبَ نَقلُه لَم يَجِبْ علىٰ وجهِ التواتُرِ الموجِبِ للحُجّةِ ؛ لأنّه لا يَمتَنِعُ أن يُعرِضَ الناقِلونَ أو أكثرُهم عن النَّقلِ لِداعٍ يدعوهُم إلَى الإعراضِ ، كما أنّهم في الأصلِ لَم يَنقُلوا ما نَقَلوه إلّالِداعٍ دَعاهم إلَى النَّقلِ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ذلكَ عَلَيهم جائزاً و غيرَ مُمتَنِعٍ وقوعُه</w:t>
      </w:r>
      <w:r>
        <w:rPr>
          <w:rStyle w:val="FootnoteAnchor"/>
          <w:rtl w:val="true"/>
        </w:rPr>
        <w:footnoteReference w:id="663"/>
      </w:r>
      <w:r>
        <w:rPr>
          <w:rFonts w:ascii="Amiri" w:hAnsi="Amiri" w:eastAsia="Amiri" w:cs="Amiri"/>
          <w:color w:val="111111"/>
          <w:sz w:val="28"/>
          <w:sz w:val="28"/>
          <w:szCs w:val="28"/>
          <w:rtl w:val="true"/>
          <w:lang w:bidi="ar-SA"/>
        </w:rPr>
        <w:t>سَقَطَت الحُجّةُ بالنَّقلِ ، و ثَبَتَت</w:t>
      </w:r>
      <w:r>
        <w:rPr>
          <w:rStyle w:val="FootnoteAnchor"/>
          <w:rtl w:val="true"/>
        </w:rPr>
        <w:footnoteReference w:id="664"/>
      </w:r>
      <w:bookmarkStart w:id="330" w:name="pg20044_770844"/>
    </w:p>
    <w:p>
      <w:pPr>
        <w:pStyle w:val="BookText"/>
        <w:rPr/>
      </w:pPr>
      <w:bookmarkEnd w:id="330"/>
      <w:r>
        <w:rPr>
          <w:rFonts w:ascii="Amiri" w:hAnsi="Amiri" w:eastAsia="Amiri" w:cs="Amiri"/>
          <w:color w:val="111111"/>
          <w:sz w:val="28"/>
          <w:sz w:val="28"/>
          <w:szCs w:val="28"/>
          <w:rtl w:val="true"/>
          <w:lang w:bidi="ar-SA"/>
        </w:rPr>
        <w:t>الحاجةُ إلىٰ إمامٍ مؤدٍّ لِما وَقَعَ مِن بيانِ الرسولِ عليه السلامُ ؛</w:t>
      </w:r>
      <w:r>
        <w:rPr>
          <w:rStyle w:val="FootnoteAnchor"/>
          <w:rtl w:val="true"/>
        </w:rPr>
        <w:footnoteReference w:id="665"/>
      </w:r>
      <w:r>
        <w:rPr>
          <w:rFonts w:ascii="Amiri" w:hAnsi="Amiri" w:eastAsia="Amiri" w:cs="Amiri"/>
          <w:color w:val="111111"/>
          <w:sz w:val="28"/>
          <w:sz w:val="28"/>
          <w:szCs w:val="28"/>
          <w:rtl w:val="true"/>
          <w:lang w:bidi="ar-SA"/>
        </w:rPr>
        <w:t>لأنّه لَو كانَ الأمرُ بخِلافِ ما ذَكَرناه و علىٰ ما ظَنَّه خُصومُنا، لَم يَكُن لِلّهِ تَعالىٰ علىٰ مَن لَم يُشاهِدْ زَمَنَ النبيِّ صلّى اللّٰه عليه و آلِه حُجّةٌ إذا كانَ النَّقلُ بالصورةِ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يُبطِلُ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التواتُرَ يَقومُ مَقامَ الإمامِ في بَيانِ مُرادِ الرَّسولِ </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828504_2320776876"/>
      <w:bookmarkStart w:id="332" w:name="_Toc117"/>
      <w:bookmarkEnd w:id="331"/>
      <w:r>
        <w:rPr/>
        <w:t>5</w:t>
      </w:r>
      <w:r>
        <w:rPr>
          <w:rtl w:val="true"/>
        </w:rPr>
        <w:t xml:space="preserve">. </w:t>
      </w:r>
      <w:r>
        <w:rPr>
          <w:rtl w:val="true"/>
        </w:rPr>
        <w:t>تعريف السموم و الأغذية</w:t>
      </w:r>
      <w:bookmarkEnd w:id="332"/>
    </w:p>
    <w:p>
      <w:pPr>
        <w:pStyle w:val="Heading6"/>
        <w:numPr>
          <w:ilvl w:val="5"/>
          <w:numId w:val="1"/>
        </w:numPr>
        <w:rPr/>
      </w:pPr>
      <w:bookmarkStart w:id="333" w:name="__RefHeading___Toc828506_2320776876"/>
      <w:bookmarkStart w:id="334" w:name="_Toc118"/>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فأمّا ما ذَكَرَه في السُّمومِ القاتلةِ و الأغذيةِ المُبقِيةِ‌</w:t>
      </w:r>
      <w:r>
        <w:rPr>
          <w:rStyle w:val="FootnoteAnchor"/>
          <w:rtl w:val="true"/>
        </w:rPr>
        <w:footnoteReference w:id="667"/>
      </w:r>
      <w:r>
        <w:rPr>
          <w:rFonts w:ascii="Amiri" w:hAnsi="Amiri" w:eastAsia="Amiri" w:cs="Amiri"/>
          <w:color w:val="111111"/>
          <w:sz w:val="28"/>
          <w:sz w:val="28"/>
          <w:szCs w:val="28"/>
          <w:rtl w:val="true"/>
          <w:lang w:bidi="ar-SA"/>
        </w:rPr>
        <w:t>، فممّا لا نَعتَمِدُه أيضاً في وجوبِ الحاجةِ إلَى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ممّا لا يُستَفادُ بالتَّجرِبةِ و الاختِبارِ، لَما أَوجَبَ </w:t>
      </w:r>
      <w:r>
        <w:rPr>
          <w:rStyle w:val="FootnoteAnchor"/>
          <w:rtl w:val="true"/>
        </w:rPr>
        <w:footnoteReference w:id="668"/>
      </w:r>
      <w:r>
        <w:rPr>
          <w:rFonts w:ascii="Amiri" w:hAnsi="Amiri" w:eastAsia="Amiri" w:cs="Amiri"/>
          <w:color w:val="111111"/>
          <w:sz w:val="28"/>
          <w:sz w:val="28"/>
          <w:szCs w:val="28"/>
          <w:rtl w:val="true"/>
          <w:lang w:bidi="ar-SA"/>
        </w:rPr>
        <w:t xml:space="preserve">الحاجةَ إلىٰ إمامٍ </w:t>
      </w:r>
      <w:r>
        <w:rPr>
          <w:rStyle w:val="FootnoteAnchor"/>
          <w:rtl w:val="true"/>
        </w:rPr>
        <w:footnoteReference w:id="669"/>
      </w:r>
      <w:r>
        <w:rPr>
          <w:rFonts w:ascii="Amiri" w:hAnsi="Amiri" w:eastAsia="Amiri" w:cs="Amiri"/>
          <w:color w:val="111111"/>
          <w:sz w:val="28"/>
          <w:sz w:val="28"/>
          <w:szCs w:val="28"/>
          <w:rtl w:val="true"/>
          <w:lang w:bidi="ar-SA"/>
        </w:rPr>
        <w:t>في كُلِّ زمانٍ ، بَل كانَ لا يَمتَنِعُ أن يُنبِّهَ عليه في الابتِداءِ إمامٌ واحدٌ، و يَستَغنيَ مَن يأتي مِن بَعدِه</w:t>
      </w:r>
      <w:r>
        <w:rPr>
          <w:rStyle w:val="FootnoteAnchor"/>
          <w:rtl w:val="true"/>
        </w:rPr>
        <w:footnoteReference w:id="670"/>
      </w:r>
      <w:r>
        <w:rPr>
          <w:rFonts w:ascii="Amiri" w:hAnsi="Amiri" w:eastAsia="Amiri" w:cs="Amiri"/>
          <w:color w:val="111111"/>
          <w:sz w:val="28"/>
          <w:sz w:val="28"/>
          <w:szCs w:val="28"/>
          <w:rtl w:val="true"/>
          <w:lang w:bidi="ar-SA"/>
        </w:rPr>
        <w:t xml:space="preserve">عن بَيانِ الإمامِ لذلك بالنَّقلِ </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828508_2320776876"/>
      <w:bookmarkStart w:id="336" w:name="_Toc119"/>
      <w:bookmarkEnd w:id="335"/>
      <w:r>
        <w:rPr>
          <w:rtl w:val="true"/>
        </w:rPr>
        <w:t>عدم جواز كتمان الناس لمضارّ السموم و فوائد الأغذية، خلافاً لباب الدين و العبادات</w:t>
      </w:r>
      <w:bookmarkEnd w:id="33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يَجري هذا الوجهُ مَجرىٰ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العباداتِ و شُكرِ المُنعِمِ </w:t>
      </w:r>
      <w:r>
        <w:rPr>
          <w:rStyle w:val="FootnoteAnchor"/>
          <w:rtl w:val="true"/>
        </w:rPr>
        <w:footnoteReference w:id="671"/>
      </w:r>
      <w:r>
        <w:rPr>
          <w:rFonts w:ascii="Amiri" w:hAnsi="Amiri" w:eastAsia="Amiri" w:cs="Amiri"/>
          <w:color w:val="111111"/>
          <w:sz w:val="28"/>
          <w:sz w:val="28"/>
          <w:szCs w:val="28"/>
          <w:rtl w:val="true"/>
          <w:lang w:bidi="ar-SA"/>
        </w:rPr>
        <w:t xml:space="preserve">و أنّه غيرُ مُمتَنِعٍ علَى الخَلقِ أن يَكتُموا ما بَيَّنَه الرسولُ عليه </w:t>
      </w:r>
      <w:bookmarkStart w:id="337" w:name="pg20044_770845"/>
    </w:p>
    <w:p>
      <w:pPr>
        <w:pStyle w:val="BookText"/>
        <w:rPr/>
      </w:pPr>
      <w:bookmarkEnd w:id="337"/>
      <w:r>
        <w:rPr>
          <w:rFonts w:ascii="Amiri" w:hAnsi="Amiri" w:eastAsia="Amiri" w:cs="Amiri"/>
          <w:color w:val="111111"/>
          <w:sz w:val="28"/>
          <w:sz w:val="28"/>
          <w:szCs w:val="28"/>
          <w:rtl w:val="true"/>
          <w:lang w:bidi="ar-SA"/>
        </w:rPr>
        <w:t>السلامُ‌</w:t>
      </w:r>
      <w:r>
        <w:rPr>
          <w:rStyle w:val="FootnoteAnchor"/>
          <w:rtl w:val="true"/>
        </w:rPr>
        <w:footnoteReference w:id="672"/>
      </w:r>
      <w:r>
        <w:rPr>
          <w:rFonts w:ascii="Amiri" w:hAnsi="Amiri" w:eastAsia="Amiri" w:cs="Amiri"/>
          <w:color w:val="111111"/>
          <w:sz w:val="28"/>
          <w:sz w:val="28"/>
          <w:szCs w:val="28"/>
          <w:rtl w:val="true"/>
          <w:lang w:bidi="ar-SA"/>
        </w:rPr>
        <w:t>مِن ذلكَ لِداعٍ و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الأمرَينِ فرقٌ واضحٌ؛ لأنّ ما يَعلَمُه الناسُ مِن السُّمومِ القاتلةِ و الأغذيةِ المُصلِحةِ و ما جَرىٰ مَجراهما ممّا به قِوامُ أبدانِهم، هُم كالمُلجَئين إلىٰ نَقلِه و إعلامِ أولادِهم و أخلافِهم</w:t>
      </w:r>
      <w:r>
        <w:rPr>
          <w:rStyle w:val="FootnoteAnchor"/>
          <w:rtl w:val="true"/>
        </w:rPr>
        <w:footnoteReference w:id="673"/>
      </w:r>
      <w:r>
        <w:rPr>
          <w:rFonts w:ascii="Amiri" w:hAnsi="Amiri" w:eastAsia="Amiri" w:cs="Amiri"/>
          <w:color w:val="111111"/>
          <w:sz w:val="28"/>
          <w:sz w:val="28"/>
          <w:szCs w:val="28"/>
          <w:rtl w:val="true"/>
          <w:lang w:bidi="ar-SA"/>
        </w:rPr>
        <w:t>و مَن يأتي بَعدَهم بصورتِه</w:t>
      </w:r>
      <w:r>
        <w:rPr>
          <w:rStyle w:val="FootnoteAnchor"/>
          <w:rtl w:val="true"/>
        </w:rPr>
        <w:footnoteReference w:id="674"/>
      </w:r>
      <w:r>
        <w:rPr>
          <w:rFonts w:ascii="Amiri" w:hAnsi="Amiri" w:eastAsia="Amiri" w:cs="Amiri"/>
          <w:color w:val="111111"/>
          <w:sz w:val="28"/>
          <w:sz w:val="28"/>
          <w:szCs w:val="28"/>
          <w:rtl w:val="true"/>
          <w:lang w:bidi="ar-SA"/>
        </w:rPr>
        <w:t>ليَجتَنِبوا مِنه المُضِرَّ و يَتَناوَلوا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يَبعُدُ بَل يَستَحيلُ أن يَكونَ لعاقلٍ داعٍ إلىٰ كِتمانِ ما جَرىٰ هذا المَجرىٰ ، و لَيسَ بمُستَحيلٍ و لا مُمتَنِعٍ أن يُعرِضَ الناسُ عن نَقلِ العباداتِ و كثيرٍ مِن التكليفاتِ لأغراضٍ معقولةٍ ؛ فلهذا جازَ أن يُستَغنىٰ عن المُبيِّنِ في كُلِّ وقتٍ لأحوالِ السُّمومِ و الأغذيةِ ، و إنْ لَم يَجُزْ أن يُستَغنىٰ عنه في بابِ الدِّينِ و العباداتِ </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828510_2320776876"/>
      <w:bookmarkStart w:id="339" w:name="_Toc120"/>
      <w:bookmarkEnd w:id="338"/>
      <w:r>
        <w:rPr>
          <w:rtl w:val="true"/>
        </w:rPr>
        <w:t>بناء الحاجة إلى الإمام على العادات، و جواز ارتفاع الحاجة إلى الإمام من وجه دون آخر</w:t>
      </w:r>
      <w:bookmarkEnd w:id="33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القتلِ بِالسُّمِّ لَيسَ بواجبٍ ، و قد كانَ يَجوزُ أن تَتعلَّقَ الشهوةُ به فيَصيرَ غِذاءً ، و أن تَجريَ العادةُ فيه بخِلافِ ذلكَ فلا</w:t>
      </w:r>
    </w:p>
    <w:p>
      <w:pPr>
        <w:pStyle w:val="BookText"/>
        <w:rPr/>
      </w:pPr>
      <w:r>
        <w:rPr>
          <w:rFonts w:ascii="Amiri" w:hAnsi="Amiri" w:eastAsia="Amiri" w:cs="Amiri"/>
          <w:color w:val="111111"/>
          <w:sz w:val="28"/>
          <w:sz w:val="28"/>
          <w:szCs w:val="28"/>
          <w:rtl w:val="true"/>
          <w:lang w:bidi="ar-SA"/>
        </w:rPr>
        <w:t xml:space="preserve">يَكونَ قاتلاً؛ فما الذي يَمنَعُ مِن أن يُخلِيَ اللّٰهُ المُكلَّفينَ مِن حُجّةٍ إذا كانَت الحالُ </w:t>
      </w:r>
      <w:r>
        <w:rPr>
          <w:rStyle w:val="FootnoteAnchor"/>
          <w:rtl w:val="true"/>
        </w:rPr>
        <w:footnoteReference w:id="675"/>
      </w:r>
      <w:r>
        <w:rPr>
          <w:rFonts w:ascii="IRNazanin" w:hAnsi="IRNazanin" w:eastAsia="IRNazanin"/>
          <w:color w:val="111111"/>
          <w:sz w:val="28"/>
          <w:sz w:val="28"/>
          <w:szCs w:val="28"/>
          <w:rtl w:val="true"/>
          <w:lang w:bidi="fa-IR"/>
        </w:rPr>
        <w:t>هذه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676"/>
      </w:r>
      <w:bookmarkStart w:id="340" w:name="pg20044_770846"/>
    </w:p>
    <w:p>
      <w:pPr>
        <w:pStyle w:val="BookText"/>
        <w:rPr/>
      </w:pPr>
      <w:bookmarkEnd w:id="340"/>
      <w:r>
        <w:rPr>
          <w:rFonts w:ascii="Amiri" w:hAnsi="Amiri" w:eastAsia="Amiri" w:cs="Amiri"/>
          <w:color w:val="111111"/>
          <w:sz w:val="28"/>
          <w:sz w:val="28"/>
          <w:szCs w:val="28"/>
          <w:rtl w:val="true"/>
          <w:lang w:bidi="ar-SA"/>
        </w:rPr>
        <w:t>فإنّه لا يَقدَحُ في طريقةِ جَعلِ الإمامِ مُبيِّناً لهذه الأُمورِ؛ لأنّهم إنّما أَوجَبوا الحاجةَ‌</w:t>
      </w:r>
      <w:r>
        <w:rPr>
          <w:rStyle w:val="FootnoteAnchor"/>
          <w:rtl w:val="true"/>
        </w:rPr>
        <w:footnoteReference w:id="677"/>
      </w:r>
      <w:r>
        <w:rPr>
          <w:rFonts w:ascii="Amiri" w:hAnsi="Amiri" w:eastAsia="Amiri" w:cs="Amiri"/>
          <w:color w:val="111111"/>
          <w:sz w:val="28"/>
          <w:sz w:val="28"/>
          <w:szCs w:val="28"/>
          <w:rtl w:val="true"/>
          <w:lang w:bidi="ar-SA"/>
        </w:rPr>
        <w:t xml:space="preserve">إليه مِن هذا الوجهِ وطبائعُ </w:t>
      </w:r>
      <w:r>
        <w:rPr>
          <w:rStyle w:val="FootnoteAnchor"/>
          <w:rtl w:val="true"/>
        </w:rPr>
        <w:footnoteReference w:id="678"/>
      </w:r>
      <w:r>
        <w:rPr>
          <w:rFonts w:ascii="Amiri" w:hAnsi="Amiri" w:eastAsia="Amiri" w:cs="Amiri"/>
          <w:color w:val="111111"/>
          <w:sz w:val="28"/>
          <w:sz w:val="28"/>
          <w:szCs w:val="28"/>
          <w:rtl w:val="true"/>
          <w:lang w:bidi="ar-SA"/>
        </w:rPr>
        <w:t xml:space="preserve">الإنسانِ و سائرِ الناسِ و عاداتُهم علىٰ ما هي عليه، و ما قدَّرَه صاحبُ الكتابِ لا يَصِحُّ إلّابانتقاضِ العاداتِ و خروجِ الناسِ عن طبائعِهم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تقديرَكَ لَو وَقَعَ ، لارتَفَعَت الحاجةُ إلَى الإمامِ مِن</w:t>
      </w:r>
      <w:r>
        <w:rPr>
          <w:rStyle w:val="FootnoteAnchor"/>
          <w:rtl w:val="true"/>
        </w:rPr>
        <w:footnoteReference w:id="679"/>
      </w:r>
      <w:r>
        <w:rPr>
          <w:rFonts w:ascii="Amiri" w:hAnsi="Amiri" w:eastAsia="Amiri" w:cs="Amiri"/>
          <w:color w:val="111111"/>
          <w:sz w:val="28"/>
          <w:sz w:val="28"/>
          <w:szCs w:val="28"/>
          <w:rtl w:val="true"/>
          <w:lang w:bidi="ar-SA"/>
        </w:rPr>
        <w:t>هذا الوجهِ و إن لَم ترتَفِعْ مِن وجهٍ آخَرَ؛ كما أنّا لَو قدَّرْنا عصمةَ جميعِ الخَلقِ و امتِناعَ وقوعِ القبيحِ مِنهم، لَم يَكُن لهم حاجةٌ إلَى الإمامِ علىٰ بَعضِ الوجوهِ ، و لَم يَمنَعْ ذلك مِن القَضاءِ بحاجتِهم إليه إذا لَم يَكُن هذه حالَهم</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828512_2320776876"/>
      <w:bookmarkStart w:id="342" w:name="_Toc121"/>
      <w:bookmarkEnd w:id="341"/>
      <w:r>
        <w:rPr>
          <w:rtl w:val="true"/>
        </w:rPr>
        <w:t>وجوه الحاجة إلى الإمام في الأُمور المتواترة</w:t>
      </w:r>
      <w:bookmarkEnd w:id="34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w:t>
      </w:r>
      <w:r>
        <w:rPr>
          <w:rStyle w:val="FootnoteAnchor"/>
          <w:rtl w:val="true"/>
        </w:rPr>
        <w:footnoteReference w:id="680"/>
      </w:r>
      <w:r>
        <w:rPr>
          <w:rFonts w:ascii="Amiri" w:hAnsi="Amiri" w:eastAsia="Amiri" w:cs="Amiri"/>
          <w:color w:val="111111"/>
          <w:sz w:val="28"/>
          <w:sz w:val="28"/>
          <w:szCs w:val="28"/>
          <w:rtl w:val="true"/>
          <w:lang w:bidi="ar-SA"/>
        </w:rPr>
        <w:t>ذلك يوجِبُ الاستغناءَ بالرسولِ إذا بَيَّنَ بَياناً يَشتَهِرُ بطريقةِ التواتُرِ هذه الأُمورَ التي ذَكَروها، كما يُستَغنَى</w:t>
      </w:r>
      <w:r>
        <w:rPr>
          <w:rStyle w:val="FootnoteAnchor"/>
          <w:rtl w:val="true"/>
        </w:rPr>
        <w:footnoteReference w:id="681"/>
      </w:r>
      <w:r>
        <w:rPr>
          <w:rFonts w:ascii="Amiri" w:hAnsi="Amiri" w:eastAsia="Amiri" w:cs="Amiri"/>
          <w:color w:val="111111"/>
          <w:sz w:val="28"/>
          <w:sz w:val="28"/>
          <w:szCs w:val="28"/>
          <w:rtl w:val="true"/>
          <w:lang w:bidi="ar-SA"/>
        </w:rPr>
        <w:t>الآنَ عن الإمامِ في وجوبِ الصَّلَواتِ، و أنّ‌</w:t>
      </w:r>
      <w:r>
        <w:rPr>
          <w:rStyle w:val="FootnoteAnchor"/>
          <w:rtl w:val="true"/>
        </w:rPr>
        <w:footnoteReference w:id="682"/>
      </w:r>
      <w:r>
        <w:rPr>
          <w:rFonts w:ascii="Amiri" w:hAnsi="Amiri" w:eastAsia="Amiri" w:cs="Amiri"/>
          <w:color w:val="111111"/>
          <w:sz w:val="28"/>
          <w:sz w:val="28"/>
          <w:szCs w:val="28"/>
          <w:rtl w:val="true"/>
          <w:lang w:bidi="ar-SA"/>
        </w:rPr>
        <w:t>الفَرضَ أن يُستَقبَلَ الكعبةُ‌</w:t>
      </w:r>
      <w:r>
        <w:rPr>
          <w:rStyle w:val="FootnoteAnchor"/>
          <w:rtl w:val="true"/>
        </w:rPr>
        <w:footnoteReference w:id="683"/>
      </w:r>
      <w:r>
        <w:rPr>
          <w:rFonts w:ascii="Amiri" w:hAnsi="Amiri" w:eastAsia="Amiri" w:cs="Amiri"/>
          <w:color w:val="111111"/>
          <w:sz w:val="28"/>
          <w:sz w:val="28"/>
          <w:szCs w:val="28"/>
          <w:rtl w:val="true"/>
          <w:lang w:bidi="ar-SA"/>
        </w:rPr>
        <w:t xml:space="preserve">و يُصلّىٰ بطهارةٍ </w:t>
      </w:r>
      <w:r>
        <w:rPr>
          <w:rStyle w:val="FootnoteAnchor"/>
          <w:rtl w:val="true"/>
        </w:rPr>
        <w:footnoteReference w:id="684"/>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بيّنّا ما يَصِحُّ أن يُستَغنىٰ فيه بالتواتُرِ، و ما لا يَصِحُّ أن يُستَغنىٰ بذلك فيه؛ و </w:t>
      </w:r>
      <w:bookmarkStart w:id="343" w:name="pg20044_770847"/>
    </w:p>
    <w:p>
      <w:pPr>
        <w:pStyle w:val="BookText"/>
        <w:rPr/>
      </w:pPr>
      <w:bookmarkEnd w:id="343"/>
      <w:r>
        <w:rPr>
          <w:rFonts w:ascii="Amiri" w:hAnsi="Amiri" w:eastAsia="Amiri" w:cs="Amiri"/>
          <w:color w:val="111111"/>
          <w:sz w:val="28"/>
          <w:sz w:val="28"/>
          <w:szCs w:val="28"/>
          <w:rtl w:val="true"/>
          <w:lang w:bidi="ar-SA"/>
        </w:rPr>
        <w:t>فصَلْنا بَينَ الأمرَينِ‌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الإمامُ فلَيسَ يُستَغنىٰ عنه في وجوبِ الصَّلَواتِ إلىٰ سائرِ ما ذَكَرَه علىٰ ما ظَنَّه؛ لأنّ أصحابَنا قد ذَكَروا وجوهَ الحاجةِ إليه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العلومِ و إزالةُ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يبيِّنُ ذلكَ و يفصِّلُه، و ينبِّهُ علىٰ مُشكِلِه و غامِضِه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وراءِ الناقلينَ ؛ ليأمَنَ المكلَّفونَ مِن أن يَكونَ شَيءٌ مِن الشرعِ لَم يَصِلْ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وَجَبَ </w:t>
      </w:r>
      <w:r>
        <w:rPr>
          <w:rStyle w:val="FootnoteAnchor"/>
          <w:rtl w:val="true"/>
        </w:rPr>
        <w:footnoteReference w:id="687"/>
      </w:r>
      <w:r>
        <w:rPr>
          <w:rFonts w:ascii="Amiri" w:hAnsi="Amiri" w:eastAsia="Amiri" w:cs="Amiri"/>
          <w:color w:val="111111"/>
          <w:sz w:val="28"/>
          <w:sz w:val="28"/>
          <w:szCs w:val="28"/>
          <w:rtl w:val="true"/>
          <w:lang w:bidi="ar-SA"/>
        </w:rPr>
        <w:t>أن يُطلَقَ الاستِغناءُ عن الإمامِ في هذه الأُمورِ مِن حيثُ كانَ لنا طريقٌ يوصِلُ إلَى العِلمِ بها مِن غيرِ جهتِه</w:t>
      </w:r>
      <w:r>
        <w:rPr>
          <w:rStyle w:val="FootnoteAnchor"/>
          <w:rtl w:val="true"/>
        </w:rPr>
        <w:footnoteReference w:id="688"/>
      </w:r>
      <w:r>
        <w:rPr>
          <w:rFonts w:ascii="Amiri" w:hAnsi="Amiri" w:eastAsia="Amiri" w:cs="Amiri"/>
          <w:color w:val="111111"/>
          <w:sz w:val="28"/>
          <w:sz w:val="28"/>
          <w:szCs w:val="28"/>
          <w:rtl w:val="true"/>
          <w:lang w:bidi="ar-SA"/>
        </w:rPr>
        <w:t>، لَوَجَبَ علىٰ صاحبِ الكتابِ و أهلِ مذهبِه أن يُطلِقوا الاستِغناءَ عن الرسولِ في جميعِ ما أدّاه إلينا ممّا عَلِمناه قَبلَ أدائه بالعقلِ ؛ و مَن أطلَقَ ذلكَ خَرَجَ مِن جُملةِ المُسلِمينَ ؛ و لَيسَ يُمكِنُ أن يَمتَنِعَ مِنه و يَحتَجَّ فيه إلّابمِثلِ ما احتَجَجنا به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828514_2320776876"/>
      <w:bookmarkStart w:id="345" w:name="_Toc122"/>
      <w:bookmarkEnd w:id="344"/>
      <w:r>
        <w:rPr>
          <w:rtl w:val="true"/>
        </w:rPr>
        <w:t>بيان الفرق بين سماع كلام الرسول صلّى اللّٰه عليه و آلِه، و بين نقل كلامه بالواسطة</w:t>
      </w:r>
      <w:bookmarkEnd w:id="345"/>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الذي أوجَبَ </w:t>
      </w:r>
      <w:r>
        <w:rPr>
          <w:rStyle w:val="FootnoteAnchor"/>
          <w:rtl w:val="true"/>
        </w:rPr>
        <w:footnoteReference w:id="689"/>
      </w:r>
      <w:r>
        <w:rPr>
          <w:rFonts w:ascii="Amiri" w:hAnsi="Amiri" w:eastAsia="Amiri" w:cs="Amiri"/>
          <w:color w:val="111111"/>
          <w:sz w:val="28"/>
          <w:sz w:val="28"/>
          <w:szCs w:val="28"/>
          <w:rtl w:val="true"/>
          <w:lang w:bidi="ar-SA"/>
        </w:rPr>
        <w:t xml:space="preserve">هذا الخِلافَ </w:t>
      </w:r>
      <w:r>
        <w:rPr>
          <w:rStyle w:val="FootnoteAnchor"/>
          <w:rtl w:val="true"/>
        </w:rPr>
        <w:footnoteReference w:id="690"/>
      </w:r>
      <w:r>
        <w:rPr>
          <w:rFonts w:ascii="Amiri" w:hAnsi="Amiri" w:eastAsia="Amiri" w:cs="Amiri"/>
          <w:color w:val="111111"/>
          <w:sz w:val="28"/>
          <w:sz w:val="28"/>
          <w:szCs w:val="28"/>
          <w:rtl w:val="true"/>
          <w:lang w:bidi="ar-SA"/>
        </w:rPr>
        <w:t xml:space="preserve">الشديدَ الذي هو أصلُ الكلامِ </w:t>
      </w:r>
    </w:p>
    <w:p>
      <w:pPr>
        <w:pStyle w:val="BookText"/>
        <w:rPr/>
      </w:pPr>
      <w:r>
        <w:rPr>
          <w:rFonts w:ascii="Amiri" w:hAnsi="Amiri" w:eastAsia="Amiri" w:cs="Amiri"/>
          <w:color w:val="111111"/>
          <w:sz w:val="28"/>
          <w:sz w:val="28"/>
          <w:szCs w:val="28"/>
          <w:rtl w:val="true"/>
          <w:lang w:bidi="ar-SA"/>
        </w:rPr>
        <w:t>مع الإماميّةِ‌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الرسولَ كما تُغني</w:t>
      </w:r>
      <w:r>
        <w:rPr>
          <w:rStyle w:val="FootnoteAnchor"/>
          <w:rtl w:val="true"/>
        </w:rPr>
        <w:footnoteReference w:id="692"/>
      </w:r>
      <w:r>
        <w:rPr>
          <w:rFonts w:ascii="Amiri" w:hAnsi="Amiri" w:eastAsia="Amiri" w:cs="Amiri"/>
          <w:color w:val="111111"/>
          <w:sz w:val="28"/>
          <w:sz w:val="28"/>
          <w:szCs w:val="28"/>
          <w:rtl w:val="true"/>
          <w:lang w:bidi="ar-SA"/>
        </w:rPr>
        <w:t>مشاهَدَتُه و سَماعُ كلامِه في معرفةِ الأُمورِ مِن قِبَلِه عن غيرِه في وقتِه، فكذلكَ يَجوزُ أن يُستَغنىٰ‌</w:t>
      </w:r>
      <w:r>
        <w:rPr>
          <w:rStyle w:val="FootnoteAnchor"/>
          <w:rtl w:val="true"/>
        </w:rPr>
        <w:footnoteReference w:id="693"/>
      </w:r>
      <w:r>
        <w:rPr>
          <w:rFonts w:ascii="Amiri" w:hAnsi="Amiri" w:eastAsia="Amiri" w:cs="Amiri"/>
          <w:color w:val="111111"/>
          <w:sz w:val="28"/>
          <w:sz w:val="28"/>
          <w:szCs w:val="28"/>
          <w:rtl w:val="true"/>
          <w:lang w:bidi="ar-SA"/>
        </w:rPr>
        <w:t>بما يَتواتَرُ عنه مِن الأخبارِ في سائرِ ما يُحتاجُ‌</w:t>
      </w:r>
      <w:r>
        <w:rPr>
          <w:rStyle w:val="FootnoteAnchor"/>
          <w:rtl w:val="true"/>
        </w:rPr>
        <w:footnoteReference w:id="694"/>
      </w:r>
      <w:r>
        <w:rPr>
          <w:rFonts w:ascii="Amiri" w:hAnsi="Amiri" w:eastAsia="Amiri" w:cs="Amiri"/>
          <w:color w:val="111111"/>
          <w:sz w:val="28"/>
          <w:sz w:val="28"/>
          <w:szCs w:val="28"/>
          <w:rtl w:val="true"/>
          <w:lang w:bidi="ar-SA"/>
        </w:rPr>
        <w:t>إليه عن إمامٍ بَعدَه بالصفةِ التي ذَكَروها</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فقَد مضَى الكلامُ في أنّ التواتُرَ لا يُغني عن ذلكَ‌</w:t>
      </w:r>
      <w:r>
        <w:rPr>
          <w:rStyle w:val="FootnoteAnchor"/>
          <w:rtl w:val="true"/>
        </w:rPr>
        <w:footnoteReference w:id="696"/>
      </w:r>
      <w:r>
        <w:rPr>
          <w:rFonts w:ascii="Amiri" w:hAnsi="Amiri" w:eastAsia="Amiri" w:cs="Amiri"/>
          <w:color w:val="111111"/>
          <w:sz w:val="28"/>
          <w:sz w:val="28"/>
          <w:szCs w:val="28"/>
          <w:rtl w:val="true"/>
          <w:lang w:bidi="ar-SA"/>
        </w:rPr>
        <w:t>، و الفَصلُ بَينَه في الاستِغناءِ به بَعدَ الرسولِ صلّى اللّٰه عليه و آلِه و بَينَ استِغنائِنا بمُشاهَدَةِ الرسولِ و سَماعِ كلامِه في معرفةِ الأُمورِ عن غيرِه واضحٌ؛ لأنّا نأمَنُ في حالِ مُشاهَدَتِه و سَماعِ كلامِه عليه السلامُ مِن أن يَكتُمَ‌</w:t>
      </w:r>
      <w:r>
        <w:rPr>
          <w:rStyle w:val="FootnoteAnchor"/>
          <w:rtl w:val="true"/>
        </w:rPr>
        <w:footnoteReference w:id="697"/>
      </w:r>
      <w:r>
        <w:rPr>
          <w:rFonts w:ascii="Amiri" w:hAnsi="Amiri" w:eastAsia="Amiri" w:cs="Amiri"/>
          <w:color w:val="111111"/>
          <w:sz w:val="28"/>
          <w:sz w:val="28"/>
          <w:szCs w:val="28"/>
          <w:rtl w:val="true"/>
          <w:lang w:bidi="ar-SA"/>
        </w:rPr>
        <w:t>بَعضَ ما يَجِبُ أداؤه و يُعرِضَ عنه بشُبهةٍ‌</w:t>
      </w:r>
      <w:r>
        <w:rPr>
          <w:rStyle w:val="FootnoteAnchor"/>
          <w:rtl w:val="true"/>
        </w:rPr>
        <w:footnoteReference w:id="698"/>
      </w:r>
      <w:r>
        <w:rPr>
          <w:rFonts w:ascii="Amiri" w:hAnsi="Amiri" w:eastAsia="Amiri" w:cs="Amiri"/>
          <w:color w:val="111111"/>
          <w:sz w:val="28"/>
          <w:sz w:val="28"/>
          <w:szCs w:val="28"/>
          <w:rtl w:val="true"/>
          <w:lang w:bidi="ar-SA"/>
        </w:rPr>
        <w:t>و سَهوٍ و ما جَرىٰ مَجراهما، فنَستَغني</w:t>
      </w:r>
      <w:r>
        <w:rPr>
          <w:rStyle w:val="FootnoteAnchor"/>
          <w:rtl w:val="true"/>
        </w:rPr>
        <w:footnoteReference w:id="699"/>
      </w:r>
      <w:r>
        <w:rPr>
          <w:rFonts w:ascii="Amiri" w:hAnsi="Amiri" w:eastAsia="Amiri" w:cs="Amiri"/>
          <w:color w:val="111111"/>
          <w:sz w:val="28"/>
          <w:sz w:val="28"/>
          <w:szCs w:val="28"/>
          <w:rtl w:val="true"/>
          <w:lang w:bidi="ar-SA"/>
        </w:rPr>
        <w:t>في حالِ مُشاهَدَتِه بكلامِه و بَيانِه لِما ذَكَرناه، و لَيسَ كذلكَ الحالُ بَعدَ وفاته عليه السلامُ؛ لأنّا قد بيّنّا أنّ الإعراضَ عن النَّقلِ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بشُبهةٍ </w:t>
      </w:r>
      <w:r>
        <w:rPr>
          <w:rStyle w:val="FootnoteAnchor"/>
          <w:rtl w:val="true"/>
        </w:rPr>
        <w:footnoteReference w:id="700"/>
      </w:r>
      <w:r>
        <w:rPr>
          <w:rFonts w:ascii="Amiri" w:hAnsi="Amiri" w:eastAsia="Amiri" w:cs="Amiri"/>
          <w:color w:val="111111"/>
          <w:sz w:val="28"/>
          <w:sz w:val="28"/>
          <w:szCs w:val="28"/>
          <w:rtl w:val="true"/>
          <w:lang w:bidi="ar-SA"/>
        </w:rPr>
        <w:t xml:space="preserve">أو تعمُّدٍ غيرُ مأمونٍ علَى الناقِلينَ ؛ فكيفَ يَجوزُ أن يُحمَلَ إحدَى الحالَينِ </w:t>
      </w:r>
      <w:bookmarkStart w:id="346" w:name="pg20044_770849"/>
    </w:p>
    <w:p>
      <w:pPr>
        <w:pStyle w:val="BookText"/>
        <w:rPr/>
      </w:pPr>
      <w:bookmarkEnd w:id="346"/>
      <w:r>
        <w:rPr>
          <w:rFonts w:ascii="Amiri" w:hAnsi="Amiri" w:eastAsia="Amiri" w:cs="Amiri"/>
          <w:color w:val="111111"/>
          <w:sz w:val="28"/>
          <w:sz w:val="28"/>
          <w:szCs w:val="28"/>
          <w:rtl w:val="true"/>
          <w:lang w:bidi="ar-SA"/>
        </w:rPr>
        <w:t>علَى الأُخرىٰ مع تَباعُدِ ما</w:t>
      </w:r>
      <w:r>
        <w:rPr>
          <w:rStyle w:val="FootnoteAnchor"/>
          <w:rtl w:val="true"/>
        </w:rPr>
        <w:footnoteReference w:id="701"/>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828516_2320776876"/>
      <w:bookmarkStart w:id="348" w:name="_Toc123"/>
      <w:bookmarkEnd w:id="347"/>
      <w:r>
        <w:rPr>
          <w:rtl w:val="true"/>
        </w:rPr>
        <w:t>عدم المنافاة بين تجويز إعراض المتواتِرين عن النقل، و بين حجّيّة التواتر</w:t>
      </w:r>
      <w:bookmarkEnd w:id="34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ارتَكَبَ بعضُهم عندَ هذا الإلزامِ القولَ بإبطالِ التواتُرِ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سَهوٌ منه عَجيبٌ؛ لأنّا لا نُبطِلُ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w:t>
      </w:r>
      <w:r>
        <w:rPr>
          <w:rStyle w:val="FootnoteAnchor"/>
          <w:rtl w:val="true"/>
        </w:rPr>
        <w:footnoteReference w:id="703"/>
      </w:r>
      <w:r>
        <w:rPr>
          <w:rFonts w:ascii="Amiri" w:hAnsi="Amiri" w:eastAsia="Amiri" w:cs="Amiri"/>
          <w:color w:val="111111"/>
          <w:sz w:val="28"/>
          <w:sz w:val="28"/>
          <w:szCs w:val="28"/>
          <w:rtl w:val="true"/>
          <w:lang w:bidi="ar-SA"/>
        </w:rPr>
        <w:t>، و هو عندَنا الحُجّةُ في ثُبوتِ السَّمعيّاتِ ؛ و كَيفَ نُبطِلُه و به نَحتَجُّ في النَّصِّ علىٰ أعيانِ الأئمّةِ و مُعجِزاتِ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يَظُنُّ أنّا</w:t>
      </w:r>
      <w:r>
        <w:rPr>
          <w:rStyle w:val="FootnoteAnchor"/>
          <w:rtl w:val="true"/>
        </w:rPr>
        <w:footnoteReference w:id="704"/>
      </w:r>
      <w:r>
        <w:rPr>
          <w:rFonts w:ascii="Amiri" w:hAnsi="Amiri" w:eastAsia="Amiri" w:cs="Amiri"/>
          <w:color w:val="111111"/>
          <w:sz w:val="28"/>
          <w:sz w:val="28"/>
          <w:szCs w:val="28"/>
          <w:rtl w:val="true"/>
          <w:lang w:bidi="ar-SA"/>
        </w:rPr>
        <w:t xml:space="preserve">إذا جَوَّزْنا علَى المتواتِرينَ الإعراضَ عن النَّقلِ بشُبهةٍ </w:t>
      </w:r>
      <w:r>
        <w:rPr>
          <w:rStyle w:val="FootnoteAnchor"/>
          <w:rtl w:val="true"/>
        </w:rPr>
        <w:footnoteReference w:id="705"/>
      </w:r>
      <w:r>
        <w:rPr>
          <w:rFonts w:ascii="Amiri" w:hAnsi="Amiri" w:eastAsia="Amiri" w:cs="Amiri"/>
          <w:color w:val="111111"/>
          <w:sz w:val="28"/>
          <w:sz w:val="28"/>
          <w:szCs w:val="28"/>
          <w:rtl w:val="true"/>
          <w:lang w:bidi="ar-SA"/>
        </w:rPr>
        <w:t>أو تعمُّدٍ فقَد أبطَلْنا التواتُرَ، فقَد وَقَعَ بَعيداً؛ لأنّ الناقِلينَ إنّما يَكونونَ متَواتِرين إذا نَقَلوا و أخبَروا</w:t>
      </w:r>
      <w:r>
        <w:rPr>
          <w:rStyle w:val="FootnoteAnchor"/>
          <w:rtl w:val="true"/>
        </w:rPr>
        <w:footnoteReference w:id="706"/>
      </w:r>
      <w:r>
        <w:rPr>
          <w:rFonts w:ascii="Amiri" w:hAnsi="Amiri" w:eastAsia="Amiri" w:cs="Amiri"/>
          <w:color w:val="111111"/>
          <w:sz w:val="28"/>
          <w:sz w:val="28"/>
          <w:szCs w:val="28"/>
          <w:rtl w:val="true"/>
          <w:lang w:bidi="ar-SA"/>
        </w:rPr>
        <w:t xml:space="preserve">علىٰ وجهٍ مخصوصٍ ، و عندنا أنّهم إذا نَقَلوا الخَبَرَ علىٰ وجهِ التواتُرِ كانَ نَقلُهم حُجّةً </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 تجويزُ الإعراضِ عن النقلِ عَلَيهم لا يَقدَحُ في صحّةِ التواتُرِ، و لا يَكونُ تجويزُه</w:t>
      </w:r>
      <w:r>
        <w:rPr>
          <w:rStyle w:val="FootnoteAnchor"/>
          <w:rtl w:val="true"/>
        </w:rPr>
        <w:footnoteReference w:id="708"/>
      </w:r>
      <w:r>
        <w:rPr>
          <w:rFonts w:ascii="Amiri" w:hAnsi="Amiri" w:eastAsia="Amiri" w:cs="Amiri"/>
          <w:color w:val="111111"/>
          <w:sz w:val="28"/>
          <w:sz w:val="28"/>
          <w:szCs w:val="28"/>
          <w:rtl w:val="true"/>
          <w:lang w:bidi="ar-SA"/>
        </w:rPr>
        <w:t>عَلَيهم مُبطِلاً له</w:t>
      </w:r>
      <w:r>
        <w:rPr>
          <w:rFonts w:eastAsia="Amiri" w:cs="Amiri" w:ascii="Amiri" w:hAnsi="Amiri"/>
          <w:color w:val="111111"/>
          <w:sz w:val="28"/>
          <w:szCs w:val="28"/>
          <w:rtl w:val="true"/>
          <w:lang w:bidi="ar-SA"/>
        </w:rPr>
        <w:t xml:space="preserve">. </w:t>
      </w:r>
      <w:bookmarkStart w:id="349" w:name="pg20044_770850"/>
    </w:p>
    <w:p>
      <w:pPr>
        <w:pStyle w:val="Heading4"/>
        <w:numPr>
          <w:ilvl w:val="3"/>
          <w:numId w:val="1"/>
        </w:numPr>
        <w:rPr/>
      </w:pPr>
      <w:bookmarkStart w:id="350" w:name="__RefHeading___Toc828518_2320776876"/>
      <w:bookmarkStart w:id="351" w:name="_Toc124"/>
      <w:bookmarkEnd w:id="349"/>
      <w:bookmarkEnd w:id="350"/>
      <w:r>
        <w:rPr>
          <w:rtl w:val="true"/>
        </w:rPr>
        <w:t>إبطال ما ادّعاه صاحب الكتاب من لوازم تلزم الإماميّة القائلين بالحاجة إلى الإمام</w:t>
      </w:r>
      <w:bookmarkEnd w:id="351"/>
    </w:p>
    <w:p>
      <w:pPr>
        <w:pStyle w:val="Heading5"/>
        <w:numPr>
          <w:ilvl w:val="4"/>
          <w:numId w:val="1"/>
        </w:numPr>
        <w:rPr/>
      </w:pPr>
      <w:bookmarkStart w:id="352" w:name="__RefHeading___Toc828520_2320776876"/>
      <w:bookmarkStart w:id="353" w:name="_Toc125"/>
      <w:bookmarkEnd w:id="352"/>
      <w:r>
        <w:rPr/>
        <w:t>1</w:t>
      </w:r>
      <w:r>
        <w:rPr>
          <w:rtl w:val="true"/>
        </w:rPr>
        <w:t xml:space="preserve">. </w:t>
      </w:r>
      <w:r>
        <w:rPr>
          <w:rtl w:val="true"/>
        </w:rPr>
        <w:t>جواز الكتمان على الخلق العظيم</w:t>
      </w:r>
      <w:bookmarkEnd w:id="35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ارتَكَبَ القولَ بجَوازِ الكِتمانِ علَى الخَلقِ العظيمِ‌</w:t>
      </w:r>
      <w:r>
        <w:rPr>
          <w:rStyle w:val="FootnoteAnchor"/>
          <w:rtl w:val="true"/>
        </w:rPr>
        <w:footnoteReference w:id="709"/>
      </w:r>
      <w:r>
        <w:rPr>
          <w:rFonts w:ascii="Amiri" w:hAnsi="Amiri" w:eastAsia="Amiri" w:cs="Amiri"/>
          <w:color w:val="111111"/>
          <w:sz w:val="28"/>
          <w:sz w:val="28"/>
          <w:szCs w:val="28"/>
          <w:rtl w:val="true"/>
          <w:lang w:bidi="ar-SA"/>
        </w:rPr>
        <w:t>، و ارتَكَبَ بعضُهم إبطالَ الإجماعِ؛ لأنّهم رأَوا مع القولِ بصحّةِ هذه الأدلّةِ أنّه</w:t>
      </w:r>
      <w:r>
        <w:rPr>
          <w:rStyle w:val="FootnoteAnchor"/>
          <w:rtl w:val="true"/>
        </w:rPr>
        <w:footnoteReference w:id="710"/>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يَصِحُّ تعلُّقُهم بما</w:t>
      </w:r>
      <w:r>
        <w:rPr>
          <w:rStyle w:val="FootnoteAnchor"/>
          <w:rtl w:val="true"/>
        </w:rPr>
        <w:footnoteReference w:id="711"/>
      </w:r>
      <w:r>
        <w:rPr>
          <w:rFonts w:ascii="Amiri" w:hAnsi="Amiri" w:eastAsia="Amiri" w:cs="Amiri"/>
          <w:color w:val="111111"/>
          <w:sz w:val="28"/>
          <w:sz w:val="28"/>
          <w:szCs w:val="28"/>
          <w:rtl w:val="true"/>
          <w:lang w:bidi="ar-SA"/>
        </w:rPr>
        <w:t xml:space="preserve">قَدَّمناه في أنّه لا بُدَّ مِن حُجّةٍ في كُلِّ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فأبطَلوا هذه الأدلّةَ لِكَي تَثبُتَ لهم الحُجّةُ </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لَم نَرتكِبْ ما حَكاه، بَل ذَهَبْنا إليه و اعتَقَدناه للأدلّةِ الظاهرةِ </w:t>
      </w:r>
      <w:r>
        <w:rPr>
          <w:rStyle w:val="FootnoteAnchor"/>
          <w:rtl w:val="true"/>
        </w:rPr>
        <w:footnoteReference w:id="713"/>
      </w:r>
      <w:r>
        <w:rPr>
          <w:rFonts w:ascii="Amiri" w:hAnsi="Amiri" w:eastAsia="Amiri" w:cs="Amiri"/>
          <w:color w:val="111111"/>
          <w:sz w:val="28"/>
          <w:sz w:val="28"/>
          <w:szCs w:val="28"/>
          <w:rtl w:val="true"/>
          <w:lang w:bidi="ar-SA"/>
        </w:rPr>
        <w:t>التي قد ذَكَرنا بَعضَها</w:t>
      </w:r>
      <w:r>
        <w:rPr>
          <w:rStyle w:val="FootnoteAnchor"/>
          <w:rtl w:val="true"/>
        </w:rPr>
        <w:footnoteReference w:id="714"/>
      </w:r>
      <w:r>
        <w:rPr>
          <w:rFonts w:ascii="Amiri" w:hAnsi="Amiri" w:eastAsia="Amiri" w:cs="Amiri"/>
          <w:color w:val="111111"/>
          <w:sz w:val="28"/>
          <w:sz w:val="28"/>
          <w:szCs w:val="28"/>
          <w:rtl w:val="true"/>
          <w:lang w:bidi="ar-SA"/>
        </w:rPr>
        <w:t xml:space="preserve">و إنّما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ارتكَبَ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دليلَ عليه، و فيما يَضطَرُّ المُرتَكِبَ لزومُ الحُجّةِ </w:t>
      </w:r>
      <w:r>
        <w:rPr>
          <w:rStyle w:val="FootnoteAnchor"/>
          <w:rtl w:val="true"/>
        </w:rPr>
        <w:footnoteReference w:id="715"/>
      </w:r>
      <w:r>
        <w:rPr>
          <w:rFonts w:ascii="Amiri" w:hAnsi="Amiri" w:eastAsia="Amiri" w:cs="Amiri"/>
          <w:color w:val="111111"/>
          <w:sz w:val="28"/>
          <w:sz w:val="28"/>
          <w:szCs w:val="28"/>
          <w:rtl w:val="true"/>
          <w:lang w:bidi="ar-SA"/>
        </w:rPr>
        <w:t>إلَى ارتكابِه</w:t>
      </w:r>
      <w:r>
        <w:rPr>
          <w:rFonts w:eastAsia="Amiri" w:cs="Amiri" w:ascii="Amiri" w:hAnsi="Amiri"/>
          <w:color w:val="111111"/>
          <w:sz w:val="28"/>
          <w:szCs w:val="28"/>
          <w:rtl w:val="true"/>
          <w:lang w:bidi="ar-SA"/>
        </w:rPr>
        <w:t xml:space="preserve">. </w:t>
      </w:r>
      <w:bookmarkStart w:id="354" w:name="pg20044_770851"/>
    </w:p>
    <w:p>
      <w:pPr>
        <w:pStyle w:val="BookText"/>
        <w:rPr/>
      </w:pPr>
      <w:bookmarkEnd w:id="354"/>
      <w:r>
        <w:rPr>
          <w:rFonts w:ascii="Amiri" w:hAnsi="Amiri" w:eastAsia="Amiri" w:cs="Amiri"/>
          <w:color w:val="111111"/>
          <w:sz w:val="28"/>
          <w:sz w:val="28"/>
          <w:szCs w:val="28"/>
          <w:rtl w:val="true"/>
          <w:lang w:bidi="ar-SA"/>
        </w:rPr>
        <w:t xml:space="preserve">و لَم نجوِّزِ الكِتمانَ مِن حَيثُ نُضطَرُّ ليَصِحَّ لنا ما ذَكَرناه، بَل لأنّ الاعتبارَ كَشَفَ </w:t>
      </w:r>
      <w:r>
        <w:rPr>
          <w:rStyle w:val="FootnoteAnchor"/>
          <w:rtl w:val="true"/>
        </w:rPr>
        <w:footnoteReference w:id="716"/>
      </w:r>
      <w:r>
        <w:rPr>
          <w:rFonts w:ascii="Amiri" w:hAnsi="Amiri" w:eastAsia="Amiri" w:cs="Amiri"/>
          <w:color w:val="111111"/>
          <w:sz w:val="28"/>
          <w:sz w:val="28"/>
          <w:szCs w:val="28"/>
          <w:rtl w:val="true"/>
          <w:lang w:bidi="ar-SA"/>
        </w:rPr>
        <w:t>لنا عن جوازِه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الإجماعُ فلَيسَ بباطلٍ عندَنا؛ لأنّ الدليلَ قد دَلَّنا علىٰ أنّ في جُملةِ المُجمِعينَ معصوماً حُجّةً للّٰهِ تعالىٰ ، فلَيسَ يَجوزُ أن يَنعَقِدَ الإجماعُ علىٰ باطلٍ مِن هذا الوجهِ ، لا لِما</w:t>
      </w:r>
      <w:r>
        <w:rPr>
          <w:rStyle w:val="FootnoteAnchor"/>
          <w:rtl w:val="true"/>
        </w:rPr>
        <w:footnoteReference w:id="717"/>
      </w:r>
      <w:r>
        <w:rPr>
          <w:rFonts w:ascii="Amiri" w:hAnsi="Amiri" w:eastAsia="Amiri" w:cs="Amiri"/>
          <w:color w:val="111111"/>
          <w:sz w:val="28"/>
          <w:sz w:val="28"/>
          <w:szCs w:val="28"/>
          <w:rtl w:val="true"/>
          <w:lang w:bidi="ar-SA"/>
        </w:rPr>
        <w:t xml:space="preserve">يَدَّعيه المخالِفونَ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و أصحابَكَ ارتَكَبتم أنّ الخَلقَ لا يَجوزُ عَلَيهم الكِتمانُ، و تَجاوَزتم ذلكَ إلَى الجَماعاتِ، و ادَّعَيتم أيضاً أنّ الأُمّةَ لا تَجتَمِعُ علىٰ باطلٍ بشُبهةٍ‌</w:t>
      </w:r>
      <w:r>
        <w:rPr>
          <w:rStyle w:val="FootnoteAnchor"/>
          <w:rtl w:val="true"/>
        </w:rPr>
        <w:footnoteReference w:id="718"/>
      </w:r>
      <w:r>
        <w:rPr>
          <w:rFonts w:ascii="Amiri" w:hAnsi="Amiri" w:eastAsia="Amiri" w:cs="Amiri"/>
          <w:color w:val="111111"/>
          <w:sz w:val="28"/>
          <w:sz w:val="28"/>
          <w:szCs w:val="28"/>
          <w:rtl w:val="true"/>
          <w:lang w:bidi="ar-SA"/>
        </w:rPr>
        <w:t>و لا تعمُّدٍ</w:t>
      </w:r>
      <w:r>
        <w:rPr>
          <w:rStyle w:val="FootnoteAnchor"/>
          <w:rtl w:val="true"/>
        </w:rPr>
        <w:footnoteReference w:id="719"/>
      </w:r>
      <w:r>
        <w:rPr>
          <w:rFonts w:ascii="Amiri" w:hAnsi="Amiri" w:eastAsia="Amiri" w:cs="Amiri"/>
          <w:color w:val="111111"/>
          <w:sz w:val="28"/>
          <w:sz w:val="28"/>
          <w:szCs w:val="28"/>
          <w:rtl w:val="true"/>
          <w:lang w:bidi="ar-SA"/>
        </w:rPr>
        <w:t>ليَسلَمَ‌</w:t>
      </w:r>
      <w:r>
        <w:rPr>
          <w:rStyle w:val="FootnoteAnchor"/>
          <w:rtl w:val="true"/>
        </w:rPr>
        <w:footnoteReference w:id="720"/>
      </w:r>
      <w:r>
        <w:rPr>
          <w:rFonts w:ascii="Amiri" w:hAnsi="Amiri" w:eastAsia="Amiri" w:cs="Amiri"/>
          <w:color w:val="111111"/>
          <w:sz w:val="28"/>
          <w:sz w:val="28"/>
          <w:szCs w:val="28"/>
          <w:rtl w:val="true"/>
          <w:lang w:bidi="ar-SA"/>
        </w:rPr>
        <w:t>لكم ما تُريدونَ نُصرتَه مِن الاستغناءِ عن الأئمّةِ و الحُجَجِ بَعدَ الرسولِ صلى اللّٰه عليه و آله و سلم، و لأنّكم رأَيتُم أنّ في تجويزِ ذلكَ علَى الأُمّةِ و نَفيِ‌</w:t>
      </w:r>
      <w:r>
        <w:rPr>
          <w:rStyle w:val="FootnoteAnchor"/>
          <w:rtl w:val="true"/>
        </w:rPr>
        <w:footnoteReference w:id="721"/>
      </w:r>
      <w:r>
        <w:rPr>
          <w:rFonts w:ascii="Amiri" w:hAnsi="Amiri" w:eastAsia="Amiri" w:cs="Amiri"/>
          <w:color w:val="111111"/>
          <w:sz w:val="28"/>
          <w:sz w:val="28"/>
          <w:szCs w:val="28"/>
          <w:rtl w:val="true"/>
          <w:lang w:bidi="ar-SA"/>
        </w:rPr>
        <w:t>وجودِ الأئمّةِ انسِلاخاً عن الدِّينِ، و خُروجاً عن الإسلامِ ، و طريقاً</w:t>
      </w:r>
      <w:r>
        <w:rPr>
          <w:rStyle w:val="FootnoteAnchor"/>
          <w:rtl w:val="true"/>
        </w:rPr>
        <w:footnoteReference w:id="722"/>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ارتفاعِ الثقةِ بِشَيءٍ مِن العباداتِ و الشَّرعِ ، فحَمَلتم نفوسَكم علىٰ دفعِ المعلومِ الجائزِ في العقولِ ؛ ليَصِحَّ لكم مَذاهِبُكم الفاسدةُ </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828522_2320776876"/>
      <w:bookmarkStart w:id="356" w:name="_Toc126"/>
      <w:bookmarkEnd w:id="355"/>
      <w:r>
        <w:rPr/>
        <w:t>2</w:t>
      </w:r>
      <w:r>
        <w:rPr>
          <w:rtl w:val="true"/>
        </w:rPr>
        <w:t xml:space="preserve">. </w:t>
      </w:r>
      <w:r>
        <w:rPr>
          <w:rtl w:val="true"/>
        </w:rPr>
        <w:t>إنكار العقليّات أو بعضها</w:t>
      </w:r>
      <w:bookmarkEnd w:id="35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ذلكَ بَعضَهم إلىٰ إنكارِ العقليّاتِ أو بَعضِها؛ لِكَي يَثبُتَ له إثباتُ </w:t>
      </w:r>
      <w:bookmarkStart w:id="357" w:name="pg20044_770852"/>
    </w:p>
    <w:p>
      <w:pPr>
        <w:pStyle w:val="BookText"/>
        <w:rPr/>
      </w:pPr>
      <w:bookmarkEnd w:id="357"/>
      <w:r>
        <w:rPr>
          <w:rFonts w:ascii="Amiri" w:hAnsi="Amiri" w:eastAsia="Amiri" w:cs="Amiri"/>
          <w:color w:val="111111"/>
          <w:sz w:val="28"/>
          <w:sz w:val="28"/>
          <w:szCs w:val="28"/>
          <w:rtl w:val="true"/>
          <w:lang w:bidi="ar-SA"/>
        </w:rPr>
        <w:t>حُجّةٍ في الزمانِ، فأبطَلوا الحُجَجَ الصحيحةَ لِكَي يُثبِتوا ما لا أصلَ له، و ما لَو ثَبَتَ لَكانَ‌</w:t>
      </w:r>
      <w:r>
        <w:rPr>
          <w:rStyle w:val="FootnoteAnchor"/>
          <w:rtl w:val="true"/>
        </w:rPr>
        <w:footnoteReference w:id="723"/>
      </w:r>
      <w:r>
        <w:rPr>
          <w:rFonts w:ascii="Amiri" w:hAnsi="Amiri" w:eastAsia="Amiri" w:cs="Amiri"/>
          <w:color w:val="111111"/>
          <w:sz w:val="28"/>
          <w:sz w:val="28"/>
          <w:szCs w:val="28"/>
          <w:rtl w:val="true"/>
          <w:lang w:bidi="ar-SA"/>
        </w:rPr>
        <w:t>فَرعاً علىٰ هذه الحُجَجِ ؛ لأنّ إثباتَ الإمامِ لا يُمكِنُ إلّا بطريقةِ العقلِ أو التواتُرِ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فواضِحُ البُطلانِ ؛ و كَيفَ يُبطِلُ أدلّةَ العقلِ مَن يُقاضي</w:t>
      </w:r>
      <w:r>
        <w:rPr>
          <w:rStyle w:val="FootnoteAnchor"/>
          <w:rtl w:val="true"/>
        </w:rPr>
        <w:footnoteReference w:id="725"/>
      </w:r>
      <w:r>
        <w:rPr>
          <w:rFonts w:ascii="Amiri" w:hAnsi="Amiri" w:eastAsia="Amiri" w:cs="Amiri"/>
          <w:color w:val="111111"/>
          <w:sz w:val="28"/>
          <w:sz w:val="28"/>
          <w:szCs w:val="28"/>
          <w:rtl w:val="true"/>
          <w:lang w:bidi="ar-SA"/>
        </w:rPr>
        <w:t>خُصومَه إليها، و يُعوِّلُ في حِجاجِهم و دَفعِ مَذاهبِهم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726"/>
      </w:r>
      <w:r>
        <w:rPr>
          <w:rFonts w:ascii="Amiri" w:hAnsi="Amiri" w:eastAsia="Amiri" w:cs="Amiri"/>
          <w:color w:val="111111"/>
          <w:sz w:val="28"/>
          <w:sz w:val="28"/>
          <w:szCs w:val="28"/>
          <w:rtl w:val="true"/>
          <w:lang w:bidi="ar-SA"/>
        </w:rPr>
        <w:t xml:space="preserve">لا يَرىٰ صاحبُ الكتابِ أنّ مُعتمَدَنا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كلامِنا إلىٰ هذه الغايةِ في إثباتِ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مَحضِ دَلالةِ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يُتوهَّمُ علَى</w:t>
      </w:r>
      <w:r>
        <w:rPr>
          <w:rStyle w:val="FootnoteAnchor"/>
          <w:rtl w:val="true"/>
        </w:rPr>
        <w:footnoteReference w:id="727"/>
      </w:r>
      <w:r>
        <w:rPr>
          <w:rFonts w:ascii="Amiri" w:hAnsi="Amiri" w:eastAsia="Amiri" w:cs="Amiri"/>
          <w:color w:val="111111"/>
          <w:sz w:val="28"/>
          <w:sz w:val="28"/>
          <w:szCs w:val="28"/>
          <w:rtl w:val="true"/>
          <w:lang w:bidi="ar-SA"/>
        </w:rPr>
        <w:t>المُحتَجِّ بالعقلِ اعتقادُ بُطلانِه ؟ و الذين أَنكَروا العقليّاتِ في الحقيقةِ و أَبطَلوها مِن حَيثُ لا يَشعُرونَ هم الذينَ نَفَوا الحاجةَ إلَى الرؤَساءِ ، مع شَهادةِ العقلِ بالحاجةِ إليهم</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828524_2320776876"/>
      <w:bookmarkStart w:id="359" w:name="_Toc127"/>
      <w:bookmarkEnd w:id="358"/>
      <w:r>
        <w:rPr/>
        <w:t>3</w:t>
      </w:r>
      <w:r>
        <w:rPr>
          <w:rtl w:val="true"/>
        </w:rPr>
        <w:t xml:space="preserve">. </w:t>
      </w:r>
      <w:r>
        <w:rPr>
          <w:rtl w:val="true"/>
        </w:rPr>
        <w:t>إثبات أشخاص لا أصل لهم</w:t>
      </w:r>
      <w:bookmarkEnd w:id="35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أدّاهم ذلكَ إلىٰ إثباتِ أشخاصٍ لا أصلَ لهم</w:t>
      </w:r>
      <w:r>
        <w:rPr>
          <w:rStyle w:val="FootnoteAnchor"/>
          <w:rtl w:val="true"/>
        </w:rPr>
        <w:footnoteReference w:id="728"/>
      </w:r>
      <w:r>
        <w:rPr>
          <w:rFonts w:ascii="Amiri" w:hAnsi="Amiri" w:eastAsia="Amiri" w:cs="Amiri"/>
          <w:color w:val="111111"/>
          <w:sz w:val="28"/>
          <w:sz w:val="28"/>
          <w:szCs w:val="28"/>
          <w:rtl w:val="true"/>
          <w:lang w:bidi="ar-SA"/>
        </w:rPr>
        <w:t>لكي يَصِحَّ لهم</w:t>
      </w:r>
      <w:r>
        <w:rPr>
          <w:rStyle w:val="FootnoteAnchor"/>
          <w:rtl w:val="true"/>
        </w:rPr>
        <w:footnoteReference w:id="729"/>
      </w:r>
      <w:r>
        <w:rPr>
          <w:rFonts w:ascii="Amiri" w:hAnsi="Amiri" w:eastAsia="Amiri" w:cs="Amiri"/>
          <w:color w:val="111111"/>
          <w:sz w:val="28"/>
          <w:sz w:val="28"/>
          <w:szCs w:val="28"/>
          <w:rtl w:val="true"/>
          <w:lang w:bidi="ar-SA"/>
        </w:rPr>
        <w:t>ما ادَّعَوه، فأثْبَتوا في هذا الزمانِ إماماً مُختَصّاً بنَسَبٍ و اسمٍ مِن غيرِ أن يُعرَفَ فيه</w:t>
      </w:r>
      <w:r>
        <w:rPr>
          <w:rStyle w:val="FootnoteAnchor"/>
          <w:rtl w:val="true"/>
        </w:rPr>
        <w:footnoteReference w:id="730"/>
      </w:r>
      <w:r>
        <w:rPr>
          <w:rFonts w:ascii="Amiri" w:hAnsi="Amiri" w:eastAsia="Amiri" w:cs="Amiri"/>
          <w:color w:val="111111"/>
          <w:sz w:val="28"/>
          <w:sz w:val="28"/>
          <w:szCs w:val="28"/>
          <w:rtl w:val="true"/>
          <w:lang w:bidi="ar-SA"/>
        </w:rPr>
        <w:t>عَينٌ أو أثَرٌ</w:t>
      </w:r>
      <w:r>
        <w:rPr>
          <w:rFonts w:eastAsia="Amiri" w:cs="Amiri" w:ascii="Amiri" w:hAnsi="Amiri"/>
          <w:color w:val="111111"/>
          <w:sz w:val="28"/>
          <w:szCs w:val="28"/>
          <w:rtl w:val="true"/>
          <w:lang w:bidi="ar-SA"/>
        </w:rPr>
        <w:t>.</w:t>
      </w:r>
      <w:r>
        <w:rPr>
          <w:rStyle w:val="FootnoteAnchor"/>
          <w:rtl w:val="true"/>
        </w:rPr>
        <w:footnoteReference w:id="731"/>
      </w:r>
      <w:bookmarkStart w:id="360" w:name="pg20044_770853"/>
    </w:p>
    <w:p>
      <w:pPr>
        <w:pStyle w:val="BookText"/>
        <w:rPr/>
      </w:pPr>
      <w:bookmarkEnd w:id="360"/>
      <w:r>
        <w:rPr>
          <w:rFonts w:ascii="Amiri" w:hAnsi="Amiri" w:eastAsia="Amiri" w:cs="Amiri"/>
          <w:color w:val="111111"/>
          <w:sz w:val="28"/>
          <w:sz w:val="28"/>
          <w:szCs w:val="28"/>
          <w:rtl w:val="true"/>
          <w:lang w:bidi="ar-SA"/>
        </w:rPr>
        <w:t>فمَبنيٌّ علىٰ مُجرَّدِ الدعوىٰ و مَحضِ الاقتِراحِ،</w:t>
      </w:r>
      <w:r>
        <w:rPr>
          <w:rStyle w:val="FootnoteAnchor"/>
          <w:rtl w:val="true"/>
        </w:rPr>
        <w:footnoteReference w:id="732"/>
      </w:r>
      <w:r>
        <w:rPr>
          <w:rFonts w:ascii="Amiri" w:hAnsi="Amiri" w:eastAsia="Amiri" w:cs="Amiri"/>
          <w:color w:val="111111"/>
          <w:sz w:val="28"/>
          <w:sz w:val="28"/>
          <w:szCs w:val="28"/>
          <w:rtl w:val="true"/>
          <w:lang w:bidi="ar-SA"/>
        </w:rPr>
        <w:t>و قد دَلَّلنا علىٰ أنّ الإمامةَ واجبةٌ</w:t>
      </w:r>
    </w:p>
    <w:p>
      <w:pPr>
        <w:pStyle w:val="BookText"/>
        <w:rPr/>
      </w:pPr>
      <w:r>
        <w:rPr>
          <w:rFonts w:ascii="Amiri" w:hAnsi="Amiri" w:eastAsia="Amiri" w:cs="Amiri"/>
          <w:color w:val="111111"/>
          <w:sz w:val="28"/>
          <w:sz w:val="28"/>
          <w:szCs w:val="28"/>
          <w:rtl w:val="true"/>
          <w:lang w:bidi="ar-SA"/>
        </w:rPr>
        <w:t>في كُلِّ زمانٍ بما لا حيلةَ فيه و لا قدرةَ علىٰ دَفعِه؛ و إذا استَحالَ أن يَكونَ القَديمُ تَعالىٰ غيرَ مُزيحٍ لعِلَلِ عبادِه بما</w:t>
      </w:r>
      <w:r>
        <w:rPr>
          <w:rStyle w:val="FootnoteAnchor"/>
          <w:rtl w:val="true"/>
        </w:rPr>
        <w:footnoteReference w:id="733"/>
      </w:r>
      <w:r>
        <w:rPr>
          <w:rFonts w:ascii="Amiri" w:hAnsi="Amiri" w:eastAsia="Amiri" w:cs="Amiri"/>
          <w:color w:val="111111"/>
          <w:sz w:val="28"/>
          <w:sz w:val="28"/>
          <w:szCs w:val="28"/>
          <w:rtl w:val="true"/>
          <w:lang w:bidi="ar-SA"/>
        </w:rPr>
        <w:t>فيه لُطفُهم و مَصلحتُهم، وَجَبَ القطعُ علىٰ وجودِ</w:t>
      </w:r>
      <w:r>
        <w:rPr>
          <w:rStyle w:val="FootnoteAnchor"/>
          <w:rtl w:val="true"/>
        </w:rPr>
        <w:footnoteReference w:id="734"/>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جَهلُ مَن جَهِلَ وجودَهم و دَخَلَت عليه الشُّبهةُ في أمرِهم بقادحٍ في الأدلّةِ ، و لا</w:t>
      </w:r>
      <w:r>
        <w:rPr>
          <w:rStyle w:val="FootnoteAnchor"/>
          <w:rtl w:val="true"/>
        </w:rPr>
        <w:footnoteReference w:id="735"/>
      </w:r>
      <w:r>
        <w:rPr>
          <w:rFonts w:ascii="Amiri" w:hAnsi="Amiri" w:eastAsia="Amiri" w:cs="Amiri"/>
          <w:color w:val="111111"/>
          <w:sz w:val="28"/>
          <w:sz w:val="28"/>
          <w:szCs w:val="28"/>
          <w:rtl w:val="true"/>
          <w:lang w:bidi="ar-SA"/>
        </w:rPr>
        <w:t>مُعتَرِضٍ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فيه</w:t>
      </w:r>
      <w:r>
        <w:rPr>
          <w:rStyle w:val="FootnoteAnchor"/>
          <w:rtl w:val="true"/>
        </w:rPr>
        <w:footnoteReference w:id="736"/>
      </w:r>
      <w:r>
        <w:rPr>
          <w:rFonts w:ascii="Amiri" w:hAnsi="Amiri" w:eastAsia="Amiri" w:cs="Amiri"/>
          <w:color w:val="111111"/>
          <w:sz w:val="28"/>
          <w:sz w:val="28"/>
          <w:szCs w:val="28"/>
          <w:rtl w:val="true"/>
          <w:lang w:bidi="ar-SA"/>
        </w:rPr>
        <w:t>عَينٌ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w:t>
      </w:r>
      <w:r>
        <w:rPr>
          <w:rStyle w:val="FootnoteAnchor"/>
          <w:rtl w:val="true"/>
        </w:rPr>
        <w:footnoteReference w:id="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يُعرَفُ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ذَكَرناه يُبطِلُه، و إن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ما كان غيرَ مُشاهَدٍ يَجِبُ نَفيُه و إبطالُه</w:t>
      </w:r>
      <w:r>
        <w:rPr>
          <w:rFonts w:eastAsia="Amiri" w:cs="Amiri" w:ascii="Amiri" w:hAnsi="Amiri"/>
          <w:color w:val="111111"/>
          <w:sz w:val="28"/>
          <w:szCs w:val="28"/>
          <w:rtl w:val="true"/>
          <w:lang w:bidi="ar-SA"/>
        </w:rPr>
        <w:t>.</w:t>
      </w:r>
      <w:r>
        <w:rPr>
          <w:rStyle w:val="FootnoteAnchor"/>
          <w:rtl w:val="true"/>
        </w:rPr>
        <w:footnoteReference w:id="738"/>
      </w:r>
    </w:p>
    <w:p>
      <w:pPr>
        <w:pStyle w:val="Heading5"/>
        <w:numPr>
          <w:ilvl w:val="4"/>
          <w:numId w:val="1"/>
        </w:numPr>
        <w:rPr/>
      </w:pPr>
      <w:bookmarkStart w:id="361" w:name="__RefHeading___Toc828526_2320776876"/>
      <w:bookmarkStart w:id="362" w:name="_Toc128"/>
      <w:bookmarkEnd w:id="361"/>
      <w:r>
        <w:rPr/>
        <w:t>4</w:t>
      </w:r>
      <w:r>
        <w:rPr>
          <w:rtl w:val="true"/>
        </w:rPr>
        <w:t xml:space="preserve">. </w:t>
      </w:r>
      <w:r>
        <w:rPr>
          <w:rtl w:val="true"/>
        </w:rPr>
        <w:t>ادّعاء الضرورة في النصوص</w:t>
      </w:r>
      <w:bookmarkEnd w:id="362"/>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أدّىٰ بَعضَهم هذه الطريقةُ إلَى ادّعاءِ الضرورةِ في النُّصوصِ علَى المُخالِفِ ، بَل أدّىٰ </w:t>
      </w:r>
      <w:r>
        <w:rPr>
          <w:rStyle w:val="FootnoteAnchor"/>
          <w:rtl w:val="true"/>
        </w:rPr>
        <w:footnoteReference w:id="739"/>
      </w:r>
      <w:r>
        <w:rPr>
          <w:rFonts w:ascii="Amiri" w:hAnsi="Amiri" w:eastAsia="Amiri" w:cs="Amiri"/>
          <w:color w:val="111111"/>
          <w:sz w:val="28"/>
          <w:sz w:val="28"/>
          <w:szCs w:val="28"/>
          <w:rtl w:val="true"/>
          <w:lang w:bidi="ar-SA"/>
        </w:rPr>
        <w:t xml:space="preserve">بَعضَهم إلَى القَولِ بأنّ المَعارِفَ كُلَّها ضَروريّةٌ </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فلَيسَ فينا مَن يَدَّعي الضرورةَ في النَّصِّ إلّاعلَى السامعِ له ممَّن وَقَعَ مِن جهتِه، فأمّا مَن يَعرفُه مِن طريقِ </w:t>
      </w:r>
      <w:r>
        <w:rPr>
          <w:rStyle w:val="FootnoteAnchor"/>
          <w:rtl w:val="true"/>
        </w:rPr>
        <w:footnoteReference w:id="741"/>
      </w:r>
      <w:r>
        <w:rPr>
          <w:rFonts w:ascii="Amiri" w:hAnsi="Amiri" w:eastAsia="Amiri" w:cs="Amiri"/>
          <w:color w:val="111111"/>
          <w:sz w:val="28"/>
          <w:sz w:val="28"/>
          <w:szCs w:val="28"/>
          <w:rtl w:val="true"/>
          <w:lang w:bidi="ar-SA"/>
        </w:rPr>
        <w:t xml:space="preserve">الخَبَرِ فخارجٌ عن بابِ الضرورةِ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نَعرِفُ فينا أحَداً مُحصِّلاً يَدَّعي أنّ المَعارِفَ كُلَّها ضروريّةٌ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يَجِبُ أن لا يُعيِّرَ</w:t>
      </w:r>
      <w:r>
        <w:rPr>
          <w:rStyle w:val="FootnoteAnchor"/>
          <w:rtl w:val="true"/>
        </w:rPr>
        <w:footnoteReference w:id="743"/>
      </w:r>
      <w:r>
        <w:rPr>
          <w:rFonts w:ascii="Amiri" w:hAnsi="Amiri" w:eastAsia="Amiri" w:cs="Amiri"/>
          <w:color w:val="111111"/>
          <w:sz w:val="28"/>
          <w:sz w:val="28"/>
          <w:szCs w:val="28"/>
          <w:rtl w:val="true"/>
          <w:lang w:bidi="ar-SA"/>
        </w:rPr>
        <w:t>باعتقادِ الضرورةِ في المَعارِفِ مَن له مِثلُ أبي عُثمانَ الجاحِظِ</w:t>
      </w:r>
      <w:r>
        <w:rPr>
          <w:rStyle w:val="FootnoteAnchor"/>
          <w:rtl w:val="true"/>
        </w:rPr>
        <w:footnoteReference w:id="744"/>
      </w:r>
      <w:r>
        <w:rPr>
          <w:rFonts w:ascii="Amiri" w:hAnsi="Amiri" w:eastAsia="Amiri" w:cs="Amiri"/>
          <w:color w:val="111111"/>
          <w:sz w:val="28"/>
          <w:sz w:val="28"/>
          <w:szCs w:val="28"/>
          <w:rtl w:val="true"/>
          <w:lang w:bidi="ar-SA"/>
        </w:rPr>
        <w:t>الذي افتَتَحَ هذا الرأيَ المُنكَرَ</w:t>
      </w:r>
      <w:r>
        <w:rPr>
          <w:rStyle w:val="FootnoteAnchor"/>
          <w:rtl w:val="true"/>
        </w:rPr>
        <w:footnoteReference w:id="745"/>
      </w:r>
      <w:r>
        <w:rPr>
          <w:rFonts w:ascii="Amiri" w:hAnsi="Amiri" w:eastAsia="Amiri" w:cs="Amiri"/>
          <w:color w:val="111111"/>
          <w:sz w:val="28"/>
          <w:sz w:val="28"/>
          <w:szCs w:val="28"/>
          <w:rtl w:val="true"/>
          <w:lang w:bidi="ar-SA"/>
        </w:rPr>
        <w:t>، و تَناهىٰ فيه إلىٰ ما هو مشهورٌ</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363" w:name="pg20044_770855"/>
    </w:p>
    <w:p>
      <w:pPr>
        <w:pStyle w:val="Heading4"/>
        <w:numPr>
          <w:ilvl w:val="3"/>
          <w:numId w:val="1"/>
        </w:numPr>
        <w:rPr/>
      </w:pPr>
      <w:bookmarkStart w:id="364" w:name="__RefHeading___Toc828528_2320776876"/>
      <w:bookmarkStart w:id="365" w:name="_Toc129"/>
      <w:bookmarkEnd w:id="363"/>
      <w:bookmarkEnd w:id="364"/>
      <w:r>
        <w:rPr>
          <w:rtl w:val="true"/>
        </w:rPr>
        <w:t>تَعرُّضُ صاحبِ الكتاب لهشام بن الحَكَم و ابن الراونديّ و أبي عيسى الورّاق</w:t>
      </w:r>
      <w:bookmarkEnd w:id="365"/>
    </w:p>
    <w:p>
      <w:pPr>
        <w:pStyle w:val="Heading5"/>
        <w:numPr>
          <w:ilvl w:val="4"/>
          <w:numId w:val="1"/>
        </w:numPr>
        <w:rPr/>
      </w:pPr>
      <w:bookmarkStart w:id="366" w:name="__RefHeading___Toc828530_2320776876"/>
      <w:bookmarkStart w:id="367" w:name="_Toc130"/>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بَعيدٌ في كثيرٍ منهم أن يَعتَقِدَ ما يَظهَرُ عنه في هذه العِلَلِ‌</w:t>
      </w:r>
      <w:r>
        <w:rPr>
          <w:rStyle w:val="FootnoteAnchor"/>
          <w:rtl w:val="true"/>
        </w:rPr>
        <w:footnoteReference w:id="747"/>
      </w:r>
      <w:r>
        <w:rPr>
          <w:rFonts w:ascii="Amiri" w:hAnsi="Amiri" w:eastAsia="Amiri" w:cs="Amiri"/>
          <w:color w:val="111111"/>
          <w:sz w:val="28"/>
          <w:sz w:val="28"/>
          <w:szCs w:val="28"/>
          <w:rtl w:val="true"/>
          <w:lang w:bidi="ar-SA"/>
        </w:rPr>
        <w:t>لأنّ اعتقادَها لا يَصِحُّ‌</w:t>
      </w:r>
      <w:r>
        <w:rPr>
          <w:rStyle w:val="FootnoteAnchor"/>
          <w:rtl w:val="true"/>
        </w:rPr>
        <w:footnoteReference w:id="748"/>
      </w:r>
      <w:r>
        <w:rPr>
          <w:rFonts w:ascii="Amiri" w:hAnsi="Amiri" w:eastAsia="Amiri" w:cs="Amiri"/>
          <w:color w:val="111111"/>
          <w:sz w:val="28"/>
          <w:sz w:val="28"/>
          <w:szCs w:val="28"/>
          <w:rtl w:val="true"/>
          <w:lang w:bidi="ar-SA"/>
        </w:rPr>
        <w:t>مع التمسُّكِ بالدِّياناتِ التي ذَكَرناها، و لهذه الجُملةِ قالَ شَيخُنا أبو عليٍّ‌</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مَن نَصَرَ هذا المَذهَبَ كانَ قَصدُه الطَّعنَ في الدِّينِ و الإسلامِ، فتَسلَّقَ‌</w:t>
      </w:r>
      <w:r>
        <w:rPr>
          <w:rStyle w:val="FootnoteAnchor"/>
          <w:rtl w:val="true"/>
        </w:rPr>
        <w:footnoteReference w:id="750"/>
      </w:r>
      <w:r>
        <w:rPr>
          <w:rFonts w:ascii="Amiri" w:hAnsi="Amiri" w:eastAsia="Amiri" w:cs="Amiri"/>
          <w:color w:val="111111"/>
          <w:sz w:val="28"/>
          <w:sz w:val="28"/>
          <w:szCs w:val="28"/>
          <w:rtl w:val="true"/>
          <w:lang w:bidi="ar-SA"/>
        </w:rPr>
        <w:t>بذلكَ إلَى القَدحِ فيهما؛ لأنّه لَو طَعَنَ‌</w:t>
      </w:r>
      <w:r>
        <w:rPr>
          <w:rStyle w:val="FootnoteAnchor"/>
          <w:rtl w:val="true"/>
        </w:rPr>
        <w:footnoteReference w:id="751"/>
      </w:r>
      <w:r>
        <w:rPr>
          <w:rFonts w:ascii="Amiri" w:hAnsi="Amiri" w:eastAsia="Amiri" w:cs="Amiri"/>
          <w:color w:val="111111"/>
          <w:sz w:val="28"/>
          <w:sz w:val="28"/>
          <w:szCs w:val="28"/>
          <w:rtl w:val="true"/>
          <w:lang w:bidi="ar-SA"/>
        </w:rPr>
        <w:t>فيهما بإظهارِ كُفرِه و إلحادِه لَقَلَّ‌</w:t>
      </w:r>
      <w:r>
        <w:rPr>
          <w:rStyle w:val="FootnoteAnchor"/>
          <w:rtl w:val="true"/>
        </w:rPr>
        <w:footnoteReference w:id="752"/>
      </w:r>
      <w:r>
        <w:rPr>
          <w:rFonts w:ascii="Amiri" w:hAnsi="Amiri" w:eastAsia="Amiri" w:cs="Amiri"/>
          <w:color w:val="111111"/>
          <w:sz w:val="28"/>
          <w:sz w:val="28"/>
          <w:szCs w:val="28"/>
          <w:rtl w:val="true"/>
          <w:lang w:bidi="ar-SA"/>
        </w:rPr>
        <w:t xml:space="preserve">القبولُ مِنه، فجَعَلَ هذه الطريقةَ سُلَّماً </w:t>
      </w:r>
    </w:p>
    <w:p>
      <w:pPr>
        <w:pStyle w:val="BookText"/>
        <w:rPr/>
      </w:pPr>
      <w:r>
        <w:rPr>
          <w:rFonts w:ascii="Amiri" w:hAnsi="Amiri" w:eastAsia="Amiri" w:cs="Amiri"/>
          <w:color w:val="111111"/>
          <w:sz w:val="28"/>
          <w:sz w:val="28"/>
          <w:szCs w:val="28"/>
          <w:rtl w:val="true"/>
          <w:lang w:bidi="ar-SA"/>
        </w:rPr>
        <w:t>إلىٰ مُرادِه، نَحوُ هِشامِ بنِ الحَكَمِ‌</w:t>
      </w:r>
      <w:r>
        <w:rPr>
          <w:rStyle w:val="FootnoteAnchor"/>
          <w:rtl w:val="true"/>
        </w:rPr>
        <w:footnoteReference w:id="753"/>
      </w:r>
      <w:r>
        <w:rPr>
          <w:rFonts w:ascii="Amiri" w:hAnsi="Amiri" w:eastAsia="Amiri" w:cs="Amiri"/>
          <w:color w:val="111111"/>
          <w:sz w:val="28"/>
          <w:sz w:val="28"/>
          <w:szCs w:val="28"/>
          <w:rtl w:val="true"/>
          <w:lang w:bidi="ar-SA"/>
        </w:rPr>
        <w:t>و طَبَقَتِه، و نَحوُ أبي عيسَى الوَرّاقِ‌</w:t>
      </w:r>
      <w:r>
        <w:rPr>
          <w:rStyle w:val="FootnoteAnchor"/>
          <w:rtl w:val="true"/>
        </w:rPr>
        <w:footnoteReference w:id="754"/>
      </w:r>
      <w:r>
        <w:rPr>
          <w:rFonts w:ascii="IRNazanin" w:hAnsi="IRNazanin" w:eastAsia="IRNazanin"/>
          <w:color w:val="111111"/>
          <w:sz w:val="28"/>
          <w:sz w:val="28"/>
          <w:szCs w:val="28"/>
          <w:rtl w:val="true"/>
          <w:lang w:bidi="fa-IR"/>
        </w:rPr>
        <w:t>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حَفصٍ الحَدّادِ</w:t>
      </w:r>
      <w:r>
        <w:rPr>
          <w:rStyle w:val="FootnoteAnchor"/>
          <w:rtl w:val="true"/>
        </w:rPr>
        <w:footnoteReference w:id="755"/>
      </w:r>
      <w:r>
        <w:rPr>
          <w:rFonts w:ascii="Amiri" w:hAnsi="Amiri" w:eastAsia="Amiri" w:cs="Amiri"/>
          <w:color w:val="111111"/>
          <w:sz w:val="28"/>
          <w:sz w:val="28"/>
          <w:szCs w:val="28"/>
          <w:rtl w:val="true"/>
          <w:lang w:bidi="ar-SA"/>
        </w:rPr>
        <w:t>و ابنِ الراوَنديِّ‌</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شَيخُنا أبو عليٍّ أنّهم تَجاوَزوا ذلكَ إلىٰ إبطالِ التوحيدِ و العَدلِ؛ لأنّ‌</w:t>
      </w:r>
      <w:r>
        <w:rPr>
          <w:rStyle w:val="FootnoteAnchor"/>
          <w:rtl w:val="true"/>
        </w:rPr>
        <w:footnoteReference w:id="757"/>
      </w:r>
      <w:r>
        <w:rPr>
          <w:rFonts w:ascii="Amiri" w:hAnsi="Amiri" w:eastAsia="Amiri" w:cs="Amiri"/>
          <w:color w:val="111111"/>
          <w:sz w:val="28"/>
          <w:sz w:val="28"/>
          <w:szCs w:val="28"/>
          <w:rtl w:val="true"/>
          <w:lang w:bidi="ar-SA"/>
        </w:rPr>
        <w:t>هِشامَ بنَ الحَكَمِ قالَ بالتجسيمِ، و بحُدوثِ العِلمِ، و بجَوازِ البَداءِ، إلىٰ غيرِ ذلكَ ممّا لا يَصِحُّ معه التوحيدُ، و قالَ بالجَبرِ،</w:t>
      </w:r>
      <w:r>
        <w:rPr>
          <w:rStyle w:val="FootnoteAnchor"/>
          <w:rtl w:val="true"/>
        </w:rPr>
        <w:footnoteReference w:id="758"/>
      </w:r>
      <w:r>
        <w:rPr>
          <w:rFonts w:ascii="Amiri" w:hAnsi="Amiri" w:eastAsia="Amiri" w:cs="Amiri"/>
          <w:color w:val="111111"/>
          <w:sz w:val="28"/>
          <w:sz w:val="28"/>
          <w:szCs w:val="28"/>
          <w:rtl w:val="true"/>
          <w:lang w:bidi="ar-SA"/>
        </w:rPr>
        <w:t>و ما يَتَّصِلُ بتَكليفِ ما لا يُطاقُ، و لا يَصِحُّ معه التمسُّكُ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حالُ ابنِ الراوَنديِّ في نُصرةِ الإلحادِ و أنّه كانَ يَقصِدُ بسائرِ ما يؤلِّفُه إلَى التشكيكِ فظاهرٌ، و رُبَّما</w:t>
      </w:r>
      <w:r>
        <w:rPr>
          <w:rStyle w:val="FootnoteAnchor"/>
          <w:rtl w:val="true"/>
        </w:rPr>
        <w:footnoteReference w:id="759"/>
      </w:r>
      <w:r>
        <w:rPr>
          <w:rFonts w:ascii="Amiri" w:hAnsi="Amiri" w:eastAsia="Amiri" w:cs="Amiri"/>
          <w:color w:val="111111"/>
          <w:sz w:val="28"/>
          <w:sz w:val="28"/>
          <w:szCs w:val="28"/>
          <w:rtl w:val="true"/>
          <w:lang w:bidi="ar-SA"/>
        </w:rPr>
        <w:t>كانَ يؤلِّفُ لضَربٍ‌</w:t>
      </w:r>
      <w:r>
        <w:rPr>
          <w:rStyle w:val="FootnoteAnchor"/>
          <w:rtl w:val="true"/>
        </w:rPr>
        <w:footnoteReference w:id="760"/>
      </w:r>
      <w:r>
        <w:rPr>
          <w:rFonts w:ascii="Amiri" w:hAnsi="Amiri" w:eastAsia="Amiri" w:cs="Amiri"/>
          <w:color w:val="111111"/>
          <w:sz w:val="28"/>
          <w:sz w:val="28"/>
          <w:szCs w:val="28"/>
          <w:rtl w:val="true"/>
          <w:lang w:bidi="ar-SA"/>
        </w:rPr>
        <w:t>مِن الشُّهرةِ‌</w:t>
      </w:r>
      <w:r>
        <w:rPr>
          <w:rStyle w:val="FootnoteAnchor"/>
          <w:rtl w:val="true"/>
        </w:rPr>
        <w:footnoteReference w:id="761"/>
      </w:r>
      <w:r>
        <w:rPr>
          <w:rFonts w:ascii="Amiri" w:hAnsi="Amiri" w:eastAsia="Amiri" w:cs="Amiri"/>
          <w:color w:val="111111"/>
          <w:sz w:val="28"/>
          <w:sz w:val="28"/>
          <w:szCs w:val="28"/>
          <w:rtl w:val="true"/>
          <w:lang w:bidi="ar-SA"/>
        </w:rPr>
        <w:t>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فتَمسُّكُه بمَذاهِبِ الثنَويّةِ ظاهرٌ، و أنّه كانَ عندَ الخَلوةِ رُبَّما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بُليتُ بنُصرةِ أبغَضِ الناسِ إلَيَّ، و أعظَمِهم إقداماً علَى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التَّستُّرَ بذلكَ و التحرُّزَ به مِن القَتلِ لا بُدَّ مِن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يُحكىٰ عنه في هذا البابِ</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الأهوازيّ و هلك في منزله، عليه من القهّار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الراونديّ هرب من السلطان إلى ابن لاوي اليهوديّ فصنَّفَ له كتاباً كفريّاً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 جاهلٍ تلقاه مرزوقا</w:t>
      </w:r>
      <w:r>
        <w:rPr>
          <w:rFonts w:eastAsia="Amiri" w:cs="Amiri" w:ascii="Amiri" w:hAnsi="Amiri"/>
          <w:color w:val="111111"/>
          <w:sz w:val="28"/>
          <w:szCs w:val="28"/>
          <w:rtl w:val="true"/>
          <w:lang w:bidi="ar-SA"/>
        </w:rPr>
        <w:t xml:space="preserve">]». </w:t>
      </w:r>
      <w:bookmarkStart w:id="368" w:name="pg20044_770858"/>
    </w:p>
    <w:p>
      <w:pPr>
        <w:pStyle w:val="BookText"/>
        <w:rPr/>
      </w:pPr>
      <w:bookmarkEnd w:id="368"/>
      <w:r>
        <w:rPr>
          <w:rFonts w:ascii="Amiri" w:hAnsi="Amiri" w:eastAsia="Amiri" w:cs="Amiri"/>
          <w:color w:val="111111"/>
          <w:sz w:val="28"/>
          <w:sz w:val="28"/>
          <w:szCs w:val="28"/>
          <w:rtl w:val="true"/>
          <w:lang w:bidi="ar-SA"/>
        </w:rPr>
        <w:t>فعُدولٌ عن النظَرِ و الحِجاجِ إلَى القَذفِ و السِّبابِ و الافتراءِ، و</w:t>
      </w:r>
      <w:r>
        <w:rPr>
          <w:rStyle w:val="FootnoteAnchor"/>
          <w:rtl w:val="true"/>
        </w:rPr>
        <w:footnoteReference w:id="763"/>
      </w:r>
      <w:r>
        <w:rPr>
          <w:rFonts w:ascii="Amiri" w:hAnsi="Amiri" w:eastAsia="Amiri" w:cs="Amiri"/>
          <w:color w:val="111111"/>
          <w:sz w:val="28"/>
          <w:sz w:val="28"/>
          <w:szCs w:val="28"/>
          <w:rtl w:val="true"/>
          <w:lang w:bidi="ar-SA"/>
        </w:rPr>
        <w:t>استعمالُ طريقةِ جُهّالِ العامّةِ في التشنيعِ علَى المَذاهبِ و سَبِّ أهلِها و تَقبيحِها في النفوسِ بما لَو صَحَّ لَم يَكُ مُفسِداً</w:t>
      </w:r>
      <w:r>
        <w:rPr>
          <w:rStyle w:val="FootnoteAnchor"/>
          <w:rtl w:val="true"/>
        </w:rPr>
        <w:footnoteReference w:id="764"/>
      </w:r>
      <w:r>
        <w:rPr>
          <w:rFonts w:ascii="Amiri" w:hAnsi="Amiri" w:eastAsia="Amiri" w:cs="Amiri"/>
          <w:color w:val="111111"/>
          <w:sz w:val="28"/>
          <w:sz w:val="28"/>
          <w:szCs w:val="28"/>
          <w:rtl w:val="true"/>
          <w:lang w:bidi="ar-SA"/>
        </w:rPr>
        <w:t>لأصلِ المَقالةِ، و لا قادِحاً في صِحّةِ النِّحلةِ‌</w:t>
      </w:r>
      <w:r>
        <w:rPr>
          <w:rStyle w:val="FootnoteAnchor"/>
          <w:rtl w:val="true"/>
        </w:rPr>
        <w:footnoteReference w:id="765"/>
      </w:r>
      <w:r>
        <w:rPr>
          <w:rFonts w:ascii="Amiri" w:hAnsi="Amiri" w:eastAsia="Amiri" w:cs="Amiri"/>
          <w:color w:val="111111"/>
          <w:sz w:val="28"/>
          <w:sz w:val="28"/>
          <w:szCs w:val="28"/>
          <w:rtl w:val="true"/>
          <w:lang w:bidi="ar-SA"/>
        </w:rPr>
        <w:t xml:space="preserve">، و قَلَّما يُستَعمَلُ ذلك إلّاعندَ نَفادِ الحُجّةِ و قِلّةِ الحيلةِ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مُبِينونَ عمّا في كلامِه مِن الخَطَإ و التحامُلِ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828532_2320776876"/>
      <w:bookmarkStart w:id="370" w:name="_Toc131"/>
      <w:bookmarkEnd w:id="369"/>
      <w:r>
        <w:rPr>
          <w:rtl w:val="true"/>
        </w:rPr>
        <w:t>أوّلاً</w:t>
      </w:r>
      <w:r>
        <w:rPr>
          <w:rtl w:val="true"/>
        </w:rPr>
        <w:t xml:space="preserve">: </w:t>
      </w:r>
      <w:r>
        <w:rPr>
          <w:rtl w:val="true"/>
        </w:rPr>
        <w:t>دفاعُ المؤلِّفِ عن هِشامِ بنِ الحَكَمِ و دَفعُه لِما نُسِبَ إليه</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رَمىٰ به هِشامَ بنَ الحَكَمِ رَحِمَه اللّٰهُ مِن القولِ‌</w:t>
      </w:r>
      <w:r>
        <w:rPr>
          <w:rStyle w:val="FootnoteAnchor"/>
          <w:rtl w:val="true"/>
        </w:rPr>
        <w:footnoteReference w:id="767"/>
      </w:r>
      <w:r>
        <w:rPr>
          <w:rFonts w:ascii="Amiri" w:hAnsi="Amiri" w:eastAsia="Amiri" w:cs="Amiri"/>
          <w:color w:val="111111"/>
          <w:sz w:val="28"/>
          <w:sz w:val="28"/>
          <w:szCs w:val="28"/>
          <w:rtl w:val="true"/>
          <w:lang w:bidi="ar-SA"/>
        </w:rPr>
        <w:t xml:space="preserve">بالتجسيمِ، فالظاهرُ مِن الحِكايةِ عنه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أنّ هذا القولَ لَيسَ بتشبيهٍ‌</w:t>
      </w:r>
      <w:r>
        <w:rPr>
          <w:rStyle w:val="FootnoteAnchor"/>
          <w:rtl w:val="true"/>
        </w:rPr>
        <w:footnoteReference w:id="768"/>
      </w:r>
      <w:r>
        <w:rPr>
          <w:rFonts w:ascii="Amiri" w:hAnsi="Amiri" w:eastAsia="Amiri" w:cs="Amiri"/>
          <w:color w:val="111111"/>
          <w:sz w:val="28"/>
          <w:sz w:val="28"/>
          <w:szCs w:val="28"/>
          <w:rtl w:val="true"/>
          <w:lang w:bidi="ar-SA"/>
        </w:rPr>
        <w:t>، و لا ناقضٍ لأصلٍ، و لا مُعتَرِضٍ علىٰ فَرعٍ، و أنّه غَلَطٌ في عبارةٍ؛ يُرجَعُ‌</w:t>
      </w:r>
      <w:r>
        <w:rPr>
          <w:rStyle w:val="FootnoteAnchor"/>
          <w:rtl w:val="true"/>
        </w:rPr>
        <w:footnoteReference w:id="769"/>
      </w:r>
      <w:r>
        <w:rPr>
          <w:rFonts w:ascii="Amiri" w:hAnsi="Amiri" w:eastAsia="Amiri" w:cs="Amiri"/>
          <w:color w:val="111111"/>
          <w:sz w:val="28"/>
          <w:sz w:val="28"/>
          <w:szCs w:val="28"/>
          <w:rtl w:val="true"/>
          <w:lang w:bidi="ar-SA"/>
        </w:rPr>
        <w:t>في إثباتِها و نَفيِها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أَورَدَ ذلكَ علىٰ سَبيلِ المُعارَضةِ للمُعتزِلةِ، فقالَ لهم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تَعالىٰ شَيءٌ لا كالأشياءِ،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لَيسَ كُلُّ مَن عارَضَ بشَيءٍ و سأَلَ عنه يَكونُ مُعتَقِداً له و مُتَدَيِّناً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يَكونَ قَصَدَ به إلَى استِخراجِ جوابِهم عن هذه المسألةِ و معرفةِ ما عندَهم فيها، أو إلىٰ أن يُبيِّنَ قُصورَهم عن إيرادِ المَرْضيِّ‌</w:t>
      </w:r>
      <w:r>
        <w:rPr>
          <w:rStyle w:val="FootnoteAnchor"/>
          <w:rtl w:val="true"/>
        </w:rPr>
        <w:footnoteReference w:id="771"/>
      </w:r>
      <w:r>
        <w:rPr>
          <w:rFonts w:ascii="Amiri" w:hAnsi="Amiri" w:eastAsia="Amiri" w:cs="Amiri"/>
          <w:color w:val="111111"/>
          <w:sz w:val="28"/>
          <w:sz w:val="28"/>
          <w:szCs w:val="28"/>
          <w:rtl w:val="true"/>
          <w:lang w:bidi="ar-SA"/>
        </w:rPr>
        <w:t>في جوابِها، إلىٰ غيرِ ذلكَ ممّا يَتَّسِعُ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الحكايةُ عنه أنّه ذَهَبَ في اللّٰهِ تعالىٰ أنّه جسمٌ له حقيقةُ الأجسامِ الحاضرةِ،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نَعرِفُه إلّامِن حكايةِ الجاحظِ عن النَّظّامِ‌</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Style w:val="FootnoteAnchor"/>
          <w:rtl w:val="true"/>
        </w:rPr>
        <w:footnoteReference w:id="773"/>
      </w:r>
      <w:r>
        <w:rPr>
          <w:rFonts w:ascii="Amiri" w:hAnsi="Amiri" w:eastAsia="Amiri" w:cs="Amiri"/>
          <w:color w:val="111111"/>
          <w:sz w:val="28"/>
          <w:sz w:val="28"/>
          <w:szCs w:val="28"/>
          <w:rtl w:val="true"/>
          <w:lang w:bidi="ar-SA"/>
        </w:rPr>
        <w:t>إلّامُتَّهَمٌ عَلَيه، غيرُ مَوثوقٍ بقَولِه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المَذاهِبَ يَجِبُ أن تؤخَذَ مِن أفواهِ قائليها، و أصحابِهم المُختَصّينَ بهم، و مَن هو مأمونٌ في الحكايةِ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 فيها إلىٰ دعاوَى الخُصومِ؛ فإنّه إن رُجِعَ‌</w:t>
      </w:r>
      <w:r>
        <w:rPr>
          <w:rStyle w:val="FootnoteAnchor"/>
          <w:rtl w:val="true"/>
        </w:rPr>
        <w:footnoteReference w:id="774"/>
      </w:r>
      <w:r>
        <w:rPr>
          <w:rFonts w:ascii="Amiri" w:hAnsi="Amiri" w:eastAsia="Amiri" w:cs="Amiri"/>
          <w:color w:val="111111"/>
          <w:sz w:val="28"/>
          <w:sz w:val="28"/>
          <w:szCs w:val="28"/>
          <w:rtl w:val="true"/>
          <w:lang w:bidi="ar-SA"/>
        </w:rPr>
        <w:t>إلىٰ ذلكَ في المَذاهِبِ‌</w:t>
      </w:r>
      <w:r>
        <w:rPr>
          <w:rStyle w:val="FootnoteAnchor"/>
          <w:rtl w:val="true"/>
        </w:rPr>
        <w:footnoteReference w:id="775"/>
      </w:r>
      <w:r>
        <w:rPr>
          <w:rFonts w:ascii="Amiri" w:hAnsi="Amiri" w:eastAsia="Amiri" w:cs="Amiri"/>
          <w:color w:val="111111"/>
          <w:sz w:val="28"/>
          <w:sz w:val="28"/>
          <w:szCs w:val="28"/>
          <w:rtl w:val="true"/>
          <w:lang w:bidi="ar-SA"/>
        </w:rPr>
        <w:t>اتَّسَعَ الخَرْقُ، و جَلَّ الخَطْبُ ، و لَم نَثِقْ بحِكايةٍ في مَذهَبٍ و لا إسنادِ</w:t>
      </w:r>
      <w:r>
        <w:rPr>
          <w:rStyle w:val="FootnoteAnchor"/>
          <w:rtl w:val="true"/>
        </w:rPr>
        <w:footnoteReference w:id="776"/>
      </w:r>
      <w:r>
        <w:rPr>
          <w:rFonts w:ascii="Amiri" w:hAnsi="Amiri" w:eastAsia="Amiri" w:cs="Amiri"/>
          <w:color w:val="111111"/>
          <w:sz w:val="28"/>
          <w:sz w:val="28"/>
          <w:szCs w:val="28"/>
          <w:rtl w:val="true"/>
          <w:lang w:bidi="ar-SA"/>
        </w:rPr>
        <w:t xml:space="preserve">مَقالةٍ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ألزم العلّاف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تعالىٰ عالم بعلم، و علمه ذاته، فيشارك المحدَثات في أنّه عالم بعلم، و يباينها في أنّ علمه ذاته، فيكون عالِماً لا كالِعالمين، فَلِمَ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 و صورة لا كالصور، و له قدر لا كالأقدار؟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يَذهَبُ هِشامٌ إلىٰ ما يَدَّعونَه مِن التجسيمِ، لَوَجَبَ‌</w:t>
      </w:r>
      <w:r>
        <w:rPr>
          <w:rStyle w:val="FootnoteAnchor"/>
          <w:rtl w:val="true"/>
        </w:rPr>
        <w:footnoteReference w:id="777"/>
      </w:r>
      <w:r>
        <w:rPr>
          <w:rFonts w:ascii="Amiri" w:hAnsi="Amiri" w:eastAsia="Amiri" w:cs="Amiri"/>
          <w:color w:val="111111"/>
          <w:sz w:val="28"/>
          <w:sz w:val="28"/>
          <w:szCs w:val="28"/>
          <w:rtl w:val="true"/>
          <w:lang w:bidi="ar-SA"/>
        </w:rPr>
        <w:t>أن يُعلَمَ ذلكَ و يَزولَ اللَّبسُ فيه، كما يُعلَمُ قولُ الجوارِبيِّ‌</w:t>
      </w:r>
      <w:r>
        <w:rPr>
          <w:rStyle w:val="FootnoteAnchor"/>
          <w:rtl w:val="true"/>
        </w:rPr>
        <w:footnoteReference w:id="778"/>
      </w:r>
      <w:r>
        <w:rPr>
          <w:rFonts w:ascii="Amiri" w:hAnsi="Amiri" w:eastAsia="Amiri" w:cs="Amiri"/>
          <w:color w:val="111111"/>
          <w:sz w:val="28"/>
          <w:sz w:val="28"/>
          <w:szCs w:val="28"/>
          <w:rtl w:val="true"/>
          <w:lang w:bidi="ar-SA"/>
        </w:rPr>
        <w:t xml:space="preserve">و أصحابِه بذلكَ،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له دافعاً كما لا نَجِدُ</w:t>
      </w:r>
      <w:r>
        <w:rPr>
          <w:rStyle w:val="FootnoteAnchor"/>
          <w:rtl w:val="true"/>
        </w:rPr>
        <w:footnoteReference w:id="779"/>
      </w:r>
      <w:r>
        <w:rPr>
          <w:rFonts w:ascii="Amiri" w:hAnsi="Amiri" w:eastAsia="Amiri" w:cs="Amiri"/>
          <w:color w:val="111111"/>
          <w:sz w:val="28"/>
          <w:sz w:val="28"/>
          <w:szCs w:val="28"/>
          <w:rtl w:val="true"/>
          <w:lang w:bidi="ar-SA"/>
        </w:rPr>
        <w:t>لمَقالةِ الجَوارِبيِّ دافِعاً في الجسمِ‌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بَراءةِ هِشامٍ مِن هذا القَرَفِ‌</w:t>
      </w:r>
      <w:r>
        <w:rPr>
          <w:rStyle w:val="FootnoteAnchor"/>
          <w:rtl w:val="true"/>
        </w:rPr>
        <w:footnoteReference w:id="781"/>
      </w:r>
      <w:r>
        <w:rPr>
          <w:rFonts w:ascii="Amiri" w:hAnsi="Amiri" w:eastAsia="Amiri" w:cs="Amiri"/>
          <w:color w:val="111111"/>
          <w:sz w:val="28"/>
          <w:sz w:val="28"/>
          <w:szCs w:val="28"/>
          <w:rtl w:val="true"/>
          <w:lang w:bidi="ar-SA"/>
        </w:rPr>
        <w:t>و رَميِه</w:t>
      </w:r>
      <w:r>
        <w:rPr>
          <w:rStyle w:val="FootnoteAnchor"/>
          <w:rtl w:val="true"/>
        </w:rPr>
        <w:footnoteReference w:id="782"/>
      </w:r>
      <w:r>
        <w:rPr>
          <w:rFonts w:ascii="Amiri" w:hAnsi="Amiri" w:eastAsia="Amiri" w:cs="Amiri"/>
          <w:color w:val="111111"/>
          <w:sz w:val="28"/>
          <w:sz w:val="28"/>
          <w:szCs w:val="28"/>
          <w:rtl w:val="true"/>
          <w:lang w:bidi="ar-SA"/>
        </w:rPr>
        <w:t>علىٰ هذا الوجهِ‌</w:t>
      </w:r>
      <w:r>
        <w:rPr>
          <w:rStyle w:val="FootnoteAnchor"/>
          <w:rtl w:val="true"/>
        </w:rPr>
        <w:footnoteReference w:id="783"/>
      </w:r>
      <w:r>
        <w:rPr>
          <w:rFonts w:ascii="Amiri" w:hAnsi="Amiri" w:eastAsia="Amiri" w:cs="Amiri"/>
          <w:color w:val="111111"/>
          <w:sz w:val="28"/>
          <w:sz w:val="28"/>
          <w:szCs w:val="28"/>
          <w:rtl w:val="true"/>
          <w:lang w:bidi="ar-SA"/>
        </w:rPr>
        <w:t>الذي يَدَّعونَه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هِشامُ مُؤيَّداً بروحِ القُدُسِ ما نَصَرتَنا بلِسانِكَ</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عليه السلامُ حينَ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مَشايخُ الشيعةِ، فرَفَعَه علىٰ جَماعتِهم، و أَجلَسَه إلىٰ جانِبِه في المَجلِسِ؛ و هو إذ ذاكَ حَدَثُ السِّنِّ‌</w:t>
      </w:r>
      <w:r>
        <w:rPr>
          <w:rStyle w:val="FootnoteAnchor"/>
          <w:rtl w:val="true"/>
        </w:rPr>
        <w:footnoteReference w:id="7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ناصِرُنا بقَلبِه و يَدِه و لِسانِه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بنُ الحَكَمِ رائدُ حَقِّنا، و سائقُ قَولِنا، المؤيِّدُ لصِدقِنا</w:t>
      </w:r>
      <w:r>
        <w:rPr>
          <w:rStyle w:val="FootnoteAnchor"/>
          <w:rtl w:val="true"/>
        </w:rPr>
        <w:footnoteReference w:id="787"/>
      </w:r>
      <w:r>
        <w:rPr>
          <w:rFonts w:ascii="Amiri" w:hAnsi="Amiri" w:eastAsia="Amiri" w:cs="Amiri"/>
          <w:color w:val="111111"/>
          <w:sz w:val="28"/>
          <w:sz w:val="28"/>
          <w:szCs w:val="28"/>
          <w:rtl w:val="true"/>
          <w:lang w:bidi="ar-SA"/>
        </w:rPr>
        <w:t>، و الدافِعُ لباطِلِ أعدائنا، مَن تَبِعَه و تَبِعَ أمْرَه تَبِعَنا، و مَن خالَفَه و ألحَدَ فيه فقَد عادانا و ألحَدَ فينا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عليه السلامُ كانَ يُرشِدُ إليه</w:t>
      </w:r>
      <w:r>
        <w:rPr>
          <w:rStyle w:val="FootnoteAnchor"/>
          <w:rtl w:val="true"/>
        </w:rPr>
        <w:footnoteReference w:id="789"/>
      </w:r>
      <w:r>
        <w:rPr>
          <w:rFonts w:ascii="Amiri" w:hAnsi="Amiri" w:eastAsia="Amiri" w:cs="Amiri"/>
          <w:color w:val="111111"/>
          <w:sz w:val="28"/>
          <w:sz w:val="28"/>
          <w:szCs w:val="28"/>
          <w:rtl w:val="true"/>
          <w:lang w:bidi="ar-SA"/>
        </w:rPr>
        <w:t xml:space="preserve">في بابِ النظَرِ و الحِجاجِ، و يَحُثُّ الناسَ علىٰ لِقائه و مُناظَرَتِه؛ فكَيفَ يَتَوَهَّمُ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هِشامٍ هذا القولَ بأنّ رَبَّه سَبعةُ أشبارٍ بشِبرِه؟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ادّعاءُ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المعلومِ بالصادقِ عليه السلامُ و قُربِه مِنه و أخذِه عنه، إلّاقَدْحٌ في أمرِ الصادقِ عليه السلامُ و نسبةٌ </w:t>
      </w:r>
      <w:r>
        <w:rPr>
          <w:rStyle w:val="FootnoteAnchor"/>
          <w:rtl w:val="true"/>
        </w:rPr>
        <w:footnoteReference w:id="790"/>
      </w:r>
      <w:r>
        <w:rPr>
          <w:rFonts w:ascii="Amiri" w:hAnsi="Amiri" w:eastAsia="Amiri" w:cs="Amiri"/>
          <w:color w:val="111111"/>
          <w:sz w:val="28"/>
          <w:sz w:val="28"/>
          <w:szCs w:val="28"/>
          <w:rtl w:val="true"/>
          <w:lang w:bidi="ar-SA"/>
        </w:rPr>
        <w:t>له إلَى المُشارَكةِ في الاعتقادِ الذي نَحَلوه</w:t>
      </w:r>
      <w:r>
        <w:rPr>
          <w:rStyle w:val="FootnoteAnchor"/>
          <w:rtl w:val="true"/>
        </w:rPr>
        <w:footnoteReference w:id="791"/>
      </w:r>
      <w:r>
        <w:rPr>
          <w:rFonts w:ascii="Amiri" w:hAnsi="Amiri" w:eastAsia="Amiri" w:cs="Amiri"/>
          <w:color w:val="111111"/>
          <w:sz w:val="28"/>
          <w:sz w:val="28"/>
          <w:szCs w:val="28"/>
          <w:rtl w:val="true"/>
          <w:lang w:bidi="ar-SA"/>
        </w:rPr>
        <w:t>هِشاماً؟ ألا</w:t>
      </w:r>
      <w:r>
        <w:rPr>
          <w:rStyle w:val="FootnoteAnchor"/>
          <w:rtl w:val="true"/>
        </w:rPr>
        <w:footnoteReference w:id="792"/>
      </w:r>
      <w:r>
        <w:rPr>
          <w:rFonts w:ascii="Amiri" w:hAnsi="Amiri" w:eastAsia="Amiri" w:cs="Amiri"/>
          <w:color w:val="111111"/>
          <w:sz w:val="28"/>
          <w:sz w:val="28"/>
          <w:szCs w:val="28"/>
          <w:rtl w:val="true"/>
          <w:lang w:bidi="ar-SA"/>
        </w:rPr>
        <w:t>كَيفَ لَم يَظهَرْ عنه</w:t>
      </w:r>
      <w:r>
        <w:rPr>
          <w:rStyle w:val="FootnoteAnchor"/>
          <w:rtl w:val="true"/>
        </w:rPr>
        <w:footnoteReference w:id="793"/>
      </w:r>
      <w:r>
        <w:rPr>
          <w:rFonts w:ascii="Amiri" w:hAnsi="Amiri" w:eastAsia="Amiri" w:cs="Amiri"/>
          <w:color w:val="111111"/>
          <w:sz w:val="28"/>
          <w:sz w:val="28"/>
          <w:szCs w:val="28"/>
          <w:rtl w:val="true"/>
          <w:lang w:bidi="ar-SA"/>
        </w:rPr>
        <w:t>مِن النَّكيرِ</w:t>
      </w:r>
      <w:r>
        <w:rPr>
          <w:rStyle w:val="FootnoteAnchor"/>
          <w:rtl w:val="true"/>
        </w:rPr>
        <w:footnoteReference w:id="794"/>
      </w:r>
      <w:r>
        <w:rPr>
          <w:rFonts w:ascii="Amiri" w:hAnsi="Amiri" w:eastAsia="Amiri" w:cs="Amiri"/>
          <w:color w:val="111111"/>
          <w:sz w:val="28"/>
          <w:sz w:val="28"/>
          <w:szCs w:val="28"/>
          <w:rtl w:val="true"/>
          <w:lang w:bidi="ar-SA"/>
        </w:rPr>
        <w:t>عليه</w:t>
      </w:r>
      <w:r>
        <w:rPr>
          <w:rStyle w:val="FootnoteAnchor"/>
          <w:rtl w:val="true"/>
        </w:rPr>
        <w:footnoteReference w:id="795"/>
      </w:r>
      <w:r>
        <w:rPr>
          <w:rFonts w:ascii="Amiri" w:hAnsi="Amiri" w:eastAsia="Amiri" w:cs="Amiri"/>
          <w:color w:val="111111"/>
          <w:sz w:val="28"/>
          <w:sz w:val="28"/>
          <w:szCs w:val="28"/>
          <w:rtl w:val="true"/>
          <w:lang w:bidi="ar-SA"/>
        </w:rPr>
        <w:t>و التبعيدِ له ما يَستَحِقُّه المُقدِمُ علىٰ هذا الاعتقادِ المُنكَرِ و المَذهَبِ الشَّنيعِ؟</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الفصول المختارة؛ 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عن الاحتجاج؛ و 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عن إعلام الورىٰ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حُدوثُ العِلمِ‌</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 حِكاياتِهم المُختَلَقةِ‌</w:t>
      </w:r>
      <w:r>
        <w:rPr>
          <w:rStyle w:val="FootnoteAnchor"/>
          <w:rtl w:val="true"/>
        </w:rPr>
        <w:footnoteReference w:id="797"/>
      </w:r>
      <w:r>
        <w:rPr>
          <w:rFonts w:ascii="Amiri" w:hAnsi="Amiri" w:eastAsia="Amiri" w:cs="Amiri"/>
          <w:color w:val="111111"/>
          <w:sz w:val="28"/>
          <w:sz w:val="28"/>
          <w:szCs w:val="28"/>
          <w:rtl w:val="true"/>
          <w:lang w:bidi="ar-SA"/>
        </w:rPr>
        <w:t>، و ما نَعرِفُ للرَّجُلِ فيه كتاباً، و لا حَكاه عنه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الجَبرُ و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Style w:val="FootnoteAnchor"/>
          <w:rtl w:val="true"/>
        </w:rPr>
        <w:footnoteReference w:id="798"/>
      </w:r>
      <w:r>
        <w:rPr>
          <w:rFonts w:ascii="Amiri" w:hAnsi="Amiri" w:eastAsia="Amiri" w:cs="Amiri"/>
          <w:color w:val="111111"/>
          <w:sz w:val="28"/>
          <w:sz w:val="28"/>
          <w:szCs w:val="28"/>
          <w:rtl w:val="true"/>
          <w:lang w:bidi="ar-SA"/>
        </w:rPr>
        <w:t>لا نَعرِفُه مَذهباً له، و لَعلَّه لَم يَتقدَّمْ</w:t>
      </w:r>
    </w:p>
    <w:p>
      <w:pPr>
        <w:pStyle w:val="BookText"/>
        <w:rPr/>
      </w:pPr>
      <w:r>
        <w:rPr>
          <w:rFonts w:ascii="Amiri" w:hAnsi="Amiri" w:eastAsia="Amiri" w:cs="Amiri"/>
          <w:color w:val="111111"/>
          <w:sz w:val="28"/>
          <w:sz w:val="28"/>
          <w:szCs w:val="28"/>
          <w:rtl w:val="true"/>
          <w:lang w:bidi="ar-SA"/>
        </w:rPr>
        <w:t>صاحبَ الكتابِ في نسبةِ ذلك إليه غيرُه، اللّهُمّ إلّاأن يَكونَ شَيخُه أبو عليٍّ الجُبّائيُّ، فإنّه مَليٌّ‌</w:t>
      </w:r>
      <w:r>
        <w:rPr>
          <w:rStyle w:val="FootnoteAnchor"/>
          <w:rtl w:val="true"/>
        </w:rPr>
        <w:footnoteReference w:id="799"/>
      </w:r>
      <w:r>
        <w:rPr>
          <w:rFonts w:ascii="Amiri" w:hAnsi="Amiri" w:eastAsia="Amiri" w:cs="Amiri"/>
          <w:color w:val="111111"/>
          <w:sz w:val="28"/>
          <w:sz w:val="28"/>
          <w:szCs w:val="28"/>
          <w:rtl w:val="true"/>
          <w:lang w:bidi="ar-SA"/>
        </w:rPr>
        <w:t>بكُلِّ تَحامُلٍ و عَصَبيّةٍ؛ و قليلُ هذه الحكاياتِ ككثيرِها في أنّها إذا لَم تُنقَلْ مِن جهةِ الثقةِ و كانَ المَرجِعُ فيها إلىٰ قولِ الخُصومِ المُتَّهَمينَ، لَم يُحفَلْ بها</w:t>
      </w:r>
      <w:r>
        <w:rPr>
          <w:rStyle w:val="FootnoteAnchor"/>
          <w:rtl w:val="true"/>
        </w:rPr>
        <w:footnoteReference w:id="800"/>
      </w:r>
      <w:r>
        <w:rPr>
          <w:rFonts w:ascii="Amiri" w:hAnsi="Amiri" w:eastAsia="Amiri" w:cs="Amiri"/>
          <w:color w:val="111111"/>
          <w:sz w:val="28"/>
          <w:sz w:val="28"/>
          <w:szCs w:val="28"/>
          <w:rtl w:val="true"/>
          <w:lang w:bidi="ar-SA"/>
        </w:rPr>
        <w:t>و لَم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قَدَّمناه مِن الأخبارِ المَرويّةِ عن الصادقِ عليه السلامُ، و ما كانَ يُظهِرُ مِن اختصاصِه به و تقريبِه له و اجتِبائه</w:t>
      </w:r>
      <w:r>
        <w:rPr>
          <w:rStyle w:val="FootnoteAnchor"/>
          <w:rtl w:val="true"/>
        </w:rPr>
        <w:footnoteReference w:id="801"/>
      </w:r>
      <w:r>
        <w:rPr>
          <w:rFonts w:ascii="Amiri" w:hAnsi="Amiri" w:eastAsia="Amiri" w:cs="Amiri"/>
          <w:color w:val="111111"/>
          <w:sz w:val="28"/>
          <w:sz w:val="28"/>
          <w:szCs w:val="28"/>
          <w:rtl w:val="true"/>
          <w:lang w:bidi="ar-SA"/>
        </w:rPr>
        <w:t xml:space="preserve">إيّاه مِن بَينِ صَحابتِه، يُبطِلُ كُلَّ ذلكَ، و يُزيِّفُ </w:t>
      </w:r>
      <w:r>
        <w:rPr>
          <w:rStyle w:val="FootnoteAnchor"/>
          <w:rtl w:val="true"/>
        </w:rPr>
        <w:footnoteReference w:id="802"/>
      </w:r>
      <w:r>
        <w:rPr>
          <w:rFonts w:ascii="Amiri" w:hAnsi="Amiri" w:eastAsia="Amiri" w:cs="Amiri"/>
          <w:color w:val="111111"/>
          <w:sz w:val="28"/>
          <w:sz w:val="28"/>
          <w:szCs w:val="28"/>
          <w:rtl w:val="true"/>
          <w:lang w:bidi="ar-SA"/>
        </w:rPr>
        <w:t xml:space="preserve">حِكايةَ راويهِ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البَداءُ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هِشامٍ و أكثَرِ الشيعةِ فيه هو قولُ المُعتزِلةِ بعَينِه في النَّسخِ </w:t>
      </w:r>
      <w:bookmarkStart w:id="371" w:name="pg20044_770863"/>
    </w:p>
    <w:p>
      <w:pPr>
        <w:pStyle w:val="BookText"/>
        <w:rPr/>
      </w:pPr>
      <w:bookmarkEnd w:id="371"/>
      <w:r>
        <w:rPr>
          <w:rFonts w:ascii="Amiri" w:hAnsi="Amiri" w:eastAsia="Amiri" w:cs="Amiri"/>
          <w:color w:val="111111"/>
          <w:sz w:val="28"/>
          <w:sz w:val="28"/>
          <w:szCs w:val="28"/>
          <w:rtl w:val="true"/>
          <w:lang w:bidi="ar-SA"/>
        </w:rPr>
        <w:t>في المَعنىٰ ، و مُرادُهم به مُرادُ المُعتزِلةِ بالنَّسخِ ، و إنّما خالَفوهم في تَلقيبِه</w:t>
      </w:r>
      <w:r>
        <w:rPr>
          <w:rStyle w:val="FootnoteAnchor"/>
          <w:rtl w:val="true"/>
        </w:rPr>
        <w:footnoteReference w:id="805"/>
      </w:r>
      <w:r>
        <w:rPr>
          <w:rFonts w:ascii="Amiri" w:hAnsi="Amiri" w:eastAsia="Amiri" w:cs="Amiri"/>
          <w:color w:val="111111"/>
          <w:sz w:val="28"/>
          <w:sz w:val="28"/>
          <w:szCs w:val="28"/>
          <w:rtl w:val="true"/>
          <w:lang w:bidi="ar-SA"/>
        </w:rPr>
        <w:t>بالبَداءِ لأخبارٍ رَوَوها، و لا مُعتَبَرَ بالألفاظِ</w:t>
      </w:r>
      <w:r>
        <w:rPr>
          <w:rStyle w:val="FootnoteAnchor"/>
          <w:rtl w:val="true"/>
        </w:rPr>
        <w:footnoteReference w:id="806"/>
      </w:r>
      <w:r>
        <w:rPr>
          <w:rFonts w:ascii="Amiri" w:hAnsi="Amiri" w:eastAsia="Amiri" w:cs="Amiri"/>
          <w:color w:val="111111"/>
          <w:sz w:val="28"/>
          <w:sz w:val="28"/>
          <w:szCs w:val="28"/>
          <w:rtl w:val="true"/>
          <w:lang w:bidi="ar-SA"/>
        </w:rPr>
        <w:t>و الخِلافِ فيها</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828534_2320776876"/>
      <w:bookmarkStart w:id="373" w:name="_Toc132"/>
      <w:bookmarkEnd w:id="372"/>
      <w:r>
        <w:rPr>
          <w:rtl w:val="true"/>
        </w:rPr>
        <w:t>ثانياً</w:t>
      </w:r>
      <w:r>
        <w:rPr>
          <w:rtl w:val="true"/>
        </w:rPr>
        <w:t xml:space="preserve">: </w:t>
      </w:r>
      <w:r>
        <w:rPr>
          <w:rtl w:val="true"/>
        </w:rPr>
        <w:t>دفاعُ المؤلِّفِ عن ابنِ الراوَنديِّ</w:t>
      </w:r>
      <w:bookmarkEnd w:id="373"/>
    </w:p>
    <w:p>
      <w:pPr>
        <w:pStyle w:val="Heading6"/>
        <w:numPr>
          <w:ilvl w:val="5"/>
          <w:numId w:val="1"/>
        </w:numPr>
        <w:rPr/>
      </w:pPr>
      <w:bookmarkStart w:id="374" w:name="__RefHeading___Toc828536_2320776876"/>
      <w:bookmarkStart w:id="375" w:name="_Toc133"/>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فأمّا ابنُ الراوَنديِّ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عَمِلَ الكُتُبَ التي شُنِّعَ بها عليه مُعارَضةً للمُعتزِلةِ و تَحَدِّياً لهم؛ لأنّ القَومَ كانوا أساءوا عِشرَتَه، و استَنقَصوا مَعرِفَتَه</w:t>
      </w:r>
      <w:r>
        <w:rPr>
          <w:rStyle w:val="FootnoteAnchor"/>
          <w:rtl w:val="true"/>
        </w:rPr>
        <w:footnoteReference w:id="807"/>
      </w:r>
      <w:r>
        <w:rPr>
          <w:rFonts w:ascii="Amiri" w:hAnsi="Amiri" w:eastAsia="Amiri" w:cs="Amiri"/>
          <w:color w:val="111111"/>
          <w:sz w:val="28"/>
          <w:sz w:val="28"/>
          <w:szCs w:val="28"/>
          <w:rtl w:val="true"/>
          <w:lang w:bidi="ar-SA"/>
        </w:rPr>
        <w:t xml:space="preserve">، فحَمَلَه ذلكَ علىٰ إظهارِ هذه الكُتُبِ ؛ ليُبيِّنَ عجزَهم عن استِقصاءِ نَقضِها، و تحامُلَهم عليه في رَميِه بقُصورِ الفَهمِ و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يَتبَرّأُ مِنها</w:t>
      </w:r>
      <w:r>
        <w:rPr>
          <w:rStyle w:val="FootnoteAnchor"/>
          <w:rtl w:val="true"/>
        </w:rPr>
        <w:footnoteReference w:id="808"/>
      </w:r>
      <w:r>
        <w:rPr>
          <w:rFonts w:ascii="Amiri" w:hAnsi="Amiri" w:eastAsia="Amiri" w:cs="Amiri"/>
          <w:color w:val="111111"/>
          <w:sz w:val="28"/>
          <w:sz w:val="28"/>
          <w:szCs w:val="28"/>
          <w:rtl w:val="true"/>
          <w:lang w:bidi="ar-SA"/>
        </w:rPr>
        <w:t>تَبَرّؤاً ظاهراً، و يَنتَفي مِن عملِها، و يُضيفُها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يُشَكُّ في خَطَئه بتأليفِها؛ سَواءٌ اعتَقَدَها أم لَم يَعتَقِدْها</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828538_2320776876"/>
      <w:bookmarkStart w:id="377" w:name="_Toc134"/>
      <w:bookmarkEnd w:id="376"/>
      <w:r>
        <w:rPr>
          <w:rtl w:val="true"/>
        </w:rPr>
        <w:t>تَعرُّضُ المؤلّف لآراء الجاحظ و كُتُبه</w:t>
      </w:r>
      <w:bookmarkEnd w:id="377"/>
    </w:p>
    <w:p>
      <w:pPr>
        <w:pStyle w:val="BookText"/>
        <w:rPr/>
      </w:pPr>
      <w:r>
        <w:rPr>
          <w:rFonts w:ascii="Amiri" w:hAnsi="Amiri" w:eastAsia="Amiri" w:cs="Amiri"/>
          <w:color w:val="111111"/>
          <w:sz w:val="28"/>
          <w:sz w:val="28"/>
          <w:szCs w:val="28"/>
          <w:rtl w:val="true"/>
          <w:lang w:bidi="ar-SA"/>
        </w:rPr>
        <w:t>و ما صَنَعَ ابنُ الراوَنديِّ مِن ذلكَ إلّاما قد صَنَعَ الجاحِظُ مِثلَه أو قَريباً مِنه، و مَن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بَينَ كُتُبِه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w:t>
      </w:r>
      <w:r>
        <w:rPr>
          <w:rStyle w:val="FootnoteAnchor"/>
          <w:rtl w:val="true"/>
        </w:rPr>
        <w:footnoteReference w:id="809"/>
      </w:r>
      <w:r>
        <w:rPr>
          <w:rFonts w:ascii="Amiri" w:hAnsi="Amiri" w:eastAsia="Amiri" w:cs="Amiri"/>
          <w:color w:val="111111"/>
          <w:sz w:val="28"/>
          <w:sz w:val="28"/>
          <w:szCs w:val="28"/>
          <w:rtl w:val="true"/>
          <w:lang w:bidi="ar-SA"/>
        </w:rPr>
        <w:t>و المَرْوانيّةُ و الفُتيا</w:t>
      </w:r>
      <w:r>
        <w:rPr>
          <w:rStyle w:val="FootnoteAnchor"/>
          <w:rtl w:val="true"/>
        </w:rPr>
        <w:footnoteReference w:id="810"/>
      </w:r>
      <w:r>
        <w:rPr>
          <w:rFonts w:ascii="Amiri" w:hAnsi="Amiri" w:eastAsia="Amiri" w:cs="Amiri"/>
          <w:color w:val="111111"/>
          <w:sz w:val="28"/>
          <w:sz w:val="28"/>
          <w:szCs w:val="28"/>
          <w:rtl w:val="true"/>
          <w:lang w:bidi="ar-SA"/>
        </w:rPr>
        <w:t xml:space="preserve">و العَبّاسيّةُ </w:t>
      </w:r>
      <w:r>
        <w:rPr>
          <w:rStyle w:val="FootnoteAnchor"/>
          <w:rtl w:val="true"/>
        </w:rPr>
        <w:footnoteReference w:id="811"/>
      </w:r>
      <w:r>
        <w:rPr>
          <w:rFonts w:ascii="Amiri" w:hAnsi="Amiri" w:eastAsia="Amiri" w:cs="Amiri"/>
          <w:color w:val="111111"/>
          <w:sz w:val="28"/>
          <w:sz w:val="28"/>
          <w:szCs w:val="28"/>
          <w:rtl w:val="true"/>
          <w:lang w:bidi="ar-SA"/>
        </w:rPr>
        <w:t xml:space="preserve">و الإماميّةُ و كتابُ </w:t>
      </w:r>
    </w:p>
    <w:p>
      <w:pPr>
        <w:pStyle w:val="BookText"/>
        <w:rPr/>
      </w:pPr>
      <w:r>
        <w:rPr>
          <w:rFonts w:ascii="Amiri" w:hAnsi="Amiri" w:eastAsia="Amiri" w:cs="Amiri"/>
          <w:color w:val="111111"/>
          <w:sz w:val="28"/>
          <w:sz w:val="28"/>
          <w:szCs w:val="28"/>
          <w:rtl w:val="true"/>
          <w:lang w:bidi="ar-SA"/>
        </w:rPr>
        <w:t>الرافِضةِ و الزَّيديّةِ‌</w:t>
      </w:r>
      <w:r>
        <w:rPr>
          <w:rStyle w:val="FootnoteAnchor"/>
          <w:rtl w:val="true"/>
        </w:rPr>
        <w:footnoteReference w:id="812"/>
      </w:r>
      <w:r>
        <w:rPr>
          <w:rFonts w:ascii="Amiri" w:hAnsi="Amiri" w:eastAsia="Amiri" w:cs="Amiri"/>
          <w:color w:val="111111"/>
          <w:sz w:val="28"/>
          <w:sz w:val="28"/>
          <w:szCs w:val="28"/>
          <w:rtl w:val="true"/>
          <w:lang w:bidi="ar-SA"/>
        </w:rPr>
        <w:t>، رأىٰ مِن التَّضادِّ و اختلافِ القَولِ ما يَدُلُّ علىٰ شَكٍّ عظيمٍ، و إلحادٍ شديدٍ، و قِلّةِ فِكرٍ</w:t>
      </w:r>
      <w:r>
        <w:rPr>
          <w:rStyle w:val="FootnoteAnchor"/>
          <w:rtl w:val="true"/>
        </w:rPr>
        <w:footnoteReference w:id="813"/>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الجاحِظَ لَم يَكُن مُعتَقِداً لِما في هذه الكُتُبِ المُختَلِفةِ، و إنّما حَكىٰ مَقالاتِ الناسِ و حِجاجَهم، و لَيسَ علَى الحاكي جَريرةٌ‌</w:t>
      </w:r>
      <w:r>
        <w:rPr>
          <w:rStyle w:val="FootnoteAnchor"/>
          <w:rtl w:val="true"/>
        </w:rPr>
        <w:footnoteReference w:id="814"/>
      </w:r>
      <w:r>
        <w:rPr>
          <w:rFonts w:ascii="Amiri" w:hAnsi="Amiri" w:eastAsia="Amiri" w:cs="Amiri"/>
          <w:color w:val="111111"/>
          <w:sz w:val="28"/>
          <w:sz w:val="28"/>
          <w:szCs w:val="28"/>
          <w:rtl w:val="true"/>
          <w:lang w:bidi="ar-SA"/>
        </w:rPr>
        <w:t>، و لا يَلزَمُه 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القولَ إن قَنَعَ به الخُصومُ فليَقنَعوا بمِثلِه في الاعتذارِ عن ابنِ الراوَنديِّ‌</w:t>
      </w:r>
      <w:r>
        <w:rPr>
          <w:rStyle w:val="FootnoteAnchor"/>
          <w:rtl w:val="true"/>
        </w:rPr>
        <w:footnoteReference w:id="815"/>
      </w:r>
      <w:r>
        <w:rPr>
          <w:rFonts w:ascii="Amiri" w:hAnsi="Amiri" w:eastAsia="Amiri" w:cs="Amiri"/>
          <w:color w:val="111111"/>
          <w:sz w:val="28"/>
          <w:sz w:val="28"/>
          <w:szCs w:val="28"/>
          <w:rtl w:val="true"/>
          <w:lang w:bidi="ar-SA"/>
        </w:rPr>
        <w:t>فإنّ ابنَ الراوَنديِّ لَم يَقُلْ في كُتُبِه هذه التي شُنِّعَ بها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أعْتَقِدُ المَذاهِبَ التي حَكَيتُها و أذهَبُ إلىٰ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الدَّهْريّةُ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الموَحِّدونَ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البَراهِمةُ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مُثبِتو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ميراث الرسول صلّى اللّٰه عليه و آله، و ذكر أنّ ترك الصحابة النكيرَ عليه لا يدلّ علىٰ صواب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هدفه من طرح هذا البحث إثباتُ إمامة العبّاس من باب الوراثة، فإنّ اسم كتاب العباسيّة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الرُّسُلِ‌</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زالَت التَّبِعةُ عن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 الصَّحابةِ و الأئمّةِ و الشَّهادةِ عَلَيهم بالضَّلالِ و المُروقِ‌</w:t>
      </w:r>
      <w:r>
        <w:rPr>
          <w:rStyle w:val="FootnoteAnchor"/>
          <w:rtl w:val="true"/>
        </w:rPr>
        <w:footnoteReference w:id="819"/>
      </w:r>
      <w:r>
        <w:rPr>
          <w:rFonts w:ascii="Amiri" w:hAnsi="Amiri" w:eastAsia="Amiri" w:cs="Amiri"/>
          <w:color w:val="111111"/>
          <w:sz w:val="28"/>
          <w:sz w:val="28"/>
          <w:szCs w:val="28"/>
          <w:rtl w:val="true"/>
          <w:lang w:bidi="ar-SA"/>
        </w:rPr>
        <w:t xml:space="preserve">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w:t>
      </w:r>
      <w:r>
        <w:rPr>
          <w:rStyle w:val="FootnoteAnchor"/>
          <w:rtl w:val="true"/>
        </w:rPr>
        <w:footnoteReference w:id="820"/>
      </w:r>
      <w:r>
        <w:rPr>
          <w:rFonts w:ascii="Amiri" w:hAnsi="Amiri" w:eastAsia="Amiri" w:cs="Amiri"/>
          <w:color w:val="111111"/>
          <w:sz w:val="28"/>
          <w:sz w:val="28"/>
          <w:szCs w:val="28"/>
          <w:rtl w:val="true"/>
          <w:lang w:bidi="ar-SA"/>
        </w:rPr>
        <w:t>كلامِه مَخرَجَ الحكايةِ، فلتَزولَنَّ‌</w:t>
      </w:r>
      <w:r>
        <w:rPr>
          <w:rStyle w:val="FootnoteAnchor"/>
          <w:rtl w:val="true"/>
        </w:rPr>
        <w:footnoteReference w:id="821"/>
      </w:r>
      <w:r>
        <w:rPr>
          <w:rFonts w:ascii="Amiri" w:hAnsi="Amiri" w:eastAsia="Amiri" w:cs="Amiri"/>
          <w:color w:val="111111"/>
          <w:sz w:val="28"/>
          <w:sz w:val="28"/>
          <w:szCs w:val="28"/>
          <w:rtl w:val="true"/>
          <w:lang w:bidi="ar-SA"/>
        </w:rPr>
        <w:t>أيضاً التَّبِعةُ عن ابنِ الراوَنديِّ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فلَيسَ يَخفىٰ كلامُ مَن قَصدُه الحكايةُ و ذِكرُ المَقالةِ، مِن كلامِ المُشيِّدِ</w:t>
      </w:r>
      <w:r>
        <w:rPr>
          <w:rStyle w:val="FootnoteAnchor"/>
          <w:rtl w:val="true"/>
        </w:rPr>
        <w:footnoteReference w:id="822"/>
      </w:r>
      <w:r>
        <w:rPr>
          <w:rFonts w:ascii="Amiri" w:hAnsi="Amiri" w:eastAsia="Amiri" w:cs="Amiri"/>
          <w:color w:val="111111"/>
          <w:sz w:val="28"/>
          <w:sz w:val="28"/>
          <w:szCs w:val="28"/>
          <w:rtl w:val="true"/>
          <w:lang w:bidi="ar-SA"/>
        </w:rPr>
        <w:t>لها الجاهِدِ</w:t>
      </w:r>
      <w:r>
        <w:rPr>
          <w:rStyle w:val="FootnoteAnchor"/>
          <w:rtl w:val="true"/>
        </w:rPr>
        <w:footnoteReference w:id="823"/>
      </w:r>
      <w:r>
        <w:rPr>
          <w:rFonts w:ascii="Amiri" w:hAnsi="Amiri" w:eastAsia="Amiri" w:cs="Amiri"/>
          <w:color w:val="111111"/>
          <w:sz w:val="28"/>
          <w:sz w:val="28"/>
          <w:szCs w:val="28"/>
          <w:rtl w:val="true"/>
          <w:lang w:bidi="ar-SA"/>
        </w:rPr>
        <w:t>نَفسَه في تصحيحِها و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وَقَفَ علىٰ كُتُبِ الجاحِظِ التي ذَكَرناها عَلِمَ ضَرورةً‌</w:t>
      </w:r>
      <w:r>
        <w:rPr>
          <w:rStyle w:val="FootnoteAnchor"/>
          <w:rtl w:val="true"/>
        </w:rPr>
        <w:footnoteReference w:id="824"/>
      </w:r>
      <w:r>
        <w:rPr>
          <w:rFonts w:ascii="Amiri" w:hAnsi="Amiri" w:eastAsia="Amiri" w:cs="Amiri"/>
          <w:color w:val="111111"/>
          <w:sz w:val="28"/>
          <w:sz w:val="28"/>
          <w:szCs w:val="28"/>
          <w:rtl w:val="true"/>
          <w:lang w:bidi="ar-SA"/>
        </w:rPr>
        <w:t>أنّ قَصْدَه لَم يَكُن للحكايةِ‌</w:t>
      </w:r>
      <w:r>
        <w:rPr>
          <w:rStyle w:val="FootnoteAnchor"/>
          <w:rtl w:val="true"/>
        </w:rPr>
        <w:footnoteReference w:id="825"/>
      </w:r>
      <w:r>
        <w:rPr>
          <w:rFonts w:ascii="Amiri" w:hAnsi="Amiri" w:eastAsia="Amiri" w:cs="Amiri"/>
          <w:color w:val="111111"/>
          <w:sz w:val="28"/>
          <w:sz w:val="28"/>
          <w:szCs w:val="28"/>
          <w:rtl w:val="true"/>
          <w:lang w:bidi="ar-SA"/>
        </w:rPr>
        <w:t xml:space="preserve">و كَيفَ يَقصِدُ إلىٰ ذلكَ مَن أَورَدَ مِن الشُّبَهِ و الطُّرَفِ </w:t>
      </w:r>
      <w:r>
        <w:rPr>
          <w:rStyle w:val="FootnoteAnchor"/>
          <w:rtl w:val="true"/>
        </w:rPr>
        <w:footnoteReference w:id="826"/>
      </w:r>
      <w:r>
        <w:rPr>
          <w:rFonts w:ascii="Amiri" w:hAnsi="Amiri" w:eastAsia="Amiri" w:cs="Amiri"/>
          <w:color w:val="111111"/>
          <w:sz w:val="28"/>
          <w:sz w:val="28"/>
          <w:szCs w:val="28"/>
          <w:rtl w:val="true"/>
          <w:lang w:bidi="ar-SA"/>
        </w:rPr>
        <w:t>ما لَم يَخطُرْ كثيرٌ مِنه بِبالِ أهلِ المَقالةِ التي شَرَعَ في حِكايتِها؟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يَخفىٰ علَى المُنصِفينَ ما في هذه الأُمور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مهَّد لهم نفي النبوّات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للشهرستانيّ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قواعد المرام،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378" w:name="pg20044_770866"/>
    </w:p>
    <w:p>
      <w:pPr>
        <w:pStyle w:val="Heading6"/>
        <w:numPr>
          <w:ilvl w:val="5"/>
          <w:numId w:val="1"/>
        </w:numPr>
        <w:rPr/>
      </w:pPr>
      <w:bookmarkStart w:id="379" w:name="__RefHeading___Toc828540_2320776876"/>
      <w:bookmarkStart w:id="380" w:name="_Toc135"/>
      <w:bookmarkEnd w:id="378"/>
      <w:bookmarkEnd w:id="379"/>
      <w:r>
        <w:rPr>
          <w:rtl w:val="true"/>
        </w:rPr>
        <w:t>نفي نسبة أبي حفص الحدّاد إلى الشيعة</w:t>
      </w:r>
      <w:bookmarkEnd w:id="380"/>
    </w:p>
    <w:p>
      <w:pPr>
        <w:pStyle w:val="BookText"/>
        <w:rPr/>
      </w:pPr>
      <w:r>
        <w:rPr>
          <w:rFonts w:ascii="Amiri" w:hAnsi="Amiri" w:eastAsia="Amiri" w:cs="Amiri"/>
          <w:color w:val="111111"/>
          <w:sz w:val="28"/>
          <w:sz w:val="28"/>
          <w:szCs w:val="28"/>
          <w:rtl w:val="true"/>
          <w:lang w:bidi="ar-SA"/>
        </w:rPr>
        <w:t>و أمّا أبو حَفصٍ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نَدري مِن أيِّ وجهٍ أُدخِلَ في جُملةِ الشيعةِ ؛ لأنّا لا نَعرِفُه مِنهم، و لا مُنتَسِباً إليهم، و لا وُجِدَ له قَطُّ كلامٌ في الإمامةِ و حِجاجٌ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Style w:val="FootnoteAnchor"/>
          <w:rtl w:val="true"/>
        </w:rPr>
        <w:footnoteReference w:id="827"/>
      </w:r>
      <w:r>
        <w:rPr>
          <w:rFonts w:ascii="Amiri" w:hAnsi="Amiri" w:eastAsia="Amiri" w:cs="Amiri"/>
          <w:color w:val="111111"/>
          <w:sz w:val="28"/>
          <w:sz w:val="28"/>
          <w:szCs w:val="28"/>
          <w:rtl w:val="true"/>
          <w:lang w:bidi="ar-SA"/>
        </w:rPr>
        <w:t xml:space="preserve">ادّعاؤه أنّه مِن جُملتِهم مع تبرّيهِم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يَظهَرْ مِنه ما يَقتَضي</w:t>
      </w:r>
      <w:r>
        <w:rPr>
          <w:rStyle w:val="FootnoteAnchor"/>
          <w:rtl w:val="true"/>
        </w:rPr>
        <w:footnoteReference w:id="828"/>
      </w:r>
      <w:r>
        <w:rPr>
          <w:rFonts w:ascii="Amiri" w:hAnsi="Amiri" w:eastAsia="Amiri" w:cs="Amiri"/>
          <w:color w:val="111111"/>
          <w:sz w:val="28"/>
          <w:sz w:val="28"/>
          <w:szCs w:val="28"/>
          <w:rtl w:val="true"/>
          <w:lang w:bidi="ar-SA"/>
        </w:rPr>
        <w:t xml:space="preserve">لُحوقَه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كادّعائهِم عليه أنّه مِن المُعتزِلةِ ؛ فلَيسَ بُعْدُه مِن أحَدِ المَذهبَينِ إلّاكبُعدِه مِن</w:t>
      </w:r>
      <w:r>
        <w:rPr>
          <w:rStyle w:val="FootnoteAnchor"/>
          <w:rtl w:val="true"/>
        </w:rPr>
        <w:footnoteReference w:id="829"/>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828542_2320776876"/>
      <w:bookmarkStart w:id="382" w:name="_Toc136"/>
      <w:bookmarkEnd w:id="381"/>
      <w:r>
        <w:rPr>
          <w:rtl w:val="true"/>
        </w:rPr>
        <w:t>ثالثاً</w:t>
      </w:r>
      <w:r>
        <w:rPr>
          <w:rtl w:val="true"/>
        </w:rPr>
        <w:t xml:space="preserve">: </w:t>
      </w:r>
      <w:r>
        <w:rPr>
          <w:rtl w:val="true"/>
        </w:rPr>
        <w:t>دفاعُ المصنّف عن أبي عيسى الورّاق</w:t>
      </w:r>
      <w:bookmarkEnd w:id="382"/>
    </w:p>
    <w:p>
      <w:pPr>
        <w:pStyle w:val="Heading6"/>
        <w:numPr>
          <w:ilvl w:val="5"/>
          <w:numId w:val="1"/>
        </w:numPr>
        <w:rPr/>
      </w:pPr>
      <w:bookmarkStart w:id="383" w:name="__RefHeading___Toc828544_2320776876"/>
      <w:bookmarkStart w:id="384" w:name="_Toc137"/>
      <w:bookmarkEnd w:id="383"/>
      <w:r>
        <w:rPr>
          <w:rtl w:val="true"/>
        </w:rPr>
        <w:t>اشارة</w:t>
      </w:r>
      <w:bookmarkEnd w:id="38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أبو عيسَى الوَرّاقُ، فإنّ التثنيةَ‌</w:t>
      </w:r>
      <w:r>
        <w:rPr>
          <w:rStyle w:val="FootnoteAnchor"/>
          <w:rtl w:val="true"/>
        </w:rPr>
        <w:footnoteReference w:id="830"/>
      </w:r>
      <w:r>
        <w:rPr>
          <w:rFonts w:ascii="Amiri" w:hAnsi="Amiri" w:eastAsia="Amiri" w:cs="Amiri"/>
          <w:color w:val="111111"/>
          <w:sz w:val="28"/>
          <w:sz w:val="28"/>
          <w:szCs w:val="28"/>
          <w:rtl w:val="true"/>
          <w:lang w:bidi="ar-SA"/>
        </w:rPr>
        <w:t xml:space="preserve">ممّا رَماهُ بها المُعتَزِلةُ، و تَقدَّمَهم في قَذفِه بها ابنُ الراوَنديِّ ، لعَداوةٍ كانَت بَينَهما، و كانَت شُبهتُه في ذلك و شُبهةُ غيرِه تأكيدُ أبي عيسىٰ لمَقالةِ الثَّنَويّةِ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 إطنابُه في ذِكرِ شُبَهِهم</w:t>
      </w:r>
      <w:r>
        <w:rPr>
          <w:rStyle w:val="FootnoteAnchor"/>
          <w:rtl w:val="true"/>
        </w:rPr>
        <w:footnoteReference w:id="832"/>
      </w:r>
      <w:r>
        <w:rPr>
          <w:rFonts w:ascii="Amiri" w:hAnsi="Amiri" w:eastAsia="Amiri" w:cs="Amiri"/>
          <w:color w:val="111111"/>
          <w:sz w:val="28"/>
          <w:sz w:val="28"/>
          <w:szCs w:val="28"/>
          <w:rtl w:val="true"/>
          <w:lang w:bidi="ar-SA"/>
        </w:rPr>
        <w:t>و هذا القَدرُ إن كانَ عندَهم دالّاً علَى الاعتقادِ، فليَستَعمِلوه في الجاحِظِ و غيرِه ممَّن أكَّدَ مَقالاتِ المُبطِلينَ و لَخَّصَها</w:t>
      </w:r>
      <w:r>
        <w:rPr>
          <w:rStyle w:val="FootnoteAnchor"/>
          <w:rtl w:val="true"/>
        </w:rPr>
        <w:footnoteReference w:id="833"/>
      </w:r>
      <w:r>
        <w:rPr>
          <w:rFonts w:ascii="Amiri" w:hAnsi="Amiri" w:eastAsia="Amiri" w:cs="Amiri"/>
          <w:color w:val="111111"/>
          <w:sz w:val="28"/>
          <w:sz w:val="28"/>
          <w:szCs w:val="28"/>
          <w:rtl w:val="true"/>
          <w:lang w:bidi="ar-SA"/>
        </w:rPr>
        <w:t>و هَذَّبَها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385" w:name="pg20044_770867"/>
    </w:p>
    <w:p>
      <w:pPr>
        <w:pStyle w:val="BookText"/>
        <w:rPr/>
      </w:pPr>
      <w:bookmarkEnd w:id="385"/>
      <w:r>
        <w:rPr>
          <w:rFonts w:ascii="Amiri" w:hAnsi="Amiri" w:eastAsia="Amiri" w:cs="Amiri"/>
          <w:color w:val="111111"/>
          <w:sz w:val="28"/>
          <w:sz w:val="28"/>
          <w:szCs w:val="28"/>
          <w:rtl w:val="true"/>
          <w:lang w:bidi="ar-SA"/>
        </w:rPr>
        <w:t xml:space="preserve">فأمّا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النَّوحِ علَى البَهائمِ</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فهُما مَدفوعانِ عنه، و ما يَبعُدُ أن يَكونَ بَعضُ الثَّنَويّةِ عَمِلَهما علىٰ لِسانِه؛ لأنّ مِن شأنِ مَن يُقْرَفُ‌</w:t>
      </w:r>
      <w:r>
        <w:rPr>
          <w:rStyle w:val="FootnoteAnchor"/>
          <w:rtl w:val="true"/>
        </w:rPr>
        <w:footnoteReference w:id="836"/>
      </w:r>
      <w:r>
        <w:rPr>
          <w:rFonts w:ascii="Amiri" w:hAnsi="Amiri" w:eastAsia="Amiri" w:cs="Amiri"/>
          <w:color w:val="111111"/>
          <w:sz w:val="28"/>
          <w:sz w:val="28"/>
          <w:szCs w:val="28"/>
          <w:rtl w:val="true"/>
          <w:lang w:bidi="ar-SA"/>
        </w:rPr>
        <w:t>ببَعضِ المَذاهبِ أن يُضافَ إليه ممّا يَدخُلُ في نُصرَتِها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أن نُضيفَ مِثلَ هذه المَذاهبِ القَبيحةِ إلىٰ مَن لَم يَكُن مُتَظاهِراً بها و لا مُجاهِراً باعتِقادِها، و إن لَم يَكُن</w:t>
      </w:r>
      <w:r>
        <w:rPr>
          <w:rStyle w:val="FootnoteAnchor"/>
          <w:rtl w:val="true"/>
        </w:rPr>
        <w:footnoteReference w:id="837"/>
      </w:r>
      <w:r>
        <w:rPr>
          <w:rFonts w:ascii="Amiri" w:hAnsi="Amiri" w:eastAsia="Amiri" w:cs="Amiri"/>
          <w:color w:val="111111"/>
          <w:sz w:val="28"/>
          <w:sz w:val="28"/>
          <w:szCs w:val="28"/>
          <w:rtl w:val="true"/>
          <w:lang w:bidi="ar-SA"/>
        </w:rPr>
        <w:t>يَتبَرّأُ مِنها و يَتبَرّأُ مِن أهلِها؛ لأنّ الدِّينَ يَحجِزُ عن ذلكَ و يَمنَعُ منه، و لا نَعمَلُ إلّاعلَى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واحداً أو اثنَينِ مِمَّن انتَسَبَ إلَى التشَيُّعِ و احتَمىٰ به لَو كانَ في باطنِه شاكّاً أو مُلحِداً، أيُّ تَبِعةٍ تَلزَمُ بذلكَ نَفسَ المَذهَبِ و أهلَه إذا كانوا ساخِطين لذلكَ الاعتِقادِ، و مُكفِّرينَ لمُعتَقِدِه و الذاهِبِ إليه؟ و لَو جُعِلَ مِثلُ هذا وَصْمَةً </w:t>
      </w:r>
      <w:r>
        <w:rPr>
          <w:rStyle w:val="FootnoteAnchor"/>
          <w:rtl w:val="true"/>
        </w:rPr>
        <w:footnoteReference w:id="838"/>
      </w:r>
      <w:r>
        <w:rPr>
          <w:rFonts w:ascii="Amiri" w:hAnsi="Amiri" w:eastAsia="Amiri" w:cs="Amiri"/>
          <w:color w:val="111111"/>
          <w:sz w:val="28"/>
          <w:sz w:val="28"/>
          <w:szCs w:val="28"/>
          <w:rtl w:val="true"/>
          <w:lang w:bidi="ar-SA"/>
        </w:rPr>
        <w:t xml:space="preserve">علَى المَذهَبِ و عَيباً علىٰ أهلِه، لَكانَت جَميعُ المَذاهِبِ مَوصومةً مَعيبةً ؛ لأنّها لا تَخلو مِن أن يَنتَسِبَ </w:t>
      </w:r>
      <w:r>
        <w:rPr>
          <w:rStyle w:val="FootnoteAnchor"/>
          <w:rtl w:val="true"/>
        </w:rPr>
        <w:footnoteReference w:id="839"/>
      </w:r>
      <w:r>
        <w:rPr>
          <w:rFonts w:ascii="Amiri" w:hAnsi="Amiri" w:eastAsia="Amiri" w:cs="Amiri"/>
          <w:color w:val="111111"/>
          <w:sz w:val="28"/>
          <w:sz w:val="28"/>
          <w:szCs w:val="28"/>
          <w:rtl w:val="true"/>
          <w:lang w:bidi="ar-SA"/>
        </w:rPr>
        <w:t xml:space="preserve">إليها مَن لَيسَ </w:t>
      </w:r>
      <w:r>
        <w:rPr>
          <w:rStyle w:val="FootnoteAnchor"/>
          <w:rtl w:val="true"/>
        </w:rPr>
        <w:footnoteReference w:id="840"/>
      </w:r>
      <w:r>
        <w:rPr>
          <w:rFonts w:ascii="Amiri" w:hAnsi="Amiri" w:eastAsia="Amiri" w:cs="Amiri"/>
          <w:color w:val="111111"/>
          <w:sz w:val="28"/>
          <w:sz w:val="28"/>
          <w:szCs w:val="28"/>
          <w:rtl w:val="true"/>
          <w:lang w:bidi="ar-SA"/>
        </w:rPr>
        <w:t>في الحقيقةِ مِنها</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828546_2320776876"/>
      <w:bookmarkStart w:id="387" w:name="_Toc138"/>
      <w:bookmarkEnd w:id="386"/>
      <w:r>
        <w:rPr>
          <w:rtl w:val="true"/>
        </w:rPr>
        <w:t>نَماذِجُ مِن العقائدِ الباطلةِ لأبي الهُذَيلِ ، و النَّظّامِ ، و مُعَمَّرٍ، و غيرِهم مِن المُعتَزِلةِ</w:t>
      </w:r>
      <w:bookmarkEnd w:id="38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المُعيِّرُ بما تَقَدَّمَ </w:t>
      </w:r>
      <w:r>
        <w:rPr>
          <w:rStyle w:val="FootnoteAnchor"/>
          <w:rtl w:val="true"/>
        </w:rPr>
        <w:footnoteReference w:id="841"/>
      </w:r>
      <w:r>
        <w:rPr>
          <w:rFonts w:ascii="Amiri" w:hAnsi="Amiri" w:eastAsia="Amiri" w:cs="Amiri"/>
          <w:color w:val="111111"/>
          <w:sz w:val="28"/>
          <w:sz w:val="28"/>
          <w:szCs w:val="28"/>
          <w:rtl w:val="true"/>
          <w:lang w:bidi="ar-SA"/>
        </w:rPr>
        <w:t xml:space="preserve">و القادحُ به، عن أقوالِ </w:t>
      </w:r>
      <w:r>
        <w:rPr>
          <w:rStyle w:val="FootnoteAnchor"/>
          <w:rtl w:val="true"/>
        </w:rPr>
        <w:footnoteReference w:id="842"/>
      </w:r>
      <w:r>
        <w:rPr>
          <w:rFonts w:ascii="Amiri" w:hAnsi="Amiri" w:eastAsia="Amiri" w:cs="Amiri"/>
          <w:color w:val="111111"/>
          <w:sz w:val="28"/>
          <w:sz w:val="28"/>
          <w:szCs w:val="28"/>
          <w:rtl w:val="true"/>
          <w:lang w:bidi="ar-SA"/>
        </w:rPr>
        <w:t xml:space="preserve">شُيوخِه و أسلافِه القَبيحةِ ، و </w:t>
      </w:r>
    </w:p>
    <w:p>
      <w:pPr>
        <w:pStyle w:val="BookText"/>
        <w:rPr/>
      </w:pPr>
      <w:r>
        <w:rPr>
          <w:rFonts w:ascii="Amiri" w:hAnsi="Amiri" w:eastAsia="Amiri" w:cs="Amiri"/>
          <w:color w:val="111111"/>
          <w:sz w:val="28"/>
          <w:sz w:val="28"/>
          <w:szCs w:val="28"/>
          <w:rtl w:val="true"/>
          <w:lang w:bidi="ar-SA"/>
        </w:rPr>
        <w:t>مَذاهبِهم الشَّنيعةِ؟ و كَيفَ لَم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الهُذَيلِ‌</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الهُذيل بن عبد اللّٰه بن مكحول العبديّ ، أبو الهُذيل العلّاف، شيخ المعتزلة و مقدّم الطائفة و مقرّر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الباري تعالىٰ عالم بعلم و علمه ذاته، قادر بقدرة و قدرته ذاته، حيّ بحياة و حياته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اقتبس هذا الرأي من الفلاسفة الذين اعتقدوا أنّ ذاته واحدة لا كثرة فيها بوجه و أنّ الصفات ليست وراء الذات معاني قائمةً بذاته، بل هي ذاته و ترجع إلى الأسلوب أو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بذاته لا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بعلم هو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نفيُ الصفة، و الثاني إثباتُ ذات هو بعينه صفة أو إثباتُ صفة هي بعينها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أثبت أبو الهُذيل هذه الصفات وجوهاً للذات فهي بعينها أقانيم النصارىٰ أو أحوال أبي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 النحل للشهرستانيّ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بتَناهي مَقدوراتِ اللّٰهِ تَعالىٰ و مَعلوماتِه،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اللّٰهِ تَعالىٰ هو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هذا أَقبَحُ مِن القولِ المَحكيِّ عن هِشامٍ رَحِمَه اللّٰهُ؛ لأنّ أبا الهُذَيلِ قد قالَ في تَناهي المَعلومِ بأقبَحَ مِن قولِه، و أضافَ إليه تَناهِيَ‌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النَّظّامِ‌</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إبراهيم بن سيّار بن هانئ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بأنّ اللّٰه تعالىٰ لا يوصف بالقدرة على القبائح و الشرور، و لا يقدر أن يفعل بعباده في الدنيا ما ليس فيه صلاحهم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يَقدِرُ علَى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حَمْلَه ذلكَ علىٰ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طِفلاً وقَفَ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شَفيرِ جَهنَّمَ لَم يوصَفِ اللّٰهُ تَعالىٰ بالقُدرةِ علىٰ إلقائه</w:t>
      </w:r>
    </w:p>
    <w:p>
      <w:pPr>
        <w:pStyle w:val="BookText"/>
        <w:rPr/>
      </w:pPr>
      <w:r>
        <w:rPr>
          <w:rFonts w:ascii="Amiri" w:hAnsi="Amiri" w:eastAsia="Amiri" w:cs="Amiri"/>
          <w:color w:val="111111"/>
          <w:sz w:val="28"/>
          <w:sz w:val="28"/>
          <w:szCs w:val="28"/>
          <w:rtl w:val="true"/>
          <w:lang w:bidi="ar-SA"/>
        </w:rPr>
        <w:t>فيها، و إن كانَ يَجوزُ وصفُ المَلائكةِ و الزَّبانيةِ بذلكَ</w:t>
      </w:r>
      <w:r>
        <w:rPr>
          <w:rFonts w:eastAsia="Amiri" w:cs="Amiri" w:ascii="Amiri" w:hAnsi="Amiri"/>
          <w:color w:val="111111"/>
          <w:sz w:val="28"/>
          <w:szCs w:val="28"/>
          <w:rtl w:val="true"/>
          <w:lang w:bidi="ar-SA"/>
        </w:rPr>
        <w:t>»</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بالمُداخَلةِ و الطَّفْرةِ‌</w:t>
      </w:r>
      <w:r>
        <w:rPr>
          <w:rStyle w:val="FootnoteAnchor"/>
          <w:rtl w:val="true"/>
        </w:rPr>
        <w:footnoteReference w:id="846"/>
      </w:r>
      <w:r>
        <w:rPr>
          <w:rFonts w:ascii="Amiri" w:hAnsi="Amiri" w:eastAsia="Amiri" w:cs="Amiri"/>
          <w:color w:val="111111"/>
          <w:sz w:val="28"/>
          <w:sz w:val="28"/>
          <w:szCs w:val="28"/>
          <w:rtl w:val="true"/>
          <w:lang w:bidi="ar-SA"/>
        </w:rPr>
        <w:t>، و أنّه لا نِهايةَ لأجسامِ العالَمِ في التجَزّي، و نَفيَه الأعراضَ‌</w:t>
      </w:r>
      <w:r>
        <w:rPr>
          <w:rStyle w:val="FootnoteAnchor"/>
          <w:rtl w:val="true"/>
        </w:rPr>
        <w:footnoteReference w:id="847"/>
      </w:r>
      <w:r>
        <w:rPr>
          <w:rFonts w:ascii="Amiri" w:hAnsi="Amiri" w:eastAsia="Amiri" w:cs="Amiri"/>
          <w:color w:val="111111"/>
          <w:sz w:val="28"/>
          <w:sz w:val="28"/>
          <w:szCs w:val="28"/>
          <w:rtl w:val="true"/>
          <w:lang w:bidi="ar-SA"/>
        </w:rPr>
        <w:t>و هذا مَزجُ التعطيلِ و الإلحادِ بالتجاهُلِ و العِنادِ</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مُعمَّرٍ</w:t>
      </w:r>
      <w:r>
        <w:rPr>
          <w:rStyle w:val="FootnoteAnchor"/>
          <w:rtl w:val="true"/>
        </w:rPr>
        <w:footnoteReference w:id="8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يَعلَمُ نَفسَه فقَد أخطأَ؛ لأنّ نَفسَه لَيسَت غيرَه، و المعلومُ غيرُ العالِمِ</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و اعتقادَه أنّ الأمراضَ و الأسقامَ مِن فِعلِ غيرِ اللّٰهِ تَعالىٰ‌</w:t>
      </w:r>
      <w:r>
        <w:rPr>
          <w:rStyle w:val="FootnoteAnchor"/>
          <w:rtl w:val="true"/>
        </w:rPr>
        <w:footnoteReference w:id="851"/>
      </w:r>
      <w:r>
        <w:rPr>
          <w:rFonts w:ascii="Amiri" w:hAnsi="Amiri" w:eastAsia="Amiri" w:cs="Amiri"/>
          <w:color w:val="111111"/>
          <w:sz w:val="28"/>
          <w:sz w:val="28"/>
          <w:szCs w:val="28"/>
          <w:rtl w:val="true"/>
          <w:lang w:bidi="ar-SA"/>
        </w:rPr>
        <w:t xml:space="preserve">، و كذلكَ الألوانُ و الطُّعومُ و الأراييحُ التي في العالَمِ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هِشامِ بن عَمرٍو الفُوَطيِّ‌</w:t>
      </w:r>
      <w:r>
        <w:rPr>
          <w:rStyle w:val="FootnoteAnchor"/>
          <w:rtl w:val="true"/>
        </w:rPr>
        <w:footnoteReference w:id="853"/>
      </w:r>
      <w:r>
        <w:rPr>
          <w:rFonts w:ascii="Amiri" w:hAnsi="Amiri" w:eastAsia="Amiri" w:cs="Amiri"/>
          <w:color w:val="111111"/>
          <w:sz w:val="28"/>
          <w:sz w:val="28"/>
          <w:szCs w:val="28"/>
          <w:rtl w:val="true"/>
          <w:lang w:bidi="ar-SA"/>
        </w:rPr>
        <w:t>بنَفيِ دَلالةِ الأعراضِ علَى اللّٰهِ تَعالىٰ‌</w:t>
      </w:r>
      <w:r>
        <w:rPr>
          <w:rStyle w:val="FootnoteAnchor"/>
          <w:rtl w:val="true"/>
        </w:rPr>
        <w:footnoteReference w:id="854"/>
      </w:r>
      <w:r>
        <w:rPr>
          <w:rFonts w:ascii="Amiri" w:hAnsi="Amiri" w:eastAsia="Amiri" w:cs="Amiri"/>
          <w:color w:val="111111"/>
          <w:sz w:val="28"/>
          <w:sz w:val="28"/>
          <w:szCs w:val="28"/>
          <w:rtl w:val="true"/>
          <w:lang w:bidi="ar-SA"/>
        </w:rPr>
        <w:t>، و اعتقادَه أنّ حَربَ الجَمَلِ لَم يَكُن عن قَصدٍ مِن أميرِ المؤمنينَ عليه السلامُ و أصحابِه، و لا مِن عائشةَ و طَلحةَ و الزُّبَيرِ و أصحابِهم، و لا برِضاً مِنهم، و أنّهم</w:t>
      </w:r>
      <w:r>
        <w:rPr>
          <w:rStyle w:val="FootnoteAnchor"/>
          <w:rtl w:val="true"/>
        </w:rPr>
        <w:footnoteReference w:id="855"/>
      </w:r>
      <w:r>
        <w:rPr>
          <w:rFonts w:ascii="Amiri" w:hAnsi="Amiri" w:eastAsia="Amiri" w:cs="Amiri"/>
          <w:color w:val="111111"/>
          <w:sz w:val="28"/>
          <w:sz w:val="28"/>
          <w:szCs w:val="28"/>
          <w:rtl w:val="true"/>
          <w:lang w:bidi="ar-SA"/>
        </w:rPr>
        <w:t>إنّما اجتَمَعوا لتقريرِ الأُمورِ و ترتيبِها؛ حتّىٰ وَقَعَ بَينَ نَفَرٍ مِن الأعرابِ مِن أصحابِ الجَميعِ الحربُ، و الكُبَراءُ ساخِطونَ لها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تَخطئةَ مَن زَعَمَ أنّ اللّهَ تَعالىٰ يَعلَمُ الأشياءَ قَبلَ كَونِها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w:t>
      </w:r>
      <w:r>
        <w:rPr>
          <w:rStyle w:val="FootnoteAnchor"/>
          <w:rtl w:val="true"/>
        </w:rPr>
        <w:footnoteReference w:id="858"/>
      </w:r>
      <w:r>
        <w:rPr>
          <w:rFonts w:ascii="Amiri" w:hAnsi="Amiri" w:eastAsia="Amiri" w:cs="Amiri"/>
          <w:color w:val="111111"/>
          <w:sz w:val="28"/>
          <w:sz w:val="28"/>
          <w:szCs w:val="28"/>
          <w:rtl w:val="true"/>
          <w:lang w:bidi="ar-SA"/>
        </w:rPr>
        <w:t>القولُ الذي حَكَوه عن هِشامِ بنِ الحَكَمِ رحمه اللّٰهُ تَعالىٰ بعَينِه</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نَفيِ أصحابِه 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860"/>
      </w:r>
      <w:r>
        <w:rPr>
          <w:rFonts w:ascii="Amiri" w:hAnsi="Amiri" w:eastAsia="Amiri" w:cs="Amiri"/>
          <w:color w:val="111111"/>
          <w:sz w:val="28"/>
          <w:sz w:val="28"/>
          <w:szCs w:val="28"/>
          <w:rtl w:val="true"/>
          <w:lang w:bidi="ar-SA"/>
        </w:rPr>
        <w:t>قد صَحَّحوه عن شَيخِهم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 الجاحِظِ</w:t>
      </w:r>
      <w:r>
        <w:rPr>
          <w:rStyle w:val="FootnoteAnchor"/>
          <w:rtl w:val="true"/>
        </w:rPr>
        <w:footnoteReference w:id="861"/>
      </w:r>
      <w:r>
        <w:rPr>
          <w:rFonts w:ascii="Amiri" w:hAnsi="Amiri" w:eastAsia="Amiri" w:cs="Amiri"/>
          <w:color w:val="111111"/>
          <w:sz w:val="28"/>
          <w:sz w:val="28"/>
          <w:szCs w:val="28"/>
          <w:rtl w:val="true"/>
          <w:lang w:bidi="ar-SA"/>
        </w:rPr>
        <w:t xml:space="preserve">قَبيحٌ في المَعرفةِ، و اعتقادُه استحالةَ أن يَقدِرَ اللّٰهُ تَعالىٰ </w:t>
      </w:r>
    </w:p>
    <w:p>
      <w:pPr>
        <w:pStyle w:val="BookText"/>
        <w:rPr/>
      </w:pPr>
      <w:r>
        <w:rPr>
          <w:rFonts w:ascii="Amiri" w:hAnsi="Amiri" w:eastAsia="Amiri" w:cs="Amiri"/>
          <w:color w:val="111111"/>
          <w:sz w:val="28"/>
          <w:sz w:val="28"/>
          <w:szCs w:val="28"/>
          <w:rtl w:val="true"/>
          <w:lang w:bidi="ar-SA"/>
        </w:rPr>
        <w:t>علىٰ إعدامِ الأجسامِ و إفنائها</w:t>
      </w:r>
      <w:r>
        <w:rPr>
          <w:rStyle w:val="FootnoteAnchor"/>
          <w:rtl w:val="true"/>
        </w:rPr>
        <w:footnoteReference w:id="86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يُخَلِّدُ كافراً في النارِ و لا يُدخِلُه إليها، و إنّ النارَ هي التي تُدخِلُ الكُفّارَ إليها؛ حتّىٰ حُكِيَ عن بَعضِ أصحابِه و قد سُئِلَ عن معنىٰ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صارَت النارُ تُدخِلُ الكُفّارَ نَفسَها؟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عَمِلوا أعمالاً صارَت أجسادُهم إلىٰ حالٍ لا يَمتَنِعُ النارُ إذا جاوَرَتها</w:t>
      </w:r>
      <w:r>
        <w:rPr>
          <w:rStyle w:val="FootnoteAnchor"/>
          <w:rtl w:val="true"/>
        </w:rPr>
        <w:footnoteReference w:id="863"/>
      </w:r>
      <w:r>
        <w:rPr>
          <w:rFonts w:ascii="Amiri" w:hAnsi="Amiri" w:eastAsia="Amiri" w:cs="Amiri"/>
          <w:color w:val="111111"/>
          <w:sz w:val="28"/>
          <w:sz w:val="28"/>
          <w:szCs w:val="28"/>
          <w:rtl w:val="true"/>
          <w:lang w:bidi="ar-SA"/>
        </w:rPr>
        <w:t>في القيامةِ مِن اجتِذابِها إليها بطِباعِها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ثُمامةَ‌</w:t>
      </w:r>
      <w:r>
        <w:rPr>
          <w:rStyle w:val="FootnoteAnchor"/>
          <w:rtl w:val="true"/>
        </w:rPr>
        <w:footnoteReference w:id="865"/>
      </w:r>
      <w:r>
        <w:rPr>
          <w:rFonts w:ascii="Amiri" w:hAnsi="Amiri" w:eastAsia="Amiri" w:cs="Amiri"/>
          <w:color w:val="111111"/>
          <w:sz w:val="28"/>
          <w:sz w:val="28"/>
          <w:szCs w:val="28"/>
          <w:rtl w:val="true"/>
          <w:lang w:bidi="ar-SA"/>
        </w:rPr>
        <w:t>في المانيّةِ‌</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ثُمامة إلىٰ أنّ حشرات الأرض و البراغيث حوادث لا محدث لها؛ و ذلك لمّا رأى استحالة حدوثها منّا؛ لتعذّر فعل الأجسام و بنية الحياة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خفي عليه وجه الحكمة و المصلحة في صدورها عن الحكيم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وقوعها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ثبت حدوثها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حوادث لا محدث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ذَهابُه في أنّ المَعارفَ ضَروريّةٌ‌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أقبَحَ مِن مَذهَبِ الجاحِظِ و أغلَظَ، و اعتقادَه أنّه لا فِعلَ للعبادِ إلّاالإرادةُ فَقَط، و ما سِوىٰ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أصحابه بمسائل؛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المعارف كلّها ضروريّة طباع و ليس شيء من ذلك من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الملل و النحل للشهرستانيّ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فهو حَدَثٌ لا مُحدِثَ 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ذَهَبَ عن حِكايةِ الجاحِظِ عن واصِلِ بنِ عَطاءٍ‌</w:t>
      </w:r>
      <w:r>
        <w:rPr>
          <w:rStyle w:val="FootnoteAnchor"/>
          <w:rtl w:val="true"/>
        </w:rPr>
        <w:footnoteReference w:id="868"/>
      </w:r>
      <w:r>
        <w:rPr>
          <w:rFonts w:ascii="Amiri" w:hAnsi="Amiri" w:eastAsia="Amiri" w:cs="Amiri"/>
          <w:color w:val="111111"/>
          <w:sz w:val="28"/>
          <w:sz w:val="28"/>
          <w:szCs w:val="28"/>
          <w:rtl w:val="true"/>
          <w:lang w:bidi="ar-SA"/>
        </w:rPr>
        <w:t>و عَمرِو بنِ عُبَيدٍ</w:t>
      </w:r>
      <w:r>
        <w:rPr>
          <w:rStyle w:val="FootnoteAnchor"/>
          <w:rtl w:val="true"/>
        </w:rPr>
        <w:footnoteReference w:id="869"/>
      </w:r>
      <w:r>
        <w:rPr>
          <w:rFonts w:ascii="Amiri" w:hAnsi="Amiri" w:eastAsia="Amiri" w:cs="Amiri"/>
          <w:color w:val="111111"/>
          <w:sz w:val="28"/>
          <w:sz w:val="28"/>
          <w:szCs w:val="28"/>
          <w:rtl w:val="true"/>
          <w:lang w:bidi="ar-SA"/>
        </w:rPr>
        <w:t>ما يَطُمُّ‌</w:t>
      </w:r>
      <w:r>
        <w:rPr>
          <w:rStyle w:val="FootnoteAnchor"/>
          <w:rtl w:val="true"/>
        </w:rPr>
        <w:footnoteReference w:id="870"/>
      </w:r>
      <w:r>
        <w:rPr>
          <w:rFonts w:ascii="Amiri" w:hAnsi="Amiri" w:eastAsia="Amiri" w:cs="Amiri"/>
          <w:color w:val="111111"/>
          <w:sz w:val="28"/>
          <w:sz w:val="28"/>
          <w:szCs w:val="28"/>
          <w:rtl w:val="true"/>
          <w:lang w:bidi="ar-SA"/>
        </w:rPr>
        <w:t>علىٰ كَثيرٍ ممّا تَقدَّمَ؟</w:t>
      </w:r>
    </w:p>
    <w:p>
      <w:pPr>
        <w:pStyle w:val="BookText"/>
        <w:rPr/>
      </w:pPr>
      <w:r>
        <w:rPr>
          <w:rFonts w:ascii="Amiri" w:hAnsi="Amiri" w:eastAsia="Amiri" w:cs="Amiri"/>
          <w:color w:val="111111"/>
          <w:sz w:val="28"/>
          <w:sz w:val="28"/>
          <w:szCs w:val="28"/>
          <w:rtl w:val="true"/>
          <w:lang w:bidi="ar-SA"/>
        </w:rPr>
        <w:t>و نحنُ نَحكي لَفظَه بعَينِه؛ قالَ‌</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واصلُ بنُ عَطاءٍ يَجعَلُ عَليّاً و طَلحةَ و الزُّبَيرِ بمَنزِلةِ المُتَلاعِنَينِ، يَتَوَلّىٰ كُلَّ واحدٍ مِنهما</w:t>
      </w:r>
      <w:r>
        <w:rPr>
          <w:rStyle w:val="FootnoteAnchor"/>
          <w:rtl w:val="true"/>
        </w:rPr>
        <w:footnoteReference w:id="872"/>
      </w:r>
      <w:r>
        <w:rPr>
          <w:rFonts w:ascii="Amiri" w:hAnsi="Amiri" w:eastAsia="Amiri" w:cs="Amiri"/>
          <w:color w:val="111111"/>
          <w:sz w:val="28"/>
          <w:sz w:val="28"/>
          <w:szCs w:val="28"/>
          <w:rtl w:val="true"/>
          <w:lang w:bidi="ar-SA"/>
        </w:rPr>
        <w:t>علىٰ حِيالِه</w:t>
      </w:r>
      <w:r>
        <w:rPr>
          <w:rStyle w:val="FootnoteAnchor"/>
          <w:rtl w:val="true"/>
        </w:rPr>
        <w:footnoteReference w:id="873"/>
      </w:r>
      <w:r>
        <w:rPr>
          <w:rFonts w:ascii="Amiri" w:hAnsi="Amiri" w:eastAsia="Amiri" w:cs="Amiri"/>
          <w:color w:val="111111"/>
          <w:sz w:val="28"/>
          <w:sz w:val="28"/>
          <w:szCs w:val="28"/>
          <w:rtl w:val="true"/>
          <w:lang w:bidi="ar-SA"/>
        </w:rPr>
        <w:t>، و لا يَتَوَلّاهما مُجتَمِعَينِ؛ و كذلكَ</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 إجازةِ شَهادتِهم مُجتَمِعينَ و مُتفَرِّقينَ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و كانَ عَمرُو بنُ عُبَيدٍ لا يُجيزُ شَهادتَهما مُجتَمِعَينِ و لا مُتَفرِّقَينِ، و كانَ يَفصِلُ بَينَ الوَلايةِ و </w:t>
      </w:r>
    </w:p>
    <w:p>
      <w:pPr>
        <w:pStyle w:val="BookText"/>
        <w:rPr/>
      </w:pPr>
      <w:r>
        <w:rPr>
          <w:rFonts w:ascii="Amiri" w:hAnsi="Amiri" w:eastAsia="Amiri" w:cs="Amiri"/>
          <w:color w:val="111111"/>
          <w:sz w:val="28"/>
          <w:sz w:val="28"/>
          <w:szCs w:val="28"/>
          <w:rtl w:val="true"/>
          <w:lang w:bidi="ar-SA"/>
        </w:rPr>
        <w:t>الشَّهادةِ؛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أتولّىٰ مَن لا أَقبَلُ شَهادتَه، و قد وَجَدتُ المُسلِمينَ يَتَوَلَّونَ كُلَّ مستورٍ مِن أهلِ القِبلةِ‌</w:t>
      </w:r>
      <w:r>
        <w:rPr>
          <w:rStyle w:val="FootnoteAnchor"/>
          <w:rtl w:val="true"/>
        </w:rPr>
        <w:footnoteReference w:id="875"/>
      </w:r>
      <w:r>
        <w:rPr>
          <w:rFonts w:ascii="Amiri" w:hAnsi="Amiri" w:eastAsia="Amiri" w:cs="Amiri"/>
          <w:color w:val="111111"/>
          <w:sz w:val="28"/>
          <w:sz w:val="28"/>
          <w:szCs w:val="28"/>
          <w:rtl w:val="true"/>
          <w:lang w:bidi="ar-SA"/>
        </w:rPr>
        <w:t>، و لَو شَهِدَ رَجُلٌ مِن عُرْضِهم</w:t>
      </w:r>
      <w:r>
        <w:rPr>
          <w:rStyle w:val="FootnoteAnchor"/>
          <w:rtl w:val="true"/>
        </w:rPr>
        <w:footnoteReference w:id="876"/>
      </w:r>
      <w:r>
        <w:rPr>
          <w:rFonts w:ascii="Amiri" w:hAnsi="Amiri" w:eastAsia="Amiri" w:cs="Amiri"/>
          <w:color w:val="111111"/>
          <w:sz w:val="28"/>
          <w:sz w:val="28"/>
          <w:szCs w:val="28"/>
          <w:rtl w:val="true"/>
          <w:lang w:bidi="ar-SA"/>
        </w:rPr>
        <w:t>علىٰ عُثمانَ أو أبي بَكرٍ</w:t>
      </w:r>
      <w:r>
        <w:rPr>
          <w:rStyle w:val="FootnoteAnchor"/>
          <w:rtl w:val="true"/>
        </w:rPr>
        <w:footnoteReference w:id="877"/>
      </w:r>
      <w:r>
        <w:rPr>
          <w:rFonts w:ascii="Amiri" w:hAnsi="Amiri" w:eastAsia="Amiri" w:cs="Amiri"/>
          <w:color w:val="111111"/>
          <w:sz w:val="28"/>
          <w:sz w:val="28"/>
          <w:szCs w:val="28"/>
          <w:rtl w:val="true"/>
          <w:lang w:bidi="ar-SA"/>
        </w:rPr>
        <w:t>أو عُمَرَ بنِ الخَطّابِ سَألَ الحاكمُ عنه السؤالَ الشافيَ؛ فأنا</w:t>
      </w:r>
      <w:r>
        <w:rPr>
          <w:rStyle w:val="FootnoteAnchor"/>
          <w:rtl w:val="true"/>
        </w:rPr>
        <w:footnoteReference w:id="878"/>
      </w:r>
      <w:r>
        <w:rPr>
          <w:rFonts w:ascii="Amiri" w:hAnsi="Amiri" w:eastAsia="Amiri" w:cs="Amiri"/>
          <w:color w:val="111111"/>
          <w:sz w:val="28"/>
          <w:sz w:val="28"/>
          <w:szCs w:val="28"/>
          <w:rtl w:val="true"/>
          <w:lang w:bidi="ar-SA"/>
        </w:rPr>
        <w:t>أتَّهِمُ كُلَّ واحدٍ مِنهما بسَفكِ تِلكَ الدِّماءِ، و قد</w:t>
      </w:r>
      <w:r>
        <w:rPr>
          <w:rStyle w:val="FootnoteAnchor"/>
          <w:rtl w:val="true"/>
        </w:rPr>
        <w:footnoteReference w:id="879"/>
      </w:r>
      <w:r>
        <w:rPr>
          <w:rFonts w:ascii="Amiri" w:hAnsi="Amiri" w:eastAsia="Amiri" w:cs="Amiri"/>
          <w:color w:val="111111"/>
          <w:sz w:val="28"/>
          <w:sz w:val="28"/>
          <w:szCs w:val="28"/>
          <w:rtl w:val="true"/>
          <w:lang w:bidi="ar-SA"/>
        </w:rPr>
        <w:t>أجمَعوا علىٰ أنّ المُتَّهَمَ بالدِّماءِ غيرُ جائزِ الشَّهادةِ</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ألفاظُه حَرفاً بحَرفٍ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المُعتَزِلةِ</w:t>
      </w:r>
      <w:r>
        <w:rPr>
          <w:rFonts w:eastAsia="Amiri" w:cs="Amiri" w:ascii="Amiri" w:hAnsi="Amiri"/>
          <w:color w:val="111111"/>
          <w:sz w:val="28"/>
          <w:szCs w:val="28"/>
          <w:rtl w:val="true"/>
          <w:lang w:bidi="ar-SA"/>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حِكايةَ أصَحُّ و أَولىٰ بالقَبولِ مِن حِكايةِ الجاحِظِ عن هذَينِ الرَّجُلَينِ،</w:t>
      </w:r>
      <w:r>
        <w:rPr>
          <w:rStyle w:val="FootnoteAnchor"/>
          <w:rtl w:val="true"/>
        </w:rPr>
        <w:footnoteReference w:id="882"/>
      </w:r>
      <w:r>
        <w:rPr>
          <w:rFonts w:ascii="Amiri" w:hAnsi="Amiri" w:eastAsia="Amiri" w:cs="Amiri"/>
          <w:color w:val="111111"/>
          <w:sz w:val="28"/>
          <w:sz w:val="28"/>
          <w:szCs w:val="28"/>
          <w:rtl w:val="true"/>
          <w:lang w:bidi="ar-SA"/>
        </w:rPr>
        <w:t>و هُما شَيخا نِحلتِه، و رئيسا مَقالتِه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أيضاً هذه الحِكايةَ </w:t>
      </w:r>
      <w:r>
        <w:rPr>
          <w:rStyle w:val="FootnoteAnchor"/>
          <w:rtl w:val="true"/>
        </w:rPr>
        <w:footnoteReference w:id="883"/>
      </w:r>
      <w:r>
        <w:rPr>
          <w:rFonts w:ascii="Amiri" w:hAnsi="Amiri" w:eastAsia="Amiri" w:cs="Amiri"/>
          <w:color w:val="111111"/>
          <w:sz w:val="28"/>
          <w:sz w:val="28"/>
          <w:szCs w:val="28"/>
          <w:rtl w:val="true"/>
          <w:lang w:bidi="ar-SA"/>
        </w:rPr>
        <w:t xml:space="preserve">البَلْخيُّ </w:t>
      </w:r>
      <w:r>
        <w:rPr>
          <w:rStyle w:val="FootnoteAnchor"/>
          <w:rtl w:val="true"/>
        </w:rPr>
        <w:footnoteReference w:id="88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أسنَدَها إلَى </w:t>
      </w:r>
    </w:p>
    <w:p>
      <w:pPr>
        <w:pStyle w:val="BookText"/>
        <w:rPr/>
      </w:pPr>
      <w:r>
        <w:rPr>
          <w:rFonts w:ascii="Amiri" w:hAnsi="Amiri" w:eastAsia="Amiri" w:cs="Amiri"/>
          <w:color w:val="111111"/>
          <w:sz w:val="28"/>
          <w:sz w:val="28"/>
          <w:szCs w:val="28"/>
          <w:rtl w:val="true"/>
          <w:lang w:bidi="ar-SA"/>
        </w:rPr>
        <w:t>الجاحِظِ، و قالَ عندَ انتهائها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 أصحابِنا يَدفَعُ ذلكَ عن عَمرِو بنِ عُبَيدٍ،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لَم يَكُن بالذي يُخالِفُ‌</w:t>
      </w:r>
      <w:r>
        <w:rPr>
          <w:rStyle w:val="FootnoteAnchor"/>
          <w:rtl w:val="true"/>
        </w:rPr>
        <w:footnoteReference w:id="885"/>
      </w:r>
      <w:r>
        <w:rPr>
          <w:rFonts w:ascii="Amiri" w:hAnsi="Amiri" w:eastAsia="Amiri" w:cs="Amiri"/>
          <w:color w:val="111111"/>
          <w:sz w:val="28"/>
          <w:sz w:val="28"/>
          <w:szCs w:val="28"/>
          <w:rtl w:val="true"/>
          <w:lang w:bidi="ar-SA"/>
        </w:rPr>
        <w:t>واصِلاً و يَرغَبُ عن مَقالتِه</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فكأنّه صَحَّحَ عَلَيهما</w:t>
      </w:r>
      <w:r>
        <w:rPr>
          <w:rStyle w:val="FootnoteAnchor"/>
          <w:rtl w:val="true"/>
        </w:rPr>
        <w:footnoteReference w:id="887"/>
      </w:r>
      <w:r>
        <w:rPr>
          <w:rFonts w:ascii="Amiri" w:hAnsi="Amiri" w:eastAsia="Amiri" w:cs="Amiri"/>
          <w:color w:val="111111"/>
          <w:sz w:val="28"/>
          <w:sz w:val="28"/>
          <w:szCs w:val="28"/>
          <w:rtl w:val="true"/>
          <w:lang w:bidi="ar-SA"/>
        </w:rPr>
        <w:t>المَذهَبَ الأوّلَ الذي هو اعتقادُهما</w:t>
      </w:r>
      <w:r>
        <w:rPr>
          <w:rStyle w:val="FootnoteAnchor"/>
          <w:rtl w:val="true"/>
        </w:rPr>
        <w:footnoteReference w:id="888"/>
      </w:r>
      <w:r>
        <w:rPr>
          <w:rFonts w:ascii="Amiri" w:hAnsi="Amiri" w:eastAsia="Amiri" w:cs="Amiri"/>
          <w:color w:val="111111"/>
          <w:sz w:val="28"/>
          <w:sz w:val="28"/>
          <w:szCs w:val="28"/>
          <w:rtl w:val="true"/>
          <w:lang w:bidi="ar-SA"/>
        </w:rPr>
        <w:t xml:space="preserve">أنّهما كالمُتَلاعِنَينِ، و أنّ شَهادتَهما تُقبَلُ إذا كانا مُتَفرِّقَينِ، و لا تُقبَلُ إذا كانا مُجتَمِعَينِ، و لَم يَكُن عندَه في دَفعِ المَذهَبِ الثاني أكثَرُ مِن حِكايتِه عن بَعضِ أصحابِه بتَنزيهِ عَمرٍو عن مُخالَفةِ واصِلٍ؛ و هذا إنكارٌ ضعيفٌ، و المُنكِرُ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التي حَكاها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كالمُقِرِّ به، بَل أقبَحُ مِنه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 هؤلاءِ القومِ و قَبيحِ تَعصُّبِهم أنّهم يُناقِضونَ شَيخَهم أبا عُثمانَ الجاحِظَ</w:t>
      </w:r>
      <w:r>
        <w:rPr>
          <w:rStyle w:val="FootnoteAnchor"/>
          <w:rtl w:val="true"/>
        </w:rPr>
        <w:footnoteReference w:id="889"/>
      </w:r>
      <w:r>
        <w:rPr>
          <w:rFonts w:ascii="Amiri" w:hAnsi="Amiri" w:eastAsia="Amiri" w:cs="Amiri"/>
          <w:color w:val="111111"/>
          <w:sz w:val="28"/>
          <w:sz w:val="28"/>
          <w:szCs w:val="28"/>
          <w:rtl w:val="true"/>
          <w:lang w:bidi="ar-SA"/>
        </w:rPr>
        <w:t>في المَعارفِ و الطَّبائعِ‌</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أصلانِ مِن أُصولِ الدِّينِ كَبيرانِ، لَيسَ الغَلَطُ فيهما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تَضليلِه لوُجوهِ الصَّحابةِ و الشَّهادةِ عَلَيهم بتَكلُّفِ ما لا يَعنيهِم و الذَّهابِ عمّا يُهِمُّهم، ثُمّ في سَلْبِه أميرَ المؤمنينَ عليه السلامُ مَرتَبتَه في الفَضلِ، و دَفعِه أكثَرَ ما رُويَ مِن فَضائلِه و مَناقبِه، و تأوُّلِه ما استَحيا هو مِن دَفعِه التأوُّلَ </w:t>
      </w:r>
      <w:r>
        <w:rPr>
          <w:rStyle w:val="FootnoteAnchor"/>
          <w:rtl w:val="true"/>
        </w:rPr>
        <w:footnoteReference w:id="891"/>
      </w:r>
      <w:r>
        <w:rPr>
          <w:rFonts w:ascii="Amiri" w:hAnsi="Amiri" w:eastAsia="Amiri" w:cs="Amiri"/>
          <w:color w:val="111111"/>
          <w:sz w:val="28"/>
          <w:sz w:val="28"/>
          <w:szCs w:val="28"/>
          <w:rtl w:val="true"/>
          <w:lang w:bidi="ar-SA"/>
        </w:rPr>
        <w:t>الذي يُخرِجُه به عن الشَّهادةِ بِالفَضلِ و القضاءِ بالتقدُّمِ ؛ حتّىٰ أخرَجَه ذلكَ</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مقالات، و كان واسع المعرفة بمذاهب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إليه المتكلّمون من كلّ فريق و ناظروه فلم يعجبه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القند في ذكر علماء سمرقند،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طبقات المعتزلة،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القَدحِ في إمامتِه في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المَعاذيرِ لمُعاويةَ في حَربِه و خَلعِ طاعتِه؛ إلىٰ غيرِ ما ذَكَرناه مِن الأُمورِ التي لا يُقدِمُ عَلَيها مُسلِمٌ، و لا يَتَجاسَرُ</w:t>
      </w:r>
      <w:r>
        <w:rPr>
          <w:rStyle w:val="FootnoteAnchor"/>
          <w:rtl w:val="true"/>
        </w:rPr>
        <w:footnoteReference w:id="892"/>
      </w:r>
      <w:r>
        <w:rPr>
          <w:rFonts w:ascii="Amiri" w:hAnsi="Amiri" w:eastAsia="Amiri" w:cs="Amiri"/>
          <w:color w:val="111111"/>
          <w:sz w:val="28"/>
          <w:sz w:val="28"/>
          <w:szCs w:val="28"/>
          <w:rtl w:val="true"/>
          <w:lang w:bidi="ar-SA"/>
        </w:rPr>
        <w:t>علَى التظاهُرِ بها مؤمِنٌ و لا مُتَديِّنٌ، و هُم في كُلِّ ذلكَ يَذكُرونَه بأحسَنِ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 و يُثنونَ عليه بأفضَلِ الثَّناءِ ، و لا يُجرونَ ذِكرَه إلّامع مَشيَخَتِهم، و تَشييخِهم</w:t>
      </w:r>
      <w:r>
        <w:rPr>
          <w:rStyle w:val="FootnoteAnchor"/>
          <w:rtl w:val="true"/>
        </w:rPr>
        <w:footnoteReference w:id="893"/>
      </w:r>
      <w:r>
        <w:rPr>
          <w:rFonts w:ascii="Amiri" w:hAnsi="Amiri" w:eastAsia="Amiri" w:cs="Amiri"/>
          <w:color w:val="111111"/>
          <w:sz w:val="28"/>
          <w:sz w:val="28"/>
          <w:szCs w:val="28"/>
          <w:rtl w:val="true"/>
          <w:lang w:bidi="ar-SA"/>
        </w:rPr>
        <w:t>له، و رَغبَتِهم إلَى اللّٰهِ تَعالىٰ في الرِّضوانِ عليه</w:t>
      </w:r>
      <w:r>
        <w:rPr>
          <w:rStyle w:val="FootnoteAnchor"/>
          <w:rtl w:val="true"/>
        </w:rPr>
        <w:footnoteReference w:id="894"/>
      </w:r>
      <w:r>
        <w:rPr>
          <w:rFonts w:ascii="Amiri" w:hAnsi="Amiri" w:eastAsia="Amiri" w:cs="Amiri"/>
          <w:color w:val="111111"/>
          <w:sz w:val="28"/>
          <w:sz w:val="28"/>
          <w:szCs w:val="28"/>
          <w:rtl w:val="true"/>
          <w:lang w:bidi="ar-SA"/>
        </w:rPr>
        <w:t xml:space="preserve">حتّىٰ كأنّهم إنّما يُناقِضونَه في بَعضِ مَسائلِ الاجتهادِ؛ كمَسِّ </w:t>
      </w:r>
      <w:r>
        <w:rPr>
          <w:rStyle w:val="FootnoteAnchor"/>
          <w:rtl w:val="true"/>
        </w:rPr>
        <w:footnoteReference w:id="895"/>
      </w:r>
      <w:r>
        <w:rPr>
          <w:rFonts w:ascii="Amiri" w:hAnsi="Amiri" w:eastAsia="Amiri" w:cs="Amiri"/>
          <w:color w:val="111111"/>
          <w:sz w:val="28"/>
          <w:sz w:val="28"/>
          <w:szCs w:val="28"/>
          <w:rtl w:val="true"/>
          <w:lang w:bidi="ar-SA"/>
        </w:rPr>
        <w:t>الذَّكَرِ</w:t>
      </w:r>
      <w:r>
        <w:rPr>
          <w:rStyle w:val="FootnoteAnchor"/>
          <w:rtl w:val="true"/>
        </w:rPr>
        <w:footnoteReference w:id="896"/>
      </w:r>
      <w:r>
        <w:rPr>
          <w:rFonts w:ascii="Amiri" w:hAnsi="Amiri" w:eastAsia="Amiri" w:cs="Amiri"/>
          <w:color w:val="111111"/>
          <w:sz w:val="28"/>
          <w:sz w:val="28"/>
          <w:szCs w:val="28"/>
          <w:rtl w:val="true"/>
          <w:lang w:bidi="ar-SA"/>
        </w:rPr>
        <w:t>، و رَفعِ اليَدَينِ في التكبيرِ،</w:t>
      </w:r>
      <w:r>
        <w:rPr>
          <w:rStyle w:val="FootnoteAnchor"/>
          <w:rtl w:val="true"/>
        </w:rPr>
        <w:footnoteReference w:id="897"/>
      </w:r>
      <w:r>
        <w:rPr>
          <w:rFonts w:ascii="Amiri" w:hAnsi="Amiri" w:eastAsia="Amiri" w:cs="Amiri"/>
          <w:color w:val="111111"/>
          <w:sz w:val="28"/>
          <w:sz w:val="28"/>
          <w:szCs w:val="28"/>
          <w:rtl w:val="true"/>
          <w:lang w:bidi="ar-SA"/>
        </w:rPr>
        <w:t xml:space="preserve">و ما جَرىٰ مَجراهما، و لا يَدعوهُم ما ظَهَرَ مِن خِلافِه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إقدامِه علىٰ ما إنْ لَم يوجِبْ تكفيرَه فأقلُّ أحوالِه أن يوجِبَ تفسيقَه، و يَمنَعَ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الطَّعنِ عليه و البَراءةِ مِنه، أو إلىٰ أن يُمسَكَ و يُكَفَّ عن الأمرَينِ ؛ و يُريدونَ </w:t>
      </w:r>
      <w:r>
        <w:rPr>
          <w:rStyle w:val="FootnoteAnchor"/>
          <w:rtl w:val="true"/>
        </w:rPr>
        <w:footnoteReference w:id="898"/>
      </w:r>
      <w:r>
        <w:rPr>
          <w:rFonts w:ascii="Amiri" w:hAnsi="Amiri" w:eastAsia="Amiri" w:cs="Amiri"/>
          <w:color w:val="111111"/>
          <w:sz w:val="28"/>
          <w:sz w:val="28"/>
          <w:szCs w:val="28"/>
          <w:rtl w:val="true"/>
          <w:lang w:bidi="ar-SA"/>
        </w:rPr>
        <w:t xml:space="preserve">مِنّا </w:t>
      </w:r>
      <w:bookmarkStart w:id="388" w:name="pg20044_770876"/>
    </w:p>
    <w:p>
      <w:pPr>
        <w:pStyle w:val="BookText"/>
        <w:rPr/>
      </w:pPr>
      <w:bookmarkEnd w:id="388"/>
      <w:r>
        <w:rPr>
          <w:rFonts w:ascii="Amiri" w:hAnsi="Amiri" w:eastAsia="Amiri" w:cs="Amiri"/>
          <w:color w:val="111111"/>
          <w:sz w:val="28"/>
          <w:sz w:val="28"/>
          <w:szCs w:val="28"/>
          <w:rtl w:val="true"/>
          <w:lang w:bidi="ar-SA"/>
        </w:rPr>
        <w:t xml:space="preserve">أن نَرجِعَ عن وَلاءِ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 زَكاتِه</w:t>
      </w:r>
      <w:r>
        <w:rPr>
          <w:rStyle w:val="FootnoteAnchor"/>
          <w:rtl w:val="true"/>
        </w:rPr>
        <w:footnoteReference w:id="899"/>
      </w:r>
      <w:r>
        <w:rPr>
          <w:rFonts w:ascii="Amiri" w:hAnsi="Amiri" w:eastAsia="Amiri" w:cs="Amiri"/>
          <w:color w:val="111111"/>
          <w:sz w:val="28"/>
          <w:sz w:val="28"/>
          <w:szCs w:val="28"/>
          <w:rtl w:val="true"/>
          <w:lang w:bidi="ar-SA"/>
        </w:rPr>
        <w:t>لأجلِ دعواهُم عليه ما لا حَقيقةَ له عندَنا، و لا مَرجِعَ فيه إلّاإلىٰ أقوالِهم المُحرَّفةِ و حِكاياتِهم المُضعَّفةِ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فيما ذَكَرناه عَلِمَ طريقةَ القَومِ في عِشقِ مَذهَبِهم، و التعصُّبِ لنِحلتِهم، و أنّ غرضَهم تَلزيقُ نُصرتِها</w:t>
      </w:r>
      <w:r>
        <w:rPr>
          <w:rStyle w:val="FootnoteAnchor"/>
          <w:rtl w:val="true"/>
        </w:rPr>
        <w:footnoteReference w:id="900"/>
      </w:r>
      <w:r>
        <w:rPr>
          <w:rFonts w:ascii="Amiri" w:hAnsi="Amiri" w:eastAsia="Amiri" w:cs="Amiri"/>
          <w:color w:val="111111"/>
          <w:sz w:val="28"/>
          <w:sz w:val="28"/>
          <w:szCs w:val="28"/>
          <w:rtl w:val="true"/>
          <w:lang w:bidi="ar-SA"/>
        </w:rPr>
        <w:t xml:space="preserve">بكُلِّ حَقٍّ و باطِلٍ ، و غَثٍّ </w:t>
      </w:r>
      <w:r>
        <w:rPr>
          <w:rStyle w:val="FootnoteAnchor"/>
          <w:rtl w:val="true"/>
        </w:rPr>
        <w:footnoteReference w:id="901"/>
      </w:r>
      <w:r>
        <w:rPr>
          <w:rFonts w:ascii="Amiri" w:hAnsi="Amiri" w:eastAsia="Amiri" w:cs="Amiri"/>
          <w:color w:val="111111"/>
          <w:sz w:val="28"/>
          <w:sz w:val="28"/>
          <w:szCs w:val="28"/>
          <w:rtl w:val="true"/>
          <w:lang w:bidi="ar-SA"/>
        </w:rPr>
        <w:t xml:space="preserve">و سَمينٍ </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828548_2320776876"/>
      <w:bookmarkStart w:id="390" w:name="_Toc139"/>
      <w:bookmarkEnd w:id="389"/>
      <w:r>
        <w:rPr>
          <w:rtl w:val="true"/>
        </w:rPr>
        <w:t>اعتمادُ الإماميّةٍ علَى العقلِ في وجوبِ الإمامةِ و أوصافِ الإمامِ</w:t>
      </w:r>
      <w:bookmarkEnd w:id="390"/>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يَخرُجُ عن هذه الطريقةِ‌</w:t>
      </w:r>
      <w:r>
        <w:rPr>
          <w:rStyle w:val="FootnoteAnchor"/>
          <w:rtl w:val="true"/>
        </w:rPr>
        <w:footnoteReference w:id="902"/>
      </w:r>
      <w:r>
        <w:rPr>
          <w:rFonts w:ascii="Amiri" w:hAnsi="Amiri" w:eastAsia="Amiri" w:cs="Amiri"/>
          <w:color w:val="111111"/>
          <w:sz w:val="28"/>
          <w:sz w:val="28"/>
          <w:szCs w:val="28"/>
          <w:rtl w:val="true"/>
          <w:lang w:bidi="ar-SA"/>
        </w:rPr>
        <w:t>مَن يَكونُ مُقلِّداً ممَّن يَسلُكُ في الإمامةِ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لا يَتحقَّقُ‌</w:t>
      </w:r>
      <w:r>
        <w:rPr>
          <w:rStyle w:val="FootnoteAnchor"/>
          <w:rtl w:val="true"/>
        </w:rPr>
        <w:footnoteReference w:id="903"/>
      </w:r>
      <w:r>
        <w:rPr>
          <w:rFonts w:ascii="Amiri" w:hAnsi="Amiri" w:eastAsia="Amiri" w:cs="Amiri"/>
          <w:color w:val="111111"/>
          <w:sz w:val="28"/>
          <w:sz w:val="28"/>
          <w:szCs w:val="28"/>
          <w:rtl w:val="true"/>
          <w:lang w:bidi="ar-SA"/>
        </w:rPr>
        <w:t>بما قَدَّمناه مِن الطريقِ‌</w:t>
      </w:r>
      <w:r>
        <w:rPr>
          <w:rStyle w:val="FootnoteAnchor"/>
          <w:rtl w:val="true"/>
        </w:rPr>
        <w:footnoteReference w:id="904"/>
      </w:r>
      <w:r>
        <w:rPr>
          <w:rFonts w:ascii="Amiri" w:hAnsi="Amiri" w:eastAsia="Amiri" w:cs="Amiri"/>
          <w:color w:val="111111"/>
          <w:sz w:val="28"/>
          <w:sz w:val="28"/>
          <w:szCs w:val="28"/>
          <w:rtl w:val="true"/>
          <w:lang w:bidi="ar-SA"/>
        </w:rPr>
        <w:t>في الإمامةِ، و سَلَكَ‌</w:t>
      </w:r>
      <w:r>
        <w:rPr>
          <w:rStyle w:val="FootnoteAnchor"/>
          <w:rtl w:val="true"/>
        </w:rPr>
        <w:footnoteReference w:id="905"/>
      </w:r>
      <w:r>
        <w:rPr>
          <w:rFonts w:ascii="Amiri" w:hAnsi="Amiri" w:eastAsia="Amiri" w:cs="Amiri"/>
          <w:color w:val="111111"/>
          <w:sz w:val="28"/>
          <w:sz w:val="28"/>
          <w:szCs w:val="28"/>
          <w:rtl w:val="true"/>
          <w:lang w:bidi="ar-SA"/>
        </w:rPr>
        <w:t>طريقةً مُتوسِّطةً بَينَ العقلِ و الشرعِ ممَّن كانَ يَتمسَّكُ بالتوحيدِ و العدلِ، فهو بَريءٌ ممّا نَسَبناه إلىٰ مَن تَقدَّمَ ذِكرُه، كأبي الأَحوَصِ‌</w:t>
      </w:r>
      <w:r>
        <w:rPr>
          <w:rStyle w:val="FootnoteAnchor"/>
          <w:rtl w:val="true"/>
        </w:rPr>
        <w:footnoteReference w:id="906"/>
      </w:r>
      <w:bookmarkStart w:id="391" w:name="pg20044_770877"/>
    </w:p>
    <w:p>
      <w:pPr>
        <w:pStyle w:val="BookText"/>
        <w:rPr/>
      </w:pPr>
      <w:bookmarkEnd w:id="391"/>
      <w:r>
        <w:rPr>
          <w:rFonts w:ascii="Amiri" w:hAnsi="Amiri" w:eastAsia="Amiri" w:cs="Amiri"/>
          <w:color w:val="111111"/>
          <w:sz w:val="28"/>
          <w:sz w:val="28"/>
          <w:szCs w:val="28"/>
          <w:rtl w:val="true"/>
          <w:lang w:bidi="ar-SA"/>
        </w:rPr>
        <w:t xml:space="preserve">و النَّوبَخْتيّةِ </w:t>
      </w:r>
      <w:r>
        <w:rPr>
          <w:rStyle w:val="FootnoteAnchor"/>
          <w:rtl w:val="true"/>
        </w:rPr>
        <w:footnoteReference w:id="907"/>
      </w:r>
      <w:r>
        <w:rPr>
          <w:rFonts w:ascii="Amiri" w:hAnsi="Amiri" w:eastAsia="Amiri" w:cs="Amiri"/>
          <w:color w:val="111111"/>
          <w:sz w:val="28"/>
          <w:sz w:val="28"/>
          <w:szCs w:val="28"/>
          <w:rtl w:val="true"/>
          <w:lang w:bidi="ar-SA"/>
        </w:rPr>
        <w:t>و غيرِهم؛ لأنّهم</w:t>
      </w:r>
      <w:r>
        <w:rPr>
          <w:rStyle w:val="FootnoteAnchor"/>
          <w:rtl w:val="true"/>
        </w:rPr>
        <w:footnoteReference w:id="908"/>
      </w:r>
      <w:r>
        <w:rPr>
          <w:rFonts w:ascii="Amiri" w:hAnsi="Amiri" w:eastAsia="Amiri" w:cs="Amiri"/>
          <w:color w:val="111111"/>
          <w:sz w:val="28"/>
          <w:sz w:val="28"/>
          <w:szCs w:val="28"/>
          <w:rtl w:val="true"/>
          <w:lang w:bidi="ar-SA"/>
        </w:rPr>
        <w:t xml:space="preserve">لا يَسلُكونَ ما قَدَّمناه، و إنّما يَتَّبِعون في الأكثَرِ طريقةَ السَّمعِ و إن كانوا رُبَّما التَجَأوا إلىٰ طريقةِ العقلِ </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فكلامٌ يَنقُضُ بَعضُه بَعضاً، و مع أنّه كذلك قد تَضَمَّنَ غَلَطاً علَى القومِ المذكورينَ في مَذاهبِهم، و إنكاراً للظاهرِ</w:t>
      </w:r>
      <w:r>
        <w:rPr>
          <w:rStyle w:val="FootnoteAnchor"/>
          <w:rtl w:val="true"/>
        </w:rPr>
        <w:footnoteReference w:id="910"/>
      </w:r>
      <w:r>
        <w:rPr>
          <w:rFonts w:ascii="Amiri" w:hAnsi="Amiri" w:eastAsia="Amiri" w:cs="Amiri"/>
          <w:color w:val="111111"/>
          <w:sz w:val="28"/>
          <w:sz w:val="28"/>
          <w:szCs w:val="28"/>
          <w:rtl w:val="true"/>
          <w:lang w:bidi="ar-SA"/>
        </w:rPr>
        <w:t xml:space="preserve">مِن مَقالتِهم؛ إمّا تَعمُّداً علىٰ سَبيلِ التلبيسِ و المُغالَطةِ ، أو سَهواً؛ و كِلاهُما قَبيحٌ </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828550_2320776876"/>
      <w:bookmarkStart w:id="393" w:name="_Toc140"/>
      <w:bookmarkEnd w:id="392"/>
      <w:r>
        <w:rPr>
          <w:rtl w:val="true"/>
        </w:rPr>
        <w:t>بيانُ تناقضِ كلام صاحب الكتاب و خطئِه فيما نَسَبَه إلىٰ أبي الأحوص و النوبختيّين</w:t>
      </w:r>
      <w:bookmarkEnd w:id="393"/>
    </w:p>
    <w:p>
      <w:pPr>
        <w:pStyle w:val="BookText"/>
        <w:rPr/>
      </w:pPr>
      <w:r>
        <w:rPr>
          <w:rFonts w:ascii="Amiri" w:hAnsi="Amiri" w:eastAsia="Amiri" w:cs="Amiri"/>
          <w:color w:val="111111"/>
          <w:sz w:val="28"/>
          <w:sz w:val="28"/>
          <w:szCs w:val="28"/>
          <w:rtl w:val="true"/>
          <w:lang w:bidi="ar-SA"/>
        </w:rPr>
        <w:t>فأمّا وجهُ 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الكتابِ إنّما نَسَبَ إلىٰ مَن تَقدَّمَ الإلحادَ و قَرَفَهم</w:t>
      </w:r>
      <w:r>
        <w:rPr>
          <w:rStyle w:val="FootnoteAnchor"/>
          <w:rtl w:val="true"/>
        </w:rPr>
        <w:footnoteReference w:id="911"/>
      </w:r>
      <w:r>
        <w:rPr>
          <w:rFonts w:ascii="Amiri" w:hAnsi="Amiri" w:eastAsia="Amiri" w:cs="Amiri"/>
          <w:color w:val="111111"/>
          <w:sz w:val="28"/>
          <w:sz w:val="28"/>
          <w:szCs w:val="28"/>
          <w:rtl w:val="true"/>
          <w:lang w:bidi="ar-SA"/>
        </w:rPr>
        <w:t>به و بإبطالِ‌</w:t>
      </w:r>
      <w:r>
        <w:rPr>
          <w:rStyle w:val="FootnoteAnchor"/>
          <w:rtl w:val="true"/>
        </w:rPr>
        <w:footnoteReference w:id="912"/>
      </w:r>
      <w:r>
        <w:rPr>
          <w:rFonts w:ascii="Amiri" w:hAnsi="Amiri" w:eastAsia="Amiri" w:cs="Amiri"/>
          <w:color w:val="111111"/>
          <w:sz w:val="28"/>
          <w:sz w:val="28"/>
          <w:szCs w:val="28"/>
          <w:rtl w:val="true"/>
          <w:lang w:bidi="ar-SA"/>
        </w:rPr>
        <w:t>الشرائعِ و نَقضِ الأُصولِ ؛ مِن حَيثُ ذَهَبوا إلىٰ وجوبِ الإمامةِ مِن طريقِ العقولِ ، و أنّ الإمامَ يَجِبُ أن يَكونَ مَعصوماً مُنزَّهاً كامِلاً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وافِراً عالِماً فاضِلاً، ثُمّ بَرَّأَ</w:t>
      </w:r>
      <w:r>
        <w:rPr>
          <w:rStyle w:val="FootnoteAnchor"/>
          <w:rtl w:val="true"/>
        </w:rPr>
        <w:footnoteReference w:id="913"/>
      </w:r>
      <w:r>
        <w:rPr>
          <w:rFonts w:ascii="Amiri" w:hAnsi="Amiri" w:eastAsia="Amiri" w:cs="Amiri"/>
          <w:color w:val="111111"/>
          <w:sz w:val="28"/>
          <w:sz w:val="28"/>
          <w:szCs w:val="28"/>
          <w:rtl w:val="true"/>
          <w:lang w:bidi="ar-SA"/>
        </w:rPr>
        <w:t xml:space="preserve">أبا الأحوَصِ و النَّوبَخْتيّةَ ممّا قَذَفَ به مَن تَقدَّمَ ، و ادَّعىٰ عَلَيهم أنّهم لا يَقولونَ بمِثلِ قَولِهم؛ يعني في الرُّجوعِ إلَى العقولِ في بابِ الإمامةِ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في آخِرِ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رُبَّما التَجَأوا إلىٰ طريقةِ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بهذا القولِ في جُملةِ مَن تَقدَّمَ، و أَوجَبَ فيهم كُلَّ ما وَصَفَ به المُتَقدِّمينَ مِن حَيثُ لا يَشعُرُ؛ لإضافتِه إليهم الالتِجاءَ إلَى الطريقةِ التي هي عندَه سببُ تُهَمةِ مَن ذَكَرَه فقَذَفَه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تَناقُضٌ ظاهرٌ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غَلَطُه علَى القَومِ فبيِّنٌ؛ لأنّ المعلومَ مِنهم اعتقادُ وجوبِ الإمامةِ و أوصافِ الإمامِ مِن طريقِ العقولِ، و الاعتمادُ عَلَيها في جميعِ ذلكَ، و إن كانوا رُبَّما استَدَلّوا بالسَّمعِ استِظهاراً و تَصرُّفاً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مَن استَدَلَّ علىٰ شَيءٍ بالسَّمعِ فقَد نَفىٰ دَلالةَ العقلِ عليه؛ و هذه كُتُبُ أبي مُحمّدٍ</w:t>
      </w:r>
      <w:r>
        <w:rPr>
          <w:rStyle w:val="FootnoteAnchor"/>
          <w:rtl w:val="true"/>
        </w:rPr>
        <w:footnoteReference w:id="914"/>
      </w:r>
      <w:r>
        <w:rPr>
          <w:rFonts w:ascii="Amiri" w:hAnsi="Amiri" w:eastAsia="Amiri" w:cs="Amiri"/>
          <w:color w:val="111111"/>
          <w:sz w:val="28"/>
          <w:sz w:val="28"/>
          <w:szCs w:val="28"/>
          <w:rtl w:val="true"/>
          <w:lang w:bidi="ar-SA"/>
        </w:rPr>
        <w:t>و أبي سَهلٍ‌</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تَشهَدُ بما ذَكَرناه، و تَتَضمَّنُ نُصرةَ جَميعِ ما ذَكَرَه أبو عيسَى الوَرّاقُ و ابنُ الراوَنديِّ في كُتُبِهما في الإمامةِ؛ بَل قد اعتَمَدا علىٰ أكثَرِ ما ذَكَراه مِن الأدلّةِ، و سَلَكا في نُصرةِ أُصولِ الإمامةِ تلكَ الطُّرُقَ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خَفِيَ عليه ما ذَكَرناه مِن قولِهم ظالِمٌ لنَفسِه بالتعرُّضِ للكلامِ في الإمامةِ </w:t>
      </w:r>
      <w:r>
        <w:rPr>
          <w:rFonts w:eastAsia="Amiri" w:cs="Amiri" w:ascii="Amiri" w:hAnsi="Amiri"/>
          <w:color w:val="111111"/>
          <w:sz w:val="28"/>
          <w:szCs w:val="28"/>
          <w:rtl w:val="true"/>
          <w:lang w:bidi="ar-SA"/>
        </w:rPr>
        <w:t xml:space="preserve">. </w:t>
      </w:r>
      <w:bookmarkStart w:id="394" w:name="pg20044_770879"/>
    </w:p>
    <w:p>
      <w:pPr>
        <w:pStyle w:val="Heading6"/>
        <w:numPr>
          <w:ilvl w:val="5"/>
          <w:numId w:val="1"/>
        </w:numPr>
        <w:rPr/>
      </w:pPr>
      <w:bookmarkStart w:id="395" w:name="__RefHeading___Toc828552_2320776876"/>
      <w:bookmarkStart w:id="396" w:name="_Toc141"/>
      <w:bookmarkEnd w:id="394"/>
      <w:bookmarkEnd w:id="395"/>
      <w:r>
        <w:rPr>
          <w:rtl w:val="true"/>
        </w:rPr>
        <w:t>بيانُ أنّ بعضَ وجوهِ الحاجةِ إلى الإمام تتعلّق بواجبات العقل</w:t>
      </w:r>
      <w:bookmarkEnd w:id="39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ما يَدُلُّ علىٰ أنّ الإمامةَ لا تَجِبُ مِن جهةِ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إنّما يُرادُ لأُمورٍ سَمعيّةٍ، كإقامةِ الحُدودِ و تَنفيذِ الأحكامِ و ما شاكَلَها؛ و إذا كانَ ما يُرادُ له الإمامُ لا مَدخَلَ للعقلِ فيه، فبأنْ لا يَكونَ له مَدخَلٌ في إثباتِ الإمامِ‌</w:t>
      </w:r>
      <w:r>
        <w:rPr>
          <w:rStyle w:val="FootnoteAnchor"/>
          <w:rtl w:val="true"/>
        </w:rPr>
        <w:footnoteReference w:id="916"/>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فقَد تَقدَّمَ مِن كلامِنا في إبطالِه ما يُغني؛ و بيّنّا أنّ ما يُرادُ له الإمامُ أمرٌ يَتعلَّقُ بواجباتِ العقلِ ، و أنّ الحاجةَ إليه واجبةٌ ؛ سَواءٌ وَرَدَت العبادةُ بالسَّمعِ أو لَم تَرِدْ، و لَيسَ إذا كانَ أحَدُ ما يُرادُ الإمامُ له ما جاءَ به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كإقامةِ الحُدودِ و 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تَبطُلَ الحاجةُ إليه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في هذا الكلامِ شُبهةٌ لَو كانَت الحاجةُ إليه في الأُمورِ السَّمعيّةِ تُنافي الحاجةَ في الأُمورِ العقليّةِ ، فأمّا إذا لَم يَكُن كذلكَ فلا طائلَ فيما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أنّ الإمامَ يُرادُ لِما ذَكَرتُموه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فطَريقُ الكلامِ معهم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يَكونَ قَيِّماً بأمرٍ ما؛ إمّا أن يَكونَ بما ذَكَرناه</w:t>
      </w:r>
      <w:r>
        <w:rPr>
          <w:rStyle w:val="FootnoteAnchor"/>
          <w:rtl w:val="true"/>
        </w:rPr>
        <w:footnoteReference w:id="918"/>
      </w:r>
      <w:r>
        <w:rPr>
          <w:rFonts w:ascii="Amiri" w:hAnsi="Amiri" w:eastAsia="Amiri" w:cs="Amiri"/>
          <w:color w:val="111111"/>
          <w:sz w:val="28"/>
          <w:sz w:val="28"/>
          <w:szCs w:val="28"/>
          <w:rtl w:val="true"/>
          <w:lang w:bidi="ar-SA"/>
        </w:rPr>
        <w:t xml:space="preserve">، أو يَكونَ حُجّةً ، و قد أبطَلْنا ذلكَ </w:t>
      </w:r>
      <w:r>
        <w:rPr>
          <w:rFonts w:eastAsia="Amiri" w:cs="Amiri" w:ascii="Amiri" w:hAnsi="Amiri"/>
          <w:color w:val="111111"/>
          <w:sz w:val="28"/>
          <w:szCs w:val="28"/>
          <w:rtl w:val="true"/>
          <w:lang w:bidi="ar-SA"/>
        </w:rPr>
        <w:t>....</w:t>
      </w:r>
      <w:r>
        <w:rPr>
          <w:rStyle w:val="FootnoteAnchor"/>
          <w:rtl w:val="true"/>
        </w:rPr>
        <w:footnoteReference w:id="919"/>
      </w:r>
      <w:bookmarkStart w:id="397" w:name="pg20044_770880"/>
    </w:p>
    <w:p>
      <w:pPr>
        <w:pStyle w:val="BookText"/>
        <w:rPr/>
      </w:pPr>
      <w:bookmarkEnd w:id="397"/>
      <w:r>
        <w:rPr>
          <w:rFonts w:ascii="Amiri" w:hAnsi="Amiri" w:eastAsia="Amiri" w:cs="Amiri"/>
          <w:color w:val="111111"/>
          <w:sz w:val="28"/>
          <w:sz w:val="28"/>
          <w:szCs w:val="28"/>
          <w:rtl w:val="true"/>
          <w:lang w:bidi="ar-SA"/>
        </w:rPr>
        <w:t xml:space="preserve">فقَد سَلَفَ الكلامُ علىٰ ما ظَنَّ </w:t>
      </w:r>
      <w:r>
        <w:rPr>
          <w:rStyle w:val="FootnoteAnchor"/>
          <w:rtl w:val="true"/>
        </w:rPr>
        <w:footnoteReference w:id="920"/>
      </w:r>
      <w:r>
        <w:rPr>
          <w:rFonts w:ascii="Amiri" w:hAnsi="Amiri" w:eastAsia="Amiri" w:cs="Amiri"/>
          <w:color w:val="111111"/>
          <w:sz w:val="28"/>
          <w:sz w:val="28"/>
          <w:szCs w:val="28"/>
          <w:rtl w:val="true"/>
          <w:lang w:bidi="ar-SA"/>
        </w:rPr>
        <w:t>صاحبُ الكتابِ أنّه أبطَلَ به</w:t>
      </w:r>
      <w:r>
        <w:rPr>
          <w:rStyle w:val="FootnoteAnchor"/>
          <w:rtl w:val="true"/>
        </w:rPr>
        <w:footnoteReference w:id="921"/>
      </w:r>
      <w:r>
        <w:rPr>
          <w:rFonts w:ascii="Amiri" w:hAnsi="Amiri" w:eastAsia="Amiri" w:cs="Amiri"/>
          <w:color w:val="111111"/>
          <w:sz w:val="28"/>
          <w:sz w:val="28"/>
          <w:szCs w:val="28"/>
          <w:rtl w:val="true"/>
          <w:lang w:bidi="ar-SA"/>
        </w:rPr>
        <w:t>كَونَه حُجّةً ، و دَلَّلنا علىٰ أنّه لُطفٌ في الدِّينِ و حُجّةٌ بما لا شُبهةَ في مِثلِه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828554_2320776876"/>
      <w:bookmarkStart w:id="399" w:name="_Toc142"/>
      <w:bookmarkEnd w:id="398"/>
      <w:r>
        <w:rPr>
          <w:rtl w:val="true"/>
        </w:rPr>
        <w:t>بعض وجوه الحاجة إلى الإمام</w:t>
      </w:r>
      <w:bookmarkEnd w:id="399"/>
    </w:p>
    <w:p>
      <w:pPr>
        <w:pStyle w:val="Heading5"/>
        <w:numPr>
          <w:ilvl w:val="4"/>
          <w:numId w:val="1"/>
        </w:numPr>
        <w:rPr/>
      </w:pPr>
      <w:bookmarkStart w:id="400" w:name="__RefHeading___Toc828556_2320776876"/>
      <w:bookmarkStart w:id="401" w:name="_Toc143"/>
      <w:bookmarkEnd w:id="400"/>
      <w:r>
        <w:rPr/>
        <w:t>1</w:t>
      </w:r>
      <w:r>
        <w:rPr>
          <w:rtl w:val="true"/>
        </w:rPr>
        <w:t xml:space="preserve">. </w:t>
      </w:r>
      <w:r>
        <w:rPr>
          <w:rtl w:val="true"/>
        </w:rPr>
        <w:t>أداء الشريعة، و عدم الاستغناءِ بالتواتر و الإجماع</w:t>
      </w:r>
      <w:bookmarkEnd w:id="401"/>
    </w:p>
    <w:p>
      <w:pPr>
        <w:pStyle w:val="Heading6"/>
        <w:numPr>
          <w:ilvl w:val="5"/>
          <w:numId w:val="1"/>
        </w:numPr>
        <w:rPr/>
      </w:pPr>
      <w:bookmarkStart w:id="402" w:name="__RefHeading___Toc828558_2320776876"/>
      <w:bookmarkStart w:id="403" w:name="_Toc144"/>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w:t>
      </w:r>
      <w:r>
        <w:rPr>
          <w:rStyle w:val="FootnoteAnchor"/>
          <w:rtl w:val="true"/>
        </w:rPr>
        <w:footnoteReference w:id="922"/>
      </w:r>
      <w:r>
        <w:rPr>
          <w:rFonts w:ascii="Amiri" w:hAnsi="Amiri" w:eastAsia="Amiri" w:cs="Amiri"/>
          <w:color w:val="111111"/>
          <w:sz w:val="28"/>
          <w:sz w:val="28"/>
          <w:szCs w:val="28"/>
          <w:rtl w:val="true"/>
          <w:lang w:bidi="ar-SA"/>
        </w:rPr>
        <w:t xml:space="preserve">إليه لِيؤدّيَ عن الرَّسولِ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عَلِمنا أنّ التواتُرَ يُغني عن ذلكَ، و كذلكَ الإجماعُ‌</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مضىٰ في التواتُرِ ما يَكفي</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 إن ذَهَبنا إلىٰ أنّه لا يَجوزُ أن يَنعَقِدَ علىٰ باطلٍ؛ مِن حَيثُ استقَرَّ عندَنا أنّ في جُملةِ المُجمِعينَ معصوماً، فلَيسَ يَجوزُ أن يُجعَلَ‌</w:t>
      </w:r>
      <w:r>
        <w:rPr>
          <w:rStyle w:val="FootnoteAnchor"/>
          <w:rtl w:val="true"/>
        </w:rPr>
        <w:footnoteReference w:id="925"/>
      </w:r>
      <w:r>
        <w:rPr>
          <w:rFonts w:ascii="Amiri" w:hAnsi="Amiri" w:eastAsia="Amiri" w:cs="Amiri"/>
          <w:color w:val="111111"/>
          <w:sz w:val="28"/>
          <w:sz w:val="28"/>
          <w:szCs w:val="28"/>
          <w:rtl w:val="true"/>
          <w:lang w:bidi="ar-SA"/>
        </w:rPr>
        <w:t>الإجماعُ‌</w:t>
      </w:r>
      <w:r>
        <w:rPr>
          <w:rStyle w:val="FootnoteAnchor"/>
          <w:rtl w:val="true"/>
        </w:rPr>
        <w:footnoteReference w:id="926"/>
      </w:r>
      <w:r>
        <w:rPr>
          <w:rFonts w:ascii="Amiri" w:hAnsi="Amiri" w:eastAsia="Amiri" w:cs="Amiri"/>
          <w:color w:val="111111"/>
          <w:sz w:val="28"/>
          <w:sz w:val="28"/>
          <w:szCs w:val="28"/>
          <w:rtl w:val="true"/>
          <w:lang w:bidi="ar-SA"/>
        </w:rPr>
        <w:t>حُجّةً قَبلَ ثُبوتِ وجودِ المعصومِ ، و كَونِه في جُملةِ المُجمِعينَ ؛ فمِن هاهُنا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لا يُستَغنىٰ به عن الإمامِ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يَتَوَهَّمُ عاقلٌ الاستِغناءَ بالتواتُرِ و الإجماعِ عن مؤَدٍّ للشريعةِ بَعدَ الرسولِ صلّى اللّٰه عليه و آلِه و سلّمَ ، و تِسعةُ أعشارِ ما يُحتاجُ إليه لا إجماعَ فيه </w:t>
      </w:r>
      <w:bookmarkStart w:id="404" w:name="pg20044_770881"/>
    </w:p>
    <w:p>
      <w:pPr>
        <w:pStyle w:val="BookText"/>
        <w:rPr/>
      </w:pPr>
      <w:bookmarkEnd w:id="404"/>
      <w:r>
        <w:rPr>
          <w:rFonts w:ascii="Amiri" w:hAnsi="Amiri" w:eastAsia="Amiri" w:cs="Amiri"/>
          <w:color w:val="111111"/>
          <w:sz w:val="28"/>
          <w:sz w:val="28"/>
          <w:szCs w:val="28"/>
          <w:rtl w:val="true"/>
          <w:lang w:bidi="ar-SA"/>
        </w:rPr>
        <w:t>و لا تَواتُرَ به ؟ و لَو عُوِّلَ بما في الشريعةِ علَى التواتُرِ و الإجماعِ لَوَجَبَ أن يَكونَ ما لَم يُجمَعْ عليه و لَم يَتَواتَرِ الخَبَرُ به لَيسَ مِن الشريعةِ ، أو لا حُجّةَ عَلَينا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فاسِدٌ</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828560_2320776876"/>
      <w:bookmarkStart w:id="406" w:name="_Toc145"/>
      <w:bookmarkEnd w:id="405"/>
      <w:r>
        <w:rPr>
          <w:rtl w:val="true"/>
        </w:rPr>
        <w:t>بيان أنّ فائدة التواتر إثبات أعيان الأئمّة، لا ضرورة وجودهم في الجملة</w:t>
      </w:r>
      <w:bookmarkEnd w:id="40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بجَوازِ</w:t>
      </w:r>
      <w:r>
        <w:rPr>
          <w:rStyle w:val="FootnoteAnchor"/>
          <w:rtl w:val="true"/>
        </w:rPr>
        <w:footnoteReference w:id="927"/>
      </w:r>
      <w:r>
        <w:rPr>
          <w:rFonts w:ascii="Amiri" w:hAnsi="Amiri" w:eastAsia="Amiri" w:cs="Amiri"/>
          <w:color w:val="111111"/>
          <w:sz w:val="28"/>
          <w:sz w:val="28"/>
          <w:szCs w:val="28"/>
          <w:rtl w:val="true"/>
          <w:lang w:bidi="ar-SA"/>
        </w:rPr>
        <w:t>الخَطَإ عَلَيهِما،</w:t>
      </w:r>
      <w:r>
        <w:rPr>
          <w:rStyle w:val="FootnoteAnchor"/>
          <w:rtl w:val="true"/>
        </w:rPr>
        <w:footnoteReference w:id="928"/>
      </w:r>
      <w:r>
        <w:rPr>
          <w:rFonts w:ascii="Amiri" w:hAnsi="Amiri" w:eastAsia="Amiri" w:cs="Amiri"/>
          <w:color w:val="111111"/>
          <w:sz w:val="28"/>
          <w:sz w:val="28"/>
          <w:szCs w:val="28"/>
          <w:rtl w:val="true"/>
          <w:lang w:bidi="ar-SA"/>
        </w:rPr>
        <w:t>فقَد بيّنّا فَسادَ ذلكَ، و بيّنّا أيضاً أنّ إثباتَ الإمامِ لا يَصِحُّ إلّابإثباتِ التواتُرِ، فهو كالفَرعِ علىٰ صحّتِه، و لا يَصِحُّ مع بُطلانِه القولُ بإثباتِ الإمامةِ‌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الأمرُ كما تَوهَّمَ؛ لأنّ التواتُرَ</w:t>
      </w:r>
      <w:r>
        <w:rPr>
          <w:rStyle w:val="FootnoteAnchor"/>
          <w:rtl w:val="true"/>
        </w:rPr>
        <w:footnoteReference w:id="930"/>
      </w:r>
      <w:r>
        <w:rPr>
          <w:rFonts w:ascii="Amiri" w:hAnsi="Amiri" w:eastAsia="Amiri" w:cs="Amiri"/>
          <w:color w:val="111111"/>
          <w:sz w:val="28"/>
          <w:sz w:val="28"/>
          <w:szCs w:val="28"/>
          <w:rtl w:val="true"/>
          <w:lang w:bidi="ar-SA"/>
        </w:rPr>
        <w:t>عندَنا لَيسَ بطريقٍ إلىٰ إثباتِ‌</w:t>
      </w:r>
      <w:r>
        <w:rPr>
          <w:rStyle w:val="FootnoteAnchor"/>
          <w:rtl w:val="true"/>
        </w:rPr>
        <w:footnoteReference w:id="931"/>
      </w:r>
      <w:r>
        <w:rPr>
          <w:rFonts w:ascii="Amiri" w:hAnsi="Amiri" w:eastAsia="Amiri" w:cs="Amiri"/>
          <w:color w:val="111111"/>
          <w:sz w:val="28"/>
          <w:sz w:val="28"/>
          <w:szCs w:val="28"/>
          <w:rtl w:val="true"/>
          <w:lang w:bidi="ar-SA"/>
        </w:rPr>
        <w:t xml:space="preserve">الأئمّةِ في الجُملةِ و وجوبِ وجودِهم في الأعصارِ، بَل الطريقُ إلىٰ ذلكَ </w:t>
      </w:r>
      <w:r>
        <w:rPr>
          <w:rStyle w:val="FootnoteAnchor"/>
          <w:rtl w:val="true"/>
        </w:rPr>
        <w:footnoteReference w:id="932"/>
      </w:r>
      <w:r>
        <w:rPr>
          <w:rFonts w:ascii="Amiri" w:hAnsi="Amiri" w:eastAsia="Amiri" w:cs="Amiri"/>
          <w:color w:val="111111"/>
          <w:sz w:val="28"/>
          <w:sz w:val="28"/>
          <w:szCs w:val="28"/>
          <w:rtl w:val="true"/>
          <w:lang w:bidi="ar-SA"/>
        </w:rPr>
        <w:t xml:space="preserve">هو العقلُ و حُجّتُه، و إنّما التواتُرُ طريقٌ إلىٰ إثباتِ أعيانِ الأئمّةِ ، و لِكَونِ </w:t>
      </w:r>
      <w:r>
        <w:rPr>
          <w:rStyle w:val="FootnoteAnchor"/>
          <w:rtl w:val="true"/>
        </w:rPr>
        <w:footnoteReference w:id="933"/>
      </w:r>
      <w:r>
        <w:rPr>
          <w:rFonts w:ascii="Amiri" w:hAnsi="Amiri" w:eastAsia="Amiri" w:cs="Amiri"/>
          <w:color w:val="111111"/>
          <w:sz w:val="28"/>
          <w:sz w:val="28"/>
          <w:szCs w:val="28"/>
          <w:rtl w:val="true"/>
          <w:lang w:bidi="ar-SA"/>
        </w:rPr>
        <w:t>الإمامِ فُلاناً دونَ غيرِه، و إن كانَ إلىٰ ذلكَ أيضاً طريقٌ آخَرُ و هو المُعجِزُ؛ فكَيفَ يَظُنُّ أنّه لا يَصِحُّ القولُ بالإمامةِ مع بُطلانِه ؟</w:t>
      </w:r>
      <w:r>
        <w:rPr>
          <w:rFonts w:eastAsia="Amiri" w:cs="Amiri" w:ascii="Amiri" w:hAnsi="Amiri"/>
          <w:color w:val="111111"/>
          <w:sz w:val="28"/>
          <w:szCs w:val="28"/>
          <w:rtl w:val="true"/>
          <w:lang w:bidi="ar-SA"/>
        </w:rPr>
        <w:t xml:space="preserve">! </w:t>
      </w:r>
      <w:bookmarkStart w:id="407" w:name="pg20044_770882"/>
    </w:p>
    <w:p>
      <w:pPr>
        <w:pStyle w:val="BookText"/>
        <w:rPr/>
      </w:pPr>
      <w:bookmarkEnd w:id="407"/>
      <w:r>
        <w:rPr>
          <w:rFonts w:ascii="Amiri" w:hAnsi="Amiri" w:eastAsia="Amiri" w:cs="Amiri"/>
          <w:color w:val="111111"/>
          <w:sz w:val="28"/>
          <w:sz w:val="28"/>
          <w:szCs w:val="28"/>
          <w:rtl w:val="true"/>
          <w:lang w:bidi="ar-SA"/>
        </w:rPr>
        <w:t>علىٰ أنّ ذلك مَبنيٌّ علىٰ تَوَهُّمِه أنّا نُبطِلُ التواتُرَ، و قد قَدَّمنا أنّ الأمرَ بخِلافِه</w:t>
      </w:r>
      <w:r>
        <w:rPr>
          <w:rStyle w:val="FootnoteAnchor"/>
          <w:rtl w:val="true"/>
        </w:rPr>
        <w:footnoteReference w:id="934"/>
      </w:r>
      <w:r>
        <w:rPr>
          <w:rFonts w:ascii="Amiri" w:hAnsi="Amiri" w:eastAsia="Amiri" w:cs="Amiri"/>
          <w:color w:val="111111"/>
          <w:sz w:val="28"/>
          <w:sz w:val="28"/>
          <w:szCs w:val="28"/>
          <w:rtl w:val="true"/>
          <w:lang w:bidi="ar-SA"/>
        </w:rPr>
        <w:t xml:space="preserve">، و أنّا و إن جَوَّزنا أن يُعرِضَ المُتَواتِرونَ عن النقلِ لأجلِ </w:t>
      </w:r>
      <w:r>
        <w:rPr>
          <w:rStyle w:val="FootnoteAnchor"/>
          <w:rtl w:val="true"/>
        </w:rPr>
        <w:footnoteReference w:id="935"/>
      </w:r>
      <w:r>
        <w:rPr>
          <w:rFonts w:ascii="Amiri" w:hAnsi="Amiri" w:eastAsia="Amiri" w:cs="Amiri"/>
          <w:color w:val="111111"/>
          <w:sz w:val="28"/>
          <w:sz w:val="28"/>
          <w:szCs w:val="28"/>
          <w:rtl w:val="true"/>
          <w:lang w:bidi="ar-SA"/>
        </w:rPr>
        <w:t>ما ذَكَرناه، فغَيرُ مجوِّزينَ على المتواتِرينَ الكَذِبَ فيما يَتَواتَرونَ به</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828562_2320776876"/>
      <w:bookmarkStart w:id="409" w:name="_Toc146"/>
      <w:bookmarkEnd w:id="408"/>
      <w:r>
        <w:rPr/>
        <w:t>2</w:t>
      </w:r>
      <w:r>
        <w:rPr>
          <w:rtl w:val="true"/>
        </w:rPr>
        <w:t xml:space="preserve">. </w:t>
      </w:r>
      <w:r>
        <w:rPr>
          <w:rtl w:val="true"/>
        </w:rPr>
        <w:t>رفع السهو و الخطإ</w:t>
      </w:r>
      <w:bookmarkEnd w:id="40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 إليه</w:t>
      </w:r>
      <w:r>
        <w:rPr>
          <w:rStyle w:val="FootnoteAnchor"/>
          <w:rtl w:val="true"/>
        </w:rPr>
        <w:footnoteReference w:id="936"/>
      </w:r>
      <w:r>
        <w:rPr>
          <w:rFonts w:ascii="Amiri" w:hAnsi="Amiri" w:eastAsia="Amiri" w:cs="Amiri"/>
          <w:color w:val="111111"/>
          <w:sz w:val="28"/>
          <w:sz w:val="28"/>
          <w:szCs w:val="28"/>
          <w:rtl w:val="true"/>
          <w:lang w:bidi="ar-SA"/>
        </w:rPr>
        <w:t xml:space="preserve">لإزالةِ السَّهوِ و الخَطَإ،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أنّ ذلكَ يَزولُ مِن دونِ الإمامِ إذا عُرِفَ أنّ الإمامَ لا يُحتاجُ إليه في ذلكَ </w:t>
      </w:r>
      <w:r>
        <w:rPr>
          <w:rStyle w:val="FootnoteAnchor"/>
          <w:rtl w:val="true"/>
        </w:rPr>
        <w:footnoteReference w:id="937"/>
      </w:r>
      <w:r>
        <w:rPr>
          <w:rFonts w:ascii="Amiri" w:hAnsi="Amiri" w:eastAsia="Amiri" w:cs="Amiri"/>
          <w:color w:val="111111"/>
          <w:sz w:val="28"/>
          <w:sz w:val="28"/>
          <w:szCs w:val="28"/>
          <w:rtl w:val="true"/>
          <w:lang w:bidi="ar-SA"/>
        </w:rPr>
        <w:t xml:space="preserve">، و أنّ السَّهوَ لا يَقَعُ في نَقلِ الأخبارِ علىٰ طريقِ التواتُرِ، و لا يَصِحُّ علىٰ جميعِ الأُمّةِ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تَقدَّمَ أنّ ما يَكونُ الإمامُ لُطفاً فيه و في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ضُروبِ 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فيه غيرُه مَقامَه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السَّهوَ لا يَقَعُ في نَقلِ الأخبارِ علىٰ طريقِ التواتُرِ، و لا يَصِحُّ علىٰ جميعِ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أنّ الأمرَ كما ادَّعىٰ في السَّهوِ؛ فمِن أينَ نأمَنُ عَلَيهم تَعمُّدَ 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فيما تَجتَمِعُ الأُمّةُ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و إذا كانَ ما يُفزَعُ إليه في امتِناعِ السَّهوِ عَلَيهم مِن </w:t>
      </w:r>
      <w:bookmarkStart w:id="410" w:name="pg20044_770883"/>
    </w:p>
    <w:p>
      <w:pPr>
        <w:pStyle w:val="BookText"/>
        <w:rPr/>
      </w:pPr>
      <w:bookmarkEnd w:id="410"/>
      <w:r>
        <w:rPr>
          <w:rFonts w:ascii="Amiri" w:hAnsi="Amiri" w:eastAsia="Amiri" w:cs="Amiri"/>
          <w:color w:val="111111"/>
          <w:sz w:val="28"/>
          <w:sz w:val="28"/>
          <w:szCs w:val="28"/>
          <w:rtl w:val="true"/>
          <w:lang w:bidi="ar-SA"/>
        </w:rPr>
        <w:t xml:space="preserve">العادةِ لا يُنافي تَعمُّدَ الخَطَإ، فقَد ثَبَتَت الحاجةُ إلَى الأئمّةِ علىٰ كُلِّ حالٍ ، و بَطَلَ </w:t>
      </w:r>
      <w:r>
        <w:rPr>
          <w:rStyle w:val="FootnoteAnchor"/>
          <w:rtl w:val="true"/>
        </w:rPr>
        <w:footnoteReference w:id="940"/>
      </w:r>
      <w:r>
        <w:rPr>
          <w:rFonts w:ascii="Amiri" w:hAnsi="Amiri" w:eastAsia="Amiri" w:cs="Amiri"/>
          <w:color w:val="111111"/>
          <w:sz w:val="28"/>
          <w:sz w:val="28"/>
          <w:szCs w:val="28"/>
          <w:rtl w:val="true"/>
          <w:lang w:bidi="ar-SA"/>
        </w:rPr>
        <w:t>ما يَدَّعي مِن الاستِغناءِ عنهم</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828564_2320776876"/>
      <w:bookmarkStart w:id="412" w:name="_Toc147"/>
      <w:bookmarkEnd w:id="411"/>
      <w:r>
        <w:rPr/>
        <w:t>3</w:t>
      </w:r>
      <w:r>
        <w:rPr>
          <w:rtl w:val="true"/>
        </w:rPr>
        <w:t xml:space="preserve">. </w:t>
      </w:r>
      <w:r>
        <w:rPr>
          <w:rtl w:val="true"/>
        </w:rPr>
        <w:t>رفعُ الاختلافِ في الدياناتِ ، و بيانُ وجوهِ الاختلافِ في ذلكَ</w:t>
      </w:r>
      <w:bookmarkEnd w:id="41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w:t>
      </w:r>
      <w:r>
        <w:rPr>
          <w:rStyle w:val="FootnoteAnchor"/>
          <w:rtl w:val="true"/>
        </w:rPr>
        <w:footnoteReference w:id="941"/>
      </w:r>
      <w:r>
        <w:rPr>
          <w:rFonts w:ascii="Amiri" w:hAnsi="Amiri" w:eastAsia="Amiri" w:cs="Amiri"/>
          <w:color w:val="111111"/>
          <w:sz w:val="28"/>
          <w:sz w:val="28"/>
          <w:szCs w:val="28"/>
          <w:rtl w:val="true"/>
          <w:lang w:bidi="ar-SA"/>
        </w:rPr>
        <w:t>إليه لإزالةِ ما اختَلَفَ الناسُ فيه مِن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عَلِمنا أنّ مع بَيانِ‌</w:t>
      </w:r>
      <w:r>
        <w:rPr>
          <w:rStyle w:val="FootnoteAnchor"/>
          <w:rtl w:val="true"/>
        </w:rPr>
        <w:footnoteReference w:id="942"/>
      </w:r>
      <w:r>
        <w:rPr>
          <w:rFonts w:ascii="Amiri" w:hAnsi="Amiri" w:eastAsia="Amiri" w:cs="Amiri"/>
          <w:color w:val="111111"/>
          <w:sz w:val="28"/>
          <w:sz w:val="28"/>
          <w:szCs w:val="28"/>
          <w:rtl w:val="true"/>
          <w:lang w:bidi="ar-SA"/>
        </w:rPr>
        <w:t>الإمامِ الخِلافُ قائمٌ، فوجودُه كعدمِه في هذا البابِ</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فإن كانَ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لِيُزيلَ الخِلافَ، فقَد بيّنّا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يُحتاجُ إليه لصِحّةِ زَوالِ الخِلافِ ببَيانِه</w:t>
      </w:r>
      <w:r>
        <w:rPr>
          <w:rStyle w:val="FootnoteAnchor"/>
          <w:rtl w:val="true"/>
        </w:rPr>
        <w:footnoteReference w:id="944"/>
      </w:r>
      <w:r>
        <w:rPr>
          <w:rFonts w:ascii="Amiri" w:hAnsi="Amiri" w:eastAsia="Amiri" w:cs="Amiri"/>
          <w:color w:val="111111"/>
          <w:sz w:val="28"/>
          <w:sz w:val="28"/>
          <w:szCs w:val="28"/>
          <w:rtl w:val="true"/>
          <w:lang w:bidi="ar-SA"/>
        </w:rPr>
        <w:t>، فأدلّةُ العقلِ و الشرعِ تُغني عن ذلك</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فما يَختَلِفُ الناسُ فيه مِن الدِّياناتِ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 و سَمعيٍّ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كانَت الحُجّةُ به قائمةً ، و الطريقُ إلَى الوصولِ إليه مُمكِناً لكُلِّ مُتَكامِلِ الشُّروطِ</w:t>
      </w:r>
      <w:r>
        <w:rPr>
          <w:rStyle w:val="FootnoteAnchor"/>
          <w:rtl w:val="true"/>
        </w:rPr>
        <w:footnoteReference w:id="946"/>
      </w:r>
      <w:r>
        <w:rPr>
          <w:rFonts w:ascii="Amiri" w:hAnsi="Amiri" w:eastAsia="Amiri" w:cs="Amiri"/>
          <w:color w:val="111111"/>
          <w:sz w:val="28"/>
          <w:sz w:val="28"/>
          <w:szCs w:val="28"/>
          <w:rtl w:val="true"/>
          <w:lang w:bidi="ar-SA"/>
        </w:rPr>
        <w:t>، لَم يُحتَجْ إلَى الإمامِ فيه إلّامِن الوَجهِ الذي قَدَّمناه؛ و هو أن يَكونَ مؤكِّداً، و إن كانَ لا يَمتَنِعُ أن يَكونَ لتَنبيهِه و تَذكيرِه بالنظَرِ مِن الحَظِّ ما لَيسَ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قد وَرَدَ به التواتُرُ علىٰ حَدٍّ يَقطَعُ‌</w:t>
      </w:r>
      <w:r>
        <w:rPr>
          <w:rStyle w:val="FootnoteAnchor"/>
          <w:rtl w:val="true"/>
        </w:rPr>
        <w:footnoteReference w:id="947"/>
      </w:r>
      <w:r>
        <w:rPr>
          <w:rFonts w:ascii="Amiri" w:hAnsi="Amiri" w:eastAsia="Amiri" w:cs="Amiri"/>
          <w:color w:val="111111"/>
          <w:sz w:val="28"/>
          <w:sz w:val="28"/>
          <w:szCs w:val="28"/>
          <w:rtl w:val="true"/>
          <w:lang w:bidi="ar-SA"/>
        </w:rPr>
        <w:t>العُذرَ و يُزيلُ الشَّكَّ و الرَّيبَ، و مِنه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لَم يَتواتَرْ به الخَبَرُ، فالحاجةُ إلَى الإمامِ فيه ظاهرةٌ؛ لأنّ الخِلافَ إذا وَقَع فيه و لَم يَكُن لنا مَفزَعٌ إلّاإلىٰ قولِه و بَيانِه، فكانَ حُجّةً في قَطعِ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معنىٰ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ظَنَّه صاحبُ الكتابِ مِن أنّ وجودَه يَرفَعُ الخِلافَ جُملةً؛ و إنّما أرَدنا أنّ قَولَه يَكونُ المَفزَعَ و الحُجّةَ عندَ الخِلافِ، و أنّه لَولا مَكانُه لَم يَكُن للّٰهِ تَعالىٰ علَى المُختَلِفينَ في الشَّيءِ الذي بيّنّاه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يُمكِنُ أن يَكونَ‌</w:t>
      </w:r>
      <w:r>
        <w:rPr>
          <w:rStyle w:val="FootnoteAnchor"/>
          <w:rtl w:val="true"/>
        </w:rPr>
        <w:footnoteReference w:id="948"/>
      </w:r>
      <w:r>
        <w:rPr>
          <w:rFonts w:ascii="Amiri" w:hAnsi="Amiri" w:eastAsia="Amiri" w:cs="Amiri"/>
          <w:color w:val="111111"/>
          <w:sz w:val="28"/>
          <w:sz w:val="28"/>
          <w:szCs w:val="28"/>
          <w:rtl w:val="true"/>
          <w:lang w:bidi="ar-SA"/>
        </w:rPr>
        <w:t>الخِلافُ عندَ وجودِ الأئمّةِ في الدِّينِ كالخِلافِ عندَ فَقدِهم، فلا بُدَّ أن يَكونَ لوجودِهم في رَفعِ ذلكَ مَزيّةٌ ظاهرةٌ؛ و هذا يُبيِّنُ أنّ الخِلافَ قد يَزولُ بِهم، و إن كانَ رُبَّما لَم يَزُل كُلُّ الخِلافِ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وَرَدَ</w:t>
      </w:r>
      <w:r>
        <w:rPr>
          <w:rStyle w:val="FootnoteAnchor"/>
          <w:rtl w:val="true"/>
        </w:rPr>
        <w:footnoteReference w:id="949"/>
      </w:r>
      <w:r>
        <w:rPr>
          <w:rFonts w:ascii="Amiri" w:hAnsi="Amiri" w:eastAsia="Amiri" w:cs="Amiri"/>
          <w:color w:val="111111"/>
          <w:sz w:val="28"/>
          <w:sz w:val="28"/>
          <w:szCs w:val="28"/>
          <w:rtl w:val="true"/>
          <w:lang w:bidi="ar-SA"/>
        </w:rPr>
        <w:t xml:space="preserve">به التواتُرُ مِن السَّمعيّاتِ ، فالحاجةُ إليه ماسّةٌ ؛ لأنّه يُبيِّنُه و يؤكِّدُه، و لأنّ </w:t>
      </w:r>
      <w:r>
        <w:rPr>
          <w:rStyle w:val="FootnoteAnchor"/>
          <w:rtl w:val="true"/>
        </w:rPr>
        <w:footnoteReference w:id="950"/>
      </w:r>
      <w:r>
        <w:rPr>
          <w:rFonts w:ascii="Amiri" w:hAnsi="Amiri" w:eastAsia="Amiri" w:cs="Amiri"/>
          <w:color w:val="111111"/>
          <w:sz w:val="28"/>
          <w:sz w:val="28"/>
          <w:szCs w:val="28"/>
          <w:rtl w:val="true"/>
          <w:lang w:bidi="ar-SA"/>
        </w:rPr>
        <w:t xml:space="preserve">المتواتِرينَ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مِنهم الرُّجوعُ عن التواتُرِ؛ فيُلحَقُ </w:t>
      </w:r>
      <w:r>
        <w:rPr>
          <w:rStyle w:val="FootnoteAnchor"/>
          <w:rtl w:val="true"/>
        </w:rPr>
        <w:footnoteReference w:id="951"/>
      </w:r>
      <w:r>
        <w:rPr>
          <w:rFonts w:ascii="Amiri" w:hAnsi="Amiri" w:eastAsia="Amiri" w:cs="Amiri"/>
          <w:color w:val="111111"/>
          <w:sz w:val="28"/>
          <w:sz w:val="28"/>
          <w:szCs w:val="28"/>
          <w:rtl w:val="true"/>
          <w:lang w:bidi="ar-SA"/>
        </w:rPr>
        <w:t>هذا القِسمُ بالآخَرِ، فيَكونُ الحُجّةُ حينئذٍ في الجميعِ قولَ الإمامِ و بَيانَه</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20044_770886"/>
      <w:bookmarkStart w:id="414" w:name="pg20044_770886"/>
      <w:bookmarkEnd w:id="414"/>
    </w:p>
    <w:p>
      <w:pPr>
        <w:pStyle w:val="Heading3"/>
        <w:numPr>
          <w:ilvl w:val="2"/>
          <w:numId w:val="1"/>
        </w:numPr>
        <w:rPr/>
      </w:pPr>
      <w:bookmarkStart w:id="415" w:name="pg20044_770886"/>
      <w:bookmarkStart w:id="416" w:name="__RefHeading___Toc828566_2320776876"/>
      <w:bookmarkStart w:id="417" w:name="_Toc148"/>
      <w:bookmarkEnd w:id="415"/>
      <w:bookmarkEnd w:id="416"/>
      <w:r>
        <w:rPr/>
        <w:t>2</w:t>
      </w:r>
      <w:r>
        <w:rPr>
          <w:rtl w:val="true"/>
        </w:rPr>
        <w:t xml:space="preserve"> </w:t>
      </w:r>
      <w:r>
        <w:rPr>
          <w:rtl w:val="true"/>
        </w:rPr>
        <w:t>فصلٌ في تَتبُّعِ كلامِه في الاستِدلالِ علىٰ وجوبِ الإمامةِ مِن جهةِ السَّمعِ</w:t>
      </w:r>
      <w:bookmarkEnd w:id="417"/>
    </w:p>
    <w:p>
      <w:pPr>
        <w:pStyle w:val="Heading4"/>
        <w:numPr>
          <w:ilvl w:val="3"/>
          <w:numId w:val="1"/>
        </w:numPr>
        <w:rPr/>
      </w:pPr>
      <w:bookmarkStart w:id="418" w:name="__RefHeading___Toc828568_2320776876"/>
      <w:bookmarkStart w:id="419" w:name="_Toc149"/>
      <w:bookmarkEnd w:id="418"/>
      <w:r>
        <w:rPr>
          <w:rtl w:val="true"/>
        </w:rPr>
        <w:t>اشارة</w:t>
      </w:r>
      <w:bookmarkEnd w:id="41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تَتبُّعِ كلامِه في الاستِدلالِ علىٰ وجوبِ الإمامةِ مِن جهةِ السَّمعِ </w:t>
      </w:r>
      <w:r>
        <w:rPr>
          <w:rStyle w:val="FootnoteAnchor"/>
          <w:rtl w:val="true"/>
        </w:rPr>
        <w:footnoteReference w:id="95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20044_770888"/>
      <w:bookmarkStart w:id="421" w:name="pg20044_770888"/>
      <w:bookmarkEnd w:id="421"/>
    </w:p>
    <w:p>
      <w:pPr>
        <w:pStyle w:val="Heading4"/>
        <w:numPr>
          <w:ilvl w:val="3"/>
          <w:numId w:val="1"/>
        </w:numPr>
        <w:rPr/>
      </w:pPr>
      <w:bookmarkStart w:id="422" w:name="pg20044_770888"/>
      <w:bookmarkStart w:id="423" w:name="__RefHeading___Toc828570_2320776876"/>
      <w:bookmarkStart w:id="424" w:name="_Toc150"/>
      <w:bookmarkEnd w:id="422"/>
      <w:bookmarkEnd w:id="423"/>
      <w:r>
        <w:rPr>
          <w:rtl w:val="true"/>
        </w:rPr>
        <w:t>الدليل الأوّل وجوب إقامة الحدود علىٰ الإمام</w:t>
      </w:r>
      <w:bookmarkEnd w:id="424"/>
    </w:p>
    <w:p>
      <w:pPr>
        <w:pStyle w:val="Heading5"/>
        <w:numPr>
          <w:ilvl w:val="4"/>
          <w:numId w:val="1"/>
        </w:numPr>
        <w:rPr/>
      </w:pPr>
      <w:bookmarkStart w:id="425" w:name="__RefHeading___Toc828572_2320776876"/>
      <w:bookmarkStart w:id="426" w:name="_Toc151"/>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اعتَمَدَ شَيخانا</w:t>
      </w:r>
      <w:r>
        <w:rPr>
          <w:rStyle w:val="FootnoteAnchor"/>
          <w:rtl w:val="true"/>
        </w:rPr>
        <w:footnoteReference w:id="953"/>
      </w:r>
      <w:r>
        <w:rPr>
          <w:rFonts w:ascii="Amiri" w:hAnsi="Amiri" w:eastAsia="Amiri" w:cs="Amiri"/>
          <w:color w:val="111111"/>
          <w:sz w:val="28"/>
          <w:sz w:val="28"/>
          <w:szCs w:val="28"/>
          <w:rtl w:val="true"/>
          <w:lang w:bidi="ar-SA"/>
        </w:rPr>
        <w:t xml:space="preserve">في ذلكَ ما وَرَدَ به الكتابُ مِن إقامةِ الحُدودِ،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و قد ثَبَتَ أنّ ذلكَ مِن واجباتِ الإمامِ دونَ سائرِ الناسِ ، فلا بُدَّ مِن إمامٍ يَقومُ به</w:t>
      </w:r>
      <w:r>
        <w:rPr>
          <w:rStyle w:val="FootnoteAnchor"/>
          <w:rtl w:val="true"/>
        </w:rPr>
        <w:footnoteReference w:id="956"/>
      </w:r>
      <w:r>
        <w:rPr>
          <w:rFonts w:ascii="Amiri" w:hAnsi="Amiri" w:eastAsia="Amiri" w:cs="Amiri"/>
          <w:color w:val="111111"/>
          <w:sz w:val="28"/>
          <w:sz w:val="28"/>
          <w:szCs w:val="28"/>
          <w:rtl w:val="true"/>
          <w:lang w:bidi="ar-SA"/>
        </w:rPr>
        <w:t xml:space="preserve">فإذا لَم يُمْكِنْ كَونُ الإمامِ إلّابإقامةِ </w:t>
      </w:r>
    </w:p>
    <w:p>
      <w:pPr>
        <w:pStyle w:val="BookText"/>
        <w:rPr/>
      </w:pPr>
      <w:r>
        <w:rPr>
          <w:rFonts w:ascii="Amiri" w:hAnsi="Amiri" w:eastAsia="Amiri" w:cs="Amiri"/>
          <w:color w:val="111111"/>
          <w:sz w:val="28"/>
          <w:sz w:val="28"/>
          <w:szCs w:val="28"/>
          <w:rtl w:val="true"/>
          <w:lang w:bidi="ar-SA"/>
        </w:rPr>
        <w:t>اللّٰهِ تَعالىٰ و رَسولِه، أو بإقامتِنا بَعدَ مَعرفةِ الصفةِ ، فلا بُدَّ مِن حُصولِه ببَعضِ هذه الوجوهِ ، فإذا فُقِدَ النَّصُّ فلَيسَ إلّاوجوبُ إقامتِنا</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إقامةَ الحُدودِ</w:t>
      </w:r>
      <w:r>
        <w:rPr>
          <w:rStyle w:val="FootnoteAnchor"/>
          <w:rtl w:val="true"/>
        </w:rPr>
        <w:footnoteReference w:id="958"/>
      </w:r>
      <w:r>
        <w:rPr>
          <w:rFonts w:ascii="Amiri" w:hAnsi="Amiri" w:eastAsia="Amiri" w:cs="Amiri"/>
          <w:color w:val="111111"/>
          <w:sz w:val="28"/>
          <w:sz w:val="28"/>
          <w:szCs w:val="28"/>
          <w:rtl w:val="true"/>
          <w:lang w:bidi="ar-SA"/>
        </w:rPr>
        <w:t>تَجِبُ بشَرطِ حُصولِ الإمامِ، كما تَجِبُ الزكاةُ بشَرطِ حُصولِ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لا يَدُلُّ وجوبُ الزكاةِ علىٰ وجوبِ اكتِسابِ المالِ ، فكذلكَ لا يَدُلُّ </w:t>
      </w:r>
      <w:r>
        <w:rPr>
          <w:rStyle w:val="FootnoteAnchor"/>
          <w:rtl w:val="true"/>
        </w:rPr>
        <w:footnoteReference w:id="959"/>
      </w:r>
      <w:r>
        <w:rPr>
          <w:rFonts w:ascii="Amiri" w:hAnsi="Amiri" w:eastAsia="Amiri" w:cs="Amiri"/>
          <w:color w:val="111111"/>
          <w:sz w:val="28"/>
          <w:sz w:val="28"/>
          <w:szCs w:val="28"/>
          <w:rtl w:val="true"/>
          <w:lang w:bidi="ar-SA"/>
        </w:rPr>
        <w:t>وجوبُ إقامةِ الحَدِّ</w:t>
      </w:r>
      <w:r>
        <w:rPr>
          <w:rStyle w:val="FootnoteAnchor"/>
          <w:rtl w:val="true"/>
        </w:rPr>
        <w:footnoteReference w:id="960"/>
      </w:r>
      <w:r>
        <w:rPr>
          <w:rFonts w:ascii="Amiri" w:hAnsi="Amiri" w:eastAsia="Amiri" w:cs="Amiri"/>
          <w:color w:val="111111"/>
          <w:sz w:val="28"/>
          <w:sz w:val="28"/>
          <w:szCs w:val="28"/>
          <w:rtl w:val="true"/>
          <w:lang w:bidi="ar-SA"/>
        </w:rPr>
        <w:t xml:space="preserve">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يَتِمُّ إلّابه مِن</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إقامةِ الإمامِ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ما ذَكَرتَه، متىٰ ثَبَتَ في وجوبِ الشيءِ أنّه مُتَعلِّقٌ‌</w:t>
      </w:r>
      <w:r>
        <w:rPr>
          <w:rStyle w:val="FootnoteAnchor"/>
          <w:rtl w:val="true"/>
        </w:rPr>
        <w:footnoteReference w:id="962"/>
      </w:r>
      <w:r>
        <w:rPr>
          <w:rFonts w:ascii="Amiri" w:hAnsi="Amiri" w:eastAsia="Amiri" w:cs="Amiri"/>
          <w:color w:val="111111"/>
          <w:sz w:val="28"/>
          <w:sz w:val="28"/>
          <w:szCs w:val="28"/>
          <w:rtl w:val="true"/>
          <w:lang w:bidi="ar-SA"/>
        </w:rPr>
        <w:t>بشَرطٍ، فأمّا إذا لَم يَثبُتْ فيه ذلكَ ، فوجوبُه يَقتَضي وجوبَ ما لا يَتِمُّ إلّا به، و لا يَمتَنِعُ مِن أن نَصِفَ ذلك</w:t>
      </w:r>
      <w:r>
        <w:rPr>
          <w:rStyle w:val="FootnoteAnchor"/>
          <w:rtl w:val="true"/>
        </w:rPr>
        <w:footnoteReference w:id="963"/>
      </w:r>
      <w:r>
        <w:rPr>
          <w:rFonts w:ascii="Amiri" w:hAnsi="Amiri" w:eastAsia="Amiri" w:cs="Amiri"/>
          <w:color w:val="111111"/>
          <w:sz w:val="28"/>
          <w:sz w:val="28"/>
          <w:szCs w:val="28"/>
          <w:rtl w:val="true"/>
          <w:lang w:bidi="ar-SA"/>
        </w:rPr>
        <w:t>بأنّه شرطٌ، لكنّه مع كَونِه شرطاً يَصيرُ</w:t>
      </w:r>
      <w:r>
        <w:rPr>
          <w:rStyle w:val="FootnoteAnchor"/>
          <w:rtl w:val="true"/>
        </w:rPr>
        <w:footnoteReference w:id="964"/>
      </w:r>
      <w:r>
        <w:rPr>
          <w:rFonts w:ascii="Amiri" w:hAnsi="Amiri" w:eastAsia="Amiri" w:cs="Amiri"/>
          <w:color w:val="111111"/>
          <w:sz w:val="28"/>
          <w:sz w:val="28"/>
          <w:szCs w:val="28"/>
          <w:rtl w:val="true"/>
          <w:lang w:bidi="ar-SA"/>
        </w:rPr>
        <w:t>واجباً؛ مِن حَيثُ تَضمَّنَ وجوبُ ذلكَ الأمرِ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العقلِ مِن أنّ وجوبَ الشيءِ يَقتَضي وجوبَ ما لا يَتِمُّ إلّا به، إلّاأن يَمنَعَ منه</w:t>
      </w:r>
      <w:r>
        <w:rPr>
          <w:rStyle w:val="FootnoteAnchor"/>
          <w:rtl w:val="true"/>
        </w:rPr>
        <w:footnoteReference w:id="966"/>
      </w:r>
      <w:r>
        <w:rPr>
          <w:rFonts w:ascii="Amiri" w:hAnsi="Amiri" w:eastAsia="Amiri" w:cs="Amiri"/>
          <w:color w:val="111111"/>
          <w:sz w:val="28"/>
          <w:sz w:val="28"/>
          <w:szCs w:val="28"/>
          <w:rtl w:val="true"/>
          <w:lang w:bidi="ar-SA"/>
        </w:rPr>
        <w:t xml:space="preserve">مانِعٌ بأن نَعلَمَ أنّه إنّما يَجِبُ عندَ ذلكَ ، و لَولاه </w:t>
      </w:r>
      <w:bookmarkStart w:id="427" w:name="pg20044_770890"/>
    </w:p>
    <w:p>
      <w:pPr>
        <w:pStyle w:val="BookText"/>
        <w:rPr/>
      </w:pPr>
      <w:bookmarkEnd w:id="427"/>
      <w:r>
        <w:rPr>
          <w:rFonts w:ascii="Amiri" w:hAnsi="Amiri" w:eastAsia="Amiri" w:cs="Amiri"/>
          <w:color w:val="111111"/>
          <w:sz w:val="28"/>
          <w:sz w:val="28"/>
          <w:szCs w:val="28"/>
          <w:rtl w:val="true"/>
          <w:lang w:bidi="ar-SA"/>
        </w:rPr>
        <w:t xml:space="preserve">كانَ لا يَجِبُ </w:t>
      </w:r>
      <w:r>
        <w:rPr>
          <w:rFonts w:eastAsia="Amiri" w:cs="Amiri" w:ascii="Amiri" w:hAnsi="Amiri"/>
          <w:color w:val="111111"/>
          <w:sz w:val="28"/>
          <w:szCs w:val="28"/>
          <w:rtl w:val="true"/>
          <w:lang w:bidi="ar-SA"/>
        </w:rPr>
        <w:t>....</w:t>
      </w:r>
      <w:r>
        <w:rPr>
          <w:rStyle w:val="FootnoteAnchor"/>
          <w:rtl w:val="true"/>
        </w:rPr>
        <w:footnoteReference w:id="967"/>
      </w:r>
    </w:p>
    <w:p>
      <w:pPr>
        <w:pStyle w:val="Heading5"/>
        <w:numPr>
          <w:ilvl w:val="4"/>
          <w:numId w:val="1"/>
        </w:numPr>
        <w:rPr/>
      </w:pPr>
      <w:bookmarkStart w:id="428" w:name="__RefHeading___Toc828574_2320776876"/>
      <w:bookmarkStart w:id="429" w:name="_Toc152"/>
      <w:bookmarkEnd w:id="428"/>
      <w:r>
        <w:rPr>
          <w:rtl w:val="true"/>
        </w:rPr>
        <w:t>إبطال الاستدلال بوجوب إقامة الحدود علىٰ وجوب الإمامة</w:t>
      </w:r>
      <w:bookmarkEnd w:id="429"/>
    </w:p>
    <w:p>
      <w:pPr>
        <w:pStyle w:val="BookText"/>
        <w:rPr/>
      </w:pPr>
      <w:r>
        <w:rPr>
          <w:rFonts w:ascii="Amiri" w:hAnsi="Amiri" w:eastAsia="Amiri" w:cs="Amiri"/>
          <w:color w:val="111111"/>
          <w:sz w:val="28"/>
          <w:sz w:val="28"/>
          <w:szCs w:val="28"/>
          <w:rtl w:val="true"/>
          <w:lang w:bidi="ar-SA"/>
        </w:rPr>
        <w:t>فيُقالُ له</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قَطعُ السُّرّاقِ و جَلدُ الزُّناةِ فهُما مِن فُروضِ الكِفاياتِ‌</w:t>
      </w:r>
      <w:r>
        <w:rPr>
          <w:rStyle w:val="FootnoteAnchor"/>
          <w:rtl w:val="true"/>
        </w:rPr>
        <w:footnoteReference w:id="969"/>
      </w:r>
      <w:r>
        <w:rPr>
          <w:rFonts w:ascii="Amiri" w:hAnsi="Amiri" w:eastAsia="Amiri" w:cs="Amiri"/>
          <w:color w:val="111111"/>
          <w:sz w:val="28"/>
          <w:sz w:val="28"/>
          <w:szCs w:val="28"/>
          <w:rtl w:val="true"/>
          <w:lang w:bidi="ar-SA"/>
        </w:rPr>
        <w:t>علَى الأئمّةِ‌</w:t>
      </w:r>
      <w:r>
        <w:rPr>
          <w:rStyle w:val="FootnoteAnchor"/>
          <w:rtl w:val="true"/>
        </w:rPr>
        <w:footnoteReference w:id="970"/>
      </w:r>
      <w:r>
        <w:rPr>
          <w:rFonts w:ascii="Amiri" w:hAnsi="Amiri" w:eastAsia="Amiri" w:cs="Amiri"/>
          <w:color w:val="111111"/>
          <w:sz w:val="28"/>
          <w:sz w:val="28"/>
          <w:szCs w:val="28"/>
          <w:rtl w:val="true"/>
          <w:lang w:bidi="ar-SA"/>
        </w:rPr>
        <w:t>، و لا بُدَّ أن يَكونا مَشروطَينِ بحُصولِ المُخاطَبِ إماماً</w:t>
      </w:r>
      <w:r>
        <w:rPr>
          <w:rStyle w:val="FootnoteAnchor"/>
          <w:rtl w:val="true"/>
        </w:rPr>
        <w:footnoteReference w:id="971"/>
      </w:r>
      <w:r>
        <w:rPr>
          <w:rFonts w:ascii="Amiri" w:hAnsi="Amiri" w:eastAsia="Amiri" w:cs="Amiri"/>
          <w:color w:val="111111"/>
          <w:sz w:val="28"/>
          <w:sz w:val="28"/>
          <w:szCs w:val="28"/>
          <w:rtl w:val="true"/>
          <w:lang w:bidi="ar-SA"/>
        </w:rPr>
        <w:t xml:space="preserve">كما أنّ الزكاةَ تَجِبُ علىٰ مالكِ النِّصابِ، و الحَجَّ يَجِبُ علىٰ واجدِ الزادِ و الراحِلةِ ، و التكليفُ فيهما مشروطٌ بحُصولِ النِّصابِ و وجودِ الزادِ و الراحِلةِ ؛ فكما لا يَجِبُ التوَصُّلُ إلىٰ مِلكِ </w:t>
      </w:r>
      <w:r>
        <w:rPr>
          <w:rStyle w:val="FootnoteAnchor"/>
          <w:rtl w:val="true"/>
        </w:rPr>
        <w:footnoteReference w:id="972"/>
      </w:r>
      <w:r>
        <w:rPr>
          <w:rFonts w:ascii="Amiri" w:hAnsi="Amiri" w:eastAsia="Amiri" w:cs="Amiri"/>
          <w:color w:val="111111"/>
          <w:sz w:val="28"/>
          <w:sz w:val="28"/>
          <w:szCs w:val="28"/>
          <w:rtl w:val="true"/>
          <w:lang w:bidi="ar-SA"/>
        </w:rPr>
        <w:t>النِّصابِ و تحصيلِ الزادِ و الراحِلةِ ليَلزَمَ الزكاةُ و الحَجُّ ، فكذلكَ لا يَجِبُ التوَصُّلُ إلىٰ إقامةِ الإمامِ ليَجِبَ عليه إقامةُ الحدودِ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يَقتَضيهِ العقلُ مِن أنّ وجوبَ الشيءِ يَقتَضي وجوبَ ما لا يَتِمُّ إلّابه، إلّاأن يَمنَعَ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فَصلَ بَينَه و بَينَ مَن عَكَسَ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فيما يَدُلُّ عليه العقلُ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الموجَبَ إذا كانَ مشروطاً بصفةٍ ، فغيرُ واجبٍ تحصيلُ تلكَ الصفةِ و التوَصُّلُ إليها، بَل الواجبُ التزامُ الفِعلِ عندَ حُصولِ </w:t>
      </w:r>
      <w:bookmarkStart w:id="430" w:name="pg20044_770891"/>
    </w:p>
    <w:p>
      <w:pPr>
        <w:pStyle w:val="BookText"/>
        <w:rPr/>
      </w:pPr>
      <w:bookmarkEnd w:id="430"/>
      <w:r>
        <w:rPr>
          <w:rFonts w:ascii="Amiri" w:hAnsi="Amiri" w:eastAsia="Amiri" w:cs="Amiri"/>
          <w:color w:val="111111"/>
          <w:sz w:val="28"/>
          <w:sz w:val="28"/>
          <w:szCs w:val="28"/>
          <w:rtl w:val="true"/>
          <w:lang w:bidi="ar-SA"/>
        </w:rPr>
        <w:t>الشرطِ، إلّاأن يَمنَعَ مانِعٌ ، أو يَدُلَّ دليلٌ علىٰ أنّ التوَصُّلَ إلىٰ حُصولِ الشرطِ واجبٌ فيُقالَ به، و إلّافالواجبُ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علىٰ هذا القولِ أن يَكونَ لَو خُلّينا و الظاهرَ لَم نوجِبْ علَى المُحدِثِ الصَّلاةَ ، و إنّما أوجَبناها و أوجَبنا عليه تحصيلَ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وضوءٍ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دَلَّ علىٰ ذلك، و إلّاكانَت تَلحَقُ بوجوبِ الزكاةِ و الحَجِّ </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828576_2320776876"/>
      <w:bookmarkStart w:id="432" w:name="_Toc153"/>
      <w:bookmarkEnd w:id="431"/>
      <w:r>
        <w:rPr>
          <w:rtl w:val="true"/>
        </w:rPr>
        <w:t>عدم دلالة اشتراط الإيجاب بصفة، علىٰ وجوب تحصيل تلك الصفة أو عدم ذلك</w:t>
      </w:r>
      <w:bookmarkEnd w:id="432"/>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الصحيحُ عندَكم في هذا؟ و هَل ظاهرُ إيجابِ الفِعلِ إذا كانَ مشروطاً بحُصولِ غيرِه يَقتَضي تحصيلَ شَرطِه، أم لا يَقتَضي ذلكَ ؛ بَل يَلزَمُ الفِعلُ عندَ حُصولِ الشَّرطِ، و لا يَلزَمُ التَّوَصُّلُ إليه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حَكَيناه إنّما ذَكَرناه علىٰ سَبيلِ المُعارَضةِ، و مُقابَلةِ الدَّعوَى الباطلةِ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عندَنا أنّ ظاهرَ الإيجابِ إذا كان مشروطاً بحُصولِ صفةٍ مِن الصفاتِ، لا يَقتَضي تحصيلَ تلكَ الصفةِ، و كما</w:t>
      </w:r>
      <w:r>
        <w:rPr>
          <w:rStyle w:val="FootnoteAnchor"/>
          <w:rtl w:val="true"/>
        </w:rPr>
        <w:footnoteReference w:id="973"/>
      </w:r>
      <w:r>
        <w:rPr>
          <w:rFonts w:ascii="Amiri" w:hAnsi="Amiri" w:eastAsia="Amiri" w:cs="Amiri"/>
          <w:color w:val="111111"/>
          <w:sz w:val="28"/>
          <w:sz w:val="28"/>
          <w:szCs w:val="28"/>
          <w:rtl w:val="true"/>
          <w:lang w:bidi="ar-SA"/>
        </w:rPr>
        <w:t xml:space="preserve">أنّه لا يوجِبُ تحصيلَها فهو أيضاً غيرُ موجِبٍ بظاهرِه القَطعَ علىٰ أنّ تحصيلَها غيرُ واجبٍ ؛ بَل فَرضُ المُخاطَبِ عندَنا الوَقفُ </w:t>
      </w:r>
      <w:r>
        <w:rPr>
          <w:rStyle w:val="FootnoteAnchor"/>
          <w:rtl w:val="true"/>
        </w:rPr>
        <w:footnoteReference w:id="974"/>
      </w:r>
      <w:r>
        <w:rPr>
          <w:rFonts w:ascii="Amiri" w:hAnsi="Amiri" w:eastAsia="Amiri" w:cs="Amiri"/>
          <w:color w:val="111111"/>
          <w:sz w:val="28"/>
          <w:sz w:val="28"/>
          <w:szCs w:val="28"/>
          <w:rtl w:val="true"/>
          <w:lang w:bidi="ar-SA"/>
        </w:rPr>
        <w:t>، و تجويزُ ورودِ البيانِ بإلزامِه</w:t>
      </w:r>
      <w:r>
        <w:rPr>
          <w:rStyle w:val="FootnoteAnchor"/>
          <w:rtl w:val="true"/>
        </w:rPr>
        <w:footnoteReference w:id="975"/>
      </w:r>
      <w:r>
        <w:rPr>
          <w:rFonts w:ascii="Amiri" w:hAnsi="Amiri" w:eastAsia="Amiri" w:cs="Amiri"/>
          <w:color w:val="111111"/>
          <w:sz w:val="28"/>
          <w:sz w:val="28"/>
          <w:szCs w:val="28"/>
          <w:rtl w:val="true"/>
          <w:lang w:bidi="ar-SA"/>
        </w:rPr>
        <w:t xml:space="preserve">تحصيلَ الصفةِ ، أو ورودِه بأنّ تحصيلَها غيرُ لازمٍ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لا يَتِمُّ الشيءُ إلّابه علىٰ ضَربَينِ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يَجِبُ، كتحصيلِ النِّصابِ و الزادِ و الراحِلةِ ؛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 كالوضوءِ و ما يَجري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لكَ أنّ إيجابَ الحُدودِ مِن القِسمِ الذي يوجِبُ </w:t>
      </w:r>
      <w:r>
        <w:rPr>
          <w:rStyle w:val="FootnoteAnchor"/>
          <w:rtl w:val="true"/>
        </w:rPr>
        <w:footnoteReference w:id="977"/>
      </w:r>
      <w:r>
        <w:rPr>
          <w:rFonts w:ascii="Amiri" w:hAnsi="Amiri" w:eastAsia="Amiri" w:cs="Amiri"/>
          <w:color w:val="111111"/>
          <w:sz w:val="28"/>
          <w:sz w:val="28"/>
          <w:szCs w:val="28"/>
          <w:rtl w:val="true"/>
          <w:lang w:bidi="ar-SA"/>
        </w:rPr>
        <w:t>ما لا يَتِمُّ إلّابه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الإيجابِ يَقتَضي وجوبَ ما لا يَتِمُّ إلّابه، و إنّما فَرَّقتُ‌</w:t>
      </w:r>
      <w:r>
        <w:rPr>
          <w:rStyle w:val="FootnoteAnchor"/>
          <w:rtl w:val="true"/>
        </w:rPr>
        <w:footnoteReference w:id="978"/>
      </w:r>
      <w:r>
        <w:rPr>
          <w:rFonts w:ascii="Amiri" w:hAnsi="Amiri" w:eastAsia="Amiri" w:cs="Amiri"/>
          <w:color w:val="111111"/>
          <w:sz w:val="28"/>
          <w:sz w:val="28"/>
          <w:szCs w:val="28"/>
          <w:rtl w:val="true"/>
          <w:lang w:bidi="ar-SA"/>
        </w:rPr>
        <w:t>بَينَ الزكاةِ و بَينَ غيرِها في هذا البابِ لأنّ‌</w:t>
      </w:r>
      <w:r>
        <w:rPr>
          <w:rStyle w:val="FootnoteAnchor"/>
          <w:rtl w:val="true"/>
        </w:rPr>
        <w:footnoteReference w:id="979"/>
      </w:r>
      <w:r>
        <w:rPr>
          <w:rFonts w:ascii="Amiri" w:hAnsi="Amiri" w:eastAsia="Amiri" w:cs="Amiri"/>
          <w:color w:val="111111"/>
          <w:sz w:val="28"/>
          <w:sz w:val="28"/>
          <w:szCs w:val="28"/>
          <w:rtl w:val="true"/>
          <w:lang w:bidi="ar-SA"/>
        </w:rPr>
        <w:t xml:space="preserve">الإجماعَ حاصلٌ على أنّ تحصيلَ النِّصابِ غيرُ واجبٍ ، و لولا الدليلُ لأََوجَبتُ </w:t>
      </w:r>
      <w:r>
        <w:rPr>
          <w:rStyle w:val="FootnoteAnchor"/>
          <w:rtl w:val="true"/>
        </w:rPr>
        <w:footnoteReference w:id="980"/>
      </w:r>
      <w:r>
        <w:rPr>
          <w:rFonts w:ascii="Amiri" w:hAnsi="Amiri" w:eastAsia="Amiri" w:cs="Amiri"/>
          <w:color w:val="111111"/>
          <w:sz w:val="28"/>
          <w:sz w:val="28"/>
          <w:szCs w:val="28"/>
          <w:rtl w:val="true"/>
          <w:lang w:bidi="ar-SA"/>
        </w:rPr>
        <w:t xml:space="preserve">تَحصيلَ النِّصابِ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الفَصلُ بَينَكَ و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الإيجابِ المشروطِ يَقتَضي وجوبَ الفِعلِ عندَ حُصولِ شَرطِه، و لا يوجِبُ التوَصُّلَ إلَى الشرطِ؟</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بل لا يجب علىٰ أحد الشيء؛ لتوقّف الإتيان به علىٰ تعلُّق إرادته به، فهو 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بوجوبِ الصلاةِ علَى المُحدِثِ و إن لَم يَتَكامَلْ شرطُه لأنّ الإجماعَ حاصِلٌ علىٰ لُزومِ الصلاةِ له، و وجوبِ تحصيلِ شرطِها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ذلكَ لأَجرَينا الصلاةَ مَجرَى الزكاةِ و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ما حَكَيناه سؤالاً أطالَه جِدّاً لا يُسألُ عن أكثرِه؛ ابتداؤه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ذلك إذا كانَ كِلا الأمرَينِ يَجِبُ علىٰ مُكلَّفٍ واحدٍ </w:t>
      </w:r>
      <w:bookmarkStart w:id="433" w:name="pg20044_770893"/>
    </w:p>
    <w:p>
      <w:pPr>
        <w:pStyle w:val="BookText"/>
        <w:rPr/>
      </w:pPr>
      <w:bookmarkEnd w:id="433"/>
      <w:r>
        <w:rPr>
          <w:rFonts w:ascii="Amiri" w:hAnsi="Amiri" w:eastAsia="Amiri" w:cs="Amiri"/>
          <w:color w:val="111111"/>
          <w:sz w:val="28"/>
          <w:sz w:val="28"/>
          <w:szCs w:val="28"/>
          <w:rtl w:val="true"/>
          <w:lang w:bidi="ar-SA"/>
        </w:rPr>
        <w:t>و يَصِحّانِ مِنه، فوجوبُ أحَدِهما يَتضمَّنُ وجوبَ الآخَرِ إذا لَم يَتِمَّ إلّا به</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أجابَ عنه بما جُملتُه مَبنيٌّ علىٰ أنّ وجوبَ الشيءِ يَقتَضي وجوبَ ما لا يَتِمُّ إلّا به</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قد بيّنّا أنّ ذلك يَنقَسِمُ‌</w:t>
      </w:r>
      <w:r>
        <w:rPr>
          <w:rStyle w:val="FootnoteAnchor"/>
          <w:rtl w:val="true"/>
        </w:rPr>
        <w:footnoteReference w:id="985"/>
      </w:r>
      <w:r>
        <w:rPr>
          <w:rFonts w:ascii="Amiri" w:hAnsi="Amiri" w:eastAsia="Amiri" w:cs="Amiri"/>
          <w:color w:val="111111"/>
          <w:sz w:val="28"/>
          <w:sz w:val="28"/>
          <w:szCs w:val="28"/>
          <w:rtl w:val="true"/>
          <w:lang w:bidi="ar-SA"/>
        </w:rPr>
        <w:t>، و ضَرَبنا له أمثالاً بالزكاةِ و الحَجِّ، و دَلَّلنا</w:t>
      </w:r>
      <w:r>
        <w:rPr>
          <w:rStyle w:val="FootnoteAnchor"/>
          <w:rtl w:val="true"/>
        </w:rPr>
        <w:footnoteReference w:id="986"/>
      </w:r>
      <w:r>
        <w:rPr>
          <w:rFonts w:ascii="Amiri" w:hAnsi="Amiri" w:eastAsia="Amiri" w:cs="Amiri"/>
          <w:color w:val="111111"/>
          <w:sz w:val="28"/>
          <w:sz w:val="28"/>
          <w:szCs w:val="28"/>
          <w:rtl w:val="true"/>
          <w:lang w:bidi="ar-SA"/>
        </w:rPr>
        <w:t>علىٰ أنّ الظاهرَ مِن إيجابِ الشيءِ إذا كان مشروطاً بصفةٍ ، لا يَقتَضي تحصيلَ الصفةِ ، و كما</w:t>
      </w:r>
      <w:r>
        <w:rPr>
          <w:rStyle w:val="FootnoteAnchor"/>
          <w:rtl w:val="true"/>
        </w:rPr>
        <w:footnoteReference w:id="987"/>
      </w:r>
      <w:r>
        <w:rPr>
          <w:rFonts w:ascii="Amiri" w:hAnsi="Amiri" w:eastAsia="Amiri" w:cs="Amiri"/>
          <w:color w:val="111111"/>
          <w:sz w:val="28"/>
          <w:sz w:val="28"/>
          <w:szCs w:val="28"/>
          <w:rtl w:val="true"/>
          <w:lang w:bidi="ar-SA"/>
        </w:rPr>
        <w:t xml:space="preserve">لا يَقتَضي ذلكَ فهو غيرُ مُقتَضٍ أيضاً للقَطعِ علىٰ أنّها غيرُ واجبةٍ و أنّ الفِعلَ يَلزَمُ عندَ حُصولِ الصفةِ ؛ بَل الواجبُ أن يَكونَ الأمرُ فيه موقوفاً علَى الدليلِ </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28578_2320776876"/>
      <w:bookmarkStart w:id="435" w:name="_Toc154"/>
      <w:bookmarkEnd w:id="434"/>
      <w:r>
        <w:rPr>
          <w:rtl w:val="true"/>
        </w:rPr>
        <w:t>بيان الفرق بين إيجاب السبب، و إيجاب إقامة الحدود</w:t>
      </w:r>
      <w:bookmarkEnd w:id="43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فيما ذَكَرتُموه</w:t>
      </w:r>
      <w:r>
        <w:rPr>
          <w:rStyle w:val="FootnoteAnchor"/>
          <w:rtl w:val="true"/>
        </w:rPr>
        <w:footnoteReference w:id="988"/>
      </w:r>
      <w:r>
        <w:rPr>
          <w:rFonts w:ascii="Amiri" w:hAnsi="Amiri" w:eastAsia="Amiri" w:cs="Amiri"/>
          <w:color w:val="111111"/>
          <w:sz w:val="28"/>
          <w:sz w:val="28"/>
          <w:szCs w:val="28"/>
          <w:rtl w:val="true"/>
          <w:lang w:bidi="ar-SA"/>
        </w:rPr>
        <w:t xml:space="preserve">أن يَكونَ إيجابُ المسبَّبِ لَيسَ بإيجابٍ للسبَبِ </w:t>
      </w:r>
      <w:r>
        <w:rPr>
          <w:rStyle w:val="FootnoteAnchor"/>
          <w:rtl w:val="true"/>
        </w:rPr>
        <w:footnoteReference w:id="989"/>
      </w:r>
      <w:r>
        <w:rPr>
          <w:rFonts w:ascii="Amiri" w:hAnsi="Amiri" w:eastAsia="Amiri" w:cs="Amiri"/>
          <w:color w:val="111111"/>
          <w:sz w:val="28"/>
          <w:sz w:val="28"/>
          <w:szCs w:val="28"/>
          <w:rtl w:val="true"/>
          <w:lang w:bidi="ar-SA"/>
        </w:rPr>
        <w:t xml:space="preserve">، و هذا إنِ ارتَكَبتُموه بانَ فَسادُ قولِكم لكُلِّ أحَدٍ، و إن مَنَعتم مِنه و كان وُجوبُ السبَبِ لأجلِ إيجابِ المسبَّبِ إنّما هو مِن حَيثُ كانَ لا يَتِمُّ المسبَّبُ </w:t>
      </w:r>
    </w:p>
    <w:p>
      <w:pPr>
        <w:pStyle w:val="BookText"/>
        <w:rPr/>
      </w:pPr>
      <w:r>
        <w:rPr>
          <w:rFonts w:ascii="Amiri" w:hAnsi="Amiri" w:eastAsia="Amiri" w:cs="Amiri"/>
          <w:color w:val="111111"/>
          <w:sz w:val="28"/>
          <w:sz w:val="28"/>
          <w:szCs w:val="28"/>
          <w:rtl w:val="true"/>
          <w:lang w:bidi="ar-SA"/>
        </w:rPr>
        <w:t>إلّا به، فهذا قائمٌ فيما ذَكَرتُموه و دَفَعتُموه</w:t>
      </w:r>
      <w:r>
        <w:rPr>
          <w:rStyle w:val="FootnoteAnchor"/>
          <w:rtl w:val="true"/>
        </w:rPr>
        <w:footnoteReference w:id="990"/>
      </w:r>
      <w:r>
        <w:rPr>
          <w:rFonts w:ascii="Amiri" w:hAnsi="Amiri" w:eastAsia="Amiri" w:cs="Amiri"/>
          <w:color w:val="111111"/>
          <w:sz w:val="28"/>
          <w:sz w:val="28"/>
          <w:szCs w:val="28"/>
          <w:rtl w:val="true"/>
          <w:lang w:bidi="ar-SA"/>
        </w:rPr>
        <w:t xml:space="preserve">مِن إيجابِ الحُدودِ؛ لأنّه معلومٌ أنّ إقامتَها لا يُمكِنُ إلّابالأئمّةِ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السبَبِ و إيجابِه لأجلِ وجوبِ المسبَّبِ، و بَينَ إقامةِ الحُدودِ و ما أشبَهَها، فَرقاً واضحاً؛ 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لا يَتِمُّ إلّابغيرِه و كان إيجابُه دونَ إيجابِ الغيرِ الذي لا يَتِمُّ إلّابه جائزاً، لا يَجِبُ أن يَكونَ‌</w:t>
      </w:r>
      <w:r>
        <w:rPr>
          <w:rStyle w:val="FootnoteAnchor"/>
          <w:rtl w:val="true"/>
        </w:rPr>
        <w:footnoteReference w:id="991"/>
      </w:r>
      <w:r>
        <w:rPr>
          <w:rFonts w:ascii="Amiri" w:hAnsi="Amiri" w:eastAsia="Amiri" w:cs="Amiri"/>
          <w:color w:val="111111"/>
          <w:sz w:val="28"/>
          <w:sz w:val="28"/>
          <w:szCs w:val="28"/>
          <w:rtl w:val="true"/>
          <w:lang w:bidi="ar-SA"/>
        </w:rPr>
        <w:t>ما دَلَّ على وجوبِه و لُزومِه دالّاً علىٰ وجوبِ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الشيءُ الذي لا يَتِمُّ إلّابغيرِه ممّا</w:t>
      </w:r>
      <w:r>
        <w:rPr>
          <w:rStyle w:val="FootnoteAnchor"/>
          <w:rtl w:val="true"/>
        </w:rPr>
        <w:footnoteReference w:id="992"/>
      </w:r>
      <w:r>
        <w:rPr>
          <w:rFonts w:ascii="Amiri" w:hAnsi="Amiri" w:eastAsia="Amiri" w:cs="Amiri"/>
          <w:color w:val="111111"/>
          <w:sz w:val="28"/>
          <w:sz w:val="28"/>
          <w:szCs w:val="28"/>
          <w:rtl w:val="true"/>
          <w:lang w:bidi="ar-SA"/>
        </w:rPr>
        <w:t>لا يَجوزُ إيجابُه دونَ إيجابِ الغيرِ، كانَ إيجابُه دالّاً علىٰ إيجابِ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w:t>
      </w:r>
      <w:r>
        <w:rPr>
          <w:rStyle w:val="FootnoteAnchor"/>
          <w:rtl w:val="true"/>
        </w:rPr>
        <w:footnoteReference w:id="993"/>
      </w:r>
      <w:r>
        <w:rPr>
          <w:rFonts w:ascii="Amiri" w:hAnsi="Amiri" w:eastAsia="Amiri" w:cs="Amiri"/>
          <w:color w:val="111111"/>
          <w:sz w:val="28"/>
          <w:sz w:val="28"/>
          <w:szCs w:val="28"/>
          <w:rtl w:val="true"/>
          <w:lang w:bidi="ar-SA"/>
        </w:rPr>
        <w:t>الزكاةِ و الحَجِّ؛ لأنّهما لا يَتِمّانِ إلّابوجودِ النِّصابِ و الزادِ و الراحِلةِ، و غيرُ مُمتنِعٍ أن يوجَبا مِن غيرِ إيجابِ تحصيلِ الزادِ و الراحِلةِ و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الحدودِ لاحِقٌ بهذا الوجهِ؛ لأنّه غيرُ مُمتَنِعٍ أن يوجَبَ علَى الأئمّةِ و إن لَم يَجِبِ التوَصُّلُ إلىٰ جَعلِهم أئمّةً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 المُسبَّبُ‌</w:t>
      </w:r>
      <w:r>
        <w:rPr>
          <w:rStyle w:val="FootnoteAnchor"/>
          <w:rtl w:val="true"/>
        </w:rPr>
        <w:footnoteReference w:id="994"/>
      </w:r>
      <w:r>
        <w:rPr>
          <w:rFonts w:ascii="Amiri" w:hAnsi="Amiri" w:eastAsia="Amiri" w:cs="Amiri"/>
          <w:color w:val="111111"/>
          <w:sz w:val="28"/>
          <w:sz w:val="28"/>
          <w:szCs w:val="28"/>
          <w:rtl w:val="true"/>
          <w:lang w:bidi="ar-SA"/>
        </w:rPr>
        <w:t xml:space="preserve">لأنّه يَستَحيلُ أن يوجَبَ المسبَّبُ بشرطِ حصولِ السبَبِ؛ لأنّ السبَبَ إذا حَصَلَ كان المسبَّبُ في حُكمِ الموجودِ إلّاأن يَمنَعَ مانِعٌ، و مُحالٌ أن يوجَبَ علَى المكلَّفِ إيجادُ ما هو موجودٌ، و لا بُدَّ مِن هذا الوجهِ أن يَكونَ في إيجابِه إيجابُ المسبَّبِ </w:t>
      </w:r>
      <w:r>
        <w:rPr>
          <w:rStyle w:val="FootnoteAnchor"/>
          <w:rtl w:val="true"/>
        </w:rPr>
        <w:footnoteReference w:id="995"/>
      </w:r>
      <w:r>
        <w:rPr>
          <w:rFonts w:ascii="Amiri" w:hAnsi="Amiri" w:eastAsia="Amiri" w:cs="Amiri"/>
          <w:color w:val="111111"/>
          <w:sz w:val="28"/>
          <w:sz w:val="28"/>
          <w:szCs w:val="28"/>
          <w:rtl w:val="true"/>
          <w:lang w:bidi="ar-SA"/>
        </w:rPr>
        <w:t>لأنّه لا يُمكِنُ فيه غيرُ ما ذَكَرناه</w:t>
      </w:r>
      <w:r>
        <w:rPr>
          <w:rFonts w:eastAsia="Amiri" w:cs="Amiri" w:ascii="Amiri" w:hAnsi="Amiri"/>
          <w:color w:val="111111"/>
          <w:sz w:val="28"/>
          <w:szCs w:val="28"/>
          <w:rtl w:val="true"/>
          <w:lang w:bidi="ar-SA"/>
        </w:rPr>
        <w:t xml:space="preserve">. </w:t>
      </w:r>
      <w:bookmarkStart w:id="436" w:name="pg20044_770895"/>
    </w:p>
    <w:p>
      <w:pPr>
        <w:pStyle w:val="Heading5"/>
        <w:numPr>
          <w:ilvl w:val="4"/>
          <w:numId w:val="1"/>
        </w:numPr>
        <w:rPr/>
      </w:pPr>
      <w:bookmarkStart w:id="437" w:name="__RefHeading___Toc828580_2320776876"/>
      <w:bookmarkStart w:id="438" w:name="_Toc155"/>
      <w:bookmarkEnd w:id="436"/>
      <w:bookmarkEnd w:id="437"/>
      <w:r>
        <w:rPr>
          <w:rtl w:val="true"/>
        </w:rPr>
        <w:t>بيان الفرق بين إيجاب العبادات، و إيجاب شروطها</w:t>
      </w:r>
      <w:bookmarkEnd w:id="438"/>
    </w:p>
    <w:p>
      <w:pPr>
        <w:pStyle w:val="BookText"/>
        <w:rPr/>
      </w:pPr>
      <w:r>
        <w:rPr>
          <w:rFonts w:ascii="Amiri" w:hAnsi="Amiri" w:eastAsia="Amiri" w:cs="Amiri"/>
          <w:color w:val="111111"/>
          <w:sz w:val="28"/>
          <w:sz w:val="28"/>
          <w:szCs w:val="28"/>
          <w:rtl w:val="true"/>
          <w:lang w:bidi="ar-SA"/>
        </w:rPr>
        <w:t>فأمّا ما ذَكَرَه مِن العباداتِ الشرعيّةِ و وجوبِها لِكَونِها ألطافاً في العقليّاتِ‌</w:t>
      </w:r>
      <w:r>
        <w:rPr>
          <w:rStyle w:val="FootnoteAnchor"/>
          <w:rtl w:val="true"/>
        </w:rPr>
        <w:footnoteReference w:id="9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فمُفارِقٌ‌</w:t>
      </w:r>
      <w:r>
        <w:rPr>
          <w:rStyle w:val="FootnoteAnchor"/>
          <w:rtl w:val="true"/>
        </w:rPr>
        <w:footnoteReference w:id="997"/>
      </w:r>
      <w:r>
        <w:rPr>
          <w:rFonts w:ascii="Amiri" w:hAnsi="Amiri" w:eastAsia="Amiri" w:cs="Amiri"/>
          <w:color w:val="111111"/>
          <w:sz w:val="28"/>
          <w:sz w:val="28"/>
          <w:szCs w:val="28"/>
          <w:rtl w:val="true"/>
          <w:lang w:bidi="ar-SA"/>
        </w:rPr>
        <w:t>أيضاً لِما تَقدَّمَ ممّا يَجوزُ أن يَجِبَ و لا يَجِبَ‌</w:t>
      </w:r>
      <w:r>
        <w:rPr>
          <w:rStyle w:val="FootnoteAnchor"/>
          <w:rtl w:val="true"/>
        </w:rPr>
        <w:footnoteReference w:id="998"/>
      </w:r>
      <w:r>
        <w:rPr>
          <w:rFonts w:ascii="Amiri" w:hAnsi="Amiri" w:eastAsia="Amiri" w:cs="Amiri"/>
          <w:color w:val="111111"/>
          <w:sz w:val="28"/>
          <w:sz w:val="28"/>
          <w:szCs w:val="28"/>
          <w:rtl w:val="true"/>
          <w:lang w:bidi="ar-SA"/>
        </w:rPr>
        <w:t>لأنّ العباداتِ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كَونُها ألطافاً في غيرِها، جَرَت مَجرىٰ ما هي لُطفٌ فيه؛ في وجوبٍ و غيرِه</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و لَيسَ كذلك شُروطُ العباداتِ الشرعيّةِ؛ لأنّ فيها ما لا يَجِبُ بوجوبِ </w:t>
      </w:r>
      <w:r>
        <w:rPr>
          <w:rStyle w:val="FootnoteAnchor"/>
          <w:rtl w:val="true"/>
        </w:rPr>
        <w:footnoteReference w:id="1000"/>
      </w:r>
      <w:r>
        <w:rPr>
          <w:rFonts w:ascii="Amiri" w:hAnsi="Amiri" w:eastAsia="Amiri" w:cs="Amiri"/>
          <w:color w:val="111111"/>
          <w:sz w:val="28"/>
          <w:sz w:val="28"/>
          <w:szCs w:val="28"/>
          <w:rtl w:val="true"/>
          <w:lang w:bidi="ar-SA"/>
        </w:rPr>
        <w:t>نَفسِ العبادةِ ؛ كشُروطِ الزكاةِ و الحَجِّ ، و فيها ما يَجِبُ ؛ كشُروطِ الصلاةِ و ما ماثَلَها</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828582_2320776876"/>
      <w:bookmarkStart w:id="440" w:name="_Toc156"/>
      <w:bookmarkEnd w:id="439"/>
      <w:r>
        <w:rPr>
          <w:rtl w:val="true"/>
        </w:rPr>
        <w:t>مُناقَشةُ دَعوىٰ صاحبِ المغني من أنّ الإمامة إن لَم تَكُن واجبةً فقبولُ العَقدِ لَيسَ بواجبٍ</w:t>
      </w:r>
      <w:bookmarkEnd w:id="440"/>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إنّ مَن يَصلُحُ للإمامةِ لَيسَ يَلزَمُه غيرُ قبولِ العقدِ</w:t>
      </w:r>
      <w:r>
        <w:rPr>
          <w:rStyle w:val="FootnoteAnchor"/>
          <w:rtl w:val="true"/>
        </w:rPr>
        <w:footnoteReference w:id="1002"/>
      </w:r>
      <w:r>
        <w:rPr>
          <w:rFonts w:ascii="Amiri" w:hAnsi="Amiri" w:eastAsia="Amiri" w:cs="Amiri"/>
          <w:color w:val="111111"/>
          <w:sz w:val="28"/>
          <w:sz w:val="28"/>
          <w:szCs w:val="28"/>
          <w:rtl w:val="true"/>
          <w:lang w:bidi="ar-SA"/>
        </w:rPr>
        <w:t xml:space="preserve">علىٰ قولِكم، و لا يَلزَمُه التوَصُّلُ إلىٰ نَصبِ إمامٍ </w:t>
      </w:r>
      <w:r>
        <w:rPr>
          <w:rStyle w:val="FootnoteAnchor"/>
          <w:rtl w:val="true"/>
        </w:rPr>
        <w:footnoteReference w:id="1003"/>
      </w:r>
      <w:r>
        <w:rPr>
          <w:rFonts w:ascii="Amiri" w:hAnsi="Amiri" w:eastAsia="Amiri" w:cs="Amiri"/>
          <w:color w:val="111111"/>
          <w:sz w:val="28"/>
          <w:sz w:val="28"/>
          <w:szCs w:val="28"/>
          <w:rtl w:val="true"/>
          <w:lang w:bidi="ar-SA"/>
        </w:rPr>
        <w:t xml:space="preserve">، فكَيفَ يَصِحُّ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ما ذَكَرتُم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الإمامةُ‌</w:t>
      </w:r>
      <w:r>
        <w:rPr>
          <w:rStyle w:val="FootnoteAnchor"/>
          <w:rtl w:val="true"/>
        </w:rPr>
        <w:footnoteReference w:id="1006"/>
      </w:r>
      <w:r>
        <w:rPr>
          <w:rFonts w:ascii="Amiri" w:hAnsi="Amiri" w:eastAsia="Amiri" w:cs="Amiri"/>
          <w:color w:val="111111"/>
          <w:sz w:val="28"/>
          <w:sz w:val="28"/>
          <w:szCs w:val="28"/>
          <w:rtl w:val="true"/>
          <w:lang w:bidi="ar-SA"/>
        </w:rPr>
        <w:t>واجبةً فقبولُ العَقدِ لَيسَ بواجبٍ، فإذا صَحَّ بما ذَكَرناه وجوبُ القبولِ، ثَبَتَ وجوبُ إقامةِ الإمامِ علىٰ غيرِه؛ لأنّه إن صَحَّ مِن الغيرِ تَركُ الإقامةِ و لَم يَلزَمْه ذلكَ، صَحَّ مِنه تَركُ القبولِ‌</w:t>
      </w:r>
      <w:r>
        <w:rPr>
          <w:rStyle w:val="FootnoteAnchor"/>
          <w:rtl w:val="true"/>
        </w:rPr>
        <w:footnoteReference w:id="1007"/>
      </w:r>
      <w:r>
        <w:rPr>
          <w:rFonts w:ascii="Amiri" w:hAnsi="Amiri" w:eastAsia="Amiri" w:cs="Amiri"/>
          <w:color w:val="111111"/>
          <w:sz w:val="28"/>
          <w:sz w:val="28"/>
          <w:szCs w:val="28"/>
          <w:rtl w:val="true"/>
          <w:lang w:bidi="ar-SA"/>
        </w:rPr>
        <w:t>لأنّ وجوبَ أحَدِهما مُتَعلِّقٌ بوجوبِ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بخِلافِ ما قَدَّرَه السائلُ؛ لأنّ الجَماعةَ إذا صَلَحَت</w:t>
      </w:r>
      <w:r>
        <w:rPr>
          <w:rStyle w:val="FootnoteAnchor"/>
          <w:rtl w:val="true"/>
        </w:rPr>
        <w:footnoteReference w:id="1008"/>
      </w:r>
      <w:r>
        <w:rPr>
          <w:rFonts w:ascii="Amiri" w:hAnsi="Amiri" w:eastAsia="Amiri" w:cs="Amiri"/>
          <w:color w:val="111111"/>
          <w:sz w:val="28"/>
          <w:sz w:val="28"/>
          <w:szCs w:val="28"/>
          <w:rtl w:val="true"/>
          <w:lang w:bidi="ar-SA"/>
        </w:rPr>
        <w:t>للإمامةِ فواجبٌ علىٰ كُلِّ واحدٍ مِنهم الإقامةُ و القبولُ‌</w:t>
      </w:r>
      <w:r>
        <w:rPr>
          <w:rStyle w:val="FootnoteAnchor"/>
          <w:rtl w:val="true"/>
        </w:rPr>
        <w:footnoteReference w:id="1009"/>
      </w:r>
      <w:r>
        <w:rPr>
          <w:rFonts w:ascii="Amiri" w:hAnsi="Amiri" w:eastAsia="Amiri" w:cs="Amiri"/>
          <w:color w:val="111111"/>
          <w:sz w:val="28"/>
          <w:sz w:val="28"/>
          <w:szCs w:val="28"/>
          <w:rtl w:val="true"/>
          <w:lang w:bidi="ar-SA"/>
        </w:rPr>
        <w:t>علَى الوجهِ الذي يَصِحُّ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لا نَسألُه أيضاً عن هذا السؤالِ‌</w:t>
      </w:r>
      <w:r>
        <w:rPr>
          <w:rStyle w:val="FootnoteAnchor"/>
          <w:rtl w:val="true"/>
        </w:rPr>
        <w:footnoteReference w:id="1011"/>
      </w:r>
      <w:r>
        <w:rPr>
          <w:rFonts w:ascii="Amiri" w:hAnsi="Amiri" w:eastAsia="Amiri" w:cs="Amiri"/>
          <w:color w:val="111111"/>
          <w:sz w:val="28"/>
          <w:sz w:val="28"/>
          <w:szCs w:val="28"/>
          <w:rtl w:val="true"/>
          <w:lang w:bidi="ar-SA"/>
        </w:rPr>
        <w:t xml:space="preserve">لأنّا نَعرِفُ مَذهبَه في وجوبِ إقامةِ الإمامِ ، و أنّه فَرضٌ لازمٌ للجَماعةِ و إن كانَ علىٰ حَدِّ الكِفايةِ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الذي قَدَّمَه في صَدرِ جوابِه غيرُ صحيحٍ و لا مُبطِلٍ لِما</w:t>
      </w:r>
      <w:r>
        <w:rPr>
          <w:rStyle w:val="FootnoteAnchor"/>
          <w:rtl w:val="true"/>
        </w:rPr>
        <w:footnoteReference w:id="1012"/>
      </w:r>
      <w:r>
        <w:rPr>
          <w:rFonts w:ascii="Amiri" w:hAnsi="Amiri" w:eastAsia="Amiri" w:cs="Amiri"/>
          <w:color w:val="111111"/>
          <w:sz w:val="28"/>
          <w:sz w:val="28"/>
          <w:szCs w:val="28"/>
          <w:rtl w:val="true"/>
          <w:lang w:bidi="ar-SA"/>
        </w:rPr>
        <w:t>ألزَمَه؛ لأنّه غيرُ مُمتَنِعٍ أن يَجِبَ علَى الإمامِ عندَ العَقدِ القبولُ و إن كانَ العَقدُ في الأصلِ غيرَ واجبٍ؛</w:t>
      </w:r>
    </w:p>
    <w:p>
      <w:pPr>
        <w:pStyle w:val="BookText"/>
        <w:rPr/>
      </w:pPr>
      <w:r>
        <w:rPr>
          <w:rFonts w:ascii="Amiri" w:hAnsi="Amiri" w:eastAsia="Amiri" w:cs="Amiri"/>
          <w:color w:val="111111"/>
          <w:sz w:val="28"/>
          <w:sz w:val="28"/>
          <w:szCs w:val="28"/>
          <w:rtl w:val="true"/>
          <w:lang w:bidi="ar-SA"/>
        </w:rPr>
        <w:t>لأنّ أحَدَ الأمرَينِ مُنفَصِلٌ‌</w:t>
      </w:r>
      <w:r>
        <w:rPr>
          <w:rStyle w:val="FootnoteAnchor"/>
          <w:rtl w:val="true"/>
        </w:rPr>
        <w:footnoteReference w:id="1013"/>
      </w:r>
      <w:r>
        <w:rPr>
          <w:rFonts w:ascii="Amiri" w:hAnsi="Amiri" w:eastAsia="Amiri" w:cs="Amiri"/>
          <w:color w:val="111111"/>
          <w:sz w:val="28"/>
          <w:sz w:val="28"/>
          <w:szCs w:val="28"/>
          <w:rtl w:val="true"/>
          <w:lang w:bidi="ar-SA"/>
        </w:rPr>
        <w:t>عن الآخَرِ، فلا يَمتَنِعُ وجوبُه دونَه، و لَيسَ مِن حَيثُ‌</w:t>
      </w:r>
      <w:r>
        <w:rPr>
          <w:rStyle w:val="FootnoteAnchor"/>
          <w:rtl w:val="true"/>
        </w:rPr>
        <w:footnoteReference w:id="1014"/>
      </w:r>
      <w:r>
        <w:rPr>
          <w:rFonts w:ascii="Amiri" w:hAnsi="Amiri" w:eastAsia="Amiri" w:cs="Amiri"/>
          <w:color w:val="111111"/>
          <w:sz w:val="28"/>
          <w:sz w:val="28"/>
          <w:szCs w:val="28"/>
          <w:rtl w:val="true"/>
          <w:lang w:bidi="ar-SA"/>
        </w:rPr>
        <w:t>كانَ أحَدُهما كالأصلِ و الآخَرُ كالفَرعِ بحَسَبِ ما ظَنَّه؛ لأنّا نَعلَمُ‌</w:t>
      </w:r>
      <w:r>
        <w:rPr>
          <w:rStyle w:val="FootnoteAnchor"/>
          <w:rtl w:val="true"/>
        </w:rPr>
        <w:footnoteReference w:id="1015"/>
      </w:r>
      <w:r>
        <w:rPr>
          <w:rFonts w:ascii="Amiri" w:hAnsi="Amiri" w:eastAsia="Amiri" w:cs="Amiri"/>
          <w:color w:val="111111"/>
          <w:sz w:val="28"/>
          <w:sz w:val="28"/>
          <w:szCs w:val="28"/>
          <w:rtl w:val="true"/>
          <w:lang w:bidi="ar-SA"/>
        </w:rPr>
        <w:t>أنّ التكليفَ كالأصلِ لوجوبِ الألطافِ و أنّه مُتَقدِّمٌ له، و مع هذا فإنّ التكليفَ تَفضُّلٌ، و الألطافَ‌</w:t>
      </w:r>
      <w:r>
        <w:rPr>
          <w:rStyle w:val="FootnoteAnchor"/>
          <w:rtl w:val="true"/>
        </w:rPr>
        <w:footnoteReference w:id="1016"/>
      </w:r>
      <w:r>
        <w:rPr>
          <w:rFonts w:ascii="Amiri" w:hAnsi="Amiri" w:eastAsia="Amiri" w:cs="Amiri"/>
          <w:color w:val="111111"/>
          <w:sz w:val="28"/>
          <w:sz w:val="28"/>
          <w:szCs w:val="28"/>
          <w:rtl w:val="true"/>
          <w:lang w:bidi="ar-SA"/>
        </w:rPr>
        <w:t>بَعدَ التكليفِ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 ما ذَكَرناه كثيرةٌ جِدّاً</w:t>
      </w:r>
      <w:r>
        <w:rPr>
          <w:rStyle w:val="FootnoteAnchor"/>
          <w:rtl w:val="true"/>
        </w:rPr>
        <w:footnoteReference w:id="1017"/>
      </w:r>
      <w:r>
        <w:rPr>
          <w:rFonts w:ascii="Amiri" w:hAnsi="Amiri" w:eastAsia="Amiri" w:cs="Amiri"/>
          <w:color w:val="111111"/>
          <w:sz w:val="28"/>
          <w:sz w:val="28"/>
          <w:szCs w:val="28"/>
          <w:rtl w:val="true"/>
          <w:lang w:bidi="ar-SA"/>
        </w:rPr>
        <w:t>في العقليّاتِ و الشرعيّاتِ مَعاً؛ لأنّ قَبولَ الوديعةِ غيرُ واجبٍ ، و قد يَلزَمُ بَعدَ قبولِها الردُّ عندَ المُطالَبةِ ، و إن كانَ القبولُ كالأصلِ مِن حَيثُ كانَ لَولاه لَم يَلزَمِ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عَقدُ النكاحِ غيرُ واجبٍ في الأصلِ ، و إذا وَقَعَ وَجَبَ المَهْرُ عندَ حُصولِ شَرطِه، و إن كانَ لَولا العَقدُ المُتَقدِّمُ الذي</w:t>
      </w:r>
      <w:r>
        <w:rPr>
          <w:rStyle w:val="FootnoteAnchor"/>
          <w:rtl w:val="true"/>
        </w:rPr>
        <w:footnoteReference w:id="1018"/>
      </w:r>
      <w:r>
        <w:rPr>
          <w:rFonts w:ascii="Amiri" w:hAnsi="Amiri" w:eastAsia="Amiri" w:cs="Amiri"/>
          <w:color w:val="111111"/>
          <w:sz w:val="28"/>
          <w:sz w:val="28"/>
          <w:szCs w:val="28"/>
          <w:rtl w:val="true"/>
          <w:lang w:bidi="ar-SA"/>
        </w:rPr>
        <w:t xml:space="preserve">لَم يَكُن واجباً لَما وَجَبَ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صَحَّ ما ذَكَرناه، لَم يَكُن مُنكَراً أن يُتَعبَّدَ الإمامُ بقبولِ العَقدِ، و إن كانَ مَن يَختارُه للإمامةِ مُخيَّراً في اختيارِه له</w:t>
      </w:r>
      <w:r>
        <w:rPr>
          <w:rFonts w:eastAsia="Amiri" w:cs="Amiri" w:ascii="Amiri" w:hAnsi="Amiri"/>
          <w:color w:val="111111"/>
          <w:sz w:val="28"/>
          <w:szCs w:val="28"/>
          <w:rtl w:val="true"/>
          <w:lang w:bidi="ar-SA"/>
        </w:rPr>
        <w:t xml:space="preserve">. </w:t>
      </w:r>
      <w:bookmarkStart w:id="441" w:name="pg20044_770898"/>
    </w:p>
    <w:p>
      <w:pPr>
        <w:pStyle w:val="Heading5"/>
        <w:numPr>
          <w:ilvl w:val="4"/>
          <w:numId w:val="1"/>
        </w:numPr>
        <w:rPr/>
      </w:pPr>
      <w:bookmarkStart w:id="442" w:name="__RefHeading___Toc828584_2320776876"/>
      <w:bookmarkStart w:id="443" w:name="_Toc157"/>
      <w:bookmarkEnd w:id="441"/>
      <w:bookmarkEnd w:id="442"/>
      <w:r>
        <w:rPr>
          <w:rtl w:val="true"/>
        </w:rPr>
        <w:t>مُناقَشةُ دَعوىٰ صاحبِ المُغني في أنّ الإمامَ قَبلَ أن يَصيرَ إماماً مُخاطَبٌ بإقامةِ الحُدودِ</w:t>
      </w:r>
      <w:bookmarkEnd w:id="44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أن يَصيرَ إماماً لَيسَ بمُخاطَبٍ </w:t>
      </w:r>
      <w:r>
        <w:rPr>
          <w:rStyle w:val="FootnoteAnchor"/>
          <w:rtl w:val="true"/>
        </w:rPr>
        <w:footnoteReference w:id="1019"/>
      </w:r>
      <w:r>
        <w:rPr>
          <w:rFonts w:ascii="Amiri" w:hAnsi="Amiri" w:eastAsia="Amiri" w:cs="Amiri"/>
          <w:color w:val="111111"/>
          <w:sz w:val="28"/>
          <w:sz w:val="28"/>
          <w:szCs w:val="28"/>
          <w:rtl w:val="true"/>
          <w:lang w:bidi="ar-SA"/>
        </w:rPr>
        <w:t>بإقامةِ الحُدودِ إلّا بشَرطِ أن يَصيرَ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أُصيِّرُ نَفسي</w:t>
      </w:r>
      <w:r>
        <w:rPr>
          <w:rStyle w:val="FootnoteAnchor"/>
          <w:rtl w:val="true"/>
        </w:rPr>
        <w:footnoteReference w:id="1020"/>
      </w:r>
      <w:r>
        <w:rPr>
          <w:rFonts w:ascii="Amiri" w:hAnsi="Amiri" w:eastAsia="Amiri" w:cs="Amiri"/>
          <w:color w:val="111111"/>
          <w:sz w:val="28"/>
          <w:sz w:val="28"/>
          <w:szCs w:val="28"/>
          <w:rtl w:val="true"/>
          <w:lang w:bidi="ar-SA"/>
        </w:rPr>
        <w:t xml:space="preserve">إماماً لِكَي أُقيمَ الحُدودَ، و إنّما يَلزَمُني ذلكَ مَتىٰ </w:t>
      </w:r>
      <w:r>
        <w:rPr>
          <w:rStyle w:val="FootnoteAnchor"/>
          <w:rtl w:val="true"/>
        </w:rPr>
        <w:footnoteReference w:id="1021"/>
      </w:r>
      <w:r>
        <w:rPr>
          <w:rFonts w:ascii="Amiri" w:hAnsi="Amiri" w:eastAsia="Amiri" w:cs="Amiri"/>
          <w:color w:val="111111"/>
          <w:sz w:val="28"/>
          <w:sz w:val="28"/>
          <w:szCs w:val="28"/>
          <w:rtl w:val="true"/>
          <w:lang w:bidi="ar-SA"/>
        </w:rPr>
        <w:t xml:space="preserve">صِرتُ إماماً؛ لأنّ اللّهَ تَعالىٰ كأنّه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 فمَن لا يَكونُ بهذه الصفةِ لا يَدخُلُ تَحتَ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قَدَّرتَه؛ لأنّ الأئمّةَ يَتَجدَّدُ كَونُهم أئمّةً و الخِطابُ لا يَتَجدَّدُ، فلا بُدَّ مِن أن يَكونَ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مُتَناوِلاً لجَميعِهم قَبلَ أن يَصيروا أئمّةً </w:t>
      </w:r>
      <w:r>
        <w:rPr>
          <w:rStyle w:val="FootnoteAnchor"/>
          <w:rtl w:val="true"/>
        </w:rPr>
        <w:footnoteReference w:id="1024"/>
      </w:r>
      <w:r>
        <w:rPr>
          <w:rFonts w:ascii="Amiri" w:hAnsi="Amiri" w:eastAsia="Amiri" w:cs="Amiri"/>
          <w:color w:val="111111"/>
          <w:sz w:val="28"/>
          <w:sz w:val="28"/>
          <w:szCs w:val="28"/>
          <w:rtl w:val="true"/>
          <w:lang w:bidi="ar-SA"/>
        </w:rPr>
        <w:t>، فإذا صَحَّ ذلكَ فمَن يَصلُحُ للإمامةِ إذا كانَ المعلومُ أنّه يَصيرُ إماماً قد تَناوَلَه الخِطابُ ، فيَلزَمُه التوَصُّلُ إلىٰ ذلكَ و إن كانَ في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الوَقتِ لا يَحِلُّ له إقامةُ الحَدِّ، كما أنّ المُحدِثَ قد خوطِبَ بالصلاةِ و يَلزَمُه التوَصُّلُ إلىٰ إزالةِ حَدَثِه و إن كانَ في الوَقتِ لا يُمكِنُه الأداءُ ؛ </w:t>
      </w:r>
    </w:p>
    <w:p>
      <w:pPr>
        <w:pStyle w:val="BookText"/>
        <w:rPr/>
      </w:pPr>
      <w:r>
        <w:rPr>
          <w:rFonts w:ascii="Amiri" w:hAnsi="Amiri" w:eastAsia="Amiri" w:cs="Amiri"/>
          <w:color w:val="111111"/>
          <w:sz w:val="28"/>
          <w:sz w:val="28"/>
          <w:szCs w:val="28"/>
          <w:rtl w:val="true"/>
          <w:lang w:bidi="ar-SA"/>
        </w:rPr>
        <w:t>فكَما لَيسَ للمُحدِثِ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أُخاطَبْ بذلكَ مِن حَيثُ لا يُمكِنُني الأداءُ و أنا علىٰ ما أنا عليه، فكذلكَ لَيسَ لِمَن يَصلُحُ للإمامةِ أن يَقولَ ما سَألتَ عنه</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فظاهرُ البُطلانِ؛ لأنّ مِلكَ النِّصابِ و الزادِ و الراحِلةِ أيضاً يَتَجدَّدُ كَونُه كذلكَ و الخِطابُ لا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كُلَّ مَن المعلومُ أنّه يَصيرُ مالِكاً للنِّصابِ و الزادِ و الراحِلةِ مُخاطَباً بالزكاةِ و الحَجِّ، فيَجِبُ أن يوجِبَ عليه اكتسابَ المالِ كما أَوجَبَ علىٰ أهلِ الاختيارِ إقامةَ الإمامِ‌</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جَعَلَه مُخاطَباً و لَم يوجِبْ‌</w:t>
      </w:r>
      <w:r>
        <w:rPr>
          <w:rStyle w:val="FootnoteAnchor"/>
          <w:rtl w:val="true"/>
        </w:rPr>
        <w:footnoteReference w:id="1027"/>
      </w:r>
      <w:r>
        <w:rPr>
          <w:rFonts w:ascii="Amiri" w:hAnsi="Amiri" w:eastAsia="Amiri" w:cs="Amiri"/>
          <w:color w:val="111111"/>
          <w:sz w:val="28"/>
          <w:sz w:val="28"/>
          <w:szCs w:val="28"/>
          <w:rtl w:val="true"/>
          <w:lang w:bidi="ar-SA"/>
        </w:rPr>
        <w:t xml:space="preserve">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تَعلَّقَ‌</w:t>
      </w:r>
      <w:r>
        <w:rPr>
          <w:rStyle w:val="FootnoteAnchor"/>
          <w:rtl w:val="true"/>
        </w:rPr>
        <w:footnoteReference w:id="1028"/>
      </w:r>
      <w:r>
        <w:rPr>
          <w:rFonts w:ascii="Amiri" w:hAnsi="Amiri" w:eastAsia="Amiri" w:cs="Amiri"/>
          <w:color w:val="111111"/>
          <w:sz w:val="28"/>
          <w:sz w:val="28"/>
          <w:szCs w:val="28"/>
          <w:rtl w:val="true"/>
          <w:lang w:bidi="ar-SA"/>
        </w:rPr>
        <w:t xml:space="preserve">بشَرطِ حصولِ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في الإمامةِ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يَجعَلْه مُخاطَباً قَبلَ مِلكِ النِّصابِ ثُمّ صارَ مُخاطَباً عندَ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الخِطابُ مُتَجدِّداً، بَل لَحِقَه</w:t>
      </w:r>
      <w:r>
        <w:rPr>
          <w:rStyle w:val="FootnoteAnchor"/>
          <w:rtl w:val="true"/>
        </w:rPr>
        <w:footnoteReference w:id="1029"/>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 ذلكَ يُمكِنُ أن يُقالَ في الإمامِ ، حَذوَ النَّعلِ بالنَّعلِ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جَعَلَه مِثالاً لأمرِ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المُحدِثِ و</w:t>
      </w:r>
      <w:r>
        <w:rPr>
          <w:rStyle w:val="FootnoteAnchor"/>
          <w:rtl w:val="true"/>
        </w:rPr>
        <w:footnoteReference w:id="1030"/>
      </w:r>
      <w:r>
        <w:rPr>
          <w:rFonts w:ascii="Amiri" w:hAnsi="Amiri" w:eastAsia="Amiri" w:cs="Amiri"/>
          <w:color w:val="111111"/>
          <w:sz w:val="28"/>
          <w:sz w:val="28"/>
          <w:szCs w:val="28"/>
          <w:rtl w:val="true"/>
          <w:lang w:bidi="ar-SA"/>
        </w:rPr>
        <w:t xml:space="preserve">وجوبِ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بأن يَجعَلَه مِثالاً للإمامةِ أَولىٰ مِنّا</w:t>
      </w:r>
      <w:r>
        <w:rPr>
          <w:rStyle w:val="FootnoteAnchor"/>
          <w:rtl w:val="true"/>
        </w:rPr>
        <w:footnoteReference w:id="1031"/>
      </w:r>
      <w:r>
        <w:rPr>
          <w:rFonts w:ascii="Amiri" w:hAnsi="Amiri" w:eastAsia="Amiri" w:cs="Amiri"/>
          <w:color w:val="111111"/>
          <w:sz w:val="28"/>
          <w:sz w:val="28"/>
          <w:szCs w:val="28"/>
          <w:rtl w:val="true"/>
          <w:lang w:bidi="ar-SA"/>
        </w:rPr>
        <w:t xml:space="preserve">إذا جَعَلْنا مِثالَ </w:t>
      </w:r>
      <w:r>
        <w:rPr>
          <w:rStyle w:val="FootnoteAnchor"/>
          <w:rtl w:val="true"/>
        </w:rPr>
        <w:footnoteReference w:id="1032"/>
      </w:r>
      <w:r>
        <w:rPr>
          <w:rFonts w:ascii="Amiri" w:hAnsi="Amiri" w:eastAsia="Amiri" w:cs="Amiri"/>
          <w:color w:val="111111"/>
          <w:sz w:val="28"/>
          <w:sz w:val="28"/>
          <w:szCs w:val="28"/>
          <w:rtl w:val="true"/>
          <w:lang w:bidi="ar-SA"/>
        </w:rPr>
        <w:t xml:space="preserve">الإمامةِ و وجوبِ إقامةِ </w:t>
      </w:r>
    </w:p>
    <w:p>
      <w:pPr>
        <w:pStyle w:val="BookText"/>
        <w:rPr/>
      </w:pPr>
      <w:r>
        <w:rPr>
          <w:rFonts w:ascii="Amiri" w:hAnsi="Amiri" w:eastAsia="Amiri" w:cs="Amiri"/>
          <w:color w:val="111111"/>
          <w:sz w:val="28"/>
          <w:sz w:val="28"/>
          <w:szCs w:val="28"/>
          <w:rtl w:val="true"/>
          <w:lang w:bidi="ar-SA"/>
        </w:rPr>
        <w:t>الحُدودِ علىٰ مَن حَصَلَ‌</w:t>
      </w:r>
      <w:r>
        <w:rPr>
          <w:rStyle w:val="FootnoteAnchor"/>
          <w:rtl w:val="true"/>
        </w:rPr>
        <w:footnoteReference w:id="1033"/>
      </w:r>
      <w:r>
        <w:rPr>
          <w:rFonts w:ascii="Amiri" w:hAnsi="Amiri" w:eastAsia="Amiri" w:cs="Amiri"/>
          <w:color w:val="111111"/>
          <w:sz w:val="28"/>
          <w:sz w:val="28"/>
          <w:szCs w:val="28"/>
          <w:rtl w:val="true"/>
          <w:lang w:bidi="ar-SA"/>
        </w:rPr>
        <w:t>إماماً ما ذَكَرناه</w:t>
      </w:r>
      <w:r>
        <w:rPr>
          <w:rStyle w:val="FootnoteAnchor"/>
          <w:rtl w:val="true"/>
        </w:rPr>
        <w:footnoteReference w:id="1034"/>
      </w:r>
      <w:r>
        <w:rPr>
          <w:rFonts w:ascii="Amiri" w:hAnsi="Amiri" w:eastAsia="Amiri" w:cs="Amiri"/>
          <w:color w:val="111111"/>
          <w:sz w:val="28"/>
          <w:sz w:val="28"/>
          <w:szCs w:val="28"/>
          <w:rtl w:val="true"/>
          <w:lang w:bidi="ar-SA"/>
        </w:rPr>
        <w:t>مِن الزكاةِ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عادَ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الأصلُ في الكُلِّ ما ذَكَرتُه في الصلاةِ ، و إنّما أَخرَجتُ الزكاةَ و الحَجَّ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مضىٰ </w:t>
      </w:r>
      <w:r>
        <w:rPr>
          <w:rStyle w:val="FootnoteAnchor"/>
          <w:rtl w:val="true"/>
        </w:rPr>
        <w:footnoteReference w:id="1035"/>
      </w:r>
      <w:r>
        <w:rPr>
          <w:rFonts w:ascii="Amiri" w:hAnsi="Amiri" w:eastAsia="Amiri" w:cs="Amiri"/>
          <w:color w:val="111111"/>
          <w:sz w:val="28"/>
          <w:sz w:val="28"/>
          <w:szCs w:val="28"/>
          <w:rtl w:val="true"/>
          <w:lang w:bidi="ar-SA"/>
        </w:rPr>
        <w:t xml:space="preserve">ما يُفسِدُ هذا مُستَقصىً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Style w:val="FootnoteAnchor"/>
          <w:rtl w:val="true"/>
        </w:rPr>
        <w:footnoteReference w:id="1037"/>
      </w:r>
      <w:r>
        <w:rPr>
          <w:rFonts w:ascii="Amiri" w:hAnsi="Amiri" w:eastAsia="Amiri" w:cs="Amiri"/>
          <w:color w:val="111111"/>
          <w:sz w:val="28"/>
          <w:sz w:val="28"/>
          <w:szCs w:val="28"/>
          <w:rtl w:val="true"/>
          <w:lang w:bidi="ar-SA"/>
        </w:rPr>
        <w:t>يَصلُحُ للإمامةِ إذا كانَ المعلومُ أنّه يَصيرُ إماماً قد تَناوَلَه</w:t>
      </w:r>
      <w:r>
        <w:rPr>
          <w:rStyle w:val="FootnoteAnchor"/>
          <w:rtl w:val="true"/>
        </w:rPr>
        <w:footnoteReference w:id="1038"/>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مَن لا يُعلَمُ مِن حالِه أنّه</w:t>
      </w:r>
      <w:r>
        <w:rPr>
          <w:rStyle w:val="FootnoteAnchor"/>
          <w:rtl w:val="true"/>
        </w:rPr>
        <w:footnoteReference w:id="1039"/>
      </w:r>
      <w:r>
        <w:rPr>
          <w:rFonts w:ascii="Amiri" w:hAnsi="Amiri" w:eastAsia="Amiri" w:cs="Amiri"/>
          <w:color w:val="111111"/>
          <w:sz w:val="28"/>
          <w:sz w:val="28"/>
          <w:szCs w:val="28"/>
          <w:rtl w:val="true"/>
          <w:lang w:bidi="ar-SA"/>
        </w:rPr>
        <w:t xml:space="preserve">يَصيرُ إماماً لَم يَتَناوَلْه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نَقضٌ لأصلِ البابِ الذي شَرَعَ في نُصرتِه و الاستِدلالِ عليه، بَل لأكثرِ الأُصولِ </w:t>
      </w:r>
      <w:r>
        <w:rPr>
          <w:rStyle w:val="FootnoteAnchor"/>
          <w:rtl w:val="true"/>
        </w:rPr>
        <w:footnoteReference w:id="1040"/>
      </w:r>
      <w:r>
        <w:rPr>
          <w:rFonts w:ascii="Amiri" w:hAnsi="Amiri" w:eastAsia="Amiri" w:cs="Amiri"/>
          <w:color w:val="111111"/>
          <w:sz w:val="28"/>
          <w:sz w:val="28"/>
          <w:szCs w:val="28"/>
          <w:rtl w:val="true"/>
          <w:lang w:bidi="ar-SA"/>
        </w:rPr>
        <w:t>لأنّه يوجِبُ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تَعالىٰ مِن حالِ أهلِ العَقدِ و مَن يَصلُحُ للإمامةِ أنّهم</w:t>
      </w:r>
      <w:r>
        <w:rPr>
          <w:rStyle w:val="FootnoteAnchor"/>
          <w:rtl w:val="true"/>
        </w:rPr>
        <w:footnoteReference w:id="1041"/>
      </w:r>
      <w:r>
        <w:rPr>
          <w:rFonts w:ascii="Amiri" w:hAnsi="Amiri" w:eastAsia="Amiri" w:cs="Amiri"/>
          <w:color w:val="111111"/>
          <w:sz w:val="28"/>
          <w:sz w:val="28"/>
          <w:szCs w:val="28"/>
          <w:rtl w:val="true"/>
          <w:lang w:bidi="ar-SA"/>
        </w:rPr>
        <w:t xml:space="preserve">لا يُقيمونَ إماماً و لا يَختارونَ أحَداً للإمامةِ ، أن يَكونوا مَعذورينَ </w:t>
      </w:r>
      <w:bookmarkStart w:id="444" w:name="pg20044_770901"/>
    </w:p>
    <w:p>
      <w:pPr>
        <w:pStyle w:val="BookText"/>
        <w:rPr/>
      </w:pPr>
      <w:bookmarkEnd w:id="444"/>
      <w:r>
        <w:rPr>
          <w:rFonts w:ascii="Amiri" w:hAnsi="Amiri" w:eastAsia="Amiri" w:cs="Amiri"/>
          <w:color w:val="111111"/>
          <w:sz w:val="28"/>
          <w:sz w:val="28"/>
          <w:szCs w:val="28"/>
          <w:rtl w:val="true"/>
          <w:lang w:bidi="ar-SA"/>
        </w:rPr>
        <w:t xml:space="preserve">في تَركِ الإمامةِ مِن حَيثُ لَم يَكونوا مُخاطَبينَ بها؛ لأنّهم إنّما يَلزَمُهم الحَرَجُ بتَركِ الاختيارِ إذا كانوا مُخاطَبينَ بإقامةِ الحُدودِ و التوَصُّلِ </w:t>
      </w:r>
      <w:r>
        <w:rPr>
          <w:rStyle w:val="FootnoteAnchor"/>
          <w:rtl w:val="true"/>
        </w:rPr>
        <w:footnoteReference w:id="1042"/>
      </w:r>
      <w:r>
        <w:rPr>
          <w:rFonts w:ascii="Amiri" w:hAnsi="Amiri" w:eastAsia="Amiri" w:cs="Amiri"/>
          <w:color w:val="111111"/>
          <w:sz w:val="28"/>
          <w:sz w:val="28"/>
          <w:szCs w:val="28"/>
          <w:rtl w:val="true"/>
          <w:lang w:bidi="ar-SA"/>
        </w:rPr>
        <w:t>إلىٰ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الكتابِ لَم يَزَلْ يَجهَدُ نَفسَه حتّىٰ صَرَّحَ بما يوجِبُ سُقوطَ الإمامةِ ، و يَبسُطُ عُذرَ مَن تَرَكَ إقامتَها و عَدَلَ عن الاهتمامِ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عَلِمَ اللّٰهُ تَعالىٰ مِن</w:t>
      </w:r>
      <w:r>
        <w:rPr>
          <w:rStyle w:val="FootnoteAnchor"/>
          <w:rtl w:val="true"/>
        </w:rPr>
        <w:footnoteReference w:id="1043"/>
      </w:r>
      <w:r>
        <w:rPr>
          <w:rFonts w:ascii="Amiri" w:hAnsi="Amiri" w:eastAsia="Amiri" w:cs="Amiri"/>
          <w:color w:val="111111"/>
          <w:sz w:val="28"/>
          <w:sz w:val="28"/>
          <w:szCs w:val="28"/>
          <w:rtl w:val="true"/>
          <w:lang w:bidi="ar-SA"/>
        </w:rPr>
        <w:t>حالِه أنّه لا يَفعَلُ بَعضَ العِباداتِ ، غيرَ مُخاطَبٍ بها و لا مُكلَّفٍ بفِعلِها</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و في هذا مِن هَدمِ الدِّينِ ما فيه</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828586_2320776876"/>
      <w:bookmarkStart w:id="446" w:name="_Toc158"/>
      <w:bookmarkEnd w:id="445"/>
      <w:r>
        <w:rPr>
          <w:rtl w:val="true"/>
        </w:rPr>
        <w:t>حرمة تضييع الحدود على الإمام دون الأُمّة</w:t>
      </w:r>
      <w:bookmarkEnd w:id="446"/>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خِلافَ بَينَ المُسلِمينَ أنّ ما أمَرَ اللّٰهُ تَعالىٰ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إقامةِ الحُدودِ و ما يَجري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تَضييعُه ما أَمكَنَ، و إنّما اختَلَفوا في أنّه يَحرُمُ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تضييعُه علىٰ أيِّ وجهٍ؟ فمِنهم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حَصَلَ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قَبلَ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بَينَ الحالَينِ </w:t>
      </w:r>
      <w:r>
        <w:rPr>
          <w:rStyle w:val="FootnoteAnchor"/>
          <w:rtl w:val="true"/>
        </w:rPr>
        <w:footnoteReference w:id="1046"/>
      </w:r>
      <w:r>
        <w:rPr>
          <w:rFonts w:ascii="Amiri" w:hAnsi="Amiri" w:eastAsia="Amiri" w:cs="Amiri"/>
          <w:color w:val="111111"/>
          <w:sz w:val="28"/>
          <w:sz w:val="28"/>
          <w:szCs w:val="28"/>
          <w:rtl w:val="true"/>
          <w:lang w:bidi="ar-SA"/>
        </w:rPr>
        <w:t>فَرقٌ في أنّ التضييعَ و تَركَ التضييعِ مُمكِنٌ ، فيَجِبُ أن يَحرُمَ التضييعُ مَتىٰ أَمكَنَ العُدولُ عنه</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فما زادَ علىٰ أنِ ادَّعىٰ أنّه لا فَرقَ بَينَ الحالَينِ؛ و لَو لَم يَكُن بَينَهما فَرقٌ إلّاأنّ الإجماعَ حاصلٌ على تَحريمِ تَضييعِه عندَ حُصولِ الإمامِ، و الخِلافَ واقعٌ فيه قَبلَ حُصولِ الإمامِ، لَكَفىٰ في بُطلانِ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إقامةَ الحُدودِ مِن فُروضِ الإمامِ و عباداتِه، و لذلكَ </w:t>
      </w:r>
      <w:r>
        <w:rPr>
          <w:rStyle w:val="FootnoteAnchor"/>
          <w:rtl w:val="true"/>
        </w:rPr>
        <w:footnoteReference w:id="1048"/>
      </w:r>
      <w:r>
        <w:rPr>
          <w:rFonts w:ascii="IRNazanin" w:hAnsi="IRNazanin" w:eastAsia="IRNazanin"/>
          <w:color w:val="111111"/>
          <w:sz w:val="28"/>
          <w:sz w:val="28"/>
          <w:szCs w:val="28"/>
          <w:rtl w:val="true"/>
          <w:lang w:bidi="fa-IR"/>
        </w:rPr>
        <w:t>ما</w:t>
      </w:r>
      <w:r>
        <w:rPr>
          <w:rStyle w:val="FootnoteAnchor"/>
          <w:rtl w:val="true"/>
        </w:rPr>
        <w:footnoteReference w:id="1049"/>
      </w:r>
      <w:r>
        <w:rPr>
          <w:rFonts w:ascii="Amiri" w:hAnsi="Amiri" w:eastAsia="Amiri" w:cs="Amiri"/>
          <w:color w:val="111111"/>
          <w:sz w:val="28"/>
          <w:sz w:val="28"/>
          <w:szCs w:val="28"/>
          <w:rtl w:val="true"/>
          <w:lang w:bidi="ar-SA"/>
        </w:rPr>
        <w:t xml:space="preserve">حَرُمَ تضييعُ إقامتِها عليه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إقامةُ الإمامِ و اختيارُه مِن فُروضِنا</w:t>
      </w:r>
      <w:r>
        <w:rPr>
          <w:rStyle w:val="FootnoteAnchor"/>
          <w:rtl w:val="true"/>
        </w:rPr>
        <w:footnoteReference w:id="1050"/>
      </w:r>
      <w:r>
        <w:rPr>
          <w:rFonts w:ascii="Amiri" w:hAnsi="Amiri" w:eastAsia="Amiri" w:cs="Amiri"/>
          <w:color w:val="111111"/>
          <w:sz w:val="28"/>
          <w:sz w:val="28"/>
          <w:szCs w:val="28"/>
          <w:rtl w:val="true"/>
          <w:lang w:bidi="ar-SA"/>
        </w:rPr>
        <w:t xml:space="preserve">فيَلزَمَنا إقامتُه، و لا نَحنُ المُخاطَبونَ بإقامةِ الحُدودِ فيَلزَمَنا الذمُّ بتضييعِها؛ لأنّه إنِ </w:t>
      </w:r>
      <w:r>
        <w:rPr>
          <w:rStyle w:val="FootnoteAnchor"/>
          <w:rtl w:val="true"/>
        </w:rPr>
        <w:footnoteReference w:id="1051"/>
      </w:r>
      <w:r>
        <w:rPr>
          <w:rFonts w:ascii="Amiri" w:hAnsi="Amiri" w:eastAsia="Amiri" w:cs="Amiri"/>
          <w:color w:val="111111"/>
          <w:sz w:val="28"/>
          <w:sz w:val="28"/>
          <w:szCs w:val="28"/>
          <w:rtl w:val="true"/>
          <w:lang w:bidi="ar-SA"/>
        </w:rPr>
        <w:t xml:space="preserve">ادَّعىٰ ذلكَ كانَ مُدَّعياً نَفسَ المسألةِ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فإنّه إنّما تُطلَقُ لفظةُ‌</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 دَلَّ الدليلُ علىٰ وجوبِه و لُزومِه، دونَ ما هو غيرُ واجبٍ، و لَيسَ في إجماعِ الأُمّةِ‌</w:t>
      </w:r>
      <w:r>
        <w:rPr>
          <w:rStyle w:val="FootnoteAnchor"/>
          <w:rtl w:val="true"/>
        </w:rPr>
        <w:footnoteReference w:id="1053"/>
      </w:r>
      <w:r>
        <w:rPr>
          <w:rFonts w:ascii="Amiri" w:hAnsi="Amiri" w:eastAsia="Amiri" w:cs="Amiri"/>
          <w:color w:val="111111"/>
          <w:sz w:val="28"/>
          <w:sz w:val="28"/>
          <w:szCs w:val="28"/>
          <w:rtl w:val="true"/>
          <w:lang w:bidi="ar-SA"/>
        </w:rPr>
        <w:t>علىٰ تَحريمِ إضاعةِ الحُدودِ دَلالةٌ علىٰ ما يُريدُه؛ لأنّ للخَصمِ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الإمامِ‌</w:t>
      </w:r>
      <w:r>
        <w:rPr>
          <w:rStyle w:val="FootnoteAnchor"/>
          <w:rtl w:val="true"/>
        </w:rPr>
        <w:footnoteReference w:id="1054"/>
      </w:r>
      <w:r>
        <w:rPr>
          <w:rFonts w:ascii="Amiri" w:hAnsi="Amiri" w:eastAsia="Amiri" w:cs="Amiri"/>
          <w:color w:val="111111"/>
          <w:sz w:val="28"/>
          <w:sz w:val="28"/>
          <w:szCs w:val="28"/>
          <w:rtl w:val="true"/>
          <w:lang w:bidi="ar-SA"/>
        </w:rPr>
        <w:t>واجبةٌ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المُخاطَبونَ بإقامةِ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حتّىٰ يَسوغَ لكَ إجراءُ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يَرتَفِعُ مِن الحُدودِ عندَ عدَمِ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w:t>
      </w:r>
      <w:r>
        <w:rPr>
          <w:rStyle w:val="FootnoteAnchor"/>
          <w:rtl w:val="true"/>
        </w:rPr>
        <w:footnoteReference w:id="1055"/>
      </w:r>
      <w:r>
        <w:rPr>
          <w:rFonts w:ascii="Amiri" w:hAnsi="Amiri" w:eastAsia="Amiri" w:cs="Amiri"/>
          <w:color w:val="111111"/>
          <w:sz w:val="28"/>
          <w:sz w:val="28"/>
          <w:szCs w:val="28"/>
          <w:rtl w:val="true"/>
          <w:lang w:bidi="ar-SA"/>
        </w:rPr>
        <w:t xml:space="preserve">كنتَ لَم تَقُل ذلكَ لَم يَستَقِم كلامُكَ ، و لَم يَكُن في الإجماعِ علىٰ تحريمِ إضاعةِ </w:t>
      </w:r>
      <w:r>
        <w:rPr>
          <w:rStyle w:val="FootnoteAnchor"/>
          <w:rtl w:val="true"/>
        </w:rPr>
        <w:footnoteReference w:id="1056"/>
      </w:r>
      <w:r>
        <w:rPr>
          <w:rFonts w:ascii="Amiri" w:hAnsi="Amiri" w:eastAsia="Amiri" w:cs="Amiri"/>
          <w:color w:val="111111"/>
          <w:sz w:val="28"/>
          <w:sz w:val="28"/>
          <w:szCs w:val="28"/>
          <w:rtl w:val="true"/>
          <w:lang w:bidi="ar-SA"/>
        </w:rPr>
        <w:t>الحدودِ</w:t>
      </w:r>
      <w:r>
        <w:rPr>
          <w:rStyle w:val="FootnoteAnchor"/>
          <w:rtl w:val="true"/>
        </w:rPr>
        <w:footnoteReference w:id="1057"/>
      </w:r>
      <w:r>
        <w:rPr>
          <w:rFonts w:ascii="Amiri" w:hAnsi="Amiri" w:eastAsia="Amiri" w:cs="Amiri"/>
          <w:color w:val="111111"/>
          <w:sz w:val="28"/>
          <w:sz w:val="28"/>
          <w:szCs w:val="28"/>
          <w:rtl w:val="true"/>
          <w:lang w:bidi="ar-SA"/>
        </w:rPr>
        <w:t xml:space="preserve">مُتَعلَّقٌ لكَ </w:t>
      </w:r>
      <w:r>
        <w:rPr>
          <w:rFonts w:eastAsia="Amiri" w:cs="Amiri" w:ascii="Amiri" w:hAnsi="Amiri"/>
          <w:color w:val="111111"/>
          <w:sz w:val="28"/>
          <w:szCs w:val="28"/>
          <w:rtl w:val="true"/>
          <w:lang w:bidi="ar-SA"/>
        </w:rPr>
        <w:t xml:space="preserve">. </w:t>
      </w:r>
      <w:bookmarkStart w:id="447" w:name="pg20044_770903"/>
    </w:p>
    <w:p>
      <w:pPr>
        <w:pStyle w:val="BookText"/>
        <w:rPr/>
      </w:pPr>
      <w:bookmarkEnd w:id="44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تضييعُها إذا حَصَلَ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تمويهٌ‌</w:t>
      </w:r>
      <w:r>
        <w:rPr>
          <w:rStyle w:val="FootnoteAnchor"/>
          <w:rtl w:val="true"/>
        </w:rPr>
        <w:footnoteReference w:id="1058"/>
      </w:r>
      <w:r>
        <w:rPr>
          <w:rFonts w:ascii="Amiri" w:hAnsi="Amiri" w:eastAsia="Amiri" w:cs="Amiri"/>
          <w:color w:val="111111"/>
          <w:sz w:val="28"/>
          <w:sz w:val="28"/>
          <w:szCs w:val="28"/>
          <w:rtl w:val="true"/>
          <w:lang w:bidi="ar-SA"/>
        </w:rPr>
        <w:t>طَريفٌ‌</w:t>
      </w:r>
      <w:r>
        <w:rPr>
          <w:rStyle w:val="FootnoteAnchor"/>
          <w:rtl w:val="true"/>
        </w:rPr>
        <w:footnoteReference w:id="1059"/>
      </w:r>
      <w:r>
        <w:rPr>
          <w:rFonts w:ascii="Amiri" w:hAnsi="Amiri" w:eastAsia="Amiri" w:cs="Amiri"/>
          <w:color w:val="111111"/>
          <w:sz w:val="28"/>
          <w:sz w:val="28"/>
          <w:szCs w:val="28"/>
          <w:rtl w:val="true"/>
          <w:lang w:bidi="ar-SA"/>
        </w:rPr>
        <w:t xml:space="preserve">و إيهامُ أنّ فيه خِلافاً بَينَ الأُمّةِ، و لا خِلافَ بَينَهم في أنّ إقامةَ الحُدودِ لا تَسوغُ إضاعتُها عندَ حُصولِ الإمامِ مع الإمكانِ؛ لأنّها مِن فُروضِ الإمامِ و عباداتِه، و إنّما الخِلافُ فيها قَبلَ إقامةِ الإمامِ ؛ فهاهُنا يَحسُنُ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تضييعُها قَبلَ إقامتِه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يَحسُنُ في الأوّلِ </w:t>
      </w:r>
      <w:r>
        <w:rPr>
          <w:rStyle w:val="FootnoteAnchor"/>
          <w:rtl w:val="true"/>
        </w:rPr>
        <w:footnoteReference w:id="1060"/>
      </w:r>
      <w:r>
        <w:rPr>
          <w:rFonts w:ascii="Amiri" w:hAnsi="Amiri" w:eastAsia="Amiri" w:cs="Amiri"/>
          <w:color w:val="111111"/>
          <w:sz w:val="28"/>
          <w:sz w:val="28"/>
          <w:szCs w:val="28"/>
          <w:rtl w:val="true"/>
          <w:lang w:bidi="ar-SA"/>
        </w:rPr>
        <w:t>لأنّه لا خِلافَ فيه</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828588_2320776876"/>
      <w:bookmarkStart w:id="449" w:name="_Toc159"/>
      <w:bookmarkEnd w:id="448"/>
      <w:r>
        <w:rPr>
          <w:rtl w:val="true"/>
        </w:rPr>
        <w:t>دليل وجوب إزالة الغلبة عن الإمام على الأُمّة</w:t>
      </w:r>
      <w:bookmarkEnd w:id="44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أنّه لَو كانَ في الزمانِ إمامٌ و هو مع ذلكَ مغلوبٌ، أنّ الواجبَ التوَصُّلُ إلىٰ إزالةِ الغَلَبةِ عنه و المَنعِ؛ لِكَي يَقومَ بالحُدودِ</w:t>
      </w:r>
      <w:r>
        <w:rPr>
          <w:rStyle w:val="FootnoteAnchor"/>
          <w:rtl w:val="true"/>
        </w:rPr>
        <w:footnoteReference w:id="1061"/>
      </w:r>
      <w:r>
        <w:rPr>
          <w:rFonts w:ascii="Amiri" w:hAnsi="Amiri" w:eastAsia="Amiri" w:cs="Amiri"/>
          <w:color w:val="111111"/>
          <w:sz w:val="28"/>
          <w:sz w:val="28"/>
          <w:szCs w:val="28"/>
          <w:rtl w:val="true"/>
          <w:lang w:bidi="ar-SA"/>
        </w:rPr>
        <w:t xml:space="preserve">الواجبةِ عليه، فلذلكَ </w:t>
      </w:r>
      <w:r>
        <w:rPr>
          <w:rStyle w:val="FootnoteAnchor"/>
          <w:rtl w:val="true"/>
        </w:rPr>
        <w:footnoteReference w:id="1062"/>
      </w:r>
      <w:r>
        <w:rPr>
          <w:rFonts w:ascii="Amiri" w:hAnsi="Amiri" w:eastAsia="Amiri" w:cs="Amiri"/>
          <w:color w:val="111111"/>
          <w:sz w:val="28"/>
          <w:sz w:val="28"/>
          <w:szCs w:val="28"/>
          <w:rtl w:val="true"/>
          <w:lang w:bidi="ar-SA"/>
        </w:rPr>
        <w:t>تَجِبُ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تَجِبِ الإقامةُ لَم يَجِبِ التوَصُّلُ إلىٰ إزالةِ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الاستِنقاذِ مِن الأسرِ، إلىٰ غيرِ ذلكَ </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لأنّ جَميعَ ذلكَ إنّما يَجِبُ للتوَصُّلِ إلىٰ ما ذَكَرناه</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فغَيرُ مُسلَّمٍ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1065"/>
      </w:r>
      <w:r>
        <w:rPr>
          <w:rFonts w:ascii="Amiri" w:hAnsi="Amiri" w:eastAsia="Amiri" w:cs="Amiri"/>
          <w:color w:val="111111"/>
          <w:sz w:val="28"/>
          <w:sz w:val="28"/>
          <w:szCs w:val="28"/>
          <w:rtl w:val="true"/>
          <w:lang w:bidi="ar-SA"/>
        </w:rPr>
        <w:t>وجوبَ إزالةِ الغَلَبةِ عن الإمامِ إنّما كانَ لِما ذَكَرَه، بَل قد يَجوزُ أن يَكونَ واجباً</w:t>
      </w:r>
      <w:r>
        <w:rPr>
          <w:rStyle w:val="FootnoteAnchor"/>
          <w:rtl w:val="true"/>
        </w:rPr>
        <w:footnoteReference w:id="1066"/>
      </w:r>
      <w:r>
        <w:rPr>
          <w:rFonts w:ascii="Amiri" w:hAnsi="Amiri" w:eastAsia="Amiri" w:cs="Amiri"/>
          <w:color w:val="111111"/>
          <w:sz w:val="28"/>
          <w:sz w:val="28"/>
          <w:szCs w:val="28"/>
          <w:rtl w:val="true"/>
          <w:lang w:bidi="ar-SA"/>
        </w:rPr>
        <w:t>لأنّه مِن بابِ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أن يَكونَ وجوبُه لعِلّةٍ لا نَعرِفُها، و إن كنّا نَعرِفُ في الجُملةِ أنّه مِن مَصالِحِنا</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الذي يُبيِّنُ أنّ الأمرَ بخِلافِ ما ظَنَّه</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إزالةَ الغَلَبةِ و الأسرِ و القَهرِ و ما جَرىٰ‌</w:t>
      </w:r>
      <w:r>
        <w:rPr>
          <w:rStyle w:val="FootnoteAnchor"/>
          <w:rtl w:val="true"/>
        </w:rPr>
        <w:footnoteReference w:id="1069"/>
      </w:r>
      <w:r>
        <w:rPr>
          <w:rFonts w:ascii="Amiri" w:hAnsi="Amiri" w:eastAsia="Amiri" w:cs="Amiri"/>
          <w:color w:val="111111"/>
          <w:sz w:val="28"/>
          <w:sz w:val="28"/>
          <w:szCs w:val="28"/>
          <w:rtl w:val="true"/>
          <w:lang w:bidi="ar-SA"/>
        </w:rPr>
        <w:t>مَجرىٰ هذه الأُمورِ قد يَجِبُ عَلَينا في غَيرِ الإمامِ مِن الصالِحينَ‌</w:t>
      </w:r>
      <w:r>
        <w:rPr>
          <w:rStyle w:val="FootnoteAnchor"/>
          <w:rtl w:val="true"/>
        </w:rPr>
        <w:footnoteReference w:id="1070"/>
      </w:r>
      <w:r>
        <w:rPr>
          <w:rFonts w:ascii="Amiri" w:hAnsi="Amiri" w:eastAsia="Amiri" w:cs="Amiri"/>
          <w:color w:val="111111"/>
          <w:sz w:val="28"/>
          <w:sz w:val="28"/>
          <w:szCs w:val="28"/>
          <w:rtl w:val="true"/>
          <w:lang w:bidi="ar-SA"/>
        </w:rPr>
        <w:t>و مِن جَماعةِ المُسلِمينَ؛ ألا تَرىٰ أنّا لو عَرَفْنا أنّ بَعضَ الصالِحينَ مغلوبٌ مأسورٌ في يَدِ بعضِ الأعداءِ، لَوَجَبَ عَلَينا تخليصُه مع الإمكانِ، و إن كانَ ممّن لا تَعلُّقَ لإقامةِ‌</w:t>
      </w:r>
      <w:r>
        <w:rPr>
          <w:rStyle w:val="FootnoteAnchor"/>
          <w:rtl w:val="true"/>
        </w:rPr>
        <w:footnoteReference w:id="1071"/>
      </w:r>
      <w:r>
        <w:rPr>
          <w:rFonts w:ascii="Amiri" w:hAnsi="Amiri" w:eastAsia="Amiri" w:cs="Amiri"/>
          <w:color w:val="111111"/>
          <w:sz w:val="28"/>
          <w:sz w:val="28"/>
          <w:szCs w:val="28"/>
          <w:rtl w:val="true"/>
          <w:lang w:bidi="ar-SA"/>
        </w:rPr>
        <w:t>الحُدودِ به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يَجِبُ أيضاً عَلَينا</w:t>
      </w:r>
      <w:r>
        <w:rPr>
          <w:rStyle w:val="FootnoteAnchor"/>
          <w:rtl w:val="true"/>
        </w:rPr>
        <w:footnoteReference w:id="1072"/>
      </w:r>
      <w:r>
        <w:rPr>
          <w:rFonts w:ascii="Amiri" w:hAnsi="Amiri" w:eastAsia="Amiri" w:cs="Amiri"/>
          <w:color w:val="111111"/>
          <w:sz w:val="28"/>
          <w:sz w:val="28"/>
          <w:szCs w:val="28"/>
          <w:rtl w:val="true"/>
          <w:lang w:bidi="ar-SA"/>
        </w:rPr>
        <w:t xml:space="preserve">مِثلُ هذا في الإمامِ نَفسِه، و إن بَلَغَ إلىٰ حَدٍّ مِن الضَّعفِ </w:t>
      </w:r>
      <w:bookmarkStart w:id="450" w:name="pg20044_770905"/>
    </w:p>
    <w:p>
      <w:pPr>
        <w:pStyle w:val="BookText"/>
        <w:rPr/>
      </w:pPr>
      <w:bookmarkEnd w:id="450"/>
      <w:r>
        <w:rPr>
          <w:rFonts w:ascii="Amiri" w:hAnsi="Amiri" w:eastAsia="Amiri" w:cs="Amiri"/>
          <w:color w:val="111111"/>
          <w:sz w:val="28"/>
          <w:sz w:val="28"/>
          <w:szCs w:val="28"/>
          <w:rtl w:val="true"/>
          <w:lang w:bidi="ar-SA"/>
        </w:rPr>
        <w:t>و الكِبَرِ يَعجِزُ معه عن القيامِ بأمرِ الإمامةِ و 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العِلّةُ ما ذَكَرَه، لَوَجَبَ سُقوطُ</w:t>
      </w:r>
      <w:r>
        <w:rPr>
          <w:rStyle w:val="FootnoteAnchor"/>
          <w:rtl w:val="true"/>
        </w:rPr>
        <w:footnoteReference w:id="1073"/>
      </w:r>
      <w:r>
        <w:rPr>
          <w:rFonts w:ascii="Amiri" w:hAnsi="Amiri" w:eastAsia="Amiri" w:cs="Amiri"/>
          <w:color w:val="111111"/>
          <w:sz w:val="28"/>
          <w:sz w:val="28"/>
          <w:szCs w:val="28"/>
          <w:rtl w:val="true"/>
          <w:lang w:bidi="ar-SA"/>
        </w:rPr>
        <w:t xml:space="preserve">إزالةِ الغَلَبةِ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إلىٰ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Style w:val="FootnoteAnchor"/>
          <w:rtl w:val="true"/>
        </w:rPr>
        <w:footnoteReference w:id="1074"/>
      </w:r>
    </w:p>
    <w:p>
      <w:pPr>
        <w:pStyle w:val="Heading5"/>
        <w:numPr>
          <w:ilvl w:val="4"/>
          <w:numId w:val="1"/>
        </w:numPr>
        <w:rPr/>
      </w:pPr>
      <w:bookmarkStart w:id="451" w:name="__RefHeading___Toc828590_2320776876"/>
      <w:bookmarkStart w:id="452" w:name="_Toc160"/>
      <w:bookmarkEnd w:id="451"/>
      <w:r>
        <w:rPr>
          <w:rtl w:val="true"/>
        </w:rPr>
        <w:t>عدم وجوب نصب الأُمراء على الأُمّة لأجل إقامة الحدود</w:t>
      </w:r>
      <w:bookmarkEnd w:id="45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العِلّةِ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إذا كانَ مغلوباً لا يُمكِنُ استِنقاذُه، يَجِبُ علَى الناسِ إقامةُ أميرٍ يَقومُ </w:t>
      </w:r>
      <w:r>
        <w:rPr>
          <w:rStyle w:val="FootnoteAnchor"/>
          <w:rtl w:val="true"/>
        </w:rPr>
        <w:footnoteReference w:id="1075"/>
      </w:r>
      <w:r>
        <w:rPr>
          <w:rFonts w:ascii="Amiri" w:hAnsi="Amiri" w:eastAsia="Amiri" w:cs="Amiri"/>
          <w:color w:val="111111"/>
          <w:sz w:val="28"/>
          <w:sz w:val="28"/>
          <w:szCs w:val="28"/>
          <w:rtl w:val="true"/>
          <w:lang w:bidi="ar-SA"/>
        </w:rPr>
        <w:t xml:space="preserve">بهذه الأُمورِ؛ لأنّ إقامتَه مِن قِبَلِه قد 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فيَلزَمُهم إقامتُه لِيَقومَ بالحُدودِ</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لأنّ مَن يَقومُ بالأصلِ يَجوزُ أن يَقومَ بما يَجري مَجرَى الفَرعِ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أصلِه و حِكايةٌ لِقَولِه</w:t>
      </w:r>
      <w:r>
        <w:rPr>
          <w:rStyle w:val="FootnoteAnchor"/>
          <w:rtl w:val="true"/>
        </w:rPr>
        <w:footnoteReference w:id="1081"/>
      </w:r>
      <w:r>
        <w:rPr>
          <w:rFonts w:ascii="Amiri" w:hAnsi="Amiri" w:eastAsia="Amiri" w:cs="Amiri"/>
          <w:color w:val="111111"/>
          <w:sz w:val="28"/>
          <w:sz w:val="28"/>
          <w:szCs w:val="28"/>
          <w:rtl w:val="true"/>
          <w:lang w:bidi="ar-SA"/>
        </w:rPr>
        <w:t xml:space="preserve">، و مَن يُخالِفُه في وجوبِ الإمامةِ يُنازِعُه في هذا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يَجِبُ عَلَينا إقامةُ الأُمَراءِ إذا كانَ الإمامُ مغلوباً، كما لا يَجِبُ عَلَينا إقامةُ الإمامِ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الناسِ مَن يَذهَبُ إلىٰ أنّ إقامةَ الأُمَراءِ لا تَسوغُ لنا </w:t>
      </w:r>
    </w:p>
    <w:p>
      <w:pPr>
        <w:pStyle w:val="BookText"/>
        <w:rPr/>
      </w:pPr>
      <w:r>
        <w:rPr>
          <w:rFonts w:ascii="Amiri" w:hAnsi="Amiri" w:eastAsia="Amiri" w:cs="Amiri"/>
          <w:color w:val="111111"/>
          <w:sz w:val="28"/>
          <w:sz w:val="28"/>
          <w:szCs w:val="28"/>
          <w:rtl w:val="true"/>
          <w:lang w:bidi="ar-SA"/>
        </w:rPr>
        <w:t xml:space="preserve">جُملةً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فُروضِ الأئمّةِ و عباداتِهم التي يَختَصّونَ </w:t>
      </w:r>
      <w:r>
        <w:rPr>
          <w:rStyle w:val="FootnoteAnchor"/>
          <w:rtl w:val="true"/>
        </w:rPr>
        <w:footnoteReference w:id="1082"/>
      </w:r>
      <w:r>
        <w:rPr>
          <w:rFonts w:ascii="Amiri" w:hAnsi="Amiri" w:eastAsia="Amiri" w:cs="Amiri"/>
          <w:color w:val="111111"/>
          <w:sz w:val="28"/>
          <w:sz w:val="28"/>
          <w:szCs w:val="28"/>
          <w:rtl w:val="true"/>
          <w:lang w:bidi="ar-SA"/>
        </w:rPr>
        <w:t xml:space="preserve">بها،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من فُروضِهم التي تَختَصُّ بِهم، و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ساغَ لنا إقامةُ الأُمَراءِ لَساغَ لنا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خِلافَ أنّ الإمامَ إذا حَصَلَ، فواجبٌ‌</w:t>
      </w:r>
      <w:r>
        <w:rPr>
          <w:rStyle w:val="FootnoteAnchor"/>
          <w:rtl w:val="true"/>
        </w:rPr>
        <w:footnoteReference w:id="1083"/>
      </w:r>
      <w:r>
        <w:rPr>
          <w:rFonts w:ascii="Amiri" w:hAnsi="Amiri" w:eastAsia="Amiri" w:cs="Amiri"/>
          <w:color w:val="111111"/>
          <w:sz w:val="28"/>
          <w:sz w:val="28"/>
          <w:szCs w:val="28"/>
          <w:rtl w:val="true"/>
          <w:lang w:bidi="ar-SA"/>
        </w:rPr>
        <w:t>عليه نَصبُ الأُمَراءِ و الحُكّامِ في البِلادِ التي لا يُمكِنُ فيها النظَرُ بنَفسِه، و قد عَلِمنا أنّ ذلكَ إنّما يَجِبُ للتوَصُّلِ إلىٰ هذه الأُمورِ، و</w:t>
      </w:r>
      <w:r>
        <w:rPr>
          <w:rStyle w:val="FootnoteAnchor"/>
          <w:rtl w:val="true"/>
        </w:rPr>
        <w:footnoteReference w:id="1084"/>
      </w:r>
      <w:r>
        <w:rPr>
          <w:rFonts w:ascii="Amiri" w:hAnsi="Amiri" w:eastAsia="Amiri" w:cs="Amiri"/>
          <w:color w:val="111111"/>
          <w:sz w:val="28"/>
          <w:sz w:val="28"/>
          <w:szCs w:val="28"/>
          <w:rtl w:val="true"/>
          <w:lang w:bidi="ar-SA"/>
        </w:rPr>
        <w:t xml:space="preserve">كما يَجِبُ </w:t>
      </w:r>
      <w:r>
        <w:rPr>
          <w:rStyle w:val="FootnoteAnchor"/>
          <w:rtl w:val="true"/>
        </w:rPr>
        <w:footnoteReference w:id="1085"/>
      </w:r>
      <w:r>
        <w:rPr>
          <w:rFonts w:ascii="Amiri" w:hAnsi="Amiri" w:eastAsia="Amiri" w:cs="Amiri"/>
          <w:color w:val="111111"/>
          <w:sz w:val="28"/>
          <w:sz w:val="28"/>
          <w:szCs w:val="28"/>
          <w:rtl w:val="true"/>
          <w:lang w:bidi="ar-SA"/>
        </w:rPr>
        <w:t xml:space="preserve">عليه التوَصُّلُ بالتَّوليةِ ، فكذلكَ يُمكِنُ أهلَ الحَلِّ و العَقدِ التوَصُّلُ إلىٰ إقامةِ إمامٍ ليَقومَ بهذه الأُمورِ، فيَجِبُ أن يَكونَ ذلكَ واجباً؛ لأنّه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لَزِمَ الإمامَ لأنّ ذلكَ مِن واجباتِه، فيَلزَمُه</w:t>
      </w:r>
      <w:r>
        <w:rPr>
          <w:rStyle w:val="FootnoteAnchor"/>
          <w:rtl w:val="true"/>
        </w:rPr>
        <w:footnoteReference w:id="1086"/>
      </w:r>
      <w:r>
        <w:rPr>
          <w:rFonts w:ascii="Amiri" w:hAnsi="Amiri" w:eastAsia="Amiri" w:cs="Amiri"/>
          <w:color w:val="111111"/>
          <w:sz w:val="28"/>
          <w:sz w:val="28"/>
          <w:szCs w:val="28"/>
          <w:rtl w:val="true"/>
          <w:lang w:bidi="ar-SA"/>
        </w:rPr>
        <w:t>إذا لَم يَفعَلْ بنَفسِه أن يَفعَلَ بغَيرِه؛</w:t>
      </w:r>
      <w:r>
        <w:rPr>
          <w:rStyle w:val="FootnoteAnchor"/>
          <w:rtl w:val="true"/>
        </w:rPr>
        <w:footnoteReference w:id="1087"/>
      </w:r>
      <w:r>
        <w:rPr>
          <w:rFonts w:ascii="Amiri" w:hAnsi="Amiri" w:eastAsia="Amiri" w:cs="Amiri"/>
          <w:color w:val="111111"/>
          <w:sz w:val="28"/>
          <w:sz w:val="28"/>
          <w:szCs w:val="28"/>
          <w:rtl w:val="true"/>
          <w:lang w:bidi="ar-SA"/>
        </w:rPr>
        <w:t>و ذلكَ أنّه</w:t>
      </w:r>
      <w:r>
        <w:rPr>
          <w:rStyle w:val="FootnoteAnchor"/>
          <w:rtl w:val="true"/>
        </w:rPr>
        <w:footnoteReference w:id="1088"/>
      </w:r>
      <w:r>
        <w:rPr>
          <w:rFonts w:ascii="Amiri" w:hAnsi="Amiri" w:eastAsia="Amiri" w:cs="Amiri"/>
          <w:color w:val="111111"/>
          <w:sz w:val="28"/>
          <w:sz w:val="28"/>
          <w:szCs w:val="28"/>
          <w:rtl w:val="true"/>
          <w:lang w:bidi="ar-SA"/>
        </w:rPr>
        <w:t>لا يَجوزُ أن يَلزَمَه بنَفسِه ما لا يُمكِنُه</w:t>
      </w:r>
      <w:r>
        <w:rPr>
          <w:rStyle w:val="FootnoteAnchor"/>
          <w:rtl w:val="true"/>
        </w:rPr>
        <w:footnoteReference w:id="1089"/>
      </w:r>
      <w:r>
        <w:rPr>
          <w:rFonts w:ascii="Amiri" w:hAnsi="Amiri" w:eastAsia="Amiri" w:cs="Amiri"/>
          <w:color w:val="111111"/>
          <w:sz w:val="28"/>
          <w:sz w:val="28"/>
          <w:szCs w:val="28"/>
          <w:rtl w:val="true"/>
          <w:lang w:bidi="ar-SA"/>
        </w:rPr>
        <w:t>الوفاءُ به</w:t>
      </w:r>
      <w:r>
        <w:rPr>
          <w:rStyle w:val="FootnoteAnchor"/>
          <w:rtl w:val="true"/>
        </w:rPr>
        <w:footnoteReference w:id="1090"/>
      </w:r>
      <w:r>
        <w:rPr>
          <w:rFonts w:ascii="Amiri" w:hAnsi="Amiri" w:eastAsia="Amiri" w:cs="Amiri"/>
          <w:color w:val="111111"/>
          <w:sz w:val="28"/>
          <w:sz w:val="28"/>
          <w:szCs w:val="28"/>
          <w:rtl w:val="true"/>
          <w:lang w:bidi="ar-SA"/>
        </w:rPr>
        <w:t xml:space="preserve">فلَيسَت العِلَّةُ </w:t>
      </w:r>
      <w:r>
        <w:rPr>
          <w:rStyle w:val="FootnoteAnchor"/>
          <w:rtl w:val="true"/>
        </w:rPr>
        <w:footnoteReference w:id="1091"/>
      </w:r>
      <w:r>
        <w:rPr>
          <w:rFonts w:ascii="Amiri" w:hAnsi="Amiri" w:eastAsia="Amiri" w:cs="Amiri"/>
          <w:color w:val="111111"/>
          <w:sz w:val="28"/>
          <w:sz w:val="28"/>
          <w:szCs w:val="28"/>
          <w:rtl w:val="true"/>
          <w:lang w:bidi="ar-SA"/>
        </w:rPr>
        <w:t>إلّاما قَدَّمنا ذِكرَه</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فلِخَصمِه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093"/>
      </w:r>
      <w:r>
        <w:rPr>
          <w:rFonts w:ascii="Amiri" w:hAnsi="Amiri" w:eastAsia="Amiri" w:cs="Amiri"/>
          <w:color w:val="111111"/>
          <w:sz w:val="28"/>
          <w:sz w:val="28"/>
          <w:szCs w:val="28"/>
          <w:rtl w:val="true"/>
          <w:lang w:bidi="ar-SA"/>
        </w:rPr>
        <w:t>إقامةَ الأُمَراءِ و نَصْبَ‌</w:t>
      </w:r>
      <w:r>
        <w:rPr>
          <w:rStyle w:val="FootnoteAnchor"/>
          <w:rtl w:val="true"/>
        </w:rPr>
        <w:footnoteReference w:id="1094"/>
      </w:r>
      <w:r>
        <w:rPr>
          <w:rFonts w:ascii="Amiri" w:hAnsi="Amiri" w:eastAsia="Amiri" w:cs="Amiri"/>
          <w:color w:val="111111"/>
          <w:sz w:val="28"/>
          <w:sz w:val="28"/>
          <w:szCs w:val="28"/>
          <w:rtl w:val="true"/>
          <w:lang w:bidi="ar-SA"/>
        </w:rPr>
        <w:t>الحُكّامِ مِن فُروضِ الإمامِ‌</w:t>
      </w:r>
      <w:r>
        <w:rPr>
          <w:rStyle w:val="FootnoteAnchor"/>
          <w:rtl w:val="true"/>
        </w:rPr>
        <w:footnoteReference w:id="1095"/>
      </w:r>
      <w:r>
        <w:rPr>
          <w:rFonts w:ascii="Amiri" w:hAnsi="Amiri" w:eastAsia="Amiri" w:cs="Amiri"/>
          <w:color w:val="111111"/>
          <w:sz w:val="28"/>
          <w:sz w:val="28"/>
          <w:szCs w:val="28"/>
          <w:rtl w:val="true"/>
          <w:lang w:bidi="ar-SA"/>
        </w:rPr>
        <w:t>و عباداتِه التي يَختَصُّ بها، و لَيسَ يَجِبُ أن يَكونَ له عِلّةٌ معروفةٌ سِوىٰ ما نَعلَمُه مِن كَونِه مَصلحةً في الجُملةِ، و قد يَجوزُ أن تَقتَضيَ المَصلَحةُ تَوَلّيَ الإمامِ ذلكَ، و إيجابُه عليه لا يَقتَضي مِثلَه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ساغَ لِصاحِبِ الكتابِ سُلوكُ مِثلِ هذه الطريقةِ، لَساغَ لغَيرِه أن 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وجوبُ الزكاةِ علىٰ مالكِ النِّصابِ، و لَم أجِدْ في وجوبِها عِلّةً إلّاكَونَها نَفعاً للفُقَراءِ ، و هذه العِلّةُ حاصِلةٌ فيمَن لا نِصابَ مَعَه، و هو مُتَمكِّنٌ مِن الاكتِسابِ و تحصيلِ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يوجِبَ بهذا الاعتبارِ اكتِسابَ المالِ ليُتوَصَّلَ به إلىٰ نَفعِ الفُقَراءِ ، كما أَوجَبَ صاحبُ الكتابِ </w:t>
      </w:r>
      <w:r>
        <w:rPr>
          <w:rStyle w:val="FootnoteAnchor"/>
          <w:rtl w:val="true"/>
        </w:rPr>
        <w:footnoteReference w:id="1096"/>
      </w:r>
      <w:r>
        <w:rPr>
          <w:rFonts w:ascii="Amiri" w:hAnsi="Amiri" w:eastAsia="Amiri" w:cs="Amiri"/>
          <w:color w:val="111111"/>
          <w:sz w:val="28"/>
          <w:sz w:val="28"/>
          <w:szCs w:val="28"/>
          <w:rtl w:val="true"/>
          <w:lang w:bidi="ar-SA"/>
        </w:rPr>
        <w:t>علَى الإمامِ إقامةَ الأُمَراءِ مِن حَيثُ ظَنَّ أنّ العِلّةَ فيه التوَصُّلُ إلىٰ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w:t>
      </w:r>
      <w:r>
        <w:rPr>
          <w:rStyle w:val="FootnoteAnchor"/>
          <w:rtl w:val="true"/>
        </w:rPr>
        <w:footnoteReference w:id="1097"/>
      </w:r>
      <w:r>
        <w:rPr>
          <w:rFonts w:ascii="Amiri" w:hAnsi="Amiri" w:eastAsia="Amiri" w:cs="Amiri"/>
          <w:color w:val="111111"/>
          <w:sz w:val="28"/>
          <w:sz w:val="28"/>
          <w:szCs w:val="28"/>
          <w:rtl w:val="true"/>
          <w:lang w:bidi="ar-SA"/>
        </w:rPr>
        <w:t xml:space="preserve">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مُنعَقِدٌ علىٰ نَفيِ وجوبِ اكتِسابِ المالِ ، فلهذا فرَّقتُ بَينَ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لا يَجوزُ أن يَقتَضيَ المُناقَضةَ، بَل حُصولُه يَدُلُّنا علىٰ‌</w:t>
      </w:r>
      <w:r>
        <w:rPr>
          <w:rStyle w:val="FootnoteAnchor"/>
          <w:rtl w:val="true"/>
        </w:rPr>
        <w:footnoteReference w:id="1098"/>
      </w:r>
      <w:r>
        <w:rPr>
          <w:rFonts w:ascii="Amiri" w:hAnsi="Amiri" w:eastAsia="Amiri" w:cs="Amiri"/>
          <w:color w:val="111111"/>
          <w:sz w:val="28"/>
          <w:sz w:val="28"/>
          <w:szCs w:val="28"/>
          <w:rtl w:val="true"/>
          <w:lang w:bidi="ar-SA"/>
        </w:rPr>
        <w:t>أنّ الزكاةَ لَم تَجِبْ علىٰ مالكِ النِّصابِ مِن حَيثُ كانَت نَفعاً للفُقَراءِ فَقَط، بَل لأمرٍ زائدٍ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صَحَّ هذا فكذلكَ غيرُ مُمتَنِعٍ أن يَكونَ إقامةُ الأُمَراءِ لَم يَلزَمِ الإمامَ لأجلِ </w:t>
      </w:r>
      <w:bookmarkStart w:id="453" w:name="pg20044_770908"/>
    </w:p>
    <w:p>
      <w:pPr>
        <w:pStyle w:val="BookText"/>
        <w:rPr/>
      </w:pPr>
      <w:bookmarkEnd w:id="453"/>
      <w:r>
        <w:rPr>
          <w:rFonts w:ascii="Amiri" w:hAnsi="Amiri" w:eastAsia="Amiri" w:cs="Amiri"/>
          <w:color w:val="111111"/>
          <w:sz w:val="28"/>
          <w:sz w:val="28"/>
          <w:szCs w:val="28"/>
          <w:rtl w:val="true"/>
          <w:lang w:bidi="ar-SA"/>
        </w:rPr>
        <w:t>التوَصُّلِ المُطلَقِ إلىٰ إقامةِ الحُدودِ، بَل لأمرٍ يَخُصُّ الإمامَ، و لا يَجِبُ أن يُحمَلَ حالُنا فيه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يَكونَ مِن واجباتِه ما لا يُمكِنُ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المَعنيُّ فيه ما قَدَّرَه؛ لأنّه ظَنَّ أنّ ذلكَ يَلزَمُه في كُلِّ بَلَدٍ علىٰ سَبيلِ الجَمعِ ، و لَيسَ المُرادُ هذا، و إنّما هو أنّ الإمامَ مُكلَّفٌ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099"/>
      </w:r>
      <w:r>
        <w:rPr>
          <w:rFonts w:ascii="Amiri" w:hAnsi="Amiri" w:eastAsia="Amiri" w:cs="Amiri"/>
          <w:color w:val="111111"/>
          <w:sz w:val="28"/>
          <w:sz w:val="28"/>
          <w:szCs w:val="28"/>
          <w:rtl w:val="true"/>
          <w:lang w:bidi="ar-SA"/>
        </w:rPr>
        <w:t xml:space="preserve">يَتوَلّاها بنَفسِه، أو يَستَخلِفُ فيها علىٰ سَبيلِ البَدَلِ </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و لَيسَ يَجِبُ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عليه تَوَلّي الكُلِّ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الكُلُّ مِن وجوبِه علَى الوجهِ الذي رَتَّبناه</w:t>
      </w:r>
      <w:r>
        <w:rPr>
          <w:rStyle w:val="FootnoteAnchor"/>
          <w:rtl w:val="true"/>
        </w:rPr>
        <w:footnoteReference w:id="1102"/>
      </w:r>
      <w:r>
        <w:rPr>
          <w:rFonts w:ascii="Amiri" w:hAnsi="Amiri" w:eastAsia="Amiri" w:cs="Amiri"/>
          <w:color w:val="111111"/>
          <w:sz w:val="28"/>
          <w:sz w:val="28"/>
          <w:szCs w:val="28"/>
          <w:rtl w:val="true"/>
          <w:lang w:bidi="ar-SA"/>
        </w:rPr>
        <w:t>لأنّه لا بَلَدَ مِن البُلدانِ وَلَّى الإمامُ فيه أُمَراءَ و حُكّاماً إلّاو قد كانَ يَجوزُ أن يَتوَلّىٰ ما وَلّاهم إيّاه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w:t>
      </w:r>
      <w:r>
        <w:rPr>
          <w:rStyle w:val="FootnoteAnchor"/>
          <w:rtl w:val="true"/>
        </w:rPr>
        <w:footnoteReference w:id="1103"/>
      </w:r>
      <w:r>
        <w:rPr>
          <w:rFonts w:ascii="Amiri" w:hAnsi="Amiri" w:eastAsia="Amiri" w:cs="Amiri"/>
          <w:color w:val="111111"/>
          <w:sz w:val="28"/>
          <w:sz w:val="28"/>
          <w:szCs w:val="28"/>
          <w:rtl w:val="true"/>
          <w:lang w:bidi="ar-SA"/>
        </w:rPr>
        <w:t xml:space="preserve">تَوهَّمَه في هذا المَوضِعِ فهو غيرُ صحيحٍ </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828592_2320776876"/>
      <w:bookmarkStart w:id="455" w:name="_Toc161"/>
      <w:bookmarkEnd w:id="454"/>
      <w:r>
        <w:rPr>
          <w:rtl w:val="true"/>
        </w:rPr>
        <w:t>عدم التلازم بين وجوب قبول الإمامة و وجوب الثبات عليها</w:t>
      </w:r>
      <w:bookmarkEnd w:id="455"/>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فلَو كانَ إقامةُ الرئيسِ غيرَ واجبةٍ </w:t>
      </w:r>
      <w:r>
        <w:rPr>
          <w:rStyle w:val="FootnoteAnchor"/>
          <w:rtl w:val="true"/>
        </w:rPr>
        <w:footnoteReference w:id="1104"/>
      </w:r>
      <w:r>
        <w:rPr>
          <w:rFonts w:ascii="Amiri" w:hAnsi="Amiri" w:eastAsia="Amiri" w:cs="Amiri"/>
          <w:color w:val="111111"/>
          <w:sz w:val="28"/>
          <w:sz w:val="28"/>
          <w:szCs w:val="28"/>
          <w:rtl w:val="true"/>
          <w:lang w:bidi="ar-SA"/>
        </w:rPr>
        <w:t xml:space="preserve">لَكانَ مَن يَصلُحُ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اختيرَ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القبولُ </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فقَد مضىٰ بَيانُنا أنّ أحَدَ الأمرَينِ مُنفَصِلٌ </w:t>
      </w:r>
      <w:r>
        <w:rPr>
          <w:rStyle w:val="FootnoteAnchor"/>
          <w:rtl w:val="true"/>
        </w:rPr>
        <w:footnoteReference w:id="1106"/>
      </w:r>
      <w:r>
        <w:rPr>
          <w:rFonts w:ascii="Amiri" w:hAnsi="Amiri" w:eastAsia="Amiri" w:cs="Amiri"/>
          <w:color w:val="111111"/>
          <w:sz w:val="28"/>
          <w:sz w:val="28"/>
          <w:szCs w:val="28"/>
          <w:rtl w:val="true"/>
          <w:lang w:bidi="ar-SA"/>
        </w:rPr>
        <w:t xml:space="preserve">عن الآخَرِ، و أنّه غيرُ مُمتَنِعٍ أن يَلزَمَه القبولُ </w:t>
      </w:r>
      <w:r>
        <w:rPr>
          <w:rStyle w:val="FootnoteAnchor"/>
          <w:rtl w:val="true"/>
        </w:rPr>
        <w:footnoteReference w:id="1107"/>
      </w:r>
      <w:r>
        <w:rPr>
          <w:rFonts w:ascii="Amiri" w:hAnsi="Amiri" w:eastAsia="Amiri" w:cs="Amiri"/>
          <w:color w:val="111111"/>
          <w:sz w:val="28"/>
          <w:sz w:val="28"/>
          <w:szCs w:val="28"/>
          <w:rtl w:val="true"/>
          <w:lang w:bidi="ar-SA"/>
        </w:rPr>
        <w:t xml:space="preserve">و إن كانَت إقامتُه غيرَ لازمةٍ ، و ضَرَبنا لذلكَ أمثالاً، فلا طائلَ </w:t>
      </w:r>
      <w:r>
        <w:rPr>
          <w:rStyle w:val="FootnoteAnchor"/>
          <w:rtl w:val="true"/>
        </w:rPr>
        <w:footnoteReference w:id="1108"/>
      </w:r>
      <w:r>
        <w:rPr>
          <w:rFonts w:ascii="Amiri" w:hAnsi="Amiri" w:eastAsia="Amiri" w:cs="Amiri"/>
          <w:color w:val="111111"/>
          <w:sz w:val="28"/>
          <w:sz w:val="28"/>
          <w:szCs w:val="28"/>
          <w:rtl w:val="true"/>
          <w:lang w:bidi="ar-SA"/>
        </w:rPr>
        <w:t>في إعادةِ ما ذَكَرناه</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كذلكَ‌</w:t>
      </w:r>
      <w:r>
        <w:rPr>
          <w:rStyle w:val="FootnoteAnchor"/>
          <w:rtl w:val="true"/>
        </w:rPr>
        <w:footnoteReference w:id="1110"/>
      </w:r>
      <w:r>
        <w:rPr>
          <w:rFonts w:ascii="Amiri" w:hAnsi="Amiri" w:eastAsia="Amiri" w:cs="Amiri"/>
          <w:color w:val="111111"/>
          <w:sz w:val="28"/>
          <w:sz w:val="28"/>
          <w:szCs w:val="28"/>
          <w:rtl w:val="true"/>
          <w:lang w:bidi="ar-SA"/>
        </w:rPr>
        <w:t>، لَكانَ بَعدَ دخولِه فيه لا يَلزَمُه الثَّباتُ‌</w:t>
      </w:r>
      <w:r>
        <w:rPr>
          <w:rStyle w:val="FootnoteAnchor"/>
          <w:rtl w:val="true"/>
        </w:rPr>
        <w:footnoteReference w:id="1111"/>
      </w:r>
      <w:r>
        <w:rPr>
          <w:rFonts w:ascii="Amiri" w:hAnsi="Amiri" w:eastAsia="Amiri" w:cs="Amiri"/>
          <w:color w:val="111111"/>
          <w:sz w:val="28"/>
          <w:sz w:val="28"/>
          <w:szCs w:val="28"/>
          <w:rtl w:val="true"/>
          <w:lang w:bidi="ar-SA"/>
        </w:rPr>
        <w:t>علَى الإمامةِ ، بَل كانَ يَجِبُ أن يكونَ مُخيَّراً كما كانَ مِن قَبلُ مُخيَّراً</w:t>
      </w:r>
      <w:r>
        <w:rPr>
          <w:rStyle w:val="FootnoteAnchor"/>
          <w:rtl w:val="true"/>
        </w:rPr>
        <w:footnoteReference w:id="1112"/>
      </w:r>
      <w:r>
        <w:rPr>
          <w:rFonts w:ascii="Amiri" w:hAnsi="Amiri" w:eastAsia="Amiri" w:cs="Amiri"/>
          <w:color w:val="111111"/>
          <w:sz w:val="28"/>
          <w:sz w:val="28"/>
          <w:szCs w:val="28"/>
          <w:rtl w:val="true"/>
          <w:lang w:bidi="ar-SA"/>
        </w:rPr>
        <w:t>في قبولِ العَقدِ</w:t>
      </w:r>
      <w:r>
        <w:rPr>
          <w:rFonts w:eastAsia="Amiri" w:cs="Amiri" w:ascii="Amiri" w:hAnsi="Amiri"/>
          <w:color w:val="111111"/>
          <w:sz w:val="28"/>
          <w:szCs w:val="28"/>
          <w:rtl w:val="true"/>
          <w:lang w:bidi="ar-SA"/>
        </w:rPr>
        <w:t>.</w:t>
      </w:r>
      <w:r>
        <w:rPr>
          <w:rStyle w:val="FootnoteAnchor"/>
          <w:rtl w:val="true"/>
        </w:rPr>
        <w:footnoteReference w:id="111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الأمرُ كما تَوهَّمَه، و غيرُ مُمتَنِعٍ أن يَكونَ القبولُ غيرَ لازمٍ له و إن كان الثَّباتُ بَعدَ القبولِ لازماً؛ لأنّه لَيسَ لأحدِهما بالآخَرِ مِن التعلُّقِ ما يَقتَضي وجوبَ اشتراكِهما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ما اعتَلَّ به صحيحاً لَوَجَبَ أن يَكونَ المُتَبايِعانِ بَعدَ قبولِهما عَقدَ البَيعِ و تَفرُّقِهما و حُصولِ جميعِ الشرائطِ يَسوغُ لهما الرجوعُ </w:t>
      </w:r>
    </w:p>
    <w:p>
      <w:pPr>
        <w:pStyle w:val="BookText"/>
        <w:rPr/>
      </w:pPr>
      <w:r>
        <w:rPr>
          <w:rFonts w:ascii="Amiri" w:hAnsi="Amiri" w:eastAsia="Amiri" w:cs="Amiri"/>
          <w:color w:val="111111"/>
          <w:sz w:val="28"/>
          <w:sz w:val="28"/>
          <w:szCs w:val="28"/>
          <w:rtl w:val="true"/>
          <w:lang w:bidi="ar-SA"/>
        </w:rPr>
        <w:t xml:space="preserve">في البَيعِ </w:t>
      </w:r>
      <w:r>
        <w:rPr>
          <w:rStyle w:val="FootnoteAnchor"/>
          <w:rtl w:val="true"/>
        </w:rPr>
        <w:footnoteReference w:id="1114"/>
      </w:r>
      <w:r>
        <w:rPr>
          <w:rFonts w:ascii="Amiri" w:hAnsi="Amiri" w:eastAsia="Amiri" w:cs="Amiri"/>
          <w:color w:val="111111"/>
          <w:sz w:val="28"/>
          <w:sz w:val="28"/>
          <w:szCs w:val="28"/>
          <w:rtl w:val="true"/>
          <w:lang w:bidi="ar-SA"/>
        </w:rPr>
        <w:t xml:space="preserve">مِن غيرِ عَيبٍ ؛ مِن حَيثُ كانَ قبولُ البَيعِ و عَقدِه في الأصلِ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يَجِبُ للمرأةِ أن يَحِلَّ لها بَعدَ قبولِها عَقدَ النكاحِ و دخولِها فيه الخروجُ منه، و لا يَلزَمَها الثَّباتُ عليه لمّا لَم يَكُن القبولُ واجباً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فَسَدَ كُلُّ هذا، ثَبَتَ أنّ الذي اعتَلَّ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القبولَ لازمٌ مِن حَيثُ لَزِمَ 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صِحّةَ ذلكَ‌</w:t>
      </w:r>
      <w:r>
        <w:rPr>
          <w:rStyle w:val="FootnoteAnchor"/>
          <w:rtl w:val="true"/>
        </w:rPr>
        <w:footnoteReference w:id="1115"/>
      </w:r>
      <w:r>
        <w:rPr>
          <w:rFonts w:ascii="Amiri" w:hAnsi="Amiri" w:eastAsia="Amiri" w:cs="Amiri"/>
          <w:color w:val="111111"/>
          <w:sz w:val="28"/>
          <w:sz w:val="28"/>
          <w:szCs w:val="28"/>
          <w:rtl w:val="true"/>
          <w:lang w:bidi="ar-SA"/>
        </w:rPr>
        <w:t>أنّ الإمامَ إذا كانَ‌</w:t>
      </w:r>
      <w:r>
        <w:rPr>
          <w:rStyle w:val="FootnoteAnchor"/>
          <w:rtl w:val="true"/>
        </w:rPr>
        <w:footnoteReference w:id="1116"/>
      </w:r>
      <w:r>
        <w:rPr>
          <w:rFonts w:ascii="Amiri" w:hAnsi="Amiri" w:eastAsia="Amiri" w:cs="Amiri"/>
          <w:color w:val="111111"/>
          <w:sz w:val="28"/>
          <w:sz w:val="28"/>
          <w:szCs w:val="28"/>
          <w:rtl w:val="true"/>
          <w:lang w:bidi="ar-SA"/>
        </w:rPr>
        <w:t>مُخيَّراً في العُدولِ عن إقامةِ أميرٍ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نَفسِه</w:t>
      </w:r>
      <w:r>
        <w:rPr>
          <w:rStyle w:val="FootnoteAnchor"/>
          <w:rtl w:val="true"/>
        </w:rPr>
        <w:footnoteReference w:id="1117"/>
      </w:r>
      <w:r>
        <w:rPr>
          <w:rFonts w:ascii="Amiri" w:hAnsi="Amiri" w:eastAsia="Amiri" w:cs="Amiri"/>
          <w:color w:val="111111"/>
          <w:sz w:val="28"/>
          <w:sz w:val="28"/>
          <w:szCs w:val="28"/>
          <w:rtl w:val="true"/>
          <w:lang w:bidi="ar-SA"/>
        </w:rPr>
        <w:t>، و عن تَوَلّيهِ‌</w:t>
      </w:r>
      <w:r>
        <w:rPr>
          <w:rStyle w:val="FootnoteAnchor"/>
          <w:rtl w:val="true"/>
        </w:rPr>
        <w:footnoteReference w:id="1118"/>
      </w:r>
      <w:r>
        <w:rPr>
          <w:rFonts w:ascii="Amiri" w:hAnsi="Amiri" w:eastAsia="Amiri" w:cs="Amiri"/>
          <w:color w:val="111111"/>
          <w:sz w:val="28"/>
          <w:sz w:val="28"/>
          <w:szCs w:val="28"/>
          <w:rtl w:val="true"/>
          <w:lang w:bidi="ar-SA"/>
        </w:rPr>
        <w:t>بنَفسِه إلىٰ إقامةِ أميرٍ، و عن أميرٍ</w:t>
      </w:r>
      <w:r>
        <w:rPr>
          <w:rStyle w:val="FootnoteAnchor"/>
          <w:rtl w:val="true"/>
        </w:rPr>
        <w:footnoteReference w:id="1119"/>
      </w:r>
      <w:r>
        <w:rPr>
          <w:rFonts w:ascii="Amiri" w:hAnsi="Amiri" w:eastAsia="Amiri" w:cs="Amiri"/>
          <w:color w:val="111111"/>
          <w:sz w:val="28"/>
          <w:sz w:val="28"/>
          <w:szCs w:val="28"/>
          <w:rtl w:val="true"/>
          <w:lang w:bidi="ar-SA"/>
        </w:rPr>
        <w:t xml:space="preserve">إلىٰ أميرٍ، كانَ للأميرِ أن يَختارَ الخُروجَ عن الإمارةِ </w:t>
      </w:r>
      <w:r>
        <w:rPr>
          <w:rStyle w:val="FootnoteAnchor"/>
          <w:rtl w:val="true"/>
        </w:rPr>
        <w:footnoteReference w:id="1120"/>
      </w:r>
      <w:r>
        <w:rPr>
          <w:rFonts w:ascii="IRNazanin" w:hAnsi="IRNazanin" w:eastAsia="IRNazanin"/>
          <w:color w:val="111111"/>
          <w:sz w:val="28"/>
          <w:sz w:val="28"/>
          <w:szCs w:val="28"/>
          <w:rtl w:val="true"/>
          <w:lang w:bidi="fa-IR"/>
        </w:rPr>
        <w:t>ما</w:t>
      </w:r>
      <w:r>
        <w:rPr>
          <w:rStyle w:val="FootnoteAnchor"/>
          <w:rtl w:val="true"/>
        </w:rPr>
        <w:footnoteReference w:id="1121"/>
      </w:r>
      <w:r>
        <w:rPr>
          <w:rFonts w:ascii="Amiri" w:hAnsi="Amiri" w:eastAsia="Amiri" w:cs="Amiri"/>
          <w:color w:val="111111"/>
          <w:sz w:val="28"/>
          <w:sz w:val="28"/>
          <w:szCs w:val="28"/>
          <w:rtl w:val="true"/>
          <w:lang w:bidi="ar-SA"/>
        </w:rPr>
        <w:t>لَم يُلزِمْه</w:t>
      </w:r>
      <w:r>
        <w:rPr>
          <w:rStyle w:val="FootnoteAnchor"/>
          <w:rtl w:val="true"/>
        </w:rPr>
        <w:footnoteReference w:id="1122"/>
      </w:r>
      <w:r>
        <w:rPr>
          <w:rFonts w:ascii="Amiri" w:hAnsi="Amiri" w:eastAsia="Amiri" w:cs="Amiri"/>
          <w:color w:val="111111"/>
          <w:sz w:val="28"/>
          <w:sz w:val="28"/>
          <w:szCs w:val="28"/>
          <w:rtl w:val="true"/>
          <w:lang w:bidi="ar-SA"/>
        </w:rPr>
        <w:t xml:space="preserve">الإمامُ صفةً </w:t>
      </w:r>
    </w:p>
    <w:p>
      <w:pPr>
        <w:pStyle w:val="BookText"/>
        <w:rPr/>
      </w:pPr>
      <w:r>
        <w:rPr>
          <w:rFonts w:ascii="Amiri" w:hAnsi="Amiri" w:eastAsia="Amiri" w:cs="Amiri"/>
          <w:color w:val="111111"/>
          <w:sz w:val="28"/>
          <w:sz w:val="28"/>
          <w:szCs w:val="28"/>
          <w:rtl w:val="true"/>
          <w:lang w:bidi="ar-SA"/>
        </w:rPr>
        <w:t>زائدةً علىٰ إقامتِه أميراً؛ فكذلكَ كانَ يَجِبُ في الإمامِ‌</w:t>
      </w:r>
      <w:r>
        <w:rPr>
          <w:rStyle w:val="FootnoteAnchor"/>
          <w:rtl w:val="true"/>
        </w:rPr>
        <w:footnoteReference w:id="1123"/>
      </w:r>
      <w:r>
        <w:rPr>
          <w:rFonts w:ascii="Amiri" w:hAnsi="Amiri" w:eastAsia="Amiri" w:cs="Amiri"/>
          <w:color w:val="111111"/>
          <w:sz w:val="28"/>
          <w:sz w:val="28"/>
          <w:szCs w:val="28"/>
          <w:rtl w:val="true"/>
          <w:lang w:bidi="ar-SA"/>
        </w:rPr>
        <w:t>لَو لَم تَكُن إقامتُه واجبةً‌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فمُنتَقِضٌ أيضاً بما ذَكَرناه في البَيعِ‌</w:t>
      </w:r>
      <w:r>
        <w:rPr>
          <w:rStyle w:val="FootnoteAnchor"/>
          <w:rtl w:val="true"/>
        </w:rPr>
        <w:footnoteReference w:id="1126"/>
      </w:r>
      <w:r>
        <w:rPr>
          <w:rFonts w:ascii="Amiri" w:hAnsi="Amiri" w:eastAsia="Amiri" w:cs="Amiri"/>
          <w:color w:val="111111"/>
          <w:sz w:val="28"/>
          <w:sz w:val="28"/>
          <w:szCs w:val="28"/>
          <w:rtl w:val="true"/>
          <w:lang w:bidi="ar-SA"/>
        </w:rPr>
        <w:t>لأنّ للمُتَبايِعَينِ أن يَعدِلا عن مَبيعٍ إلىٰ مَبيعٍ، و لهما أن لا يَتَبايَعا جُملةً؛ لأنّهما مُخيَّرانِ في ذلكَ و لَيسَ بواجبٍ عَلَيهما، و مع ذلكَ‌</w:t>
      </w:r>
      <w:r>
        <w:rPr>
          <w:rStyle w:val="FootnoteAnchor"/>
          <w:rtl w:val="true"/>
        </w:rPr>
        <w:footnoteReference w:id="1127"/>
      </w:r>
      <w:r>
        <w:rPr>
          <w:rFonts w:ascii="Amiri" w:hAnsi="Amiri" w:eastAsia="Amiri" w:cs="Amiri"/>
          <w:color w:val="111111"/>
          <w:sz w:val="28"/>
          <w:sz w:val="28"/>
          <w:szCs w:val="28"/>
          <w:rtl w:val="true"/>
          <w:lang w:bidi="ar-SA"/>
        </w:rPr>
        <w:t>فلَيسَ لهما و لا لكُلِّ واحدٍ مِنهما بَعدَ عَقدِ البَيعِ و قبولِه و تَكامُلِ شرائطِه الخُروجُ عنه و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يَدُلُّ هذا علىٰ أنّ البَيعَ في الأصلِ واجبٌ ، فكذلك لا يَدُلُّ تحريمُ الخُروجِ عن الإمامةِ بَعدَ الدُّخولِ فيها علىٰ أنّها واجبةٌ و لازمٌ قبولُها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ذَكَرَه مُنتَقِضٌ مِن وجهٍ آخَرَ، و هو أنّه جائزٌ عندَه أن يَكونَ في العَصرِ جَماعةٌ قد تَكامَلَت شُروطُ الإمامةِ فيهم، و عُلِمَ مِن حالِ </w:t>
      </w:r>
      <w:r>
        <w:rPr>
          <w:rStyle w:val="FootnoteAnchor"/>
          <w:rtl w:val="true"/>
        </w:rPr>
        <w:footnoteReference w:id="1128"/>
      </w:r>
      <w:r>
        <w:rPr>
          <w:rFonts w:ascii="Amiri" w:hAnsi="Amiri" w:eastAsia="Amiri" w:cs="Amiri"/>
          <w:color w:val="111111"/>
          <w:sz w:val="28"/>
          <w:sz w:val="28"/>
          <w:szCs w:val="28"/>
          <w:rtl w:val="true"/>
          <w:lang w:bidi="ar-SA"/>
        </w:rPr>
        <w:t>كُلِّ واحدٍ مِنهم</w:t>
      </w:r>
      <w:r>
        <w:rPr>
          <w:rStyle w:val="FootnoteAnchor"/>
          <w:rtl w:val="true"/>
        </w:rPr>
        <w:footnoteReference w:id="1129"/>
      </w:r>
      <w:r>
        <w:rPr>
          <w:rFonts w:ascii="Amiri" w:hAnsi="Amiri" w:eastAsia="Amiri" w:cs="Amiri"/>
          <w:color w:val="111111"/>
          <w:sz w:val="28"/>
          <w:sz w:val="28"/>
          <w:szCs w:val="28"/>
          <w:rtl w:val="true"/>
          <w:lang w:bidi="ar-SA"/>
        </w:rPr>
        <w:t>صَلاحُه لها و اضطِلاعُه</w:t>
      </w:r>
      <w:r>
        <w:rPr>
          <w:rStyle w:val="FootnoteAnchor"/>
          <w:rtl w:val="true"/>
        </w:rPr>
        <w:footnoteReference w:id="1130"/>
      </w:r>
      <w:r>
        <w:rPr>
          <w:rFonts w:ascii="Amiri" w:hAnsi="Amiri" w:eastAsia="Amiri" w:cs="Amiri"/>
          <w:color w:val="111111"/>
          <w:sz w:val="28"/>
          <w:sz w:val="28"/>
          <w:szCs w:val="28"/>
          <w:rtl w:val="true"/>
          <w:lang w:bidi="ar-SA"/>
        </w:rPr>
        <w:t xml:space="preserve">بها، مِن غيرِ أن يَكونَ لأحَدِهم علَى الآخَرِ مَزيّةٌ في مَعنَى الصَّلاحِ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يُجوِّزْ</w:t>
      </w:r>
      <w:r>
        <w:rPr>
          <w:rStyle w:val="FootnoteAnchor"/>
          <w:rtl w:val="true"/>
        </w:rPr>
        <w:footnoteReference w:id="1131"/>
      </w:r>
      <w:r>
        <w:rPr>
          <w:rFonts w:ascii="Amiri" w:hAnsi="Amiri" w:eastAsia="Amiri" w:cs="Amiri"/>
          <w:color w:val="111111"/>
          <w:sz w:val="28"/>
          <w:sz w:val="28"/>
          <w:szCs w:val="28"/>
          <w:rtl w:val="true"/>
          <w:lang w:bidi="ar-SA"/>
        </w:rPr>
        <w:t xml:space="preserve">أن يَكونَ جَماعةٌ بهذه الصفةِ ، فلَيسَ يُمكِنُ أن يَدفَعَ وجودَ </w:t>
      </w:r>
      <w:bookmarkStart w:id="456" w:name="pg20044_770912"/>
    </w:p>
    <w:p>
      <w:pPr>
        <w:pStyle w:val="BookText"/>
        <w:rPr/>
      </w:pPr>
      <w:bookmarkEnd w:id="456"/>
      <w:r>
        <w:rPr>
          <w:rFonts w:ascii="Amiri" w:hAnsi="Amiri" w:eastAsia="Amiri" w:cs="Amiri"/>
          <w:color w:val="111111"/>
          <w:sz w:val="28"/>
          <w:sz w:val="28"/>
          <w:szCs w:val="28"/>
          <w:rtl w:val="true"/>
          <w:lang w:bidi="ar-SA"/>
        </w:rPr>
        <w:t>اثنَينِ يَصلُحانِ لها علَى الوجهِ الذي ذَكَرناه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نَعلَمُ أنّه إذا اتَّفَقَ هذا، كانَ أهلُ الاختيارِ مُخيَّرِينَ في اختيارِ كُلِّ واحدٍ مِنهما و عَرضِ الأمرِ عليه، و لا يَكونُ الذي يُختارُ و يُعرَضُ الأمرُ عليه مُخيَّراً في القبولِ و الردِّ، و لا في الثَّباتِ بَعدَ القبولِ ، بَل عندَهم أنّه يَجِبُ عليه القبولُ ، و كذلكَ يَلزَمُه الثَّباتُ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فبَطَلَ </w:t>
      </w:r>
      <w:r>
        <w:rPr>
          <w:rStyle w:val="FootnoteAnchor"/>
          <w:rtl w:val="true"/>
        </w:rPr>
        <w:footnoteReference w:id="1133"/>
      </w:r>
      <w:r>
        <w:rPr>
          <w:rFonts w:ascii="Amiri" w:hAnsi="Amiri" w:eastAsia="Amiri" w:cs="Amiri"/>
          <w:color w:val="111111"/>
          <w:sz w:val="28"/>
          <w:sz w:val="28"/>
          <w:szCs w:val="28"/>
          <w:rtl w:val="true"/>
          <w:lang w:bidi="ar-SA"/>
        </w:rPr>
        <w:t>أن يَكونَ العِلّةُ في جوازِ خُروجِ الأميرِ عن الإمارةِ ما ذَكَرَه مِن كَونِ الإمامِ مُخيَّراً في اختيارِه و إقامتِه أميراً؛ لأنّ العِلّةَ لَو كانَت هذه، لَوَجَبَ في الاثنَينِ اللذَينِ ذَكَرنا حالَهما جوازُ خُروجِهما عن الإمامةِ بَعدَ قبولِهما؛ مِن حَيثُ كانَ مَن يَختارُهما مُخيَّراً بَينَهما</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828594_2320776876"/>
      <w:bookmarkStart w:id="458" w:name="_Toc162"/>
      <w:bookmarkEnd w:id="457"/>
      <w:r>
        <w:rPr>
          <w:rtl w:val="true"/>
        </w:rPr>
        <w:t>الوجوه التي تجب لها الإمامة، و بطلان قياس الإمامة على الأمر بالمعروف</w:t>
      </w:r>
      <w:bookmarkEnd w:id="45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فقَد</w:t>
      </w:r>
      <w:r>
        <w:rPr>
          <w:rStyle w:val="FootnoteAnchor"/>
          <w:rtl w:val="true"/>
        </w:rPr>
        <w:footnoteReference w:id="1134"/>
      </w:r>
      <w:r>
        <w:rPr>
          <w:rFonts w:ascii="Amiri" w:hAnsi="Amiri" w:eastAsia="Amiri" w:cs="Amiri"/>
          <w:color w:val="111111"/>
          <w:sz w:val="28"/>
          <w:sz w:val="28"/>
          <w:szCs w:val="28"/>
          <w:rtl w:val="true"/>
          <w:lang w:bidi="ar-SA"/>
        </w:rPr>
        <w:t>ثَبَتَ بالشَّرعِ‌</w:t>
      </w:r>
      <w:r>
        <w:rPr>
          <w:rStyle w:val="FootnoteAnchor"/>
          <w:rtl w:val="true"/>
        </w:rPr>
        <w:footnoteReference w:id="1135"/>
      </w:r>
      <w:r>
        <w:rPr>
          <w:rFonts w:ascii="Amiri" w:hAnsi="Amiri" w:eastAsia="Amiri" w:cs="Amiri"/>
          <w:color w:val="111111"/>
          <w:sz w:val="28"/>
          <w:sz w:val="28"/>
          <w:szCs w:val="28"/>
          <w:rtl w:val="true"/>
          <w:lang w:bidi="ar-SA"/>
        </w:rPr>
        <w:t xml:space="preserve">أنّ الذي لأجلِه يُقامُ الإمامُ هو ما يَقومُ بمَصلَحةِ الدُّنيا أو الدِّينِ </w:t>
      </w:r>
      <w:r>
        <w:rPr>
          <w:rStyle w:val="FootnoteAnchor"/>
          <w:rtl w:val="true"/>
        </w:rPr>
        <w:footnoteReference w:id="1136"/>
      </w:r>
      <w:r>
        <w:rPr>
          <w:rFonts w:ascii="Amiri" w:hAnsi="Amiri" w:eastAsia="Amiri" w:cs="Amiri"/>
          <w:color w:val="111111"/>
          <w:sz w:val="28"/>
          <w:sz w:val="28"/>
          <w:szCs w:val="28"/>
          <w:rtl w:val="true"/>
          <w:lang w:bidi="ar-SA"/>
        </w:rPr>
        <w:t xml:space="preserve">، مِن اجتِلابِ المَنافعِ و دَفعِ المَضارِّ، مِن غيرِ تخصيصٍ بعَينٍ </w:t>
      </w:r>
      <w:r>
        <w:rPr>
          <w:rStyle w:val="FootnoteAnchor"/>
          <w:rtl w:val="true"/>
        </w:rPr>
        <w:footnoteReference w:id="1137"/>
      </w:r>
      <w:r>
        <w:rPr>
          <w:rFonts w:ascii="Amiri" w:hAnsi="Amiri" w:eastAsia="Amiri" w:cs="Amiri"/>
          <w:color w:val="111111"/>
          <w:sz w:val="28"/>
          <w:sz w:val="28"/>
          <w:szCs w:val="28"/>
          <w:rtl w:val="true"/>
          <w:lang w:bidi="ar-SA"/>
        </w:rPr>
        <w:t>، بَل لا أحَدَ</w:t>
      </w:r>
      <w:r>
        <w:rPr>
          <w:rStyle w:val="FootnoteAnchor"/>
          <w:rtl w:val="true"/>
        </w:rPr>
        <w:footnoteReference w:id="1138"/>
      </w:r>
      <w:r>
        <w:rPr>
          <w:rFonts w:ascii="Amiri" w:hAnsi="Amiri" w:eastAsia="Amiri" w:cs="Amiri"/>
          <w:color w:val="111111"/>
          <w:sz w:val="28"/>
          <w:sz w:val="28"/>
          <w:szCs w:val="28"/>
          <w:rtl w:val="true"/>
          <w:lang w:bidi="ar-SA"/>
        </w:rPr>
        <w:t>مِنهم إلّاو له في ذلكَ حَظٌّ حاصلٌ أو مُجوَّزٌ</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عَلِمنا أنّ ما هذا حالُه يَلزَمُ التوَصُّلُ إليه؛ لأنّه توَصُّلٌ إلىٰ دَفعِ المَضارِّ المظنونةِ أو المعلومةِ، و قد بيّنّا مِن قَبلُ أنّ الأمرَ بالمعروفِ و النهيَ عن المُنكَرِ يَجِبانِ علَى الوجوهِ التي ذَكَرناها، و ما يقومُ به الإمامُ إن لَم يَزِدْ حالُه علىٰ حالِهما لَم يَنقُصْ، فيَجِبُ التوَصُّلُ إليه</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فلَيسَ يَخلو حالُ الإمامةِ عندَه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تَجِبَ‌</w:t>
      </w:r>
      <w:r>
        <w:rPr>
          <w:rStyle w:val="FootnoteAnchor"/>
          <w:rtl w:val="true"/>
        </w:rPr>
        <w:footnoteReference w:id="1141"/>
      </w:r>
      <w:r>
        <w:rPr>
          <w:rFonts w:ascii="Amiri" w:hAnsi="Amiri" w:eastAsia="Amiri" w:cs="Amiri"/>
          <w:color w:val="111111"/>
          <w:sz w:val="28"/>
          <w:sz w:val="28"/>
          <w:szCs w:val="28"/>
          <w:rtl w:val="true"/>
          <w:lang w:bidi="ar-SA"/>
        </w:rPr>
        <w:t>لِمَصالحِ الدِّينِ، أو لِمَصالحِ الدُّنيا،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وَجَبَت</w:t>
      </w:r>
      <w:r>
        <w:rPr>
          <w:rStyle w:val="FootnoteAnchor"/>
          <w:rtl w:val="true"/>
        </w:rPr>
        <w:footnoteReference w:id="1142"/>
      </w:r>
      <w:r>
        <w:rPr>
          <w:rFonts w:ascii="Amiri" w:hAnsi="Amiri" w:eastAsia="Amiri" w:cs="Amiri"/>
          <w:color w:val="111111"/>
          <w:sz w:val="28"/>
          <w:sz w:val="28"/>
          <w:szCs w:val="28"/>
          <w:rtl w:val="true"/>
          <w:lang w:bidi="ar-SA"/>
        </w:rPr>
        <w:t>لأنّها مِن مَصالحِ الدِّينِ، وَجَبَتِ الإمامةُ مِن طريقِ العقولِ، و لَم يُفتَقَرْ فيها إلَى السَّمعِ و الشَّرعِ، كما يَجِبُ نَظائرُها مِن مَصالحِ الدِّينِ بالعقولِ‌</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إن أرادَه فهو دخولٌ في مَذهبِنا و لُحوقٌ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وَجَبَت للأمرَينِ، أيضاً وَجَبَ ما ذَكَرناه؛ لأنّ هذا القِسمَ مُشتَمِلٌ علَى القِسمِ الأوّلِ و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وَجَبَت مِن حَيثُ مَصالحِ الدُّنيا و لاِجتِلابِ المَنافعِ و دَفعِ المَضارِّ الدُّنياويّةِ‌</w:t>
      </w:r>
      <w:r>
        <w:rPr>
          <w:rStyle w:val="FootnoteAnchor"/>
          <w:rtl w:val="true"/>
        </w:rPr>
        <w:footnoteReference w:id="1144"/>
      </w:r>
      <w:r>
        <w:rPr>
          <w:rFonts w:ascii="Amiri" w:hAnsi="Amiri" w:eastAsia="Amiri" w:cs="Amiri"/>
          <w:color w:val="111111"/>
          <w:sz w:val="28"/>
          <w:sz w:val="28"/>
          <w:szCs w:val="28"/>
          <w:rtl w:val="true"/>
          <w:lang w:bidi="ar-SA"/>
        </w:rPr>
        <w:t xml:space="preserve">، لَم يَخلُ مِن أن يَكونَ تلكَ المَنافعُ و المَضارُّ ممّا يَجِبُ </w:t>
      </w:r>
      <w:r>
        <w:rPr>
          <w:rStyle w:val="FootnoteAnchor"/>
          <w:rtl w:val="true"/>
        </w:rPr>
        <w:footnoteReference w:id="1145"/>
      </w:r>
      <w:r>
        <w:rPr>
          <w:rFonts w:ascii="Amiri" w:hAnsi="Amiri" w:eastAsia="Amiri" w:cs="Amiri"/>
          <w:color w:val="111111"/>
          <w:sz w:val="28"/>
          <w:sz w:val="28"/>
          <w:szCs w:val="28"/>
          <w:rtl w:val="true"/>
          <w:lang w:bidi="ar-SA"/>
        </w:rPr>
        <w:t xml:space="preserve">اجتِلابُها و التحرُّزُ مِنها، أو لا يَجِبُ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ممّا يَجِبُ ما ذَكَرناه</w:t>
      </w:r>
      <w:r>
        <w:rPr>
          <w:rStyle w:val="FootnoteAnchor"/>
          <w:rtl w:val="true"/>
        </w:rPr>
        <w:footnoteReference w:id="1146"/>
      </w:r>
      <w:r>
        <w:rPr>
          <w:rFonts w:ascii="Amiri" w:hAnsi="Amiri" w:eastAsia="Amiri" w:cs="Amiri"/>
          <w:color w:val="111111"/>
          <w:sz w:val="28"/>
          <w:sz w:val="28"/>
          <w:szCs w:val="28"/>
          <w:rtl w:val="true"/>
          <w:lang w:bidi="ar-SA"/>
        </w:rPr>
        <w:t xml:space="preserve">فيها، وَجَبَت الإمامةُ أيضاً مِن طريقِ العقولِ ؛ لأنّ </w:t>
      </w:r>
    </w:p>
    <w:p>
      <w:pPr>
        <w:pStyle w:val="BookText"/>
        <w:rPr/>
      </w:pPr>
      <w:r>
        <w:rPr>
          <w:rFonts w:ascii="Amiri" w:hAnsi="Amiri" w:eastAsia="Amiri" w:cs="Amiri"/>
          <w:color w:val="111111"/>
          <w:sz w:val="28"/>
          <w:sz w:val="28"/>
          <w:szCs w:val="28"/>
          <w:rtl w:val="true"/>
          <w:lang w:bidi="ar-SA"/>
        </w:rPr>
        <w:t xml:space="preserve">اجتِلابَ المَنافعِ و دَفعَ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تَجِبُ في كُلِّ حالٍ، و لا يَجوزُ أن تَكونَ غيرَ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الاجتِلابُ و التحَرُّزُ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ممّا يَجوزُ أن يَجِبَ و أن لا يَجِبَ، فالواجبُ علىٰ صاحبِ الكتابِ أن يورِدَ في إثباتِ وجوبِها دليلاً سَمعيّاً يَخُصُّها و يَدُلُّ علىٰ وجوبِها؛ لأنّه إذا كانَ وجوبُها مُجوَّزاً حُصولُه و سُقوطُه مِن طريقِ العقلِ، لَزِمَ مَن أثبَتَه سَمعاً</w:t>
      </w:r>
      <w:r>
        <w:rPr>
          <w:rStyle w:val="FootnoteAnchor"/>
          <w:rtl w:val="true"/>
        </w:rPr>
        <w:footnoteReference w:id="1147"/>
      </w:r>
      <w:r>
        <w:rPr>
          <w:rFonts w:ascii="Amiri" w:hAnsi="Amiri" w:eastAsia="Amiri" w:cs="Amiri"/>
          <w:color w:val="111111"/>
          <w:sz w:val="28"/>
          <w:sz w:val="28"/>
          <w:szCs w:val="28"/>
          <w:rtl w:val="true"/>
          <w:lang w:bidi="ar-SA"/>
        </w:rPr>
        <w:t>إيرادُ دليلٍ سَمعيٍّ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تَعلُّقُه بالأمرِ بالمعروفِ و النهيِ عن المُنكَرِ لا يُغني عنه شيئاً؛ لأنّ لِمَن يُخالِفُه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r>
        <w:rPr>
          <w:rStyle w:val="FootnoteAnchor"/>
          <w:rtl w:val="true"/>
        </w:rPr>
        <w:footnoteReference w:id="1148"/>
      </w:r>
      <w:r>
        <w:rPr>
          <w:rFonts w:ascii="Amiri" w:hAnsi="Amiri" w:eastAsia="Amiri" w:cs="Amiri"/>
          <w:color w:val="111111"/>
          <w:sz w:val="28"/>
          <w:sz w:val="28"/>
          <w:szCs w:val="28"/>
          <w:rtl w:val="true"/>
          <w:lang w:bidi="ar-SA"/>
        </w:rPr>
        <w:t xml:space="preserve">أثبَتُّ ذلكَ بالسَّمعِ المخصوصِ و لإجماعِ الأُمّةِ عليه، و الإمامةُ خارجةٌ عنه؛ لأنّه لا إجماعَ فيها و لا سَمعَ يَقتَضي وجوبَها علَى التخصيصِ ، و مَن ادَّعىٰ لُحوقَها بالأمرِ بالمعروفِ و النهيِ عن المُنكَرِ وَجَبَ عليه أن يَدُلَّ </w:t>
      </w:r>
      <w:r>
        <w:rPr>
          <w:rStyle w:val="FootnoteAnchor"/>
          <w:rtl w:val="true"/>
        </w:rPr>
        <w:footnoteReference w:id="1149"/>
      </w:r>
      <w:r>
        <w:rPr>
          <w:rFonts w:ascii="Amiri" w:hAnsi="Amiri" w:eastAsia="Amiri" w:cs="Amiri"/>
          <w:color w:val="111111"/>
          <w:sz w:val="28"/>
          <w:sz w:val="28"/>
          <w:szCs w:val="28"/>
          <w:rtl w:val="true"/>
          <w:lang w:bidi="ar-SA"/>
        </w:rPr>
        <w:t xml:space="preserve">علىٰ دَعواه، و يُبيِّنَ وجهَ دخولِها في بابِ الأمرِ بالمعروفِ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تَجِبُ </w:t>
      </w:r>
      <w:r>
        <w:rPr>
          <w:rStyle w:val="FootnoteAnchor"/>
          <w:rtl w:val="true"/>
        </w:rPr>
        <w:footnoteReference w:id="1151"/>
      </w:r>
      <w:r>
        <w:rPr>
          <w:rFonts w:ascii="Amiri" w:hAnsi="Amiri" w:eastAsia="Amiri" w:cs="Amiri"/>
          <w:color w:val="111111"/>
          <w:sz w:val="28"/>
          <w:sz w:val="28"/>
          <w:szCs w:val="28"/>
          <w:rtl w:val="true"/>
          <w:lang w:bidi="ar-SA"/>
        </w:rPr>
        <w:t xml:space="preserve">لِمَصالحِ الدِّينِ و إن لَم تَجِبْ مِن طريقِ العقولِ ، كالصلاةِ و غيرِها ممّا يَكشِفُ السَّمعُ عن كَونِه مَصلَحةً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قد بيّنّا أنّ الوجهَ في وجوبِها معلومٌ في العقولِ و مُستَدرَكٌ قَبلَ ورودِ السَّمعِ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تَجاوَزْنا عن</w:t>
      </w:r>
      <w:r>
        <w:rPr>
          <w:rStyle w:val="FootnoteAnchor"/>
          <w:rtl w:val="true"/>
        </w:rPr>
        <w:footnoteReference w:id="1152"/>
      </w:r>
      <w:r>
        <w:rPr>
          <w:rFonts w:ascii="Amiri" w:hAnsi="Amiri" w:eastAsia="Amiri" w:cs="Amiri"/>
          <w:color w:val="111111"/>
          <w:sz w:val="28"/>
          <w:sz w:val="28"/>
          <w:szCs w:val="28"/>
          <w:rtl w:val="true"/>
          <w:lang w:bidi="ar-SA"/>
        </w:rPr>
        <w:t xml:space="preserve">ذلكَ ، لَم يَجِبْ لُحوقُها بالصلاةِ مِن حَيثُ عُلِمَ بالسَّمعِ أنّ فيها مَصلَحةً ؛ لأنّه غيرُ مُمتَنِعٍ أن تَثبُتَ المَصلَحةُ فيها علىٰ وجهٍ لا يَقتَضي الاستمرارَ، و </w:t>
      </w:r>
      <w:bookmarkStart w:id="459" w:name="pg20044_770915"/>
    </w:p>
    <w:p>
      <w:pPr>
        <w:pStyle w:val="BookText"/>
        <w:rPr/>
      </w:pPr>
      <w:bookmarkEnd w:id="459"/>
      <w:r>
        <w:rPr>
          <w:rFonts w:ascii="Amiri" w:hAnsi="Amiri" w:eastAsia="Amiri" w:cs="Amiri"/>
          <w:color w:val="111111"/>
          <w:sz w:val="28"/>
          <w:sz w:val="28"/>
          <w:szCs w:val="28"/>
          <w:rtl w:val="true"/>
          <w:lang w:bidi="ar-SA"/>
        </w:rPr>
        <w:t xml:space="preserve">إنِ اقتَضَى الاستمرارَ لَم يَقتَضِ الوجوبَ؛ فقَد عَلِمنا أنّ لنا في جميعِ النوافلِ مَصالحَ و إن لَم تَكُن واجبةً، فلَيسَ يَجِبُ إذا عُلِمَ بالسَّمعِ ثُبوتُ </w:t>
      </w:r>
      <w:r>
        <w:rPr>
          <w:rStyle w:val="FootnoteAnchor"/>
          <w:rtl w:val="true"/>
        </w:rPr>
        <w:footnoteReference w:id="1153"/>
      </w:r>
      <w:r>
        <w:rPr>
          <w:rFonts w:ascii="Amiri" w:hAnsi="Amiri" w:eastAsia="Amiri" w:cs="Amiri"/>
          <w:color w:val="111111"/>
          <w:sz w:val="28"/>
          <w:sz w:val="28"/>
          <w:szCs w:val="28"/>
          <w:rtl w:val="true"/>
          <w:lang w:bidi="ar-SA"/>
        </w:rPr>
        <w:t>المَصلَحةِ الراجِعةِ إلَى الدِّينِ في الإمامةِ أن تَكونَ واجبةً ، فيَلزَمُه</w:t>
      </w:r>
      <w:r>
        <w:rPr>
          <w:rStyle w:val="FootnoteAnchor"/>
          <w:rtl w:val="true"/>
        </w:rPr>
        <w:footnoteReference w:id="1154"/>
      </w:r>
      <w:r>
        <w:rPr>
          <w:rFonts w:ascii="Amiri" w:hAnsi="Amiri" w:eastAsia="Amiri" w:cs="Amiri"/>
          <w:color w:val="111111"/>
          <w:sz w:val="28"/>
          <w:sz w:val="28"/>
          <w:szCs w:val="28"/>
          <w:rtl w:val="true"/>
          <w:lang w:bidi="ar-SA"/>
        </w:rPr>
        <w:t xml:space="preserve">إذا ادَّعىٰ وجوبَها و لُحوقَها بالواجباتِ </w:t>
      </w:r>
      <w:r>
        <w:rPr>
          <w:rStyle w:val="FootnoteAnchor"/>
          <w:rtl w:val="true"/>
        </w:rPr>
        <w:footnoteReference w:id="1155"/>
      </w:r>
      <w:r>
        <w:rPr>
          <w:rFonts w:ascii="Amiri" w:hAnsi="Amiri" w:eastAsia="Amiri" w:cs="Amiri"/>
          <w:color w:val="111111"/>
          <w:sz w:val="28"/>
          <w:sz w:val="28"/>
          <w:szCs w:val="28"/>
          <w:rtl w:val="true"/>
          <w:lang w:bidi="ar-SA"/>
        </w:rPr>
        <w:t xml:space="preserve">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 علىٰ موجَبِ دَعواه، و يَنفَصِلَ مِن خَصمِه إذا ألحَقَها بالنوافلِ الشَّرعيّةِ التي فيها مَصالحُ دينيّةٌ و هي مع ذلكَ غيرُ واجبةٍ </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828596_2320776876"/>
      <w:bookmarkStart w:id="461" w:name="_Toc163"/>
      <w:bookmarkEnd w:id="460"/>
      <w:r>
        <w:rPr>
          <w:rtl w:val="true"/>
        </w:rPr>
        <w:t>الدليل الثاني إجماع الصحابة</w:t>
      </w:r>
      <w:bookmarkEnd w:id="461"/>
    </w:p>
    <w:p>
      <w:pPr>
        <w:pStyle w:val="Heading5"/>
        <w:numPr>
          <w:ilvl w:val="4"/>
          <w:numId w:val="1"/>
        </w:numPr>
        <w:rPr/>
      </w:pPr>
      <w:bookmarkStart w:id="462" w:name="__RefHeading___Toc828598_2320776876"/>
      <w:bookmarkStart w:id="463" w:name="_Toc164"/>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اعتَمَدا</w:t>
      </w:r>
      <w:r>
        <w:rPr>
          <w:rStyle w:val="FootnoteAnchor"/>
          <w:rtl w:val="true"/>
        </w:rPr>
        <w:footnoteReference w:id="1156"/>
      </w:r>
      <w:r>
        <w:rPr>
          <w:rFonts w:ascii="Amiri" w:hAnsi="Amiri" w:eastAsia="Amiri" w:cs="Amiri"/>
          <w:color w:val="111111"/>
          <w:sz w:val="28"/>
          <w:sz w:val="28"/>
          <w:szCs w:val="28"/>
          <w:rtl w:val="true"/>
          <w:lang w:bidi="ar-SA"/>
        </w:rPr>
        <w:t xml:space="preserve">و غيرُهما علىٰ ما ثَبَتَ مِن إجماعِ </w:t>
      </w:r>
      <w:r>
        <w:rPr>
          <w:rStyle w:val="FootnoteAnchor"/>
          <w:rtl w:val="true"/>
        </w:rPr>
        <w:footnoteReference w:id="1157"/>
      </w:r>
      <w:r>
        <w:rPr>
          <w:rFonts w:ascii="Amiri" w:hAnsi="Amiri" w:eastAsia="Amiri" w:cs="Amiri"/>
          <w:color w:val="111111"/>
          <w:sz w:val="28"/>
          <w:sz w:val="28"/>
          <w:szCs w:val="28"/>
          <w:rtl w:val="true"/>
          <w:lang w:bidi="ar-SA"/>
        </w:rPr>
        <w:t xml:space="preserve">الصَّحابةِ </w:t>
      </w:r>
      <w:r>
        <w:rPr>
          <w:rStyle w:val="FootnoteAnchor"/>
          <w:rtl w:val="true"/>
        </w:rPr>
        <w:footnoteReference w:id="1158"/>
      </w:r>
      <w:r>
        <w:rPr>
          <w:rFonts w:ascii="Amiri" w:hAnsi="Amiri" w:eastAsia="Amiri" w:cs="Amiri"/>
          <w:color w:val="111111"/>
          <w:sz w:val="28"/>
          <w:sz w:val="28"/>
          <w:szCs w:val="28"/>
          <w:rtl w:val="true"/>
          <w:lang w:bidi="ar-SA"/>
        </w:rPr>
        <w:t xml:space="preserve">لأنّهم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فَزِعوا إلىٰ إقامةِ إمامٍ علىٰ وجهٍ يَقتَضي أنْ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نُقِلَ مِن الأخبارِ و تَواتَرَ في ذلكَ يَدُلُّ </w:t>
      </w:r>
      <w:bookmarkStart w:id="464" w:name="pg20044_770916"/>
    </w:p>
    <w:p>
      <w:pPr>
        <w:pStyle w:val="BookText"/>
        <w:rPr/>
      </w:pPr>
      <w:bookmarkEnd w:id="464"/>
      <w:r>
        <w:rPr>
          <w:rFonts w:ascii="Amiri" w:hAnsi="Amiri" w:eastAsia="Amiri" w:cs="Amiri"/>
          <w:color w:val="111111"/>
          <w:sz w:val="28"/>
          <w:sz w:val="28"/>
          <w:szCs w:val="28"/>
          <w:rtl w:val="true"/>
          <w:lang w:bidi="ar-SA"/>
        </w:rPr>
        <w:t>علىٰ ما قُلناه؛ مِن حالتِهم</w:t>
      </w:r>
      <w:r>
        <w:rPr>
          <w:rStyle w:val="FootnoteAnchor"/>
          <w:rtl w:val="true"/>
        </w:rPr>
        <w:footnoteReference w:id="1160"/>
      </w:r>
      <w:r>
        <w:rPr>
          <w:rFonts w:ascii="Amiri" w:hAnsi="Amiri" w:eastAsia="Amiri" w:cs="Amiri"/>
          <w:color w:val="111111"/>
          <w:sz w:val="28"/>
          <w:sz w:val="28"/>
          <w:szCs w:val="28"/>
          <w:rtl w:val="true"/>
          <w:lang w:bidi="ar-SA"/>
        </w:rPr>
        <w:t xml:space="preserve">عندَ العَقدِ لأبي بكرٍ يَومَ السَّقيفةِ ، ثُمَّ بَعدَه لِعُمَرَ، ثُمّ بَعدَه في قِصّةِ </w:t>
      </w:r>
      <w:r>
        <w:rPr>
          <w:rStyle w:val="FootnoteAnchor"/>
          <w:rtl w:val="true"/>
        </w:rPr>
        <w:footnoteReference w:id="1161"/>
      </w:r>
      <w:r>
        <w:rPr>
          <w:rFonts w:ascii="Amiri" w:hAnsi="Amiri" w:eastAsia="Amiri" w:cs="Amiri"/>
          <w:color w:val="111111"/>
          <w:sz w:val="28"/>
          <w:sz w:val="28"/>
          <w:szCs w:val="28"/>
          <w:rtl w:val="true"/>
          <w:lang w:bidi="ar-SA"/>
        </w:rPr>
        <w:t xml:space="preserve">الشورىٰ و ما جَرىٰ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بَعدَه</w:t>
      </w:r>
      <w:r>
        <w:rPr>
          <w:rStyle w:val="FootnoteAnchor"/>
          <w:rtl w:val="true"/>
        </w:rPr>
        <w:footnoteReference w:id="1162"/>
      </w:r>
      <w:r>
        <w:rPr>
          <w:rFonts w:ascii="Amiri" w:hAnsi="Amiri" w:eastAsia="Amiri" w:cs="Amiri"/>
          <w:color w:val="111111"/>
          <w:sz w:val="28"/>
          <w:sz w:val="28"/>
          <w:szCs w:val="28"/>
          <w:rtl w:val="true"/>
          <w:lang w:bidi="ar-SA"/>
        </w:rPr>
        <w:t xml:space="preserve">لأميرِ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التشَدُّدَ في ذلكَ علَى الوجوهِ التي جَرَت مِنهم حالاً بَعدَ حالٍ لا يَكونُ إلّافي الأمرِ الواجبِ الذي لا بُدَّ مِنه</w:t>
      </w:r>
      <w:r>
        <w:rPr>
          <w:rFonts w:eastAsia="Amiri" w:cs="Amiri" w:ascii="Amiri" w:hAnsi="Amiri"/>
          <w:color w:val="111111"/>
          <w:sz w:val="28"/>
          <w:szCs w:val="28"/>
          <w:rtl w:val="true"/>
          <w:lang w:bidi="ar-SA"/>
        </w:rPr>
        <w:t>.</w:t>
      </w:r>
      <w:r>
        <w:rPr>
          <w:rStyle w:val="FootnoteAnchor"/>
          <w:rtl w:val="true"/>
        </w:rPr>
        <w:footnoteReference w:id="1163"/>
      </w:r>
    </w:p>
    <w:p>
      <w:pPr>
        <w:pStyle w:val="Heading5"/>
        <w:numPr>
          <w:ilvl w:val="4"/>
          <w:numId w:val="1"/>
        </w:numPr>
        <w:rPr/>
      </w:pPr>
      <w:bookmarkStart w:id="465" w:name="__RefHeading___Toc828600_2320776876"/>
      <w:bookmarkStart w:id="466" w:name="_Toc165"/>
      <w:bookmarkEnd w:id="465"/>
      <w:r>
        <w:rPr>
          <w:rtl w:val="true"/>
        </w:rPr>
        <w:t>عدم دلالة سلوك الصحابة علىٰ وجوب الإمامة</w:t>
      </w:r>
      <w:bookmarkEnd w:id="466"/>
    </w:p>
    <w:p>
      <w:pPr>
        <w:pStyle w:val="BookText"/>
        <w:rPr/>
      </w:pPr>
      <w:r>
        <w:rPr>
          <w:rFonts w:ascii="Amiri" w:hAnsi="Amiri" w:eastAsia="Amiri" w:cs="Amiri"/>
          <w:color w:val="111111"/>
          <w:sz w:val="28"/>
          <w:sz w:val="28"/>
          <w:szCs w:val="28"/>
          <w:rtl w:val="true"/>
          <w:lang w:bidi="ar-SA"/>
        </w:rPr>
        <w:t xml:space="preserve">فالذي ذَكَرَه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إقامةِ الإمامِ و جوازِ نَصبِه، و لا يَدُلُّ علىٰ وجوبِ ذلكَ في كُلِّ عَصرٍ و زَمانٍ ؛ لأنّه لا يَمتَنِعُ أن يَكونَ العاقدونَ لأبي بَكرٍ و المُجتَمِعون للشورىٰ إنّما بادَروا إلىٰ ما بادَروا إليه و حَرَصوا عليه لأنّ الحالَ اقتَضَته، و لأنّه غَلَبَ في ظُنونِهم أنّ إهمالَ العَقدِ فيه فَسادٌ و انتشارٌ</w:t>
      </w:r>
      <w:r>
        <w:rPr>
          <w:rFonts w:eastAsia="Amiri" w:cs="Amiri" w:ascii="Amiri" w:hAnsi="Amiri"/>
          <w:color w:val="111111"/>
          <w:sz w:val="28"/>
          <w:szCs w:val="28"/>
          <w:rtl w:val="true"/>
          <w:lang w:bidi="ar-SA"/>
        </w:rPr>
        <w:t>.</w:t>
      </w:r>
      <w:r>
        <w:rPr>
          <w:rStyle w:val="FootnoteAnchor"/>
          <w:rtl w:val="true"/>
        </w:rPr>
        <w:footnoteReference w:id="116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فيمَن يُخالِفُ في وجوبِ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يَنفي حُسنَها و يَدفَعُ أن يَقتَضيَ بعضُ الأحوالِ الفَزَعَ إليها، فيَكونَ </w:t>
      </w:r>
      <w:r>
        <w:rPr>
          <w:rStyle w:val="FootnoteAnchor"/>
          <w:rtl w:val="true"/>
        </w:rPr>
        <w:footnoteReference w:id="1165"/>
      </w:r>
      <w:r>
        <w:rPr>
          <w:rFonts w:ascii="Amiri" w:hAnsi="Amiri" w:eastAsia="Amiri" w:cs="Amiri"/>
          <w:color w:val="111111"/>
          <w:sz w:val="28"/>
          <w:sz w:val="28"/>
          <w:szCs w:val="28"/>
          <w:rtl w:val="true"/>
          <w:lang w:bidi="ar-SA"/>
        </w:rPr>
        <w:t>ما ذَكَرَه حِجاجاً</w:t>
      </w:r>
      <w:r>
        <w:rPr>
          <w:rStyle w:val="FootnoteAnchor"/>
          <w:rtl w:val="true"/>
        </w:rPr>
        <w:footnoteReference w:id="1166"/>
      </w:r>
      <w:r>
        <w:rPr>
          <w:rFonts w:ascii="Amiri" w:hAnsi="Amiri" w:eastAsia="Amiri" w:cs="Amiri"/>
          <w:color w:val="111111"/>
          <w:sz w:val="28"/>
          <w:sz w:val="28"/>
          <w:szCs w:val="28"/>
          <w:rtl w:val="true"/>
          <w:lang w:bidi="ar-SA"/>
        </w:rPr>
        <w:t>له؛ بَل مِن قولِهم</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الإمامَ قد يَجوزُ أن يُستَغنىٰ عنه في بَعضِ الأحوالِ التي تَغلِبُ في الظَّنِّ أنّ الناسَ فيها يَلزَمونَ </w:t>
      </w:r>
      <w:r>
        <w:rPr>
          <w:rStyle w:val="FootnoteAnchor"/>
          <w:rtl w:val="true"/>
        </w:rPr>
        <w:footnoteReference w:id="1168"/>
      </w:r>
      <w:r>
        <w:rPr>
          <w:rFonts w:ascii="Amiri" w:hAnsi="Amiri" w:eastAsia="Amiri" w:cs="Amiri"/>
          <w:color w:val="111111"/>
          <w:sz w:val="28"/>
          <w:sz w:val="28"/>
          <w:szCs w:val="28"/>
          <w:rtl w:val="true"/>
          <w:lang w:bidi="ar-SA"/>
        </w:rPr>
        <w:t>الصَّلاحَ و السَّدادَ في الأكثَرِ، و إن كانَ غيرَ مُستَغنىً عنه في الأحوالِ التي تَغلِبُ في الظَّنِّ أنّ الفَسادَ يَقَعُ عندَ إهمالِ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ما ذَكَرَه مِن التشَدُّدِ و الحِرصِ لا يَدُلُّ علىٰ وجوبِ الإمامةِ في كُلِّ حالٍ ؛</w:t>
      </w:r>
    </w:p>
    <w:p>
      <w:pPr>
        <w:pStyle w:val="BookText"/>
        <w:rPr/>
      </w:pPr>
      <w:r>
        <w:rPr>
          <w:rFonts w:ascii="Amiri" w:hAnsi="Amiri" w:eastAsia="Amiri" w:cs="Amiri"/>
          <w:color w:val="111111"/>
          <w:sz w:val="28"/>
          <w:sz w:val="28"/>
          <w:szCs w:val="28"/>
          <w:rtl w:val="true"/>
          <w:lang w:bidi="ar-SA"/>
        </w:rPr>
        <w:t>لأنّ الذي ذَكَرناه مِن اقتِضاءِ الحالِ لها، يُستَعمَلُ فيه مِن التشَدُّدِ و المُبادَرةِ مِثلُ ما استَعمَلَه العاقدونَ لأبي بكرٍ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يُبيِّنُ صِحّةَ الإجماعِ في ذلكَ أنّ كُلَّ مَن خالَفَ فيه لا يُعَدُّ في الإجماعِ؛ لأنّه إنّما خالَفَ في ذلكَ بَعضُ الخَوارجِ، و قد ثَبَتَ أنّهم لا يُعَدّونَ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r>
        <w:rPr>
          <w:rStyle w:val="FootnoteAnchor"/>
          <w:rtl w:val="true"/>
        </w:rPr>
        <w:footnoteReference w:id="1169"/>
      </w:r>
      <w:r>
        <w:rPr>
          <w:rFonts w:ascii="Amiri" w:hAnsi="Amiri" w:eastAsia="Amiri" w:cs="Amiri"/>
          <w:color w:val="111111"/>
          <w:sz w:val="28"/>
          <w:sz w:val="28"/>
          <w:szCs w:val="28"/>
          <w:rtl w:val="true"/>
          <w:lang w:bidi="ar-SA"/>
        </w:rPr>
        <w:t>ضِرارٌ</w:t>
      </w:r>
      <w:r>
        <w:rPr>
          <w:rStyle w:val="FootnoteAnchor"/>
          <w:rtl w:val="true"/>
        </w:rPr>
        <w:footnoteReference w:id="1170"/>
      </w:r>
      <w:r>
        <w:rPr>
          <w:rFonts w:ascii="Amiri" w:hAnsi="Amiri" w:eastAsia="Amiri" w:cs="Amiri"/>
          <w:color w:val="111111"/>
          <w:sz w:val="28"/>
          <w:sz w:val="28"/>
          <w:szCs w:val="28"/>
          <w:rtl w:val="true"/>
          <w:lang w:bidi="ar-SA"/>
        </w:rPr>
        <w:t>فأبعَدُ مِن أن يُعَدَّ في الإجماعِ، و أمّا الأصَمُّ‌</w:t>
      </w:r>
      <w:r>
        <w:rPr>
          <w:rStyle w:val="FootnoteAnchor"/>
          <w:rtl w:val="true"/>
        </w:rPr>
        <w:footnoteReference w:id="1171"/>
      </w:r>
      <w:r>
        <w:rPr>
          <w:rFonts w:ascii="Amiri" w:hAnsi="Amiri" w:eastAsia="Amiri" w:cs="Amiri"/>
          <w:color w:val="111111"/>
          <w:sz w:val="28"/>
          <w:sz w:val="28"/>
          <w:szCs w:val="28"/>
          <w:rtl w:val="true"/>
          <w:lang w:bidi="ar-SA"/>
        </w:rPr>
        <w:t xml:space="preserve">فقَد سَبَقَه الإجماعُ ، و إن كانَ شَيخُنا أبو عليٍّ قد حَكىٰ عنه ما </w:t>
      </w:r>
      <w:bookmarkStart w:id="467" w:name="pg20044_770918"/>
    </w:p>
    <w:p>
      <w:pPr>
        <w:pStyle w:val="BookText"/>
        <w:rPr/>
      </w:pPr>
      <w:bookmarkEnd w:id="467"/>
      <w:r>
        <w:rPr>
          <w:rFonts w:ascii="Amiri" w:hAnsi="Amiri" w:eastAsia="Amiri" w:cs="Amiri"/>
          <w:color w:val="111111"/>
          <w:sz w:val="28"/>
          <w:sz w:val="28"/>
          <w:szCs w:val="28"/>
          <w:rtl w:val="true"/>
          <w:lang w:bidi="ar-SA"/>
        </w:rPr>
        <w:t>يَدُلُّ علىٰ أنّه غيرُ مخالِفٍ في ذلك، و أنّه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أنصَفَ الناسُ بعضُهم بَعضاً و زالَ التظالُمُ و ما يوجِبُ إقامةَ الحَدِّ، لَاستَغنَى الناسُ عن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المعلومُ مِن حالِ الناسِ خِلافُ ذلكَ ، فإذَن يَلزَمُ </w:t>
      </w:r>
      <w:r>
        <w:rPr>
          <w:rStyle w:val="FootnoteAnchor"/>
          <w:rtl w:val="true"/>
        </w:rPr>
        <w:footnoteReference w:id="1172"/>
      </w:r>
      <w:r>
        <w:rPr>
          <w:rFonts w:ascii="Amiri" w:hAnsi="Amiri" w:eastAsia="Amiri" w:cs="Amiri"/>
          <w:color w:val="111111"/>
          <w:sz w:val="28"/>
          <w:sz w:val="28"/>
          <w:szCs w:val="28"/>
          <w:rtl w:val="true"/>
          <w:lang w:bidi="ar-SA"/>
        </w:rPr>
        <w:t xml:space="preserve">مِن قولِه أنّ إقامةَ الإمامِ واجبةٌ </w:t>
      </w:r>
      <w:r>
        <w:rPr>
          <w:rFonts w:eastAsia="Amiri" w:cs="Amiri" w:ascii="Amiri" w:hAnsi="Amiri"/>
          <w:color w:val="111111"/>
          <w:sz w:val="28"/>
          <w:szCs w:val="28"/>
          <w:rtl w:val="true"/>
          <w:lang w:bidi="ar-SA"/>
        </w:rPr>
        <w:t>....</w:t>
      </w:r>
      <w:r>
        <w:rPr>
          <w:rStyle w:val="FootnoteAnchor"/>
          <w:rtl w:val="true"/>
        </w:rPr>
        <w:footnoteReference w:id="1173"/>
      </w:r>
    </w:p>
    <w:p>
      <w:pPr>
        <w:pStyle w:val="Heading5"/>
        <w:numPr>
          <w:ilvl w:val="4"/>
          <w:numId w:val="1"/>
        </w:numPr>
        <w:rPr/>
      </w:pPr>
      <w:bookmarkStart w:id="468" w:name="__RefHeading___Toc828602_2320776876"/>
      <w:bookmarkStart w:id="469" w:name="_Toc166"/>
      <w:bookmarkEnd w:id="468"/>
      <w:r>
        <w:rPr>
          <w:rtl w:val="true"/>
        </w:rPr>
        <w:t>مناقشة وجود إجماع علىٰ وجوب الإمامة</w:t>
      </w:r>
      <w:bookmarkEnd w:id="469"/>
    </w:p>
    <w:p>
      <w:pPr>
        <w:pStyle w:val="BookText"/>
        <w:rPr/>
      </w:pPr>
      <w:r>
        <w:rPr>
          <w:rFonts w:ascii="Amiri" w:hAnsi="Amiri" w:eastAsia="Amiri" w:cs="Amiri"/>
          <w:color w:val="111111"/>
          <w:sz w:val="28"/>
          <w:sz w:val="28"/>
          <w:szCs w:val="28"/>
          <w:rtl w:val="true"/>
          <w:lang w:bidi="ar-SA"/>
        </w:rPr>
        <w:t>فلَيسَ يَخلو ادّعاؤه الإجماعَ مِن أن يَكونَ في</w:t>
      </w:r>
      <w:r>
        <w:rPr>
          <w:rStyle w:val="FootnoteAnchor"/>
          <w:rtl w:val="true"/>
        </w:rPr>
        <w:footnoteReference w:id="1174"/>
      </w:r>
      <w:r>
        <w:rPr>
          <w:rFonts w:ascii="Amiri" w:hAnsi="Amiri" w:eastAsia="Amiri" w:cs="Amiri"/>
          <w:color w:val="111111"/>
          <w:sz w:val="28"/>
          <w:sz w:val="28"/>
          <w:szCs w:val="28"/>
          <w:rtl w:val="true"/>
          <w:lang w:bidi="ar-SA"/>
        </w:rPr>
        <w:t>فِعلِ الصَّحابةِ ما حَكاه مِن المُبادَرةِ إلَى العَقدِ و التشَدُّدِ فيه، أو يَكونَ‌</w:t>
      </w:r>
      <w:r>
        <w:rPr>
          <w:rStyle w:val="FootnoteAnchor"/>
          <w:rtl w:val="true"/>
        </w:rPr>
        <w:footnoteReference w:id="1175"/>
      </w:r>
      <w:r>
        <w:rPr>
          <w:rFonts w:ascii="Amiri" w:hAnsi="Amiri" w:eastAsia="Amiri" w:cs="Amiri"/>
          <w:color w:val="111111"/>
          <w:sz w:val="28"/>
          <w:sz w:val="28"/>
          <w:szCs w:val="28"/>
          <w:rtl w:val="true"/>
          <w:lang w:bidi="ar-SA"/>
        </w:rPr>
        <w:t>أنّ الإمامةَ واجبةٌ في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1176"/>
      </w:r>
      <w:r>
        <w:rPr>
          <w:rFonts w:ascii="Amiri" w:hAnsi="Amiri" w:eastAsia="Amiri" w:cs="Amiri"/>
          <w:color w:val="111111"/>
          <w:sz w:val="28"/>
          <w:sz w:val="28"/>
          <w:szCs w:val="28"/>
          <w:rtl w:val="true"/>
          <w:lang w:bidi="ar-SA"/>
        </w:rPr>
        <w:t>كانَ الأوّلَ فذلكَ ممّا لا يُخالفُ فيه عاقلٌ؛ لا خارِجيٌّ و لا غيرُه، و لَيسَ في ثُبوتِه دَلالةٌ علىٰ ما قَصَدَه؛ لأنّا قد بيّنّا ما يُمكِنُ أن يَكونَ التشَدُّدُ مِن أجلِه و أوضَحناه</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 ما نَظُنُّه أرادَ هذا الوجهَ، بَل لَم يُرِدْه؛ لأنّ كلامَه يَدُلُّ علَى الثاني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أرادَه فما كانَت به حاجةٌ إلىٰ أن يَتَمحَّلَ‌</w:t>
      </w:r>
      <w:r>
        <w:rPr>
          <w:rStyle w:val="FootnoteAnchor"/>
          <w:rtl w:val="true"/>
        </w:rPr>
        <w:footnoteReference w:id="1178"/>
      </w:r>
      <w:r>
        <w:rPr>
          <w:rFonts w:ascii="Amiri" w:hAnsi="Amiri" w:eastAsia="Amiri" w:cs="Amiri"/>
          <w:color w:val="111111"/>
          <w:sz w:val="28"/>
          <w:sz w:val="28"/>
          <w:szCs w:val="28"/>
          <w:rtl w:val="true"/>
          <w:lang w:bidi="ar-SA"/>
        </w:rPr>
        <w:t xml:space="preserve">الأدلّةَ علىٰ وجوبِ الإمامةِ مِن أوّلِ البابِ إلىٰ هاهُنا، و يَستَعمِلَ ضُروبَ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يَتَعلَّقُ بالقُرآنِ ، و تارةً بأفعالِ النبيِّ صلّى اللّٰهُ عليه و آلِه و سلَّمَ ، و أُخرىٰ بقياسِ الإمامةِ علَى الإمارةِ و استخراجِ علّةِ وجوبِ إقامةِ الأُمَراءِ علَى الأئمّةِ و نَقلِها إلىٰ وجوبِ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إجماعٌ لا يُحتاجُ في تثبيتِه إلىٰ شيءٍ ممّا تَكلَّفَه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فصاحبُ الكتابِ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ما ادَّعاه مِن الإجماعِ حَقّاً و المُخالفُ فيه شاذّاً لا يُعَدُّ خِلافُه خِلافاً، أو أن يَكونَ لا إجماعَ‌</w:t>
      </w:r>
      <w:r>
        <w:rPr>
          <w:rStyle w:val="FootnoteAnchor"/>
          <w:rtl w:val="true"/>
        </w:rPr>
        <w:footnoteReference w:id="1179"/>
      </w:r>
      <w:r>
        <w:rPr>
          <w:rFonts w:ascii="Amiri" w:hAnsi="Amiri" w:eastAsia="Amiri" w:cs="Amiri"/>
          <w:color w:val="111111"/>
          <w:sz w:val="28"/>
          <w:sz w:val="28"/>
          <w:szCs w:val="28"/>
          <w:rtl w:val="true"/>
          <w:lang w:bidi="ar-SA"/>
        </w:rPr>
        <w:t>فيما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بَطَلَ أن يَكونَ فيما تَكلَّفَه مِن الكلامِ و الاستدلالِ علَى المسألةِ غرضٌ صحيحٌ، و جَرىٰ جميعُ ما أَورَدَه مَجرَى العَبَثِ، و قامَ فيه مَقامَ المُستَدِلِّ بدَقيقِ الأدلّةِ و ضُروبِ الطُّرُقِ علىٰ أنّ النبيَّ صلّى اللّٰهُ عليه و آلِه و سلَّمَ أمَرَ بصَلَواتٍ خَمسٍ، و دَعا إلىٰ حَجِّ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الأمرُ علَى الوجهِ الثاني، فقَبيحٌ بمِثلِه أن يَدَّعيَ الإجماعَ في مَوضِعٍ لا 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تَوهَّمَه مِن الإجماعِ غيرُ ثابتٍ؛ لأنّ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فِرقةٌ مِن فِرَقَ الأُمّةِ التي إذا عَدَّدنا فِرَقَ الأُمّةِ لَم يَكُن بُدٌّ مِن إلحاقِهم بها، و عَدِّ فِرَقِهم</w:t>
      </w:r>
      <w:r>
        <w:rPr>
          <w:rStyle w:val="FootnoteAnchor"/>
          <w:rtl w:val="true"/>
        </w:rPr>
        <w:footnoteReference w:id="1180"/>
      </w:r>
      <w:r>
        <w:rPr>
          <w:rFonts w:ascii="Amiri" w:hAnsi="Amiri" w:eastAsia="Amiri" w:cs="Amiri"/>
          <w:color w:val="111111"/>
          <w:sz w:val="28"/>
          <w:sz w:val="28"/>
          <w:szCs w:val="28"/>
          <w:rtl w:val="true"/>
          <w:lang w:bidi="ar-SA"/>
        </w:rPr>
        <w:t xml:space="preserve">في جُملةِ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في ذلكَ و يَذهَبُ‌</w:t>
      </w:r>
      <w:r>
        <w:rPr>
          <w:rStyle w:val="FootnoteAnchor"/>
          <w:rtl w:val="true"/>
        </w:rPr>
        <w:footnoteReference w:id="1181"/>
      </w:r>
      <w:r>
        <w:rPr>
          <w:rFonts w:ascii="Amiri" w:hAnsi="Amiri" w:eastAsia="Amiri" w:cs="Amiri"/>
          <w:color w:val="111111"/>
          <w:sz w:val="28"/>
          <w:sz w:val="28"/>
          <w:szCs w:val="28"/>
          <w:rtl w:val="true"/>
          <w:lang w:bidi="ar-SA"/>
        </w:rPr>
        <w:t>إلىٰ خِلافِ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لا أَعُدُّهم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لأنّ للخَوارجِ أن يَقولوا له مِثلَ قولِه بحُدوثِ‌</w:t>
      </w:r>
      <w:r>
        <w:rPr>
          <w:rStyle w:val="FootnoteAnchor"/>
          <w:rtl w:val="true"/>
        </w:rPr>
        <w:footnoteReference w:id="1182"/>
      </w:r>
      <w:r>
        <w:rPr>
          <w:rFonts w:ascii="Amiri" w:hAnsi="Amiri" w:eastAsia="Amiri" w:cs="Amiri"/>
          <w:color w:val="111111"/>
          <w:sz w:val="28"/>
          <w:sz w:val="28"/>
          <w:szCs w:val="28"/>
          <w:rtl w:val="true"/>
          <w:lang w:bidi="ar-SA"/>
        </w:rPr>
        <w:t>فِرقَتِهم</w:t>
      </w:r>
      <w:r>
        <w:rPr>
          <w:rStyle w:val="FootnoteAnchor"/>
          <w:rtl w:val="true"/>
        </w:rPr>
        <w:footnoteReference w:id="1183"/>
      </w:r>
      <w:r>
        <w:rPr>
          <w:rFonts w:ascii="Amiri" w:hAnsi="Amiri" w:eastAsia="Amiri" w:cs="Amiri"/>
          <w:color w:val="111111"/>
          <w:sz w:val="28"/>
          <w:sz w:val="28"/>
          <w:szCs w:val="28"/>
          <w:rtl w:val="true"/>
          <w:lang w:bidi="ar-SA"/>
        </w:rPr>
        <w:t>و زمانُ حُدوثِهم و ابتداءُ أصلِ مَقالتِهم</w:t>
      </w:r>
      <w:r>
        <w:rPr>
          <w:rStyle w:val="FootnoteAnchor"/>
          <w:rtl w:val="true"/>
        </w:rPr>
        <w:footnoteReference w:id="1184"/>
      </w:r>
      <w:r>
        <w:rPr>
          <w:rFonts w:ascii="Amiri" w:hAnsi="Amiri" w:eastAsia="Amiri" w:cs="Amiri"/>
          <w:color w:val="111111"/>
          <w:sz w:val="28"/>
          <w:sz w:val="28"/>
          <w:szCs w:val="28"/>
          <w:rtl w:val="true"/>
          <w:lang w:bidi="ar-SA"/>
        </w:rPr>
        <w:t xml:space="preserve">معروفٌ، كما أنّ ذلكَ معروفٌ في مقالةِ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ضِرارٌ 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فإخراجُهما أيضاً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مَن يَذهَبُ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مَذهَبِهما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يَطرُفُ </w:t>
      </w:r>
      <w:r>
        <w:rPr>
          <w:rStyle w:val="FootnoteAnchor"/>
          <w:rtl w:val="true"/>
        </w:rPr>
        <w:footnoteReference w:id="118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قد سَبَقَهما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w:t>
      </w:r>
      <w:r>
        <w:rPr>
          <w:rStyle w:val="FootnoteAnchor"/>
          <w:rtl w:val="true"/>
        </w:rPr>
        <w:footnoteReference w:id="1186"/>
      </w:r>
      <w:r>
        <w:rPr>
          <w:rFonts w:ascii="Amiri" w:hAnsi="Amiri" w:eastAsia="Amiri" w:cs="Amiri"/>
          <w:color w:val="111111"/>
          <w:sz w:val="28"/>
          <w:sz w:val="28"/>
          <w:szCs w:val="28"/>
          <w:rtl w:val="true"/>
          <w:lang w:bidi="ar-SA"/>
        </w:rPr>
        <w:t>عليه أشياءُ كثيرةٌ نحن أغنياءُ عن ذِكرِها؛ فلَيسَ في شُيوخِه الأدنَينَ و الأقصَينَ إلّامَن ذَهَبَ إلىٰ قولٍ قد سَبَقَه الإجماعُ إلىٰ خِلافِه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احتَجَّ أكثَرُ أصحابِكم</w:t>
      </w:r>
      <w:r>
        <w:rPr>
          <w:rStyle w:val="FootnoteAnchor"/>
          <w:rtl w:val="true"/>
        </w:rPr>
        <w:footnoteReference w:id="1188"/>
      </w:r>
      <w:r>
        <w:rPr>
          <w:rFonts w:ascii="Amiri" w:hAnsi="Amiri" w:eastAsia="Amiri" w:cs="Amiri"/>
          <w:color w:val="111111"/>
          <w:sz w:val="28"/>
          <w:sz w:val="28"/>
          <w:szCs w:val="28"/>
          <w:rtl w:val="true"/>
          <w:lang w:bidi="ar-SA"/>
        </w:rPr>
        <w:t>في وجوبِ الإمامةِ بالإجماعِ ، مع عِلمِه بخِلافِ الخَوارجِ و الأَصَمِّ و غيرِهم ؟ فكيف طَعَنتم علَى الاحتجاجِ بهذه الطريقةِ؟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يَصِحُّ‌</w:t>
      </w:r>
      <w:r>
        <w:rPr>
          <w:rStyle w:val="FootnoteAnchor"/>
          <w:rtl w:val="true"/>
        </w:rPr>
        <w:footnoteReference w:id="1189"/>
      </w:r>
      <w:r>
        <w:rPr>
          <w:rFonts w:ascii="Amiri" w:hAnsi="Amiri" w:eastAsia="Amiri" w:cs="Amiri"/>
          <w:color w:val="111111"/>
          <w:sz w:val="28"/>
          <w:sz w:val="28"/>
          <w:szCs w:val="28"/>
          <w:rtl w:val="true"/>
          <w:lang w:bidi="ar-SA"/>
        </w:rPr>
        <w:t>قَبلَ ثُبوتِ وجودِ المعصومِ الاستدلالُ بالإجماعِ علىٰ وجوبِ الإمامةِ و لا علىٰ غيرِها، و إنّما صَحَّ استدلالُ‌</w:t>
      </w:r>
      <w:r>
        <w:rPr>
          <w:rStyle w:val="FootnoteAnchor"/>
          <w:rtl w:val="true"/>
        </w:rPr>
        <w:footnoteReference w:id="1190"/>
      </w:r>
      <w:r>
        <w:rPr>
          <w:rFonts w:ascii="Amiri" w:hAnsi="Amiri" w:eastAsia="Amiri" w:cs="Amiri"/>
          <w:color w:val="111111"/>
          <w:sz w:val="28"/>
          <w:sz w:val="28"/>
          <w:szCs w:val="28"/>
          <w:rtl w:val="true"/>
          <w:lang w:bidi="ar-SA"/>
        </w:rPr>
        <w:t xml:space="preserve">بَعضِ أصحابِنا بالإجماعِ في وجوبِ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يَحفِلْ‌</w:t>
      </w:r>
      <w:r>
        <w:rPr>
          <w:rStyle w:val="FootnoteAnchor"/>
          <w:rtl w:val="true"/>
        </w:rPr>
        <w:footnoteReference w:id="1191"/>
      </w:r>
      <w:r>
        <w:rPr>
          <w:rFonts w:ascii="Amiri" w:hAnsi="Amiri" w:eastAsia="Amiri" w:cs="Amiri"/>
          <w:color w:val="111111"/>
          <w:sz w:val="28"/>
          <w:sz w:val="28"/>
          <w:szCs w:val="28"/>
          <w:rtl w:val="true"/>
          <w:lang w:bidi="ar-SA"/>
        </w:rPr>
        <w:t xml:space="preserve">بخِلافِ مَن خالَفَ في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له وجودُ إمامٍ معصومٍ‌</w:t>
      </w:r>
      <w:r>
        <w:rPr>
          <w:rStyle w:val="FootnoteAnchor"/>
          <w:rtl w:val="true"/>
        </w:rPr>
        <w:footnoteReference w:id="1192"/>
      </w:r>
      <w:r>
        <w:rPr>
          <w:rFonts w:ascii="Amiri" w:hAnsi="Amiri" w:eastAsia="Amiri" w:cs="Amiri"/>
          <w:color w:val="111111"/>
          <w:sz w:val="28"/>
          <w:sz w:val="28"/>
          <w:szCs w:val="28"/>
          <w:rtl w:val="true"/>
          <w:lang w:bidi="ar-SA"/>
        </w:rPr>
        <w:t>في جُملةِ الفِرقةِ المُحِقّةِ التي هي الإماميّةُ، و أمِنَ بذلكَ مِن اجتماعِها علَى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يَقُل بوجوبِها إلّافِرقةُ الإماميّةِ و خالَفَها سائرُ الفِرَقِ، لَكانَت الحُجّةُ ثابتةً بقَولِها مِن الوجهِ الذي ذَكَرناه</w:t>
      </w:r>
      <w:r>
        <w:rPr>
          <w:rStyle w:val="FootnoteAnchor"/>
          <w:rtl w:val="true"/>
        </w:rPr>
        <w:footnoteReference w:id="1193"/>
      </w:r>
      <w:r>
        <w:rPr>
          <w:rFonts w:ascii="Amiri" w:hAnsi="Amiri" w:eastAsia="Amiri" w:cs="Amiri"/>
          <w:color w:val="111111"/>
          <w:sz w:val="28"/>
          <w:sz w:val="28"/>
          <w:szCs w:val="28"/>
          <w:rtl w:val="true"/>
          <w:lang w:bidi="ar-SA"/>
        </w:rPr>
        <w:t>، و لَيسَ يُمكِنُ الخُصومَ مِثلُ هذا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دَفَعناهم عن الاحتجاجِ بما ذَكَرَه، و أَوجَبنا عَلَيهم الاعتبارَ لِمَن</w:t>
      </w:r>
      <w:r>
        <w:rPr>
          <w:rStyle w:val="FootnoteAnchor"/>
          <w:rtl w:val="true"/>
        </w:rPr>
        <w:footnoteReference w:id="1194"/>
      </w:r>
      <w:r>
        <w:rPr>
          <w:rFonts w:ascii="Amiri" w:hAnsi="Amiri" w:eastAsia="Amiri" w:cs="Amiri"/>
          <w:color w:val="111111"/>
          <w:sz w:val="28"/>
          <w:sz w:val="28"/>
          <w:szCs w:val="28"/>
          <w:rtl w:val="true"/>
          <w:lang w:bidi="ar-SA"/>
        </w:rPr>
        <w:t>خالَفَهم</w:t>
      </w:r>
      <w:r>
        <w:rPr>
          <w:rStyle w:val="FootnoteAnchor"/>
          <w:rtl w:val="true"/>
        </w:rPr>
        <w:footnoteReference w:id="1195"/>
      </w:r>
      <w:r>
        <w:rPr>
          <w:rFonts w:ascii="Amiri" w:hAnsi="Amiri" w:eastAsia="Amiri" w:cs="Amiri"/>
          <w:color w:val="111111"/>
          <w:sz w:val="28"/>
          <w:sz w:val="28"/>
          <w:szCs w:val="28"/>
          <w:rtl w:val="true"/>
          <w:lang w:bidi="ar-SA"/>
        </w:rPr>
        <w:t xml:space="preserve">في وجوبِ الإمامةِ </w:t>
      </w:r>
      <w:r>
        <w:rPr>
          <w:rFonts w:eastAsia="Amiri" w:cs="Amiri" w:ascii="Amiri" w:hAnsi="Amiri"/>
          <w:color w:val="111111"/>
          <w:sz w:val="28"/>
          <w:szCs w:val="28"/>
          <w:rtl w:val="true"/>
          <w:lang w:bidi="ar-SA"/>
        </w:rPr>
        <w:t xml:space="preserve">. </w:t>
      </w:r>
      <w:bookmarkStart w:id="470" w:name="pg20044_770921"/>
    </w:p>
    <w:p>
      <w:pPr>
        <w:pStyle w:val="BookText"/>
        <w:rPr/>
      </w:pPr>
      <w:bookmarkEnd w:id="470"/>
      <w:r>
        <w:rPr>
          <w:rFonts w:ascii="Amiri" w:hAnsi="Amiri" w:eastAsia="Amiri" w:cs="Amiri"/>
          <w:color w:val="111111"/>
          <w:sz w:val="28"/>
          <w:sz w:val="28"/>
          <w:szCs w:val="28"/>
          <w:rtl w:val="true"/>
          <w:lang w:bidi="ar-SA"/>
        </w:rPr>
        <w:t xml:space="preserve">فأمّا ما حَكاه عن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تأوُّلِه قولَ الأصَمِّ و ظَنِّه أنّ قولَه موافِقٌ لِقولِهم في بابِ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مُجْدٍ عليه؛ لأنّ الأصَمَّ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غيرُ مُمتَنِعٍ أن يَغلِبَ في ظَنِّ الناسِ في بعضِ الأحوالِ زَوالُ التظالُمِ ، و استعمالُ طريقةِ الإنصافِ ، فيَستَغنونَ عن إمامٍ ، و إنّ ذلكَ ممّا يَجوزُ حُصولُه في كُلِّ حالٍ يُشارُ إليها</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هذا تصريحٌ بخِلافِ القومِ الذاهِبينَ إلىٰ وجوبِ إقامةِ الإمامِ في كُلِّ حالٍ و أوانٍ ، و الجاعِلينَ الأحوالَ كُلَّها متساويةً في الحاجةِ إليه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828604_2320776876"/>
      <w:bookmarkStart w:id="472" w:name="_Toc167"/>
      <w:bookmarkEnd w:id="471"/>
      <w:r>
        <w:rPr>
          <w:rtl w:val="true"/>
        </w:rPr>
        <w:t>الدليل الثالث خبر</w:t>
      </w:r>
      <w:r>
        <w:rPr>
          <w:rtl w:val="true"/>
        </w:rPr>
        <w:t>: «</w:t>
      </w:r>
      <w:r>
        <w:rPr>
          <w:rtl w:val="true"/>
        </w:rPr>
        <w:t>الأئمّة من قريش</w:t>
      </w:r>
      <w:r>
        <w:rPr>
          <w:rtl w:val="true"/>
        </w:rPr>
        <w:t>»</w:t>
      </w:r>
      <w:bookmarkEnd w:id="472"/>
    </w:p>
    <w:p>
      <w:pPr>
        <w:pStyle w:val="Heading5"/>
        <w:numPr>
          <w:ilvl w:val="4"/>
          <w:numId w:val="1"/>
        </w:numPr>
        <w:rPr/>
      </w:pPr>
      <w:bookmarkStart w:id="473" w:name="__RefHeading___Toc828606_2320776876"/>
      <w:bookmarkStart w:id="474" w:name="_Toc168"/>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الدليل الثالث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الاعتمادُ في ذلكَ‌</w:t>
      </w:r>
      <w:r>
        <w:rPr>
          <w:rStyle w:val="FootnoteAnchor"/>
          <w:rtl w:val="true"/>
        </w:rPr>
        <w:footnoteReference w:id="1198"/>
      </w:r>
      <w:r>
        <w:rPr>
          <w:rFonts w:ascii="Amiri" w:hAnsi="Amiri" w:eastAsia="Amiri" w:cs="Amiri"/>
          <w:color w:val="111111"/>
          <w:sz w:val="28"/>
          <w:sz w:val="28"/>
          <w:szCs w:val="28"/>
          <w:rtl w:val="true"/>
          <w:lang w:bidi="ar-SA"/>
        </w:rPr>
        <w:t>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w:t>
      </w:r>
      <w:r>
        <w:rPr>
          <w:rStyle w:val="FootnoteAnchor"/>
          <w:rtl w:val="true"/>
        </w:rPr>
        <w:footnoteReference w:id="1199"/>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w:t>
      </w:r>
      <w:r>
        <w:rPr>
          <w:rStyle w:val="FootnoteAnchor"/>
          <w:rtl w:val="true"/>
        </w:rPr>
        <w:footnoteReference w:id="1200"/>
      </w:r>
      <w:r>
        <w:rPr>
          <w:rFonts w:ascii="IRNazanin" w:hAnsi="IRNazanin" w:eastAsia="IRNazanin"/>
          <w:color w:val="111111"/>
          <w:sz w:val="28"/>
          <w:sz w:val="28"/>
          <w:szCs w:val="28"/>
          <w:rtl w:val="true"/>
          <w:lang w:bidi="fa-IR"/>
        </w:rPr>
        <w:t xml:space="preserve">، </w:t>
      </w:r>
      <w:bookmarkStart w:id="475" w:name="pg20044_770922"/>
    </w:p>
    <w:p>
      <w:pPr>
        <w:pStyle w:val="BookText"/>
        <w:rPr/>
      </w:pPr>
      <w:bookmarkEnd w:id="475"/>
      <w:r>
        <w:rPr>
          <w:rFonts w:ascii="Amiri" w:hAnsi="Amiri" w:eastAsia="Amiri" w:cs="Amiri"/>
          <w:color w:val="111111"/>
          <w:sz w:val="28"/>
          <w:sz w:val="28"/>
          <w:szCs w:val="28"/>
          <w:rtl w:val="true"/>
          <w:lang w:bidi="ar-SA"/>
        </w:rPr>
        <w:t>و أنّه</w:t>
      </w:r>
      <w:r>
        <w:rPr>
          <w:rStyle w:val="FootnoteAnchor"/>
          <w:rtl w:val="true"/>
        </w:rPr>
        <w:footnoteReference w:id="1201"/>
      </w:r>
      <w:r>
        <w:rPr>
          <w:rFonts w:ascii="Amiri" w:hAnsi="Amiri" w:eastAsia="Amiri" w:cs="Amiri"/>
          <w:color w:val="111111"/>
          <w:sz w:val="28"/>
          <w:sz w:val="28"/>
          <w:szCs w:val="28"/>
          <w:rtl w:val="true"/>
          <w:lang w:bidi="ar-SA"/>
        </w:rPr>
        <w:t>إذا أَوجَبَ فيها هذه الصفةَ دَلَّ علىٰ وجوبِها</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203"/>
      </w:r>
      <w:r>
        <w:rPr>
          <w:rFonts w:ascii="Amiri" w:hAnsi="Amiri" w:eastAsia="Amiri" w:cs="Amiri"/>
          <w:color w:val="111111"/>
          <w:sz w:val="28"/>
          <w:sz w:val="28"/>
          <w:szCs w:val="28"/>
          <w:rtl w:val="true"/>
          <w:lang w:bidi="ar-SA"/>
        </w:rPr>
        <w:t xml:space="preserve">لأنّه عليه السلامُ قد بَيَّنَ الصفةَ التي لا تَصِحُّ </w:t>
      </w:r>
      <w:r>
        <w:rPr>
          <w:rStyle w:val="FootnoteAnchor"/>
          <w:rtl w:val="true"/>
        </w:rPr>
        <w:footnoteReference w:id="1204"/>
      </w:r>
      <w:r>
        <w:rPr>
          <w:rFonts w:ascii="Amiri" w:hAnsi="Amiri" w:eastAsia="Amiri" w:cs="Amiri"/>
          <w:color w:val="111111"/>
          <w:sz w:val="28"/>
          <w:sz w:val="28"/>
          <w:szCs w:val="28"/>
          <w:rtl w:val="true"/>
          <w:lang w:bidi="ar-SA"/>
        </w:rPr>
        <w:t xml:space="preserve">العبادةُ إلّامَعَها، و يَكونُ نَقلاً لِما قد تَبيَّنَ </w:t>
      </w:r>
      <w:r>
        <w:rPr>
          <w:rStyle w:val="FootnoteAnchor"/>
          <w:rtl w:val="true"/>
        </w:rPr>
        <w:footnoteReference w:id="1205"/>
      </w:r>
      <w:r>
        <w:rPr>
          <w:rFonts w:ascii="Amiri" w:hAnsi="Amiri" w:eastAsia="Amiri" w:cs="Amiri"/>
          <w:color w:val="111111"/>
          <w:sz w:val="28"/>
          <w:sz w:val="28"/>
          <w:szCs w:val="28"/>
          <w:rtl w:val="true"/>
          <w:lang w:bidi="ar-SA"/>
        </w:rPr>
        <w:t>كَونُها واجبةً ؛ فمِن أينَ أنّه أرادَ الإمامةَ الواجبةَ مِن قُرَيشٍ دونَ غيرِهم</w:t>
      </w:r>
      <w:r>
        <w:rPr>
          <w:rStyle w:val="FootnoteAnchor"/>
          <w:rtl w:val="true"/>
        </w:rPr>
        <w:footnoteReference w:id="1206"/>
      </w:r>
      <w:r>
        <w:rPr>
          <w:rFonts w:ascii="Amiri" w:hAnsi="Amiri" w:eastAsia="Amiri" w:cs="Amiri"/>
          <w:color w:val="111111"/>
          <w:sz w:val="28"/>
          <w:sz w:val="28"/>
          <w:szCs w:val="28"/>
          <w:rtl w:val="true"/>
          <w:lang w:bidi="ar-SA"/>
        </w:rPr>
        <w:t>، دونَ أن يُريدَ أنّ الإمامةَ المُستحَبّةَ ،</w:t>
      </w:r>
      <w:r>
        <w:rPr>
          <w:rStyle w:val="FootnoteAnchor"/>
          <w:rtl w:val="true"/>
        </w:rPr>
        <w:footnoteReference w:id="1207"/>
      </w:r>
      <w:r>
        <w:rPr>
          <w:rFonts w:ascii="Amiri" w:hAnsi="Amiri" w:eastAsia="Amiri" w:cs="Amiri"/>
          <w:color w:val="111111"/>
          <w:sz w:val="28"/>
          <w:sz w:val="28"/>
          <w:szCs w:val="28"/>
          <w:rtl w:val="true"/>
          <w:lang w:bidi="ar-SA"/>
        </w:rPr>
        <w:t>أو التي نُدِبتم إليها، أو التي تَلزَمُكم</w:t>
      </w:r>
      <w:r>
        <w:rPr>
          <w:rStyle w:val="FootnoteAnchor"/>
          <w:rtl w:val="true"/>
        </w:rPr>
        <w:footnoteReference w:id="1208"/>
      </w:r>
      <w:r>
        <w:rPr>
          <w:rFonts w:ascii="Amiri" w:hAnsi="Amiri" w:eastAsia="Amiri" w:cs="Amiri"/>
          <w:color w:val="111111"/>
          <w:sz w:val="28"/>
          <w:sz w:val="28"/>
          <w:szCs w:val="28"/>
          <w:rtl w:val="true"/>
          <w:lang w:bidi="ar-SA"/>
        </w:rPr>
        <w:t xml:space="preserve">في حالٍ دونَ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r>
        <w:rPr>
          <w:rStyle w:val="FootnoteAnchor"/>
          <w:rtl w:val="true"/>
        </w:rPr>
        <w:footnoteReference w:id="1209"/>
      </w:r>
    </w:p>
    <w:p>
      <w:pPr>
        <w:pStyle w:val="Heading5"/>
        <w:numPr>
          <w:ilvl w:val="4"/>
          <w:numId w:val="1"/>
        </w:numPr>
        <w:rPr/>
      </w:pPr>
      <w:bookmarkStart w:id="476" w:name="__RefHeading___Toc828608_2320776876"/>
      <w:bookmarkStart w:id="477" w:name="_Toc169"/>
      <w:bookmarkEnd w:id="476"/>
      <w:r>
        <w:rPr>
          <w:rtl w:val="true"/>
        </w:rPr>
        <w:t>جوابٌ نقضيّ للمصنّف</w:t>
      </w:r>
      <w:bookmarkEnd w:id="477"/>
    </w:p>
    <w:p>
      <w:pPr>
        <w:pStyle w:val="BookText"/>
        <w:rPr/>
      </w:pPr>
      <w:r>
        <w:rPr>
          <w:rFonts w:ascii="Amiri" w:hAnsi="Amiri" w:eastAsia="Amiri" w:cs="Amiri"/>
          <w:color w:val="111111"/>
          <w:sz w:val="28"/>
          <w:sz w:val="28"/>
          <w:szCs w:val="28"/>
          <w:rtl w:val="true"/>
          <w:lang w:bidi="ar-SA"/>
        </w:rPr>
        <w:t xml:space="preserve">فقَد استَعمَلَ صاحبُ الكتابِ في الردِّ علىٰ مَن تَعلَّقَ بالطريقةِ التي ذَكَرَها مِثلَ ما استَعمَلناه في الردِّ علىٰ طريقتِه التي ابتَدَأ بها هذا البابَ </w:t>
      </w:r>
      <w:r>
        <w:rPr>
          <w:rStyle w:val="FootnoteAnchor"/>
          <w:rtl w:val="true"/>
        </w:rPr>
        <w:footnoteReference w:id="1210"/>
      </w:r>
      <w:r>
        <w:rPr>
          <w:rFonts w:ascii="Amiri" w:hAnsi="Amiri" w:eastAsia="Amiri" w:cs="Amiri"/>
          <w:color w:val="111111"/>
          <w:sz w:val="28"/>
          <w:sz w:val="28"/>
          <w:szCs w:val="28"/>
          <w:rtl w:val="true"/>
          <w:lang w:bidi="ar-SA"/>
        </w:rPr>
        <w:t>، و قامَ في دَفعِها مَقامَنا في دَفعِ ما اعتَمَدَه؛ لأنّا نَعلَمُ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بصورةِ الخَبَرِ فهو</w:t>
      </w:r>
      <w:r>
        <w:rPr>
          <w:rStyle w:val="FootnoteAnchor"/>
          <w:rtl w:val="true"/>
        </w:rPr>
        <w:footnoteReference w:id="121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كمال 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ضمن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نهج البلاغة،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12332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12931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20015</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و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 قُرَيشٍ،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اختَرتُم إماماً فليَكُن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بمَعنَى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 لَفظُ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ساغَ الاحتِجاجُ به علَى الأنصارِ</w:t>
      </w:r>
      <w:r>
        <w:rPr>
          <w:rStyle w:val="FootnoteAnchor"/>
          <w:rtl w:val="true"/>
        </w:rPr>
        <w:footnoteReference w:id="1212"/>
      </w:r>
      <w:r>
        <w:rPr>
          <w:rFonts w:ascii="Amiri" w:hAnsi="Amiri" w:eastAsia="Amiri" w:cs="Amiri"/>
          <w:color w:val="111111"/>
          <w:sz w:val="28"/>
          <w:sz w:val="28"/>
          <w:szCs w:val="28"/>
          <w:rtl w:val="true"/>
          <w:lang w:bidi="ar-SA"/>
        </w:rPr>
        <w:t>، و لا تَكونُ‌</w:t>
      </w:r>
      <w:r>
        <w:rPr>
          <w:rStyle w:val="FootnoteAnchor"/>
          <w:rtl w:val="true"/>
        </w:rPr>
        <w:footnoteReference w:id="1213"/>
      </w:r>
      <w:r>
        <w:rPr>
          <w:rFonts w:ascii="Amiri" w:hAnsi="Amiri" w:eastAsia="Amiri" w:cs="Amiri"/>
          <w:color w:val="111111"/>
          <w:sz w:val="28"/>
          <w:sz w:val="28"/>
          <w:szCs w:val="28"/>
          <w:rtl w:val="true"/>
          <w:lang w:bidi="ar-SA"/>
        </w:rPr>
        <w:t>الحُجّةُ ثابتةً عَلَيهم إلّاإذا كانَ أمراً في الحقيقةِ أو له 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يَمتَنِعْ عندَه أن يُريدَ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أَقَمتُم إماماً فليَكُن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الخَبَرُ مُفيداً لِصفةِ الإمامِ الذي هم مُخيَّرونَ في إقامتِه، غيرَ مُقتَضٍ لوجوبِ إقامتِه؛ فكذلكَ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و توجيهُه تَعالىٰ</w:t>
      </w:r>
    </w:p>
    <w:p>
      <w:pPr>
        <w:pStyle w:val="BookText"/>
        <w:rPr/>
      </w:pPr>
      <w:r>
        <w:rPr>
          <w:rFonts w:ascii="Amiri" w:hAnsi="Amiri" w:eastAsia="Amiri" w:cs="Amiri"/>
          <w:color w:val="111111"/>
          <w:sz w:val="28"/>
          <w:sz w:val="28"/>
          <w:szCs w:val="28"/>
          <w:rtl w:val="true"/>
          <w:lang w:bidi="ar-SA"/>
        </w:rPr>
        <w:t>هذا الخطابَ إلَى الأئمّةِ دونَ غيرِهم، لا يَقتَضي وجوبَ إقامةِ الأئمّةِ، بَل هو خِطابٌ لِمَن كان إماماً بقَطعِ السُّرّاقِ، و يَكونُ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فليَقطَعْ أيديَهما مَن كانَ إماماً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أنّ الإمامةَ الواجبةَ مِن قُرَيشٍ ، دونَ المُستَحبّةَ أو التي نُدِبتُم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 خِطابَه تَعالىٰ بقَطعِ السُّرّاقِ </w:t>
      </w:r>
      <w:r>
        <w:rPr>
          <w:rStyle w:val="FootnoteAnchor"/>
          <w:rtl w:val="true"/>
        </w:rPr>
        <w:footnoteReference w:id="1216"/>
      </w:r>
      <w:r>
        <w:rPr>
          <w:rFonts w:ascii="Amiri" w:hAnsi="Amiri" w:eastAsia="Amiri" w:cs="Amiri"/>
          <w:color w:val="111111"/>
          <w:sz w:val="28"/>
          <w:sz w:val="28"/>
          <w:szCs w:val="28"/>
          <w:rtl w:val="true"/>
          <w:lang w:bidi="ar-SA"/>
        </w:rPr>
        <w:t xml:space="preserve">مُتَوجِّهٌ إلَى الأئمّةِ الذينَ تَجِبُ إقامتُهم، دونَ الذينَ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إلىٰ إقامتِهم أو دَلَّ علَى استحبابِها؟ و هذا ما لا فَصلَ فيه</w:t>
      </w:r>
      <w:r>
        <w:rPr>
          <w:rFonts w:eastAsia="Amiri" w:cs="Amiri" w:ascii="Amiri" w:hAnsi="Amiri"/>
          <w:color w:val="111111"/>
          <w:sz w:val="28"/>
          <w:szCs w:val="28"/>
          <w:rtl w:val="true"/>
          <w:lang w:bidi="ar-SA"/>
        </w:rPr>
        <w:t xml:space="preserve">. </w:t>
      </w:r>
      <w:bookmarkStart w:id="478" w:name="pg20044_770924"/>
    </w:p>
    <w:p>
      <w:pPr>
        <w:pStyle w:val="Heading4"/>
        <w:numPr>
          <w:ilvl w:val="3"/>
          <w:numId w:val="1"/>
        </w:numPr>
        <w:rPr/>
      </w:pPr>
      <w:bookmarkStart w:id="479" w:name="__RefHeading___Toc828610_2320776876"/>
      <w:bookmarkStart w:id="480" w:name="_Toc170"/>
      <w:bookmarkEnd w:id="478"/>
      <w:bookmarkEnd w:id="479"/>
      <w:r>
        <w:rPr>
          <w:rtl w:val="true"/>
        </w:rPr>
        <w:t>الدليل الرابع تأمير خالد بن الوليد يومَ مؤتة</w:t>
      </w:r>
      <w:bookmarkEnd w:id="480"/>
    </w:p>
    <w:p>
      <w:pPr>
        <w:pStyle w:val="Heading5"/>
        <w:numPr>
          <w:ilvl w:val="4"/>
          <w:numId w:val="1"/>
        </w:numPr>
        <w:rPr/>
      </w:pPr>
      <w:bookmarkStart w:id="481" w:name="__RefHeading___Toc828612_2320776876"/>
      <w:bookmarkStart w:id="482" w:name="_Toc171"/>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الاعتمادُ في ذلكَ علىٰ ما كانَ‌</w:t>
      </w:r>
      <w:r>
        <w:rPr>
          <w:rStyle w:val="FootnoteAnchor"/>
          <w:rtl w:val="true"/>
        </w:rPr>
        <w:footnoteReference w:id="1217"/>
      </w:r>
      <w:r>
        <w:rPr>
          <w:rFonts w:ascii="Amiri" w:hAnsi="Amiri" w:eastAsia="Amiri" w:cs="Amiri"/>
          <w:color w:val="111111"/>
          <w:sz w:val="28"/>
          <w:sz w:val="28"/>
          <w:szCs w:val="28"/>
          <w:rtl w:val="true"/>
          <w:lang w:bidi="ar-SA"/>
        </w:rPr>
        <w:t>مِن استِصوابِ النبيِّ صَلَّى اللّٰهُ عليه و آلِه و سلَّمَ‌</w:t>
      </w:r>
      <w:r>
        <w:rPr>
          <w:rStyle w:val="FootnoteAnchor"/>
          <w:rtl w:val="true"/>
        </w:rPr>
        <w:footnoteReference w:id="1218"/>
      </w:r>
      <w:r>
        <w:rPr>
          <w:rFonts w:ascii="Amiri" w:hAnsi="Amiri" w:eastAsia="Amiri" w:cs="Amiri"/>
          <w:color w:val="111111"/>
          <w:sz w:val="28"/>
          <w:sz w:val="28"/>
          <w:szCs w:val="28"/>
          <w:rtl w:val="true"/>
          <w:lang w:bidi="ar-SA"/>
        </w:rPr>
        <w:t>في إقامتِهم خالدَ بنَ الوَليدِ يَومَ مؤتةَ أميراً</w:t>
      </w:r>
      <w:r>
        <w:rPr>
          <w:rFonts w:eastAsia="Amiri" w:cs="Amiri" w:ascii="Amiri" w:hAnsi="Amiri"/>
          <w:color w:val="111111"/>
          <w:sz w:val="28"/>
          <w:szCs w:val="28"/>
          <w:rtl w:val="true"/>
          <w:lang w:bidi="ar-SA"/>
        </w:rPr>
        <w:t>.</w:t>
      </w:r>
      <w:r>
        <w:rPr>
          <w:rStyle w:val="FootnoteAnchor"/>
          <w:rtl w:val="true"/>
        </w:rPr>
        <w:footnoteReference w:id="121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w:t>
      </w:r>
      <w:r>
        <w:rPr>
          <w:rStyle w:val="FootnoteAnchor"/>
          <w:rtl w:val="true"/>
        </w:rPr>
        <w:footnoteReference w:id="1220"/>
      </w:r>
      <w:r>
        <w:rPr>
          <w:rFonts w:ascii="Amiri" w:hAnsi="Amiri" w:eastAsia="Amiri" w:cs="Amiri"/>
          <w:color w:val="111111"/>
          <w:sz w:val="28"/>
          <w:sz w:val="28"/>
          <w:szCs w:val="28"/>
          <w:rtl w:val="true"/>
          <w:lang w:bidi="ar-SA"/>
        </w:rPr>
        <w:t xml:space="preserve">الكلامَ هو في وجوبِه، لا في كَونِه صَواباً، و لأنّ الرُّجوعَ في الإمامةِ إلىٰ طريقِ القياسِ لا يَصِحُّ </w:t>
      </w:r>
      <w:r>
        <w:rPr>
          <w:rFonts w:eastAsia="Amiri" w:cs="Amiri" w:ascii="Amiri" w:hAnsi="Amiri"/>
          <w:color w:val="111111"/>
          <w:sz w:val="28"/>
          <w:szCs w:val="28"/>
          <w:rtl w:val="true"/>
          <w:lang w:bidi="ar-SA"/>
        </w:rPr>
        <w:t>.</w:t>
      </w:r>
      <w:r>
        <w:rPr>
          <w:rStyle w:val="FootnoteAnchor"/>
          <w:rtl w:val="true"/>
        </w:rPr>
        <w:footnoteReference w:id="1221"/>
      </w:r>
      <w:bookmarkStart w:id="483" w:name="pg20044_770925"/>
    </w:p>
    <w:p>
      <w:pPr>
        <w:pStyle w:val="Heading5"/>
        <w:numPr>
          <w:ilvl w:val="4"/>
          <w:numId w:val="1"/>
        </w:numPr>
        <w:rPr/>
      </w:pPr>
      <w:bookmarkStart w:id="484" w:name="__RefHeading___Toc828614_2320776876"/>
      <w:bookmarkStart w:id="485" w:name="_Toc172"/>
      <w:bookmarkEnd w:id="483"/>
      <w:bookmarkEnd w:id="484"/>
      <w:r>
        <w:rPr>
          <w:rtl w:val="true"/>
        </w:rPr>
        <w:t>اعتماد صاحب الكتاب في كلامه علىٰ طريقة القياس</w:t>
      </w:r>
      <w:bookmarkEnd w:id="485"/>
    </w:p>
    <w:p>
      <w:pPr>
        <w:pStyle w:val="BookText"/>
        <w:rPr/>
      </w:pPr>
      <w:r>
        <w:rPr>
          <w:rFonts w:ascii="Amiri" w:hAnsi="Amiri" w:eastAsia="Amiri" w:cs="Amiri"/>
          <w:color w:val="111111"/>
          <w:sz w:val="28"/>
          <w:sz w:val="28"/>
          <w:szCs w:val="28"/>
          <w:rtl w:val="true"/>
          <w:lang w:bidi="ar-SA"/>
        </w:rPr>
        <w:t>فهو إنكارٌ لِما قد استَعمَلَه و عَوَّلَ عليه؛ لأنّه قد سَلَكَ طريقةَ القياسِ في إثباتِ</w:t>
      </w:r>
    </w:p>
    <w:p>
      <w:pPr>
        <w:pStyle w:val="BookText"/>
        <w:rPr/>
      </w:pPr>
      <w:r>
        <w:rPr>
          <w:rFonts w:ascii="Amiri" w:hAnsi="Amiri" w:eastAsia="Amiri" w:cs="Amiri"/>
          <w:color w:val="111111"/>
          <w:sz w:val="28"/>
          <w:sz w:val="28"/>
          <w:szCs w:val="28"/>
          <w:rtl w:val="true"/>
          <w:lang w:bidi="ar-SA"/>
        </w:rPr>
        <w:t>وجوبِ الإمامةِ، و استِخراجِ عِلّةِ إزالةِ الغَلَبةِ عن الإمامِ، و هي</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يَتَمكَّنَ مِن إقامةِ الحُدودِ، و نَقَلَها إلىٰ أهلِ العَقدِ، و أَوجَبَ عَلَيهم اختيارَ مَن يَقومُ بالحُدودِ كما أَوجَبَ عَلَيهم إزالةَ الغَلَبةِ عمّن يَقومُ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 أيضاً فيها القياسَ مِن وجهٍ آخَرَ؛ لأنّه استَخرَجَ عِلّةَ وجوبِ إقامةِ الأُمَراءِ و القُضاةِ و الحُكّامِ علَى الأُمّةِ ، و أَوجَبَ بمِثلِها اختيارَ الأئمّةِ في الأصلِ ليَتَوصَّلوا</w:t>
      </w:r>
      <w:r>
        <w:rPr>
          <w:rStyle w:val="FootnoteAnchor"/>
          <w:rtl w:val="true"/>
        </w:rPr>
        <w:footnoteReference w:id="1223"/>
      </w:r>
      <w:r>
        <w:rPr>
          <w:rFonts w:ascii="Amiri" w:hAnsi="Amiri" w:eastAsia="Amiri" w:cs="Amiri"/>
          <w:color w:val="111111"/>
          <w:sz w:val="28"/>
          <w:sz w:val="28"/>
          <w:szCs w:val="28"/>
          <w:rtl w:val="true"/>
          <w:lang w:bidi="ar-SA"/>
        </w:rPr>
        <w:t>إلىٰ ما يُنصَبُ الأميرُ</w:t>
      </w:r>
      <w:r>
        <w:rPr>
          <w:rStyle w:val="FootnoteAnchor"/>
          <w:rtl w:val="true"/>
        </w:rPr>
        <w:footnoteReference w:id="1224"/>
      </w:r>
      <w:r>
        <w:rPr>
          <w:rFonts w:ascii="Amiri" w:hAnsi="Amiri" w:eastAsia="Amiri" w:cs="Amiri"/>
          <w:color w:val="111111"/>
          <w:sz w:val="28"/>
          <w:sz w:val="28"/>
          <w:szCs w:val="28"/>
          <w:rtl w:val="true"/>
          <w:lang w:bidi="ar-SA"/>
        </w:rPr>
        <w:t>و الحاكِمُ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سُلوكُ طريقةِ القياسِ ؛ فكَيفَ يُنكِرُ صاحبُ الكتابِ أن يُستَعمَلَ في الإمامةِ ما هو المُستَعمِلُ له و المُتَعلِّقُ به ؟</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828616_2320776876"/>
      <w:bookmarkStart w:id="487" w:name="_Toc173"/>
      <w:bookmarkEnd w:id="486"/>
      <w:r>
        <w:rPr>
          <w:rtl w:val="true"/>
        </w:rPr>
        <w:t>الدليل الخامس خبر</w:t>
      </w:r>
      <w:r>
        <w:rPr>
          <w:rtl w:val="true"/>
        </w:rPr>
        <w:t>: «</w:t>
      </w:r>
      <w:r>
        <w:rPr>
          <w:rtl w:val="true"/>
        </w:rPr>
        <w:t>إن ولّيتم أبا بكر</w:t>
      </w:r>
      <w:r>
        <w:rPr>
          <w:rtl w:val="true"/>
        </w:rPr>
        <w:t>...»</w:t>
      </w:r>
      <w:bookmarkEnd w:id="487"/>
    </w:p>
    <w:p>
      <w:pPr>
        <w:pStyle w:val="Heading5"/>
        <w:numPr>
          <w:ilvl w:val="4"/>
          <w:numId w:val="1"/>
        </w:numPr>
        <w:rPr/>
      </w:pPr>
      <w:bookmarkStart w:id="488" w:name="__RefHeading___Toc828618_2320776876"/>
      <w:bookmarkStart w:id="489" w:name="_Toc174"/>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شَيخانا</w:t>
      </w:r>
      <w:r>
        <w:rPr>
          <w:rStyle w:val="FootnoteAnchor"/>
          <w:rtl w:val="true"/>
        </w:rPr>
        <w:footnoteReference w:id="1225"/>
      </w:r>
      <w:r>
        <w:rPr>
          <w:rFonts w:ascii="Amiri" w:hAnsi="Amiri" w:eastAsia="Amiri" w:cs="Amiri"/>
          <w:color w:val="111111"/>
          <w:sz w:val="28"/>
          <w:sz w:val="28"/>
          <w:szCs w:val="28"/>
          <w:rtl w:val="true"/>
          <w:lang w:bidi="ar-SA"/>
        </w:rPr>
        <w:t xml:space="preserve">أنّه لا يَمتَنِعُ في المُجمِعينَ </w:t>
      </w:r>
      <w:r>
        <w:rPr>
          <w:rStyle w:val="FootnoteAnchor"/>
          <w:rtl w:val="true"/>
        </w:rPr>
        <w:footnoteReference w:id="1226"/>
      </w:r>
      <w:r>
        <w:rPr>
          <w:rFonts w:ascii="Amiri" w:hAnsi="Amiri" w:eastAsia="Amiri" w:cs="Amiri"/>
          <w:color w:val="111111"/>
          <w:sz w:val="28"/>
          <w:sz w:val="28"/>
          <w:szCs w:val="28"/>
          <w:rtl w:val="true"/>
          <w:lang w:bidi="ar-SA"/>
        </w:rPr>
        <w:t xml:space="preserve">علىٰ إقامةِ الإمامِ أنّهم رَجَعوا إلىٰ دليلٍ </w:t>
      </w:r>
      <w:r>
        <w:rPr>
          <w:rStyle w:val="FootnoteAnchor"/>
          <w:rtl w:val="true"/>
        </w:rPr>
        <w:footnoteReference w:id="1227"/>
      </w:r>
      <w:r>
        <w:rPr>
          <w:rFonts w:ascii="Amiri" w:hAnsi="Amiri" w:eastAsia="Amiri" w:cs="Amiri"/>
          <w:color w:val="111111"/>
          <w:sz w:val="28"/>
          <w:sz w:val="28"/>
          <w:szCs w:val="28"/>
          <w:rtl w:val="true"/>
          <w:lang w:bidi="ar-SA"/>
        </w:rPr>
        <w:t xml:space="preserve">لأنّه لا بُدَّ لهذا الإجماعِ مِن أصلٍ و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w:t>
      </w:r>
      <w:bookmarkStart w:id="490" w:name="pg20044_770926"/>
    </w:p>
    <w:p>
      <w:pPr>
        <w:pStyle w:val="BookText"/>
        <w:rPr/>
      </w:pPr>
      <w:bookmarkEnd w:id="490"/>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رَجَعوا</w:t>
      </w:r>
      <w:r>
        <w:rPr>
          <w:rStyle w:val="FootnoteAnchor"/>
          <w:rtl w:val="true"/>
        </w:rPr>
        <w:footnoteReference w:id="1228"/>
      </w:r>
      <w:r>
        <w:rPr>
          <w:rFonts w:ascii="Amiri" w:hAnsi="Amiri" w:eastAsia="Amiri" w:cs="Amiri"/>
          <w:color w:val="111111"/>
          <w:sz w:val="28"/>
          <w:sz w:val="28"/>
          <w:szCs w:val="28"/>
          <w:rtl w:val="true"/>
          <w:lang w:bidi="ar-SA"/>
        </w:rPr>
        <w:t xml:space="preserve">في ذلكَ إلىٰ ما رُويَ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وَلَّيتم أبا بَكرٍ تَجِدوه قويّاً في دِينِ اللّٰه ضَعيفاً في بَدَنِه، و إن وَلَّيتم عُمَرَ وَجَدتُموه قويّاً في دِينِ اللّٰهِ قويّاً في بَدَنِه، و إن وَلَّيتم عليّاً وَجَدتُموه هادياً مَهديّاً يَحمِلُكم علَى الحَقِّ </w:t>
      </w:r>
      <w:r>
        <w:rPr>
          <w:rFonts w:eastAsia="Amiri" w:cs="Amiri" w:ascii="Amiri" w:hAnsi="Amiri"/>
          <w:color w:val="111111"/>
          <w:sz w:val="28"/>
          <w:szCs w:val="28"/>
          <w:rtl w:val="true"/>
          <w:lang w:bidi="ar-SA"/>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230"/>
      </w:r>
    </w:p>
    <w:p>
      <w:pPr>
        <w:pStyle w:val="Heading5"/>
        <w:numPr>
          <w:ilvl w:val="4"/>
          <w:numId w:val="1"/>
        </w:numPr>
        <w:rPr/>
      </w:pPr>
      <w:bookmarkStart w:id="491" w:name="__RefHeading___Toc828620_2320776876"/>
      <w:bookmarkStart w:id="492" w:name="_Toc175"/>
      <w:bookmarkEnd w:id="491"/>
      <w:r>
        <w:rPr>
          <w:rtl w:val="true"/>
        </w:rPr>
        <w:t>عدم دلالة الحديث المذكور علىٰ وجوب الإمامة</w:t>
      </w:r>
      <w:bookmarkEnd w:id="492"/>
    </w:p>
    <w:p>
      <w:pPr>
        <w:pStyle w:val="BookText"/>
        <w:rPr/>
      </w:pPr>
      <w:r>
        <w:rPr>
          <w:rFonts w:ascii="Amiri" w:hAnsi="Amiri" w:eastAsia="Amiri" w:cs="Amiri"/>
          <w:color w:val="111111"/>
          <w:sz w:val="28"/>
          <w:sz w:val="28"/>
          <w:szCs w:val="28"/>
          <w:rtl w:val="true"/>
          <w:lang w:bidi="ar-SA"/>
        </w:rPr>
        <w:t xml:space="preserve">فلَيسَ في الخَبَرِ الذي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أنّ شَيخَيه ادَّعَيا أنّ المُجمِعين</w:t>
      </w:r>
      <w:r>
        <w:rPr>
          <w:rStyle w:val="FootnoteAnchor"/>
          <w:rtl w:val="true"/>
        </w:rPr>
        <w:footnoteReference w:id="1231"/>
      </w:r>
      <w:r>
        <w:rPr>
          <w:rFonts w:ascii="Amiri" w:hAnsi="Amiri" w:eastAsia="Amiri" w:cs="Amiri"/>
          <w:color w:val="111111"/>
          <w:sz w:val="28"/>
          <w:sz w:val="28"/>
          <w:szCs w:val="28"/>
          <w:rtl w:val="true"/>
          <w:lang w:bidi="ar-SA"/>
        </w:rPr>
        <w:t>علىٰ وجوبِ الإمامةِ و إقامةِ الإمامِ رَجَعوا إليه و عَوَّلوا عليه، لَو كانَ صَحيحاً، و لَيسَ في الحقيقةِ صَحيحاً</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وجوبِ الإمامةِ ؛ لأنّ لَفظَه يَقتَضي التخييرَ لا الإيجابَ ، و لَيسَ في التصريحِ بالتخييرِ لَفظٌ إلّاو هو جارٍ مَجرىٰ لَفظِ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إنّما هو في أعيانِ المُوَلَّينَ للإمامةِ </w:t>
      </w:r>
      <w:r>
        <w:rPr>
          <w:rStyle w:val="FootnoteAnchor"/>
          <w:rtl w:val="true"/>
        </w:rPr>
        <w:footnoteReference w:id="1233"/>
      </w:r>
      <w:r>
        <w:rPr>
          <w:rFonts w:ascii="Amiri" w:hAnsi="Amiri" w:eastAsia="Amiri" w:cs="Amiri"/>
          <w:color w:val="111111"/>
          <w:sz w:val="28"/>
          <w:sz w:val="28"/>
          <w:szCs w:val="28"/>
          <w:rtl w:val="true"/>
          <w:lang w:bidi="ar-SA"/>
        </w:rPr>
        <w:t xml:space="preserve">، و لَيسَ في أصلِ الوِلايةِ و وجوبِ </w:t>
      </w:r>
      <w:r>
        <w:rPr>
          <w:rStyle w:val="FootnoteAnchor"/>
          <w:rtl w:val="true"/>
        </w:rPr>
        <w:footnoteReference w:id="1234"/>
      </w:r>
      <w:r>
        <w:rPr>
          <w:rFonts w:ascii="Amiri" w:hAnsi="Amiri" w:eastAsia="Amiri" w:cs="Amiri"/>
          <w:color w:val="111111"/>
          <w:sz w:val="28"/>
          <w:sz w:val="28"/>
          <w:szCs w:val="28"/>
          <w:rtl w:val="true"/>
          <w:lang w:bidi="ar-SA"/>
        </w:rPr>
        <w:t>إقامةِ الإمامِ تخييرٌ في لَفظِ الخَبَرِ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و إن كانَ الأمرُ علىٰ ما ذَكَرَه، فلَيسَ أيضاً في لَفظِ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التخييرِ في أعيانِ مَن يُوَلّىٰ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للوِلايةِ و فَرضُ الإمامةِ ، و أقَلُّ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p>
    <w:p>
      <w:pPr>
        <w:pStyle w:val="BookText"/>
        <w:rPr/>
      </w:pPr>
      <w:r>
        <w:rPr>
          <w:rFonts w:ascii="Amiri" w:hAnsi="Amiri" w:eastAsia="Amiri" w:cs="Amiri"/>
          <w:color w:val="111111"/>
          <w:sz w:val="28"/>
          <w:sz w:val="28"/>
          <w:szCs w:val="28"/>
          <w:rtl w:val="true"/>
          <w:lang w:bidi="ar-SA"/>
        </w:rPr>
        <w:t xml:space="preserve">الخَبَرُ موجِباً للتخييرِ في الأمرَينِ ، و لا فيه إيجابٌ لأصلِ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فيه دَلالةٌ لِمَن ذَهَبَ إلىٰ وجوبِ إقامةِ الإمامِ ؛ لأنّ الدَّلالةَ علىٰ صِحّةِ مَذهَبِه مِن هذا يَفتَقِرُ إلىٰ أن يَكونَ موجِباً بصَريحِه أو بفَحواه إقامةَ الإمامِ ، و إذا لَم يَكُن كذلكَ فلا دَلالةَ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أن يَحصُلَ في هذا البابِ أنّه لا بُدَّ مِن القولِ بأنّه عليه السلامُ دَلَّ في الجُملةِ‌</w:t>
      </w:r>
      <w:r>
        <w:rPr>
          <w:rStyle w:val="FootnoteAnchor"/>
          <w:rtl w:val="true"/>
        </w:rPr>
        <w:footnoteReference w:id="1235"/>
      </w:r>
      <w:r>
        <w:rPr>
          <w:rFonts w:ascii="Amiri" w:hAnsi="Amiri" w:eastAsia="Amiri" w:cs="Amiri"/>
          <w:color w:val="111111"/>
          <w:sz w:val="28"/>
          <w:sz w:val="28"/>
          <w:szCs w:val="28"/>
          <w:rtl w:val="true"/>
          <w:lang w:bidi="ar-SA"/>
        </w:rPr>
        <w:t>علىٰ ما يَقومُ به الإمامُ و يَتَميَّزُ به مِن غيرِه، و علىٰ صفاتِ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استِدراكُ ذلكَ مِن جهةِ القياسِ، و لَو صَحَّ ذلكَ كانَ لا يَجوزُ أن يُستَدرَكَ‌</w:t>
      </w:r>
      <w:r>
        <w:rPr>
          <w:rStyle w:val="FootnoteAnchor"/>
          <w:rtl w:val="true"/>
        </w:rPr>
        <w:footnoteReference w:id="1236"/>
      </w:r>
      <w:r>
        <w:rPr>
          <w:rFonts w:ascii="Amiri" w:hAnsi="Amiri" w:eastAsia="Amiri" w:cs="Amiri"/>
          <w:color w:val="111111"/>
          <w:sz w:val="28"/>
          <w:sz w:val="28"/>
          <w:szCs w:val="28"/>
          <w:rtl w:val="true"/>
          <w:lang w:bidi="ar-SA"/>
        </w:rPr>
        <w:t>بقياسِ الإمامةِ‌</w:t>
      </w:r>
      <w:r>
        <w:rPr>
          <w:rStyle w:val="FootnoteAnchor"/>
          <w:rtl w:val="true"/>
        </w:rPr>
        <w:footnoteReference w:id="1237"/>
      </w:r>
      <w:r>
        <w:rPr>
          <w:rFonts w:ascii="Amiri" w:hAnsi="Amiri" w:eastAsia="Amiri" w:cs="Amiri"/>
          <w:color w:val="111111"/>
          <w:sz w:val="28"/>
          <w:sz w:val="28"/>
          <w:szCs w:val="28"/>
          <w:rtl w:val="true"/>
          <w:lang w:bidi="ar-SA"/>
        </w:rPr>
        <w:t>علَى الإمارةِ و هو</w:t>
      </w:r>
      <w:r>
        <w:rPr>
          <w:rStyle w:val="FootnoteAnchor"/>
          <w:rtl w:val="true"/>
        </w:rPr>
        <w:footnoteReference w:id="1238"/>
      </w:r>
      <w:r>
        <w:rPr>
          <w:rFonts w:ascii="Amiri" w:hAnsi="Amiri" w:eastAsia="Amiri" w:cs="Amiri"/>
          <w:color w:val="111111"/>
          <w:sz w:val="28"/>
          <w:sz w:val="28"/>
          <w:szCs w:val="28"/>
          <w:rtl w:val="true"/>
          <w:lang w:bidi="ar-SA"/>
        </w:rPr>
        <w:t>فَرعٌ لها؛ لأنّ إثباتَ الأصلِ بالفَرعِ لا يُمكِنُ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1239"/>
      </w:r>
      <w:r>
        <w:rPr>
          <w:rFonts w:ascii="Amiri" w:hAnsi="Amiri" w:eastAsia="Amiri" w:cs="Amiri"/>
          <w:color w:val="111111"/>
          <w:sz w:val="28"/>
          <w:sz w:val="28"/>
          <w:szCs w:val="28"/>
          <w:rtl w:val="true"/>
          <w:lang w:bidi="ar-SA"/>
        </w:rPr>
        <w:t>وَلَّيتم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يَتَقدَّمْ مِنه مَعنىٰ هذه التَّوليةِ و التعَرُّضُ‌</w:t>
      </w:r>
      <w:r>
        <w:rPr>
          <w:rStyle w:val="FootnoteAnchor"/>
          <w:rtl w:val="true"/>
        </w:rPr>
        <w:footnoteReference w:id="1240"/>
      </w:r>
      <w:r>
        <w:rPr>
          <w:rFonts w:ascii="IRNazanin" w:hAnsi="IRNazanin" w:eastAsia="IRNazanin"/>
          <w:color w:val="111111"/>
          <w:sz w:val="28"/>
          <w:sz w:val="28"/>
          <w:szCs w:val="28"/>
          <w:rtl w:val="true"/>
          <w:lang w:bidi="fa-IR"/>
        </w:rPr>
        <w:t>لها</w:t>
      </w:r>
      <w:r>
        <w:rPr>
          <w:rStyle w:val="FootnoteAnchor"/>
          <w:rtl w:val="true"/>
        </w:rPr>
        <w:footnoteReference w:id="1241"/>
      </w:r>
      <w:r>
        <w:rPr>
          <w:rFonts w:ascii="Amiri" w:hAnsi="Amiri" w:eastAsia="Amiri" w:cs="Amiri"/>
          <w:color w:val="111111"/>
          <w:sz w:val="28"/>
          <w:sz w:val="28"/>
          <w:szCs w:val="28"/>
          <w:rtl w:val="true"/>
          <w:lang w:bidi="ar-SA"/>
        </w:rPr>
        <w:t xml:space="preserve">لأنّ ذلكَ يَجري مَجرَى التنبيهِ علىٰ عهدٍ مُتَقدِّمٍ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r>
        <w:rPr>
          <w:rStyle w:val="FootnoteAnchor"/>
          <w:rtl w:val="true"/>
        </w:rPr>
        <w:footnoteReference w:id="1242"/>
      </w:r>
      <w:r>
        <w:rPr>
          <w:rFonts w:ascii="Amiri" w:hAnsi="Amiri" w:eastAsia="Amiri" w:cs="Amiri"/>
          <w:color w:val="111111"/>
          <w:sz w:val="28"/>
          <w:sz w:val="28"/>
          <w:szCs w:val="28"/>
          <w:rtl w:val="true"/>
          <w:lang w:bidi="ar-SA"/>
        </w:rPr>
        <w:t xml:space="preserve">ثَبَتَ أيضاً بالأخبارِ أنّهم في حَياتِه سَأَلوه </w:t>
      </w:r>
      <w:bookmarkStart w:id="493" w:name="pg20044_770928"/>
    </w:p>
    <w:p>
      <w:pPr>
        <w:pStyle w:val="BookText"/>
        <w:rPr/>
      </w:pPr>
      <w:bookmarkEnd w:id="493"/>
      <w:r>
        <w:rPr>
          <w:rFonts w:ascii="Amiri" w:hAnsi="Amiri" w:eastAsia="Amiri" w:cs="Amiri"/>
          <w:color w:val="111111"/>
          <w:sz w:val="28"/>
          <w:sz w:val="28"/>
          <w:szCs w:val="28"/>
          <w:rtl w:val="true"/>
          <w:lang w:bidi="ar-SA"/>
        </w:rPr>
        <w:t>عمّن يَقومُ بالأمرِ مِن</w:t>
      </w:r>
      <w:r>
        <w:rPr>
          <w:rStyle w:val="FootnoteAnchor"/>
          <w:rtl w:val="true"/>
        </w:rPr>
        <w:footnoteReference w:id="1243"/>
      </w:r>
      <w:r>
        <w:rPr>
          <w:rFonts w:ascii="Amiri" w:hAnsi="Amiri" w:eastAsia="Amiri" w:cs="Amiri"/>
          <w:color w:val="111111"/>
          <w:sz w:val="28"/>
          <w:sz w:val="28"/>
          <w:szCs w:val="28"/>
          <w:rtl w:val="true"/>
          <w:lang w:bidi="ar-SA"/>
        </w:rPr>
        <w:t xml:space="preserve">بَعدِه، و لا يَصِحُّ ذلكَ إلّاو قد بَيَّنَ </w:t>
      </w:r>
      <w:r>
        <w:rPr>
          <w:rStyle w:val="FootnoteAnchor"/>
          <w:rtl w:val="true"/>
        </w:rPr>
        <w:footnoteReference w:id="1244"/>
      </w:r>
      <w:r>
        <w:rPr>
          <w:rFonts w:ascii="Amiri" w:hAnsi="Amiri" w:eastAsia="Amiri" w:cs="Amiri"/>
          <w:color w:val="111111"/>
          <w:sz w:val="28"/>
          <w:sz w:val="28"/>
          <w:szCs w:val="28"/>
          <w:rtl w:val="true"/>
          <w:lang w:bidi="ar-SA"/>
        </w:rPr>
        <w:t xml:space="preserve">لهم الإمامةَ علَى الجُملةِ </w:t>
      </w:r>
      <w:r>
        <w:rPr>
          <w:rStyle w:val="FootnoteAnchor"/>
          <w:rtl w:val="true"/>
        </w:rPr>
        <w:footnoteReference w:id="1245"/>
      </w:r>
      <w:r>
        <w:rPr>
          <w:rFonts w:ascii="Amiri" w:hAnsi="Amiri" w:eastAsia="Amiri" w:cs="Amiri"/>
          <w:color w:val="111111"/>
          <w:sz w:val="28"/>
          <w:sz w:val="28"/>
          <w:szCs w:val="28"/>
          <w:rtl w:val="true"/>
          <w:lang w:bidi="ar-SA"/>
        </w:rPr>
        <w:t>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يُبيِّنُ أنّه لا بُدَّ مِن نَصٍّ قاطعٍ مِنه عليه السلامُ في الإمامِ و صفتِه و ما يَقومُ به في</w:t>
      </w:r>
      <w:r>
        <w:rPr>
          <w:rStyle w:val="FootnoteAnchor"/>
          <w:rtl w:val="true"/>
        </w:rPr>
        <w:footnoteReference w:id="1246"/>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w:t>
      </w:r>
      <w:r>
        <w:rPr>
          <w:rStyle w:val="FootnoteAnchor"/>
          <w:rtl w:val="true"/>
        </w:rPr>
        <w:footnoteReference w:id="1247"/>
      </w:r>
    </w:p>
    <w:p>
      <w:pPr>
        <w:pStyle w:val="Heading5"/>
        <w:numPr>
          <w:ilvl w:val="4"/>
          <w:numId w:val="1"/>
        </w:numPr>
        <w:rPr/>
      </w:pPr>
      <w:bookmarkStart w:id="494" w:name="__RefHeading___Toc828622_2320776876"/>
      <w:bookmarkStart w:id="495" w:name="_Toc176"/>
      <w:bookmarkEnd w:id="494"/>
      <w:r>
        <w:rPr>
          <w:rtl w:val="true"/>
        </w:rPr>
        <w:t>بيان عدم الحاجة إلى النصّ علىٰ وجوبِ الإمامة و معرفةِ صفات الإمام</w:t>
      </w:r>
      <w:bookmarkEnd w:id="495"/>
    </w:p>
    <w:p>
      <w:pPr>
        <w:pStyle w:val="BookText"/>
        <w:rPr/>
      </w:pPr>
      <w:r>
        <w:rPr>
          <w:rFonts w:ascii="Amiri" w:hAnsi="Amiri" w:eastAsia="Amiri" w:cs="Amiri"/>
          <w:color w:val="111111"/>
          <w:sz w:val="28"/>
          <w:sz w:val="28"/>
          <w:szCs w:val="28"/>
          <w:rtl w:val="true"/>
          <w:lang w:bidi="ar-SA"/>
        </w:rPr>
        <w:t>فعندَنا أنّ بَيانَ ذلكَ غيرُ مُحتاجٍ إليه؛ لأنّ العقولَ تَدُلُّ علىٰ وجوبِ الإمامةِ و علىٰ صفاتِ الإمامِ و ما يُحتاجُ فيه إليه، و ما يَدُلُّ العقولُ عليه لَيسَ يَجِبُ بيانُه مِن طريقِ السَّمعِ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يُعلَمْ ذلكَ مِن طريقِ العقولِ لَما احتيجَ فيه إلىٰ نَصٍّ قاطعٍ مِن الرسولِ صلّى اللّٰهُ عليه و آلِه و سلَّمَ، كما ادُّعيَ أنّ الأُمّةَ قد عَلِمَت ما كانَ يَتَولّاه الرسولُ صلّى اللّٰهُ عليه و آلِه و سلَّمَ مِن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كسياستِه لهم و تَعليمِه و تَوقيفِه،</w:t>
      </w:r>
      <w:r>
        <w:rPr>
          <w:rStyle w:val="FootnoteAnchor"/>
          <w:rtl w:val="true"/>
        </w:rPr>
        <w:footnoteReference w:id="1248"/>
      </w:r>
      <w:r>
        <w:rPr>
          <w:rFonts w:ascii="Amiri" w:hAnsi="Amiri" w:eastAsia="Amiri" w:cs="Amiri"/>
          <w:color w:val="111111"/>
          <w:sz w:val="28"/>
          <w:sz w:val="28"/>
          <w:szCs w:val="28"/>
          <w:rtl w:val="true"/>
          <w:lang w:bidi="ar-SA"/>
        </w:rPr>
        <w:t>و إقامةِ الحُدودِ علىٰ مُستَحِقّيها</w:t>
      </w:r>
      <w:r>
        <w:rPr>
          <w:rStyle w:val="FootnoteAnchor"/>
          <w:rtl w:val="true"/>
        </w:rPr>
        <w:footnoteReference w:id="1249"/>
      </w:r>
      <w:r>
        <w:rPr>
          <w:rFonts w:ascii="Amiri" w:hAnsi="Amiri" w:eastAsia="Amiri" w:cs="Amiri"/>
          <w:color w:val="111111"/>
          <w:sz w:val="28"/>
          <w:sz w:val="28"/>
          <w:szCs w:val="28"/>
          <w:rtl w:val="true"/>
          <w:lang w:bidi="ar-SA"/>
        </w:rPr>
        <w:t xml:space="preserve">، و تأديبِ الجُناةِ، و تَقويمِ البُغاةِ ، و إنصافِ المظلومِ مِن الظالِمِ ، إلىٰ غيرِ ذلكَ ممّا يَطولُ تَعدادُه؛ و هو معلومٌ معروفٌ </w:t>
      </w:r>
      <w:r>
        <w:rPr>
          <w:rStyle w:val="FootnoteAnchor"/>
          <w:rtl w:val="true"/>
        </w:rPr>
        <w:footnoteReference w:id="1250"/>
      </w:r>
      <w:r>
        <w:rPr>
          <w:rFonts w:ascii="Amiri" w:hAnsi="Amiri" w:eastAsia="Amiri" w:cs="Amiri"/>
          <w:color w:val="111111"/>
          <w:sz w:val="28"/>
          <w:sz w:val="28"/>
          <w:szCs w:val="28"/>
          <w:rtl w:val="true"/>
          <w:lang w:bidi="ar-SA"/>
        </w:rPr>
        <w:t xml:space="preserve">لِمَن عاصَرَ النبيَّ صلّى اللّٰهُ عليه و آلِه، و لِمَن لَم يَكُن أيضاً في زمانِه؛ فإنّا و مَن كانَ قَبلَنا ممّن لَم يَلحَقْ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بتِلكَ الحالِ نَعلَمُ‌</w:t>
      </w:r>
      <w:r>
        <w:rPr>
          <w:rStyle w:val="FootnoteAnchor"/>
          <w:rtl w:val="true"/>
        </w:rPr>
        <w:footnoteReference w:id="1252"/>
      </w:r>
      <w:r>
        <w:rPr>
          <w:rFonts w:ascii="Amiri" w:hAnsi="Amiri" w:eastAsia="Amiri" w:cs="Amiri"/>
          <w:color w:val="111111"/>
          <w:sz w:val="28"/>
          <w:sz w:val="28"/>
          <w:szCs w:val="28"/>
          <w:rtl w:val="true"/>
          <w:lang w:bidi="ar-SA"/>
        </w:rPr>
        <w:t>ما كانَ يَتَولّاه الرسولُ صلّى اللّٰهُ عَليه و آلِه و سلَّمَ مِن أُمورِ أُمّتِه عِلماً لا يَتَخالَجُنا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كانَ‌</w:t>
      </w:r>
      <w:r>
        <w:rPr>
          <w:rStyle w:val="FootnoteAnchor"/>
          <w:rtl w:val="true"/>
        </w:rPr>
        <w:footnoteReference w:id="1253"/>
      </w:r>
      <w:r>
        <w:rPr>
          <w:rFonts w:ascii="Amiri" w:hAnsi="Amiri" w:eastAsia="Amiri" w:cs="Amiri"/>
          <w:color w:val="111111"/>
          <w:sz w:val="28"/>
          <w:sz w:val="28"/>
          <w:szCs w:val="28"/>
          <w:rtl w:val="true"/>
          <w:lang w:bidi="ar-SA"/>
        </w:rPr>
        <w:t>ما ذَكَرناه معلوماً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أيضاً يَعلَمونَ أنّ الخليفةَ لغيرِه بالإطلاقِ هو القائمُ مَقامَه فيما يَتَولّاه و يُراعيهِ و يُدَبِّرُه، و إنّما تَختَصُّ‌</w:t>
      </w:r>
      <w:r>
        <w:rPr>
          <w:rStyle w:val="FootnoteAnchor"/>
          <w:rtl w:val="true"/>
        </w:rPr>
        <w:footnoteReference w:id="1254"/>
      </w:r>
      <w:r>
        <w:rPr>
          <w:rFonts w:ascii="Amiri" w:hAnsi="Amiri" w:eastAsia="Amiri" w:cs="Amiri"/>
          <w:color w:val="111111"/>
          <w:sz w:val="28"/>
          <w:sz w:val="28"/>
          <w:szCs w:val="28"/>
          <w:rtl w:val="true"/>
          <w:lang w:bidi="ar-SA"/>
        </w:rPr>
        <w:t>الخِلافةُ ببَعضِ ما يَنظُرُ فيه المُستَخلِفُ لأمرٍ يَخُصُّها</w:t>
      </w:r>
      <w:r>
        <w:rPr>
          <w:rStyle w:val="FootnoteAnchor"/>
          <w:rtl w:val="true"/>
        </w:rPr>
        <w:footnoteReference w:id="1255"/>
      </w:r>
      <w:r>
        <w:rPr>
          <w:rFonts w:ascii="Amiri" w:hAnsi="Amiri" w:eastAsia="Amiri" w:cs="Amiri"/>
          <w:color w:val="111111"/>
          <w:sz w:val="28"/>
          <w:sz w:val="28"/>
          <w:szCs w:val="28"/>
          <w:rtl w:val="true"/>
          <w:lang w:bidi="ar-SA"/>
        </w:rPr>
        <w:t>و يَقصُرُها علىٰ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ذَكَرناه في مَعنَى الاستخلافِ و الخِلافةِ‌</w:t>
      </w:r>
      <w:r>
        <w:rPr>
          <w:rStyle w:val="FootnoteAnchor"/>
          <w:rtl w:val="true"/>
        </w:rPr>
        <w:footnoteReference w:id="1256"/>
      </w:r>
      <w:r>
        <w:rPr>
          <w:rFonts w:ascii="Amiri" w:hAnsi="Amiri" w:eastAsia="Amiri" w:cs="Amiri"/>
          <w:color w:val="111111"/>
          <w:sz w:val="28"/>
          <w:sz w:val="28"/>
          <w:szCs w:val="28"/>
          <w:rtl w:val="true"/>
          <w:lang w:bidi="ar-SA"/>
        </w:rPr>
        <w:t>معلومٌ بالعادةِ لنا و لجميعِ العقلاءِ‌</w:t>
      </w:r>
      <w:r>
        <w:rPr>
          <w:rStyle w:val="FootnoteAnchor"/>
          <w:rtl w:val="true"/>
        </w:rPr>
        <w:footnoteReference w:id="1257"/>
      </w:r>
      <w:r>
        <w:rPr>
          <w:rFonts w:ascii="Amiri" w:hAnsi="Amiri" w:eastAsia="Amiri" w:cs="Amiri"/>
          <w:color w:val="111111"/>
          <w:sz w:val="28"/>
          <w:sz w:val="28"/>
          <w:szCs w:val="28"/>
          <w:rtl w:val="true"/>
          <w:lang w:bidi="ar-SA"/>
        </w:rPr>
        <w:t>الذينَ قد شاهَدوا المُلوكَ و الأُمَراءَ و الوُلاةَ ، و عَلِموا كيفيّةَ استخلافِهم لِمَن يَستَخلِفونَه، بَل لكُلِّ مَن عَرَفَ مُستَخلِفاً و مُستَخلَفاً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رَعيّةَ المَلِكِ إذا هَمَّ بسَفَرٍ أو</w:t>
      </w:r>
      <w:r>
        <w:rPr>
          <w:rStyle w:val="FootnoteAnchor"/>
          <w:rtl w:val="true"/>
        </w:rPr>
        <w:footnoteReference w:id="1258"/>
      </w:r>
      <w:r>
        <w:rPr>
          <w:rFonts w:ascii="Amiri" w:hAnsi="Amiri" w:eastAsia="Amiri" w:cs="Amiri"/>
          <w:color w:val="111111"/>
          <w:sz w:val="28"/>
          <w:sz w:val="28"/>
          <w:szCs w:val="28"/>
          <w:rtl w:val="true"/>
          <w:lang w:bidi="ar-SA"/>
        </w:rPr>
        <w:t>انتَهَت به العِلّةُ و المرضُ إلىٰ حالٍ يؤيَسُ مَعَها مِن حياتِه، تَسألُه عمّن يَستَخلِفُ عَلَيهم؛ إمّا بَعدَ مَوتِه، و إمّا بَعدَ بُعدِه بالسفرِ عنهم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فُلانٌ أو فُلانٌ ، لَم يَحسُنْ مِنهم أن يَقولوا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لنا مَن يَتَولّانا و ما يَتَولّاه خَليفَتُكَ فينا و ما يُحتاجُ </w:t>
      </w:r>
      <w:r>
        <w:rPr>
          <w:rStyle w:val="FootnoteAnchor"/>
          <w:rtl w:val="true"/>
        </w:rPr>
        <w:footnoteReference w:id="1259"/>
      </w:r>
      <w:r>
        <w:rPr>
          <w:rFonts w:ascii="Amiri" w:hAnsi="Amiri" w:eastAsia="Amiri" w:cs="Amiri"/>
          <w:color w:val="111111"/>
          <w:sz w:val="28"/>
          <w:sz w:val="28"/>
          <w:szCs w:val="28"/>
          <w:rtl w:val="true"/>
          <w:lang w:bidi="ar-SA"/>
        </w:rPr>
        <w:t xml:space="preserve">إلىٰ خَليفتِكَ فيه مِن أُمورِنا؛ لأنّهم إذا </w:t>
      </w:r>
    </w:p>
    <w:p>
      <w:pPr>
        <w:pStyle w:val="BookText"/>
        <w:rPr/>
      </w:pPr>
      <w:r>
        <w:rPr>
          <w:rFonts w:ascii="Amiri" w:hAnsi="Amiri" w:eastAsia="Amiri" w:cs="Amiri"/>
          <w:color w:val="111111"/>
          <w:sz w:val="28"/>
          <w:sz w:val="28"/>
          <w:szCs w:val="28"/>
          <w:rtl w:val="true"/>
          <w:lang w:bidi="ar-SA"/>
        </w:rPr>
        <w:t>كانوا عارِفين بما يَتَولّاه ذلكَ المَلِكُ المُستَخلِفُ مِن أُمورِهم، فهُم عالِمونَ بأنّ خَليفَتَه القائمَ مَقامَه يَتَولّىٰ مِن أُمورِهم ما كانَ يَتَولّاه مستَخلِفُه، إلّاأن يَخُصَّ بَعضَ الوِلاياتِ المُستَخلِفُ بنَصٍّ صريحٍ، فيَخرُجُ مِن جُملةِ ما يَنظُرُ فيه خَليفَتُه، و لهذا يَحسُنُ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عَلَيكم في كذا و كذا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استَخلَفَ بالإطلاقِ و سُئلَ عن خَليفَتِه في الجُملةِ ، لَم يَكُن المفهومُ إلّاما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في سؤالِ القَومِ للنبيِّ صلَّى اللّٰهُ عليه و آلِه و سلَّمَ مَن يَقومُ بالأمرِ مِن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سَألوه حَسَبَ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ما تَوهَّمَه مِن وقوعِ بَيانٍ مُتَقدِّمٍ مِنه</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معرفتِهم بما كانَ يَقومُ به النبيُّ صلّى اللّٰه عليه و آلِه، و بأنّ الخَليفةَ لغيرِه هو القائمُ بما كانَ يَقومُ به، المُتَولّي لِما</w:t>
      </w:r>
      <w:r>
        <w:rPr>
          <w:rStyle w:val="FootnoteAnchor"/>
          <w:rtl w:val="true"/>
        </w:rPr>
        <w:footnoteReference w:id="1261"/>
      </w:r>
      <w:r>
        <w:rPr>
          <w:rFonts w:ascii="Amiri" w:hAnsi="Amiri" w:eastAsia="Amiri" w:cs="Amiri"/>
          <w:color w:val="111111"/>
          <w:sz w:val="28"/>
          <w:sz w:val="28"/>
          <w:szCs w:val="28"/>
          <w:rtl w:val="true"/>
          <w:lang w:bidi="ar-SA"/>
        </w:rPr>
        <w:t>كانَ يَتَولّاه</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عن بَيانٍ مِنه عليه السلامُ ، و لَيسَ يَقتَضي سؤالُهم إلّاللشَّكِّ في عَينِ القائمِ بالأمرِ بَعدَه، دونَ الشَّكِّ في الشيءِ الذي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ادَّعىٰ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وقوعَ بَيانٍ مِنه لمَعنَى الوِلاية و الغرضِ بها؛ لأنّ ما ذَكَرناه مِن المعرفةِ الحاصلةِ لهم أقوىٰ مِن كُلِّ بيانٍ بالقولِ و آكَدُ مِن كُلِّ لَفظٍ</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حَمَلَ صاحبَ الكتابِ علَى ادِّعاءِ بَيانٍ مُتَقدِّمٍ ذَهابُه</w:t>
      </w:r>
      <w:r>
        <w:rPr>
          <w:rStyle w:val="FootnoteAnchor"/>
          <w:rtl w:val="true"/>
        </w:rPr>
        <w:footnoteReference w:id="1263"/>
      </w:r>
      <w:r>
        <w:rPr>
          <w:rFonts w:ascii="Amiri" w:hAnsi="Amiri" w:eastAsia="Amiri" w:cs="Amiri"/>
          <w:color w:val="111111"/>
          <w:sz w:val="28"/>
          <w:sz w:val="28"/>
          <w:szCs w:val="28"/>
          <w:rtl w:val="true"/>
          <w:lang w:bidi="ar-SA"/>
        </w:rPr>
        <w:t xml:space="preserve">عن التفصيلِ الذي أورَدناه، و لأنّه رأىٰ سؤالَهم له عمّن يَقومُ </w:t>
      </w:r>
      <w:r>
        <w:rPr>
          <w:rStyle w:val="FootnoteAnchor"/>
          <w:rtl w:val="true"/>
        </w:rPr>
        <w:footnoteReference w:id="1264"/>
      </w:r>
      <w:r>
        <w:rPr>
          <w:rFonts w:ascii="Amiri" w:hAnsi="Amiri" w:eastAsia="Amiri" w:cs="Amiri"/>
          <w:color w:val="111111"/>
          <w:sz w:val="28"/>
          <w:sz w:val="28"/>
          <w:szCs w:val="28"/>
          <w:rtl w:val="true"/>
          <w:lang w:bidi="ar-SA"/>
        </w:rPr>
        <w:t xml:space="preserve">بالأمرِ بَعدَه يَقتَضي تَقدُّمَ معنَى الوِلايةِ و </w:t>
      </w:r>
      <w:bookmarkStart w:id="496" w:name="pg20044_770931"/>
    </w:p>
    <w:p>
      <w:pPr>
        <w:pStyle w:val="BookText"/>
        <w:rPr/>
      </w:pPr>
      <w:bookmarkEnd w:id="496"/>
      <w:r>
        <w:rPr>
          <w:rFonts w:ascii="Amiri" w:hAnsi="Amiri" w:eastAsia="Amiri" w:cs="Amiri"/>
          <w:color w:val="111111"/>
          <w:sz w:val="28"/>
          <w:sz w:val="28"/>
          <w:szCs w:val="28"/>
          <w:rtl w:val="true"/>
          <w:lang w:bidi="ar-SA"/>
        </w:rPr>
        <w:t>الغرضِ بها في نُفوسِهم، و لا شَكَّ‌</w:t>
      </w:r>
      <w:r>
        <w:rPr>
          <w:rStyle w:val="FootnoteAnchor"/>
          <w:rtl w:val="true"/>
        </w:rPr>
        <w:footnoteReference w:id="1265"/>
      </w:r>
      <w:r>
        <w:rPr>
          <w:rFonts w:ascii="Amiri" w:hAnsi="Amiri" w:eastAsia="Amiri" w:cs="Amiri"/>
          <w:color w:val="111111"/>
          <w:sz w:val="28"/>
          <w:sz w:val="28"/>
          <w:szCs w:val="28"/>
          <w:rtl w:val="true"/>
          <w:lang w:bidi="ar-SA"/>
        </w:rPr>
        <w:t>في أنّ ذلكَ كانَ مُقدَّرَه</w:t>
      </w:r>
      <w:r>
        <w:rPr>
          <w:rStyle w:val="FootnoteAnchor"/>
          <w:rtl w:val="true"/>
        </w:rPr>
        <w:footnoteReference w:id="1266"/>
      </w:r>
      <w:r>
        <w:rPr>
          <w:rFonts w:ascii="Amiri" w:hAnsi="Amiri" w:eastAsia="Amiri" w:cs="Amiri"/>
          <w:color w:val="111111"/>
          <w:sz w:val="28"/>
          <w:sz w:val="28"/>
          <w:szCs w:val="28"/>
          <w:rtl w:val="true"/>
          <w:lang w:bidi="ar-SA"/>
        </w:rPr>
        <w:t xml:space="preserve">عندَهم؛ لكِنْ </w:t>
      </w:r>
      <w:r>
        <w:rPr>
          <w:rStyle w:val="FootnoteAnchor"/>
          <w:rtl w:val="true"/>
        </w:rPr>
        <w:footnoteReference w:id="1267"/>
      </w:r>
      <w:r>
        <w:rPr>
          <w:rFonts w:ascii="Amiri" w:hAnsi="Amiri" w:eastAsia="Amiri" w:cs="Amiri"/>
          <w:color w:val="111111"/>
          <w:sz w:val="28"/>
          <w:sz w:val="28"/>
          <w:szCs w:val="28"/>
          <w:rtl w:val="true"/>
          <w:lang w:bidi="ar-SA"/>
        </w:rPr>
        <w:t xml:space="preserve">مِن الوجهِ الذي بيّنّاه، لا مِن حَيثُ ظَنَّ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إنكارُه للقياسِ في الإمامةِ ، فقَد بيّنّا أنّه قد استَعمَلَه و اعتَمَدَه</w:t>
      </w:r>
      <w:r>
        <w:rPr>
          <w:rStyle w:val="FootnoteAnchor"/>
          <w:rtl w:val="true"/>
        </w:rPr>
        <w:footnoteReference w:id="1268"/>
      </w:r>
      <w:r>
        <w:rPr>
          <w:rFonts w:ascii="Amiri" w:hAnsi="Amiri" w:eastAsia="Amiri" w:cs="Amiri"/>
          <w:color w:val="111111"/>
          <w:sz w:val="28"/>
          <w:sz w:val="28"/>
          <w:szCs w:val="28"/>
          <w:rtl w:val="true"/>
          <w:lang w:bidi="ar-SA"/>
        </w:rPr>
        <w:t>، بَل قد</w:t>
      </w:r>
    </w:p>
    <w:p>
      <w:pPr>
        <w:pStyle w:val="BookText"/>
        <w:rPr/>
      </w:pPr>
      <w:r>
        <w:rPr>
          <w:rFonts w:ascii="Amiri" w:hAnsi="Amiri" w:eastAsia="Amiri" w:cs="Amiri"/>
          <w:color w:val="111111"/>
          <w:sz w:val="28"/>
          <w:sz w:val="28"/>
          <w:szCs w:val="28"/>
          <w:rtl w:val="true"/>
          <w:lang w:bidi="ar-SA"/>
        </w:rPr>
        <w:t xml:space="preserve">استَعمَلَ نَفسَ ما أنكَرَه مِن حَملِ الإمامةِ علَى الإمارةِ و لَم يَمنَعْه مِنه كَونُ الإمارةِ فَرعاً و الإمامةِ أصلاً؛ فكأنّه بهذا الإنكارِ مُنكِرٌ علىٰ </w:t>
      </w:r>
      <w:r>
        <w:rPr>
          <w:rStyle w:val="FootnoteAnchor"/>
          <w:rtl w:val="true"/>
        </w:rPr>
        <w:footnoteReference w:id="1269"/>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حَمَلتُ الإمامةَ علَى الإمارةِ في إثباتِ وجوبِ الإمامةِ ، و الذي أنكَرتُ حَملُ الإمامةِ علَى الإمارةِ في إثباتِ صفاتِ الإمامِ و ما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له أن يَحمِلَ الإمامةَ علَى الإمارةِ في إثباتِ وجوبِها و لَم يَمنَعْ مِن ذلكَ كَونُ هذه أصلاً و هذه فَرعاً، لِيَجوزَنَّ </w:t>
      </w:r>
      <w:r>
        <w:rPr>
          <w:rStyle w:val="FootnoteAnchor"/>
          <w:rtl w:val="true"/>
        </w:rPr>
        <w:footnoteReference w:id="1270"/>
      </w:r>
      <w:r>
        <w:rPr>
          <w:rFonts w:ascii="Amiri" w:hAnsi="Amiri" w:eastAsia="Amiri" w:cs="Amiri"/>
          <w:color w:val="111111"/>
          <w:sz w:val="28"/>
          <w:sz w:val="28"/>
          <w:szCs w:val="28"/>
          <w:rtl w:val="true"/>
          <w:lang w:bidi="ar-SA"/>
        </w:rPr>
        <w:t>لغيرِه أن يَحمِلَها عَلَيها في إثباتِ صفاتِ الإمام و ما يَقومُ به، و يَستَخرِجَ مِن الإمارةِ عِلّةً يَنقُلُها إلَى الإمامةِ في بابِ ما يَقومُ به الإمامُ و صفاتِه، كما فَعَلَ في إثباتِ وجوبِ إقامتِه</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828624_2320776876"/>
      <w:bookmarkStart w:id="498" w:name="_Toc177"/>
      <w:bookmarkEnd w:id="497"/>
      <w:r>
        <w:rPr>
          <w:rtl w:val="true"/>
        </w:rPr>
        <w:t>عدم جواز خفاء النصّ علىٰ صفات الإمام على الأنصار</w:t>
      </w:r>
      <w:bookmarkEnd w:id="498"/>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النَّصَّ ممّا لا يَجِبُ نَقلُه إذا كانَ الإجماعُ و الكتابُ قد أغنَيا</w:t>
      </w:r>
      <w:r>
        <w:rPr>
          <w:rStyle w:val="FootnoteAnchor"/>
          <w:rtl w:val="true"/>
        </w:rPr>
        <w:footnoteReference w:id="1271"/>
      </w:r>
      <w:r>
        <w:rPr>
          <w:rFonts w:ascii="Amiri" w:hAnsi="Amiri" w:eastAsia="Amiri" w:cs="Amiri"/>
          <w:color w:val="111111"/>
          <w:sz w:val="28"/>
          <w:sz w:val="28"/>
          <w:szCs w:val="28"/>
          <w:rtl w:val="true"/>
          <w:lang w:bidi="ar-SA"/>
        </w:rPr>
        <w:t xml:space="preserve">عنه، كما لا يَجِبُ نَقلُ خَبَرٍ في أُصولِ الصلاةِ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Style w:val="FootnoteAnchor"/>
          <w:rtl w:val="true"/>
        </w:rPr>
        <w:footnoteReference w:id="1272"/>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كانَ الإجماعُ قد أغنىٰ عنه؛ لأنّ نَقلَ الدليلِ إنّما يَجِبُ لأُمورٍ كُلُّها مفقودةٌ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الطريقةُ هي الواجبةُ،</w:t>
      </w:r>
      <w:r>
        <w:rPr>
          <w:rStyle w:val="FootnoteAnchor"/>
          <w:rtl w:val="true"/>
        </w:rPr>
        <w:footnoteReference w:id="1273"/>
      </w:r>
      <w:r>
        <w:rPr>
          <w:rFonts w:ascii="Amiri" w:hAnsi="Amiri" w:eastAsia="Amiri" w:cs="Amiri"/>
          <w:color w:val="111111"/>
          <w:sz w:val="28"/>
          <w:sz w:val="28"/>
          <w:szCs w:val="28"/>
          <w:rtl w:val="true"/>
          <w:lang w:bidi="ar-SA"/>
        </w:rPr>
        <w:t>دونَ ما حَكَيناه</w:t>
      </w:r>
      <w:r>
        <w:rPr>
          <w:rStyle w:val="FootnoteAnchor"/>
          <w:rtl w:val="true"/>
        </w:rPr>
        <w:footnoteReference w:id="1274"/>
      </w:r>
      <w:r>
        <w:rPr>
          <w:rFonts w:ascii="Amiri" w:hAnsi="Amiri" w:eastAsia="Amiri" w:cs="Amiri"/>
          <w:color w:val="111111"/>
          <w:sz w:val="28"/>
          <w:sz w:val="28"/>
          <w:szCs w:val="28"/>
          <w:rtl w:val="true"/>
          <w:lang w:bidi="ar-SA"/>
        </w:rPr>
        <w:t>عن شُيوخِنا؛ مِن قِبَلِ‌</w:t>
      </w:r>
      <w:r>
        <w:rPr>
          <w:rStyle w:val="FootnoteAnchor"/>
          <w:rtl w:val="true"/>
        </w:rPr>
        <w:footnoteReference w:id="1275"/>
      </w:r>
      <w:r>
        <w:rPr>
          <w:rFonts w:ascii="Amiri" w:hAnsi="Amiri" w:eastAsia="Amiri" w:cs="Amiri"/>
          <w:color w:val="111111"/>
          <w:sz w:val="28"/>
          <w:sz w:val="28"/>
          <w:szCs w:val="28"/>
          <w:rtl w:val="true"/>
          <w:lang w:bidi="ar-SA"/>
        </w:rPr>
        <w:t>أنّ الدليلَ‌</w:t>
      </w:r>
      <w:r>
        <w:rPr>
          <w:rStyle w:val="FootnoteAnchor"/>
          <w:rtl w:val="true"/>
        </w:rPr>
        <w:footnoteReference w:id="1276"/>
      </w:r>
      <w:r>
        <w:rPr>
          <w:rFonts w:ascii="Amiri" w:hAnsi="Amiri" w:eastAsia="Amiri" w:cs="Amiri"/>
          <w:color w:val="111111"/>
          <w:sz w:val="28"/>
          <w:sz w:val="28"/>
          <w:szCs w:val="28"/>
          <w:rtl w:val="true"/>
          <w:lang w:bidi="ar-SA"/>
        </w:rPr>
        <w:t>القاطعَ في ذلكَ‌</w:t>
      </w:r>
      <w:r>
        <w:rPr>
          <w:rStyle w:val="FootnoteAnchor"/>
          <w:rtl w:val="true"/>
        </w:rPr>
        <w:footnoteReference w:id="1277"/>
      </w:r>
      <w:r>
        <w:rPr>
          <w:rFonts w:ascii="Amiri" w:hAnsi="Amiri" w:eastAsia="Amiri" w:cs="Amiri"/>
          <w:color w:val="111111"/>
          <w:sz w:val="28"/>
          <w:sz w:val="28"/>
          <w:szCs w:val="28"/>
          <w:rtl w:val="true"/>
          <w:lang w:bidi="ar-SA"/>
        </w:rPr>
        <w:t>يَجوزُ أن يَكونَ بِقَولٍ مِنه، و يَجوزُ أن يَكونَ بما</w:t>
      </w:r>
      <w:r>
        <w:rPr>
          <w:rStyle w:val="FootnoteAnchor"/>
          <w:rtl w:val="true"/>
        </w:rPr>
        <w:footnoteReference w:id="1278"/>
      </w:r>
      <w:r>
        <w:rPr>
          <w:rFonts w:ascii="Amiri" w:hAnsi="Amiri" w:eastAsia="Amiri" w:cs="Amiri"/>
          <w:color w:val="111111"/>
          <w:sz w:val="28"/>
          <w:sz w:val="28"/>
          <w:szCs w:val="28"/>
          <w:rtl w:val="true"/>
          <w:lang w:bidi="ar-SA"/>
        </w:rPr>
        <w:t>تَكرَّرَ مِنه مِن البيانِ بالفعلِ فيما كانَ يُوَلّيهِ مِن الأُمَراءِ و الحُكّامِ ففُهِمَ‌</w:t>
      </w:r>
      <w:r>
        <w:rPr>
          <w:rStyle w:val="FootnoteAnchor"/>
          <w:rtl w:val="true"/>
        </w:rPr>
        <w:footnoteReference w:id="1279"/>
      </w:r>
      <w:r>
        <w:rPr>
          <w:rFonts w:ascii="Amiri" w:hAnsi="Amiri" w:eastAsia="Amiri" w:cs="Amiri"/>
          <w:color w:val="111111"/>
          <w:sz w:val="28"/>
          <w:sz w:val="28"/>
          <w:szCs w:val="28"/>
          <w:rtl w:val="true"/>
          <w:lang w:bidi="ar-SA"/>
        </w:rPr>
        <w:t>مِن قَصدِه أنّه إنّما يَفعَلُ ذلكَ علىٰ وجهٍ‌</w:t>
      </w:r>
      <w:r>
        <w:rPr>
          <w:rStyle w:val="FootnoteAnchor"/>
          <w:rtl w:val="true"/>
        </w:rPr>
        <w:footnoteReference w:id="1280"/>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فناقِضٌ لكثيرٍ مِن أُصولِه و مُعتَمَدِ أصحابِه في الإمامةِ؛ لأنّه إذا كانَ النبيُّ صلَّى اللّٰهُ عليه و آلِه و سَلَّمَ قد نَصَّ علىٰ وجوبِ الإمامةِ و صفاتِ الإمامِ و ما يَتَولّاه و بَيَّنَ جميعَ ذلكَ لأُمّتِه، فما بالُ الأنصارِ اجتَمَعَت بَعدَ وفاةِ النبيِّ صلَّى اللّٰهُ عليه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و سَلَّمَ علىٰ أن يَعقِدوا لأحَدِهم الأمرَ، حَتّىٰ جَرىٰ بَينَهم و بَينَ المُهاجِرينَ ما هو مذكورٌ؟ و كَيفَ ذَهَبَ عَلَيهم بَيانُ الرسولِ صلَّى اللّٰهُ عليه و آلِه و سَلَّمَ لِصفاتِ </w:t>
      </w:r>
      <w:r>
        <w:rPr>
          <w:rStyle w:val="FootnoteAnchor"/>
          <w:rtl w:val="true"/>
        </w:rPr>
        <w:footnoteReference w:id="1282"/>
      </w:r>
      <w:r>
        <w:rPr>
          <w:rFonts w:ascii="Amiri" w:hAnsi="Amiri" w:eastAsia="Amiri" w:cs="Amiri"/>
          <w:color w:val="111111"/>
          <w:sz w:val="28"/>
          <w:sz w:val="28"/>
          <w:szCs w:val="28"/>
          <w:rtl w:val="true"/>
          <w:lang w:bidi="ar-SA"/>
        </w:rPr>
        <w:t xml:space="preserve">الإمامِ التي مِن جُملتِها أن يَكونَ مِن المُهاجِرينَ ، و ظَنّوا أنّ الأمرَ يَصلُحُ فيهم و لهم ؟ </w:t>
      </w:r>
    </w:p>
    <w:p>
      <w:pPr>
        <w:pStyle w:val="BookText"/>
        <w:rPr/>
      </w:pPr>
      <w:r>
        <w:rPr>
          <w:rFonts w:ascii="Amiri" w:hAnsi="Amiri" w:eastAsia="Amiri" w:cs="Amiri"/>
          <w:color w:val="111111"/>
          <w:sz w:val="28"/>
          <w:sz w:val="28"/>
          <w:szCs w:val="28"/>
          <w:rtl w:val="true"/>
          <w:lang w:bidi="ar-SA"/>
        </w:rPr>
        <w:t>لَيسَ يَخلو حالُهم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يَكونوا</w:t>
      </w:r>
      <w:r>
        <w:rPr>
          <w:rStyle w:val="FootnoteAnchor"/>
          <w:rtl w:val="true"/>
        </w:rPr>
        <w:footnoteReference w:id="1283"/>
      </w:r>
      <w:r>
        <w:rPr>
          <w:rFonts w:ascii="Amiri" w:hAnsi="Amiri" w:eastAsia="Amiri" w:cs="Amiri"/>
          <w:color w:val="111111"/>
          <w:sz w:val="28"/>
          <w:sz w:val="28"/>
          <w:szCs w:val="28"/>
          <w:rtl w:val="true"/>
          <w:lang w:bidi="ar-SA"/>
        </w:rPr>
        <w:t>تَعمَّدوا دَفعَ ذلكَ البيانِ الواقعِ مِن الرسولِ‌</w:t>
      </w:r>
      <w:r>
        <w:rPr>
          <w:rStyle w:val="FootnoteAnchor"/>
          <w:rtl w:val="true"/>
        </w:rPr>
        <w:footnoteReference w:id="1284"/>
      </w:r>
      <w:r>
        <w:rPr>
          <w:rFonts w:ascii="Amiri" w:hAnsi="Amiri" w:eastAsia="Amiri" w:cs="Amiri"/>
          <w:color w:val="111111"/>
          <w:sz w:val="28"/>
          <w:sz w:val="28"/>
          <w:szCs w:val="28"/>
          <w:rtl w:val="true"/>
          <w:lang w:bidi="ar-SA"/>
        </w:rPr>
        <w:t>و العَمَلَ بخِلافِه و إظهارَ الجَحدِ له، أو سَهَوا عنه و نَسُوا كَيفَ جَرَت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الوجهَينِ كانَ، انتَقَضَ به أُصولُ خُصومِنا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w:t>
      </w:r>
      <w:r>
        <w:rPr>
          <w:rStyle w:val="FootnoteAnchor"/>
          <w:rtl w:val="true"/>
        </w:rPr>
        <w:footnoteReference w:id="1285"/>
      </w:r>
      <w:r>
        <w:rPr>
          <w:rFonts w:ascii="Amiri" w:hAnsi="Amiri" w:eastAsia="Amiri" w:cs="Amiri"/>
          <w:color w:val="111111"/>
          <w:sz w:val="28"/>
          <w:sz w:val="28"/>
          <w:szCs w:val="28"/>
          <w:rtl w:val="true"/>
          <w:lang w:bidi="ar-SA"/>
        </w:rPr>
        <w:t>إن كانوا</w:t>
      </w:r>
      <w:r>
        <w:rPr>
          <w:rStyle w:val="FootnoteAnchor"/>
          <w:rtl w:val="true"/>
        </w:rPr>
        <w:footnoteReference w:id="1286"/>
      </w:r>
      <w:r>
        <w:rPr>
          <w:rFonts w:ascii="Amiri" w:hAnsi="Amiri" w:eastAsia="Amiri" w:cs="Amiri"/>
          <w:color w:val="111111"/>
          <w:sz w:val="28"/>
          <w:sz w:val="28"/>
          <w:szCs w:val="28"/>
          <w:rtl w:val="true"/>
          <w:lang w:bidi="ar-SA"/>
        </w:rPr>
        <w:t>تَعمَّدوا الجَحدَ لِما ذَكَرناه، فقَد جازَ مِثلُ ذلكَ‌</w:t>
      </w:r>
      <w:r>
        <w:rPr>
          <w:rStyle w:val="FootnoteAnchor"/>
          <w:rtl w:val="true"/>
        </w:rPr>
        <w:footnoteReference w:id="1287"/>
      </w:r>
      <w:r>
        <w:rPr>
          <w:rFonts w:ascii="Amiri" w:hAnsi="Amiri" w:eastAsia="Amiri" w:cs="Amiri"/>
          <w:color w:val="111111"/>
          <w:sz w:val="28"/>
          <w:sz w:val="28"/>
          <w:szCs w:val="28"/>
          <w:rtl w:val="true"/>
          <w:lang w:bidi="ar-SA"/>
        </w:rPr>
        <w:t xml:space="preserve">علَى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عَدَدِها، و مَنزِلتِها مِن الدِّينِ و الفَضلِ، و الاختِصاصِ بالرَّسولِ، و صِدقِ المُوازَرةِ‌</w:t>
      </w:r>
      <w:r>
        <w:rPr>
          <w:rStyle w:val="FootnoteAnchor"/>
          <w:rtl w:val="true"/>
        </w:rPr>
        <w:footnoteReference w:id="1288"/>
      </w:r>
      <w:r>
        <w:rPr>
          <w:rFonts w:ascii="Amiri" w:hAnsi="Amiri" w:eastAsia="Amiri" w:cs="Amiri"/>
          <w:color w:val="111111"/>
          <w:sz w:val="28"/>
          <w:sz w:val="28"/>
          <w:szCs w:val="28"/>
          <w:rtl w:val="true"/>
          <w:lang w:bidi="ar-SA"/>
        </w:rPr>
        <w:t>و المُتابَعةِ‌</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w:t>
      </w:r>
      <w:r>
        <w:rPr>
          <w:rStyle w:val="FootnoteAnchor"/>
          <w:rtl w:val="true"/>
        </w:rPr>
        <w:footnoteReference w:id="1290"/>
      </w:r>
      <w:r>
        <w:rPr>
          <w:rFonts w:ascii="Amiri" w:hAnsi="Amiri" w:eastAsia="Amiri" w:cs="Amiri"/>
          <w:color w:val="111111"/>
          <w:sz w:val="28"/>
          <w:sz w:val="28"/>
          <w:szCs w:val="28"/>
          <w:rtl w:val="true"/>
          <w:lang w:bidi="ar-SA"/>
        </w:rPr>
        <w:t>ما وَقَفَهم عليه الرسولُ و أظهَرَه لهم و ألزَمَهم العَمَلَ‌</w:t>
      </w:r>
      <w:r>
        <w:rPr>
          <w:rStyle w:val="FootnoteAnchor"/>
          <w:rtl w:val="true"/>
        </w:rPr>
        <w:footnoteReference w:id="1291"/>
      </w:r>
      <w:r>
        <w:rPr>
          <w:rFonts w:ascii="Amiri" w:hAnsi="Amiri" w:eastAsia="Amiri" w:cs="Amiri"/>
          <w:color w:val="111111"/>
          <w:sz w:val="28"/>
          <w:sz w:val="28"/>
          <w:szCs w:val="28"/>
          <w:rtl w:val="true"/>
          <w:lang w:bidi="ar-SA"/>
        </w:rPr>
        <w:t>به، و دونَ عَدَدِ الأنصارِ لا يُجوِّزُ خُصومُنا عليه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ذَهَبوا عنه سَهواً و نِسياناً، فذلكَ أيضاً ممّا لا يُجوِّزُه الخُصومُ علىٰ مِثلِ الأنصارِ و لا علىٰ‌</w:t>
      </w:r>
      <w:r>
        <w:rPr>
          <w:rStyle w:val="FootnoteAnchor"/>
          <w:rtl w:val="true"/>
        </w:rPr>
        <w:footnoteReference w:id="1292"/>
      </w:r>
      <w:r>
        <w:rPr>
          <w:rFonts w:ascii="Amiri" w:hAnsi="Amiri" w:eastAsia="Amiri" w:cs="Amiri"/>
          <w:color w:val="111111"/>
          <w:sz w:val="28"/>
          <w:sz w:val="28"/>
          <w:szCs w:val="28"/>
          <w:rtl w:val="true"/>
          <w:lang w:bidi="ar-SA"/>
        </w:rPr>
        <w:t xml:space="preserve">فِرقةٍ مِن فِرَقِهم و جَماعةٍ مِن جَماعاتِهم، و يَعتَقِدونَ أنّه في حُكمِ المُستَحيلِ بالعادةِ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إن جازَ علَى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علىٰ هذه الصفاتِ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ما وَقَعَ مِن بَيانِ الرسولِ صلَّى اللّٰهُ عليه و آلِه و سَلَّمَ لِصفاتِ </w:t>
      </w:r>
      <w:r>
        <w:rPr>
          <w:rStyle w:val="FootnoteAnchor"/>
          <w:rtl w:val="true"/>
        </w:rPr>
        <w:footnoteReference w:id="1293"/>
      </w:r>
      <w:r>
        <w:rPr>
          <w:rFonts w:ascii="Amiri" w:hAnsi="Amiri" w:eastAsia="Amiri" w:cs="Amiri"/>
          <w:color w:val="111111"/>
          <w:sz w:val="28"/>
          <w:sz w:val="28"/>
          <w:szCs w:val="28"/>
          <w:rtl w:val="true"/>
          <w:lang w:bidi="ar-SA"/>
        </w:rPr>
        <w:t xml:space="preserve">الإمامِ أو </w:t>
      </w:r>
    </w:p>
    <w:p>
      <w:pPr>
        <w:pStyle w:val="BookText"/>
        <w:rPr/>
      </w:pPr>
      <w:r>
        <w:rPr>
          <w:rFonts w:ascii="Amiri" w:hAnsi="Amiri" w:eastAsia="Amiri" w:cs="Amiri"/>
          <w:color w:val="111111"/>
          <w:sz w:val="28"/>
          <w:sz w:val="28"/>
          <w:szCs w:val="28"/>
          <w:rtl w:val="true"/>
          <w:lang w:bidi="ar-SA"/>
        </w:rPr>
        <w:t>السَّهوُ</w:t>
      </w:r>
      <w:r>
        <w:rPr>
          <w:rStyle w:val="FootnoteAnchor"/>
          <w:rtl w:val="true"/>
        </w:rPr>
        <w:footnoteReference w:id="1294"/>
      </w:r>
      <w:r>
        <w:rPr>
          <w:rFonts w:ascii="Amiri" w:hAnsi="Amiri" w:eastAsia="Amiri" w:cs="Amiri"/>
          <w:color w:val="111111"/>
          <w:sz w:val="28"/>
          <w:sz w:val="28"/>
          <w:szCs w:val="28"/>
          <w:rtl w:val="true"/>
          <w:lang w:bidi="ar-SA"/>
        </w:rPr>
        <w:t>عنه، جازَ عَلَيهم و علىٰ جَماعةِ المُهاجِرينَ‌</w:t>
      </w:r>
      <w:r>
        <w:rPr>
          <w:rStyle w:val="FootnoteAnchor"/>
          <w:rtl w:val="true"/>
        </w:rPr>
        <w:footnoteReference w:id="1295"/>
      </w:r>
      <w:r>
        <w:rPr>
          <w:rFonts w:ascii="Amiri" w:hAnsi="Amiri" w:eastAsia="Amiri" w:cs="Amiri"/>
          <w:color w:val="111111"/>
          <w:sz w:val="28"/>
          <w:sz w:val="28"/>
          <w:szCs w:val="28"/>
          <w:rtl w:val="true"/>
          <w:lang w:bidi="ar-SA"/>
        </w:rPr>
        <w:t>جَحدُ النَّصِّ‌</w:t>
      </w:r>
      <w:r>
        <w:rPr>
          <w:rStyle w:val="FootnoteAnchor"/>
          <w:rtl w:val="true"/>
        </w:rPr>
        <w:footnoteReference w:id="1296"/>
      </w:r>
      <w:r>
        <w:rPr>
          <w:rFonts w:ascii="Amiri" w:hAnsi="Amiri" w:eastAsia="Amiri" w:cs="Amiri"/>
          <w:color w:val="111111"/>
          <w:sz w:val="28"/>
          <w:sz w:val="28"/>
          <w:szCs w:val="28"/>
          <w:rtl w:val="true"/>
          <w:lang w:bidi="ar-SA"/>
        </w:rPr>
        <w:t xml:space="preserve">علىٰ أميرِ المؤمنينَ عليه السلامُ علَى الوجهِ الذي تَذهَبُ </w:t>
      </w:r>
      <w:r>
        <w:rPr>
          <w:rStyle w:val="FootnoteAnchor"/>
          <w:rtl w:val="true"/>
        </w:rPr>
        <w:footnoteReference w:id="1297"/>
      </w:r>
      <w:r>
        <w:rPr>
          <w:rFonts w:ascii="Amiri" w:hAnsi="Amiri" w:eastAsia="Amiri" w:cs="Amiri"/>
          <w:color w:val="111111"/>
          <w:sz w:val="28"/>
          <w:sz w:val="28"/>
          <w:szCs w:val="28"/>
          <w:rtl w:val="true"/>
          <w:lang w:bidi="ar-SA"/>
        </w:rPr>
        <w:t>إليه الشيعةُ ، أو السَّهوُ</w:t>
      </w:r>
      <w:r>
        <w:rPr>
          <w:rStyle w:val="FootnoteAnchor"/>
          <w:rtl w:val="true"/>
        </w:rPr>
        <w:footnoteReference w:id="1298"/>
      </w:r>
      <w:r>
        <w:rPr>
          <w:rFonts w:ascii="Amiri" w:hAnsi="Amiri" w:eastAsia="Amiri" w:cs="Amiri"/>
          <w:color w:val="111111"/>
          <w:sz w:val="28"/>
          <w:sz w:val="28"/>
          <w:szCs w:val="28"/>
          <w:rtl w:val="true"/>
          <w:lang w:bidi="ar-SA"/>
        </w:rPr>
        <w:t>عنه و النِّسيانُ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يُشنِّعُ </w:t>
      </w:r>
      <w:r>
        <w:rPr>
          <w:rStyle w:val="FootnoteAnchor"/>
          <w:rtl w:val="true"/>
        </w:rPr>
        <w:footnoteReference w:id="1299"/>
      </w:r>
      <w:r>
        <w:rPr>
          <w:rFonts w:ascii="Amiri" w:hAnsi="Amiri" w:eastAsia="Amiri" w:cs="Amiri"/>
          <w:color w:val="111111"/>
          <w:sz w:val="28"/>
          <w:sz w:val="28"/>
          <w:szCs w:val="28"/>
          <w:rtl w:val="true"/>
          <w:lang w:bidi="ar-SA"/>
        </w:rPr>
        <w:t>به الخُصومُ في تجويزِ مِثلِ ما ذَكَرناه عَلَيهم في النَّصِّ لازمٌ لهم في تجويزِ مِثلِه عَلَيهم فيما بَيَّنَه الرسولُ عِندَهم مِن صِفاتِ الإمامِ ، فأعرَضوا عنه و رامُوا العَمَلَ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يُمكِنُ أحَداً مِنهم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لَم تَسمَعْ بَيانَ صِفاتِ الإمامِ </w:t>
      </w:r>
      <w:r>
        <w:rPr>
          <w:rStyle w:val="FootnoteAnchor"/>
          <w:rtl w:val="true"/>
        </w:rPr>
        <w:footnoteReference w:id="1300"/>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الرسولِ ، و لا وَقَفَت عَلَيها مِن جهتِه، فلذلكَ حَسُنَ مِنهم أن يَروموا العَقدَ لأحَدِهم؛ و لهذا لمّا رَوىٰ لهم أبو بَكرٍ الخَبَرَ المُقْتَضيَ لحُصولِ الإمامِ في المُهاجِرينَ أحسَنوا الظَّنَّ به، و صَدَّقوه، و عَدَلوا عمّا كانوا هَمُّوا به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الأنصارَ مِن أهلِ الحَلِّ و العَقدِ و مَن</w:t>
      </w:r>
      <w:r>
        <w:rPr>
          <w:rStyle w:val="FootnoteAnchor"/>
          <w:rtl w:val="true"/>
        </w:rPr>
        <w:footnoteReference w:id="1301"/>
      </w:r>
      <w:r>
        <w:rPr>
          <w:rFonts w:ascii="Amiri" w:hAnsi="Amiri" w:eastAsia="Amiri" w:cs="Amiri"/>
          <w:color w:val="111111"/>
          <w:sz w:val="28"/>
          <w:sz w:val="28"/>
          <w:szCs w:val="28"/>
          <w:rtl w:val="true"/>
          <w:lang w:bidi="ar-SA"/>
        </w:rPr>
        <w:t xml:space="preserve">كانَ قد كُلِّفَ اختيارَ الإمامِ و العَقدَ له عندَ خُصومِنا، و لَيسَ يَجوزُ أن يُكلِّفَهم الرسولُ اختيارَ مَن لا يوقِفُهم علىٰ صفتِه؛ </w:t>
      </w:r>
    </w:p>
    <w:p>
      <w:pPr>
        <w:pStyle w:val="BookText"/>
        <w:rPr/>
      </w:pPr>
      <w:r>
        <w:rPr>
          <w:rFonts w:ascii="Amiri" w:hAnsi="Amiri" w:eastAsia="Amiri" w:cs="Amiri"/>
          <w:color w:val="111111"/>
          <w:sz w:val="28"/>
          <w:sz w:val="28"/>
          <w:szCs w:val="28"/>
          <w:rtl w:val="true"/>
          <w:lang w:bidi="ar-SA"/>
        </w:rPr>
        <w:t>لأنّه إن جازَ ذلكَ في الأنصارِ، جازَ فيها و في المُهاجِرينَ‌</w:t>
      </w:r>
      <w:r>
        <w:rPr>
          <w:rStyle w:val="FootnoteAnchor"/>
          <w:rtl w:val="true"/>
        </w:rPr>
        <w:footnoteReference w:id="1302"/>
      </w:r>
      <w:r>
        <w:rPr>
          <w:rFonts w:ascii="Amiri" w:hAnsi="Amiri" w:eastAsia="Amiri" w:cs="Amiri"/>
          <w:color w:val="111111"/>
          <w:sz w:val="28"/>
          <w:sz w:val="28"/>
          <w:szCs w:val="28"/>
          <w:rtl w:val="true"/>
          <w:lang w:bidi="ar-SA"/>
        </w:rPr>
        <w:t>، و بَطَلَ ما عَوَّلَ عليه صاحبُ الكتابِ و أحوَجَه إلىٰ هذا الكلامِ الذي نَحنُ في نَقضِه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يَنسىٰ‌</w:t>
      </w:r>
      <w:r>
        <w:rPr>
          <w:rStyle w:val="FootnoteAnchor"/>
          <w:rtl w:val="true"/>
        </w:rPr>
        <w:footnoteReference w:id="1303"/>
      </w:r>
      <w:r>
        <w:rPr>
          <w:rFonts w:ascii="Amiri" w:hAnsi="Amiri" w:eastAsia="Amiri" w:cs="Amiri"/>
          <w:color w:val="111111"/>
          <w:sz w:val="28"/>
          <w:sz w:val="28"/>
          <w:szCs w:val="28"/>
          <w:rtl w:val="true"/>
          <w:lang w:bidi="ar-SA"/>
        </w:rPr>
        <w:t>خُصومُنا في هذا المَوضِعِ ما لا يَزالونَ يَقولونَه لنا</w:t>
      </w:r>
      <w:r>
        <w:rPr>
          <w:rStyle w:val="FootnoteAnchor"/>
          <w:rtl w:val="true"/>
        </w:rPr>
        <w:footnoteReference w:id="1304"/>
      </w:r>
      <w:r>
        <w:rPr>
          <w:rFonts w:ascii="Amiri" w:hAnsi="Amiri" w:eastAsia="Amiri" w:cs="Amiri"/>
          <w:color w:val="111111"/>
          <w:sz w:val="28"/>
          <w:sz w:val="28"/>
          <w:szCs w:val="28"/>
          <w:rtl w:val="true"/>
          <w:lang w:bidi="ar-SA"/>
        </w:rPr>
        <w:t>و يَعتَمِدونَه في تقبيحِ قَولِنا و التشنيعِ علىٰ مَذهَبِنا مِن تعظيمِهم لأمرِ الإمامةِ، و تَفخيمِهم لشأنِ النَّصِّ عَلَيها، و أنّ النُّصوصَ فيها يَجِبُ أن تَكونَ أظهَرَ و أشهَرَ</w:t>
      </w:r>
      <w:r>
        <w:rPr>
          <w:rStyle w:val="FootnoteAnchor"/>
          <w:rtl w:val="true"/>
        </w:rPr>
        <w:footnoteReference w:id="1305"/>
      </w:r>
      <w:r>
        <w:rPr>
          <w:rFonts w:ascii="Amiri" w:hAnsi="Amiri" w:eastAsia="Amiri" w:cs="Amiri"/>
          <w:color w:val="111111"/>
          <w:sz w:val="28"/>
          <w:sz w:val="28"/>
          <w:szCs w:val="28"/>
          <w:rtl w:val="true"/>
          <w:lang w:bidi="ar-SA"/>
        </w:rPr>
        <w:t>مِن النُّصوصِ علىٰ سائرِ الفَرائضِ و العباداتِ؛ لأنّها أصلُ الدِّينِ و قُطبُه و المَنزِلةُ التاليةُ‌</w:t>
      </w:r>
      <w:r>
        <w:rPr>
          <w:rStyle w:val="FootnoteAnchor"/>
          <w:rtl w:val="true"/>
        </w:rPr>
        <w:footnoteReference w:id="1306"/>
      </w:r>
      <w:r>
        <w:rPr>
          <w:rFonts w:ascii="Amiri" w:hAnsi="Amiri" w:eastAsia="Amiri" w:cs="Amiri"/>
          <w:color w:val="111111"/>
          <w:sz w:val="28"/>
          <w:sz w:val="28"/>
          <w:szCs w:val="28"/>
          <w:rtl w:val="true"/>
          <w:lang w:bidi="ar-SA"/>
        </w:rPr>
        <w:t>للنُّبوّةِ، و لأنّ العبادةَ‌</w:t>
      </w:r>
      <w:r>
        <w:rPr>
          <w:rStyle w:val="FootnoteAnchor"/>
          <w:rtl w:val="true"/>
        </w:rPr>
        <w:footnoteReference w:id="1307"/>
      </w:r>
      <w:r>
        <w:rPr>
          <w:rFonts w:ascii="Amiri" w:hAnsi="Amiri" w:eastAsia="Amiri" w:cs="Amiri"/>
          <w:color w:val="111111"/>
          <w:sz w:val="28"/>
          <w:sz w:val="28"/>
          <w:szCs w:val="28"/>
          <w:rtl w:val="true"/>
          <w:lang w:bidi="ar-SA"/>
        </w:rPr>
        <w:t>بمَعرفتِها عامّةٌ و بكثيرٍ مِن</w:t>
      </w:r>
      <w:r>
        <w:rPr>
          <w:rStyle w:val="FootnoteAnchor"/>
          <w:rtl w:val="true"/>
        </w:rPr>
        <w:footnoteReference w:id="1308"/>
      </w:r>
      <w:r>
        <w:rPr>
          <w:rFonts w:ascii="Amiri" w:hAnsi="Amiri" w:eastAsia="Amiri" w:cs="Amiri"/>
          <w:color w:val="111111"/>
          <w:sz w:val="28"/>
          <w:sz w:val="28"/>
          <w:szCs w:val="28"/>
          <w:rtl w:val="true"/>
          <w:lang w:bidi="ar-SA"/>
        </w:rPr>
        <w:t>العِباداتِ خاصّةٌ، إلىٰ غيرِ ما ذَكَرناه ممّا يُطنِبونَ‌</w:t>
      </w:r>
      <w:r>
        <w:rPr>
          <w:rStyle w:val="FootnoteAnchor"/>
          <w:rtl w:val="true"/>
        </w:rPr>
        <w:footnoteReference w:id="1309"/>
      </w:r>
      <w:r>
        <w:rPr>
          <w:rFonts w:ascii="Amiri" w:hAnsi="Amiri" w:eastAsia="Amiri" w:cs="Amiri"/>
          <w:color w:val="111111"/>
          <w:sz w:val="28"/>
          <w:sz w:val="28"/>
          <w:szCs w:val="28"/>
          <w:rtl w:val="true"/>
          <w:lang w:bidi="ar-SA"/>
        </w:rPr>
        <w:t>فيه و يُسهِبونَ‌</w:t>
      </w:r>
      <w:r>
        <w:rPr>
          <w:rStyle w:val="FootnoteAnchor"/>
          <w:rtl w:val="true"/>
        </w:rPr>
        <w:footnoteReference w:id="1310"/>
      </w:r>
      <w:r>
        <w:rPr>
          <w:rFonts w:ascii="Amiri" w:hAnsi="Amiri" w:eastAsia="Amiri" w:cs="Amiri"/>
          <w:color w:val="111111"/>
          <w:sz w:val="28"/>
          <w:sz w:val="28"/>
          <w:szCs w:val="28"/>
          <w:rtl w:val="true"/>
          <w:lang w:bidi="ar-SA"/>
        </w:rPr>
        <w:t>، فيوجِبونَ به عَلَينا أن يَكونَ الخَلقُ مُشترِكينَ في مَعرفةِ النَّصِّ الواردِ فيها، و أن يَكونَ العِلمُ بها عامّاً غيرَ خاصٍّ ، و شائعاً</w:t>
      </w:r>
      <w:r>
        <w:rPr>
          <w:rStyle w:val="FootnoteAnchor"/>
          <w:rtl w:val="true"/>
        </w:rPr>
        <w:footnoteReference w:id="1311"/>
      </w:r>
      <w:r>
        <w:rPr>
          <w:rFonts w:ascii="Amiri" w:hAnsi="Amiri" w:eastAsia="Amiri" w:cs="Amiri"/>
          <w:color w:val="111111"/>
          <w:sz w:val="28"/>
          <w:sz w:val="28"/>
          <w:szCs w:val="28"/>
          <w:rtl w:val="true"/>
          <w:lang w:bidi="ar-SA"/>
        </w:rPr>
        <w:t xml:space="preserve">غيرَ خافٍ </w:t>
      </w:r>
      <w:r>
        <w:rPr>
          <w:rFonts w:eastAsia="Amiri" w:cs="Amiri" w:ascii="Amiri" w:hAnsi="Amiri"/>
          <w:color w:val="111111"/>
          <w:sz w:val="28"/>
          <w:szCs w:val="28"/>
          <w:rtl w:val="true"/>
          <w:lang w:bidi="ar-SA"/>
        </w:rPr>
        <w:t>.</w:t>
      </w:r>
      <w:r>
        <w:rPr>
          <w:rStyle w:val="FootnoteAnchor"/>
          <w:rtl w:val="true"/>
        </w:rPr>
        <w:footnoteReference w:id="1312"/>
      </w:r>
      <w:bookmarkStart w:id="499" w:name="pg20044_770936"/>
    </w:p>
    <w:p>
      <w:pPr>
        <w:pStyle w:val="BookText"/>
        <w:rPr/>
      </w:pPr>
      <w:bookmarkEnd w:id="499"/>
      <w:r>
        <w:rPr>
          <w:rFonts w:ascii="Amiri" w:hAnsi="Amiri" w:eastAsia="Amiri" w:cs="Amiri"/>
          <w:color w:val="111111"/>
          <w:sz w:val="28"/>
          <w:sz w:val="28"/>
          <w:szCs w:val="28"/>
          <w:rtl w:val="true"/>
          <w:lang w:bidi="ar-SA"/>
        </w:rPr>
        <w:t>و ما ذَكَرَه</w:t>
      </w:r>
      <w:r>
        <w:rPr>
          <w:rStyle w:val="FootnoteAnchor"/>
          <w:rtl w:val="true"/>
        </w:rPr>
        <w:footnoteReference w:id="1313"/>
      </w:r>
      <w:r>
        <w:rPr>
          <w:rFonts w:ascii="Amiri" w:hAnsi="Amiri" w:eastAsia="Amiri" w:cs="Amiri"/>
          <w:color w:val="111111"/>
          <w:sz w:val="28"/>
          <w:sz w:val="28"/>
          <w:szCs w:val="28"/>
          <w:rtl w:val="true"/>
          <w:lang w:bidi="ar-SA"/>
        </w:rPr>
        <w:t>مِن النَّصِّ علىٰ صفاتِ الإمامِ و ما يَتَولّاه و المُختارينَ له و ما هذه سَبيلُه في وجوبِ الظُّهورِ و الاشتِراكِ في المعرفةِ به، لا يَجوزُ أن يَخفىٰ علَى الأنصارِ و لا يَتَّصلَ بِهم، حتّىٰ يَسمَعوه مِن واحدٍ في مَجلِسِ الخُصومةِ و النِّزاعِ،</w:t>
      </w:r>
    </w:p>
    <w:p>
      <w:pPr>
        <w:pStyle w:val="BookText"/>
        <w:rPr/>
      </w:pPr>
      <w:r>
        <w:rPr>
          <w:rFonts w:ascii="Amiri" w:hAnsi="Amiri" w:eastAsia="Amiri" w:cs="Amiri"/>
          <w:color w:val="111111"/>
          <w:sz w:val="28"/>
          <w:sz w:val="28"/>
          <w:szCs w:val="28"/>
          <w:rtl w:val="true"/>
          <w:lang w:bidi="ar-SA"/>
        </w:rPr>
        <w:t>فيُقلِّدوه و يُحسِنوا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جَوَّزَ خُصومُنا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جَميعِ ما حَكَيناه عنهم مِن وَصفِهم للنُّصوصِ الواردةِ في الإمامةِ ممّا</w:t>
      </w:r>
      <w:r>
        <w:rPr>
          <w:rStyle w:val="FootnoteAnchor"/>
          <w:rtl w:val="true"/>
        </w:rPr>
        <w:footnoteReference w:id="1314"/>
      </w:r>
      <w:r>
        <w:rPr>
          <w:rFonts w:ascii="Amiri" w:hAnsi="Amiri" w:eastAsia="Amiri" w:cs="Amiri"/>
          <w:color w:val="111111"/>
          <w:sz w:val="28"/>
          <w:sz w:val="28"/>
          <w:szCs w:val="28"/>
          <w:rtl w:val="true"/>
          <w:lang w:bidi="ar-SA"/>
        </w:rPr>
        <w:t xml:space="preserve">يَقتَضي ظُهورَها و شِياعَها و وقوفَ الكُلِّ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الأنصارُ لَم يَقِفوا</w:t>
      </w:r>
      <w:r>
        <w:rPr>
          <w:rStyle w:val="FootnoteAnchor"/>
          <w:rtl w:val="true"/>
        </w:rPr>
        <w:footnoteReference w:id="1315"/>
      </w:r>
      <w:r>
        <w:rPr>
          <w:rFonts w:ascii="Amiri" w:hAnsi="Amiri" w:eastAsia="Amiri" w:cs="Amiri"/>
          <w:color w:val="111111"/>
          <w:sz w:val="28"/>
          <w:sz w:val="28"/>
          <w:szCs w:val="28"/>
          <w:rtl w:val="true"/>
          <w:lang w:bidi="ar-SA"/>
        </w:rPr>
        <w:t xml:space="preserve">علىٰ نَصِّ النبيِّ صلَّى اللّٰهُ عليه و آلِه و سَلَّمَ علىٰ صفةِ </w:t>
      </w:r>
      <w:r>
        <w:rPr>
          <w:rStyle w:val="FootnoteAnchor"/>
          <w:rtl w:val="true"/>
        </w:rPr>
        <w:footnoteReference w:id="1316"/>
      </w:r>
      <w:r>
        <w:rPr>
          <w:rFonts w:ascii="Amiri" w:hAnsi="Amiri" w:eastAsia="Amiri" w:cs="Amiri"/>
          <w:color w:val="111111"/>
          <w:sz w:val="28"/>
          <w:sz w:val="28"/>
          <w:szCs w:val="28"/>
          <w:rtl w:val="true"/>
          <w:lang w:bidi="ar-SA"/>
        </w:rPr>
        <w:t xml:space="preserve">الإمامِ ، جازَ أيضاً فيهم و في أمثالِهم أن لا يَقِفوا علىٰ نَصِّه علىٰ أميرِ المؤمنينَ عليه السلامُ و إيجابِه إمامتَه بَعدَه؛ و لا شَيءَ يُتَعاطىٰ </w:t>
      </w:r>
      <w:r>
        <w:rPr>
          <w:rStyle w:val="FootnoteAnchor"/>
          <w:rtl w:val="true"/>
        </w:rPr>
        <w:footnoteReference w:id="1317"/>
      </w:r>
      <w:r>
        <w:rPr>
          <w:rFonts w:ascii="Amiri" w:hAnsi="Amiri" w:eastAsia="Amiri" w:cs="Amiri"/>
          <w:color w:val="111111"/>
          <w:sz w:val="28"/>
          <w:sz w:val="28"/>
          <w:szCs w:val="28"/>
          <w:rtl w:val="true"/>
          <w:lang w:bidi="ar-SA"/>
        </w:rPr>
        <w:t xml:space="preserve">في إبطالِ ما نَذهَبُ </w:t>
      </w:r>
      <w:r>
        <w:rPr>
          <w:rStyle w:val="FootnoteAnchor"/>
          <w:rtl w:val="true"/>
        </w:rPr>
        <w:footnoteReference w:id="1318"/>
      </w:r>
      <w:r>
        <w:rPr>
          <w:rFonts w:ascii="Amiri" w:hAnsi="Amiri" w:eastAsia="Amiri" w:cs="Amiri"/>
          <w:color w:val="111111"/>
          <w:sz w:val="28"/>
          <w:sz w:val="28"/>
          <w:szCs w:val="28"/>
          <w:rtl w:val="true"/>
          <w:lang w:bidi="ar-SA"/>
        </w:rPr>
        <w:t>إليه في النَّصِّ إلّاو يُمكِنُ إبطالُ ما ادَّعاه صاحبُ الكتابِ مِن النَّصِّ علىٰ صفةِ الإمامِ بمِثلِه</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28626_2320776876"/>
      <w:bookmarkStart w:id="501" w:name="_Toc178"/>
      <w:bookmarkEnd w:id="500"/>
      <w:r>
        <w:rPr>
          <w:rtl w:val="true"/>
        </w:rPr>
        <w:t>عدم دلالة القرآن علىٰ صفات الإمام و ما يتولّاه</w:t>
      </w:r>
      <w:bookmarkEnd w:id="501"/>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الإجماعُ و الكتابُ قد أغنَيا</w:t>
      </w:r>
      <w:r>
        <w:rPr>
          <w:rStyle w:val="FootnoteAnchor"/>
          <w:rtl w:val="true"/>
        </w:rPr>
        <w:footnoteReference w:id="131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لأنّ ما ادَّعاه في الإجماعِ مفهومٌ‌</w:t>
      </w:r>
      <w:r>
        <w:rPr>
          <w:rStyle w:val="FootnoteAnchor"/>
          <w:rtl w:val="true"/>
        </w:rPr>
        <w:footnoteReference w:id="1320"/>
      </w:r>
      <w:r>
        <w:rPr>
          <w:rFonts w:ascii="Amiri" w:hAnsi="Amiri" w:eastAsia="Amiri" w:cs="Amiri"/>
          <w:color w:val="111111"/>
          <w:sz w:val="28"/>
          <w:sz w:val="28"/>
          <w:szCs w:val="28"/>
          <w:rtl w:val="true"/>
          <w:lang w:bidi="ar-SA"/>
        </w:rPr>
        <w:t xml:space="preserve">و إن كانَ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يُعلَمُ فيه شَيءٌ يَدُلُّ علىٰ </w:t>
      </w:r>
      <w:bookmarkStart w:id="502" w:name="pg20044_770937"/>
    </w:p>
    <w:p>
      <w:pPr>
        <w:pStyle w:val="BookText"/>
        <w:rPr/>
      </w:pPr>
      <w:bookmarkEnd w:id="502"/>
      <w:r>
        <w:rPr>
          <w:rFonts w:ascii="Amiri" w:hAnsi="Amiri" w:eastAsia="Amiri" w:cs="Amiri"/>
          <w:color w:val="111111"/>
          <w:sz w:val="28"/>
          <w:sz w:val="28"/>
          <w:szCs w:val="28"/>
          <w:rtl w:val="true"/>
          <w:lang w:bidi="ar-SA"/>
        </w:rPr>
        <w:t>صفاتِ الإمامِ و ما يَقومُ به و يَتَولّاه، و قد كانَ يَجِبُ أن يُشيرَ إلىٰ ذلكَ لنُشارِكَه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في الكتابِ ما ادّعاه، فما الذي أحوَجَ إلىٰ بيانِ الرسولِ بالنَّصِّ القاطعِ لذلكَ؟ و أيُّ شَيءٍ آكَدُ ممّا يَدُلُّ الكتابُ عليه و يُرشِدُ إليه؟</w:t>
      </w:r>
    </w:p>
    <w:p>
      <w:pPr>
        <w:pStyle w:val="BookText"/>
        <w:rPr/>
      </w:pPr>
      <w:r>
        <w:rPr>
          <w:rFonts w:ascii="Amiri" w:hAnsi="Amiri" w:eastAsia="Amiri" w:cs="Amiri"/>
          <w:color w:val="111111"/>
          <w:sz w:val="28"/>
          <w:sz w:val="28"/>
          <w:szCs w:val="28"/>
          <w:rtl w:val="true"/>
          <w:lang w:bidi="ar-SA"/>
        </w:rPr>
        <w:t>و لَئن جازَ أيضاً أن لا يُنقَلَ النَّصُّ الذي يَدُلُّ عليه لأنّ الكتابَ قد أغنىٰ عنه، جازَ لخُصومِه مِن أهلِ الإمامةِ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 سَلَّمَ قد نَصَّ علىٰ أميرِ المؤمنينَ عليه السلامُ بالإمامةِ، و أَوجَبَ له فَرضَ الطاعةِ بَعدَه، و لَم يَجِبْ نَقلُ ذلكَ لأنّ الكتابَ قد أغنىٰ عنه؛ فإنّ فيه ما يَدُلُّ علىٰ إمامتِه عليه السلامُ،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إلىٰ غيرِ ما تَلَوناه ممّا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فيَكونوا بهذا القولِ أعذَرَ مِن صاحبِ الكتابِ ؛ لأنّهم أحالُوا علىٰ مَواضِعَ</w:t>
      </w:r>
    </w:p>
    <w:p>
      <w:pPr>
        <w:pStyle w:val="BookText"/>
        <w:rPr/>
      </w:pPr>
      <w:r>
        <w:rPr>
          <w:rFonts w:ascii="Amiri" w:hAnsi="Amiri" w:eastAsia="Amiri" w:cs="Amiri"/>
          <w:color w:val="111111"/>
          <w:sz w:val="28"/>
          <w:sz w:val="28"/>
          <w:szCs w:val="28"/>
          <w:rtl w:val="true"/>
          <w:lang w:bidi="ar-SA"/>
        </w:rPr>
        <w:t>مِن الكتابِ تَدُلُّ علىٰ مَذهَبِهم، و هي و إن لَم تَدُلَّ عندَ صاحبِ الكتابِ ، ففيها شُبهةٌ يَدخُلُ مِثلُها علَى العقلاءِ ، و هو لَم يُشِرْ لنا إلىٰ ما ادَّعاه أنّه يَدُلُّ مِن الكتابِ علىٰ صفاتِ الإمامِ و ما يَتَولّاه، و لا إلىٰ ما يُمكِنُ أن يَكونَ شُبهةً لِمَن ذَهَبَ إلىٰ مَذهَبِه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828628_2320776876"/>
      <w:bookmarkStart w:id="504" w:name="_Toc179"/>
      <w:bookmarkEnd w:id="503"/>
      <w:r>
        <w:rPr>
          <w:rtl w:val="true"/>
        </w:rPr>
        <w:t>بيان أنّ أُصول الصلاة و الزكاة ثابتة بالاضطرار، لا بالأخبار</w:t>
      </w:r>
      <w:bookmarkEnd w:id="50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مضىٰ في أثناءِ كلامِه مِن أنّ الصلاةَ و الزكاةَ لَم يُنقَلْ في أُصولِهما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الذي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 لأنّا لا نَذهَبُ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أُصولِ الصلاةِ و الزكاةِ أخباراً ظَهَرَت في الأصلِ و استَفاضَت و لَم يَجِبْ نَقلُها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مِن الإجماعِ ؛ لأنّه غيرُ مُمتَنِعٍ عندَنا أن يَكونَ النبيُّ صَلَّى اللّٰهُ عليه و آلِه لَم يَرِدْ مِن جهتِه في الصلاةِ و الزكاةِ إلّاما قد نُقِلَ و اتَّصَلَ بنا مِن جهةِ الآحادِ، و لَيسَ المُعوَّلُ </w:t>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1322"/>
      </w:r>
      <w:r>
        <w:rPr>
          <w:rFonts w:ascii="Amiri" w:hAnsi="Amiri" w:eastAsia="Amiri" w:cs="Amiri"/>
          <w:color w:val="111111"/>
          <w:sz w:val="28"/>
          <w:sz w:val="28"/>
          <w:szCs w:val="28"/>
          <w:rtl w:val="true"/>
          <w:lang w:bidi="ar-SA"/>
        </w:rPr>
        <w:t>أمرِ الصلاةِ و ما أشبَهَها علىٰ أخبارٍ مخصوصةٍ تَرِدُ بصِيَغٍ مُتّفِقةٍ و يَتَواتَرُ النَّقلُ بها</w:t>
      </w:r>
      <w:r>
        <w:rPr>
          <w:rStyle w:val="FootnoteAnchor"/>
          <w:rtl w:val="true"/>
        </w:rPr>
        <w:footnoteReference w:id="1323"/>
      </w:r>
      <w:r>
        <w:rPr>
          <w:rFonts w:ascii="Amiri" w:hAnsi="Amiri" w:eastAsia="Amiri" w:cs="Amiri"/>
          <w:color w:val="111111"/>
          <w:sz w:val="28"/>
          <w:sz w:val="28"/>
          <w:szCs w:val="28"/>
          <w:rtl w:val="true"/>
          <w:lang w:bidi="ar-SA"/>
        </w:rPr>
        <w:t>، بَل المُعوَّلُ عندَنا فيها</w:t>
      </w:r>
      <w:r>
        <w:rPr>
          <w:rStyle w:val="FootnoteAnchor"/>
          <w:rtl w:val="true"/>
        </w:rPr>
        <w:footnoteReference w:id="1324"/>
      </w:r>
      <w:r>
        <w:rPr>
          <w:rFonts w:ascii="Amiri" w:hAnsi="Amiri" w:eastAsia="Amiri" w:cs="Amiri"/>
          <w:color w:val="111111"/>
          <w:sz w:val="28"/>
          <w:sz w:val="28"/>
          <w:szCs w:val="28"/>
          <w:rtl w:val="true"/>
          <w:lang w:bidi="ar-SA"/>
        </w:rPr>
        <w:t>علَى اضطرارِ الرسولِ عليه السلامُ مَن كانَ في عَصرِه</w:t>
      </w:r>
      <w:r>
        <w:rPr>
          <w:rStyle w:val="FootnoteAnchor"/>
          <w:rtl w:val="true"/>
        </w:rPr>
        <w:footnoteReference w:id="1325"/>
      </w:r>
      <w:r>
        <w:rPr>
          <w:rFonts w:ascii="Amiri" w:hAnsi="Amiri" w:eastAsia="Amiri" w:cs="Amiri"/>
          <w:color w:val="111111"/>
          <w:sz w:val="28"/>
          <w:sz w:val="28"/>
          <w:szCs w:val="28"/>
          <w:rtl w:val="true"/>
          <w:lang w:bidi="ar-SA"/>
        </w:rPr>
        <w:t>مِن أسلافِنا إلىٰ وجوبِها، و عِلمِهم مِن قَصدِه ضَرورَة إيجابِها علَى الوجهِ الذي وَجَبَت عليه، و اضطرارِ مَن كانَ في ذلكَ العَصرِ مَن وَلِيَهم مِن الأَخلافِ إلىٰ مِثلِ ما اضطُرّوا إليه، ثُمّ علىٰ هذا التدريجِ حتّىٰ يَتَّصِلَ الأمرُ بنا، فنَكونَ مُضطَرّينَ إلىٰ أنّ مَن شاهَدناه مِن أسلافِنا ادَّعىٰ أنّ سَلَفَه اضطَرَّه إلىٰ أنّ الرسولَ أَوجَبَ هذه العباداتِ، و أَفهَمَ حاضِريهِ مِن قَصدِه ضَرورةَ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الوجهِ يُعْلَمُ وجوبُ‌</w:t>
      </w:r>
      <w:r>
        <w:rPr>
          <w:rStyle w:val="FootnoteAnchor"/>
          <w:rtl w:val="true"/>
        </w:rPr>
        <w:footnoteReference w:id="1326"/>
      </w:r>
      <w:r>
        <w:rPr>
          <w:rFonts w:ascii="Amiri" w:hAnsi="Amiri" w:eastAsia="Amiri" w:cs="Amiri"/>
          <w:color w:val="111111"/>
          <w:sz w:val="28"/>
          <w:sz w:val="28"/>
          <w:szCs w:val="28"/>
          <w:rtl w:val="true"/>
          <w:lang w:bidi="ar-SA"/>
        </w:rPr>
        <w:t>هذه العباداتِ، و يُستَغنىٰ عن أخبارٍ مُتَواتِرةٍ لها ألفاظٌ مخصوصةٌ و صِيَغٌ معروفةٌ، كما يُستَغنىٰ بمِثلِ هذه الطريقةِ في العِلمِ بأحوالِ النبيِّ صَلَّى اللّٰهُ عليه و آلِه الظاهرةِ؛ كتَحَدّيهِ بالقُرآنِ، و هِجرَتِه، و حَجَّتِه، و غَزَواتِه</w:t>
      </w:r>
      <w:r>
        <w:rPr>
          <w:rStyle w:val="FootnoteAnchor"/>
          <w:rtl w:val="true"/>
        </w:rPr>
        <w:footnoteReference w:id="1327"/>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بمِثلِها أيضاً يُعلَمُ‌</w:t>
      </w:r>
      <w:r>
        <w:rPr>
          <w:rStyle w:val="FootnoteAnchor"/>
          <w:rtl w:val="true"/>
        </w:rPr>
        <w:footnoteReference w:id="1328"/>
      </w:r>
      <w:r>
        <w:rPr>
          <w:rFonts w:ascii="Amiri" w:hAnsi="Amiri" w:eastAsia="Amiri" w:cs="Amiri"/>
          <w:color w:val="111111"/>
          <w:sz w:val="28"/>
          <w:sz w:val="28"/>
          <w:szCs w:val="28"/>
          <w:rtl w:val="true"/>
          <w:lang w:bidi="ar-SA"/>
        </w:rPr>
        <w:t xml:space="preserve">أحوالُ المُلوكِ و البُلدانِ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فشَتّانَ </w:t>
      </w:r>
      <w:r>
        <w:rPr>
          <w:rStyle w:val="FootnoteAnchor"/>
          <w:rtl w:val="true"/>
        </w:rPr>
        <w:footnoteReference w:id="1329"/>
      </w:r>
      <w:r>
        <w:rPr>
          <w:rFonts w:ascii="Amiri" w:hAnsi="Amiri" w:eastAsia="Amiri" w:cs="Amiri"/>
          <w:color w:val="111111"/>
          <w:sz w:val="28"/>
          <w:sz w:val="28"/>
          <w:szCs w:val="28"/>
          <w:rtl w:val="true"/>
          <w:lang w:bidi="ar-SA"/>
        </w:rPr>
        <w:t xml:space="preserve">بَينَ قولِنا هذا الذي حَكَيناه و قولِ صاحبِ الكتابِ أنّ هُناكَ نَصّاً قاطعاً سُمِعَ مِن النبيِّ صَلَّى اللّٰهُ عليه و آلِه و سَلَّمَ و عُرِفَ ، ثُمّ لَم يُنقَلْ </w:t>
      </w:r>
      <w:r>
        <w:rPr>
          <w:rFonts w:eastAsia="Amiri" w:cs="Amiri" w:ascii="Amiri" w:hAnsi="Amiri"/>
          <w:color w:val="111111"/>
          <w:sz w:val="28"/>
          <w:szCs w:val="28"/>
          <w:rtl w:val="true"/>
          <w:lang w:bidi="ar-SA"/>
        </w:rPr>
        <w:t xml:space="preserve">. </w:t>
      </w:r>
      <w:bookmarkStart w:id="505" w:name="pg20044_770939"/>
    </w:p>
    <w:p>
      <w:pPr>
        <w:pStyle w:val="BookText"/>
        <w:rPr/>
      </w:pPr>
      <w:bookmarkEnd w:id="505"/>
      <w:r>
        <w:rPr>
          <w:rFonts w:ascii="Amiri" w:hAnsi="Amiri" w:eastAsia="Amiri" w:cs="Amiri"/>
          <w:color w:val="111111"/>
          <w:sz w:val="28"/>
          <w:sz w:val="28"/>
          <w:szCs w:val="28"/>
          <w:rtl w:val="true"/>
          <w:lang w:bidi="ar-SA"/>
        </w:rPr>
        <w:t>و لَولا أنّ المَرجِعَ في مَعرفةِ هذه الأُمورِ إلىٰ ما اعتَبَرناه دونَ الإجماعِ، لَوَجَبَ‌</w:t>
      </w:r>
      <w:r>
        <w:rPr>
          <w:rStyle w:val="FootnoteAnchor"/>
          <w:rtl w:val="true"/>
        </w:rPr>
        <w:footnoteReference w:id="1330"/>
      </w:r>
      <w:r>
        <w:rPr>
          <w:rFonts w:ascii="Amiri" w:hAnsi="Amiri" w:eastAsia="Amiri" w:cs="Amiri"/>
          <w:color w:val="111111"/>
          <w:sz w:val="28"/>
          <w:sz w:val="28"/>
          <w:szCs w:val="28"/>
          <w:rtl w:val="true"/>
          <w:lang w:bidi="ar-SA"/>
        </w:rPr>
        <w:t>أن يَكونَ مَن هو غيرُ مُعتَرِفٍ‌</w:t>
      </w:r>
      <w:r>
        <w:rPr>
          <w:rStyle w:val="FootnoteAnchor"/>
          <w:rtl w:val="true"/>
        </w:rPr>
        <w:footnoteReference w:id="1331"/>
      </w:r>
      <w:r>
        <w:rPr>
          <w:rFonts w:ascii="Amiri" w:hAnsi="Amiri" w:eastAsia="Amiri" w:cs="Amiri"/>
          <w:color w:val="111111"/>
          <w:sz w:val="28"/>
          <w:sz w:val="28"/>
          <w:szCs w:val="28"/>
          <w:rtl w:val="true"/>
          <w:lang w:bidi="ar-SA"/>
        </w:rPr>
        <w:t xml:space="preserve">بصِحّةِ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ثُمّ مِن طوائفِ أهلِ المِلَلِ و البَراهِمةِ‌</w:t>
      </w:r>
      <w:r>
        <w:rPr>
          <w:rStyle w:val="FootnoteAnchor"/>
          <w:rtl w:val="true"/>
        </w:rPr>
        <w:footnoteReference w:id="1332"/>
      </w:r>
      <w:r>
        <w:rPr>
          <w:rFonts w:ascii="Amiri" w:hAnsi="Amiri" w:eastAsia="Amiri" w:cs="Amiri"/>
          <w:color w:val="111111"/>
          <w:sz w:val="28"/>
          <w:sz w:val="28"/>
          <w:szCs w:val="28"/>
          <w:rtl w:val="true"/>
          <w:lang w:bidi="ar-SA"/>
        </w:rPr>
        <w:t xml:space="preserve">و المُلحِدينَ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 النبيَّ صلَّى اللّٰهُ عليه و آلِه و سَلَّمَ دَعا إلىٰ صَلَواتٍ مخصوصةٍ و أَوجَبَ زَكَواتٍ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بمعرفةِ‌</w:t>
      </w:r>
      <w:r>
        <w:rPr>
          <w:rStyle w:val="FootnoteAnchor"/>
          <w:rtl w:val="true"/>
        </w:rPr>
        <w:footnoteReference w:id="1333"/>
      </w:r>
      <w:r>
        <w:rPr>
          <w:rFonts w:ascii="Amiri" w:hAnsi="Amiri" w:eastAsia="Amiri" w:cs="Amiri"/>
          <w:color w:val="111111"/>
          <w:sz w:val="28"/>
          <w:sz w:val="28"/>
          <w:szCs w:val="28"/>
          <w:rtl w:val="true"/>
          <w:lang w:bidi="ar-SA"/>
        </w:rPr>
        <w:t xml:space="preserve">مَن عَدَّدْنا بالعباداتِ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صاحبَ الشريعةِ دَعا إليها و كانَ مِن دِينِه اتِّخاذُها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المعرفةَ بها غيرُ موقوفةٍ علَى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يُمكِنُه أن يَدَّعيَ الضرورةَ في صفاتِ الإمامِ و وجوبِ إقامتِه لِما ادَّعَينا نَحنُ مِن ذلكَ في الصَّلَواتِ‌</w:t>
      </w:r>
      <w:r>
        <w:rPr>
          <w:rStyle w:val="FootnoteAnchor"/>
          <w:rtl w:val="true"/>
        </w:rPr>
        <w:footnoteReference w:id="1334"/>
      </w:r>
      <w:r>
        <w:rPr>
          <w:rFonts w:ascii="Amiri" w:hAnsi="Amiri" w:eastAsia="Amiri" w:cs="Amiri"/>
          <w:color w:val="111111"/>
          <w:sz w:val="28"/>
          <w:sz w:val="28"/>
          <w:szCs w:val="28"/>
          <w:rtl w:val="true"/>
          <w:lang w:bidi="ar-SA"/>
        </w:rPr>
        <w:t xml:space="preserve">و ما أشبَهَها؛ لأنّ ثُبوتَ </w:t>
      </w:r>
      <w:r>
        <w:rPr>
          <w:rStyle w:val="FootnoteAnchor"/>
          <w:rtl w:val="true"/>
        </w:rPr>
        <w:footnoteReference w:id="1335"/>
      </w:r>
      <w:r>
        <w:rPr>
          <w:rFonts w:ascii="Amiri" w:hAnsi="Amiri" w:eastAsia="Amiri" w:cs="Amiri"/>
          <w:color w:val="111111"/>
          <w:sz w:val="28"/>
          <w:sz w:val="28"/>
          <w:szCs w:val="28"/>
          <w:rtl w:val="true"/>
          <w:lang w:bidi="ar-SA"/>
        </w:rPr>
        <w:t>الخِلافِ في وجوبِ الإمامةِ و صفاتِ الإمامِ ممّن لا يَجوزُ</w:t>
      </w:r>
      <w:r>
        <w:rPr>
          <w:rStyle w:val="FootnoteAnchor"/>
          <w:rtl w:val="true"/>
        </w:rPr>
        <w:footnoteReference w:id="1336"/>
      </w:r>
      <w:r>
        <w:rPr>
          <w:rFonts w:ascii="Amiri" w:hAnsi="Amiri" w:eastAsia="Amiri" w:cs="Amiri"/>
          <w:color w:val="111111"/>
          <w:sz w:val="28"/>
          <w:sz w:val="28"/>
          <w:szCs w:val="28"/>
          <w:rtl w:val="true"/>
          <w:lang w:bidi="ar-SA"/>
        </w:rPr>
        <w:t xml:space="preserve">عليه دَفعُ الضرورةِ </w:t>
      </w:r>
      <w:r>
        <w:rPr>
          <w:rStyle w:val="FootnoteAnchor"/>
          <w:rtl w:val="true"/>
        </w:rPr>
        <w:footnoteReference w:id="1337"/>
      </w:r>
      <w:r>
        <w:rPr>
          <w:rFonts w:ascii="Amiri" w:hAnsi="Amiri" w:eastAsia="Amiri" w:cs="Amiri"/>
          <w:color w:val="111111"/>
          <w:sz w:val="28"/>
          <w:sz w:val="28"/>
          <w:szCs w:val="28"/>
          <w:rtl w:val="true"/>
          <w:lang w:bidi="ar-SA"/>
        </w:rPr>
        <w:t xml:space="preserve">، يُبطِلُ </w:t>
      </w:r>
      <w:r>
        <w:rPr>
          <w:rStyle w:val="FootnoteAnchor"/>
          <w:rtl w:val="true"/>
        </w:rPr>
        <w:footnoteReference w:id="1338"/>
      </w:r>
      <w:r>
        <w:rPr>
          <w:rFonts w:ascii="Amiri" w:hAnsi="Amiri" w:eastAsia="Amiri" w:cs="Amiri"/>
          <w:color w:val="111111"/>
          <w:sz w:val="28"/>
          <w:sz w:val="28"/>
          <w:szCs w:val="28"/>
          <w:rtl w:val="true"/>
          <w:lang w:bidi="ar-SA"/>
        </w:rPr>
        <w:t xml:space="preserve">أن يَكونَ العِلمُ به ضَرورةً </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828630_2320776876"/>
      <w:bookmarkStart w:id="507" w:name="_Toc180"/>
      <w:bookmarkEnd w:id="506"/>
      <w:r>
        <w:rPr>
          <w:rtl w:val="true"/>
        </w:rPr>
        <w:t>تناقض كلام صاحب الكتاب</w:t>
      </w:r>
      <w:bookmarkEnd w:id="50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أَورَدتَه مِن الكلامِ في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أكبَرَ</w:t>
      </w:r>
      <w:r>
        <w:rPr>
          <w:rStyle w:val="FootnoteAnchor"/>
          <w:rtl w:val="true"/>
        </w:rPr>
        <w:footnoteReference w:id="1339"/>
      </w:r>
      <w:r>
        <w:rPr>
          <w:rFonts w:ascii="Amiri" w:hAnsi="Amiri" w:eastAsia="Amiri" w:cs="Amiri"/>
          <w:color w:val="111111"/>
          <w:sz w:val="28"/>
          <w:sz w:val="28"/>
          <w:szCs w:val="28"/>
          <w:rtl w:val="true"/>
          <w:lang w:bidi="ar-SA"/>
        </w:rPr>
        <w:t>و أقبَحَ ممّا يَعيبُه أصحابُكَ عَلَينا و يُعيِّرونا باعتقادِه و انتِحالِه</w:t>
      </w:r>
      <w:r>
        <w:rPr>
          <w:rStyle w:val="FootnoteAnchor"/>
          <w:rtl w:val="true"/>
        </w:rPr>
        <w:footnoteReference w:id="1340"/>
      </w:r>
      <w:r>
        <w:rPr>
          <w:rFonts w:ascii="Amiri" w:hAnsi="Amiri" w:eastAsia="Amiri" w:cs="Amiri"/>
          <w:color w:val="111111"/>
          <w:sz w:val="28"/>
          <w:sz w:val="28"/>
          <w:szCs w:val="28"/>
          <w:rtl w:val="true"/>
          <w:lang w:bidi="ar-SA"/>
        </w:rPr>
        <w:t xml:space="preserve">لأنّهم عابوا عَلَينا </w:t>
      </w:r>
    </w:p>
    <w:p>
      <w:pPr>
        <w:pStyle w:val="BookText"/>
        <w:rPr/>
      </w:pPr>
      <w:r>
        <w:rPr>
          <w:rFonts w:ascii="Amiri" w:hAnsi="Amiri" w:eastAsia="Amiri" w:cs="Amiri"/>
          <w:color w:val="111111"/>
          <w:sz w:val="28"/>
          <w:sz w:val="28"/>
          <w:szCs w:val="28"/>
          <w:rtl w:val="true"/>
          <w:lang w:bidi="ar-SA"/>
        </w:rPr>
        <w:t>القولَ بالنَّصِّ مِن حَيثُ لَم يَنقُلْه</w:t>
      </w:r>
      <w:r>
        <w:rPr>
          <w:rStyle w:val="FootnoteAnchor"/>
          <w:rtl w:val="true"/>
        </w:rPr>
        <w:footnoteReference w:id="1341"/>
      </w:r>
      <w:r>
        <w:rPr>
          <w:rFonts w:ascii="Amiri" w:hAnsi="Amiri" w:eastAsia="Amiri" w:cs="Amiri"/>
          <w:color w:val="111111"/>
          <w:sz w:val="28"/>
          <w:sz w:val="28"/>
          <w:szCs w:val="28"/>
          <w:rtl w:val="true"/>
          <w:lang w:bidi="ar-SA"/>
        </w:rPr>
        <w:t>الأُمّةُ بأَسْرِها و لَم يَروِه طَوائفُ المُخالِفينَ، و إن</w:t>
      </w:r>
    </w:p>
    <w:p>
      <w:pPr>
        <w:pStyle w:val="BookText"/>
        <w:rPr/>
      </w:pPr>
      <w:r>
        <w:rPr>
          <w:rFonts w:ascii="Amiri" w:hAnsi="Amiri" w:eastAsia="Amiri" w:cs="Amiri"/>
          <w:color w:val="111111"/>
          <w:sz w:val="28"/>
          <w:sz w:val="28"/>
          <w:szCs w:val="28"/>
          <w:rtl w:val="true"/>
          <w:lang w:bidi="ar-SA"/>
        </w:rPr>
        <w:t>كانَ فِرقةٌ مشهورةٌ، كثيرةُ العَدَدِ، نابِهةُ‌</w:t>
      </w:r>
      <w:r>
        <w:rPr>
          <w:rStyle w:val="FootnoteAnchor"/>
          <w:rtl w:val="true"/>
        </w:rPr>
        <w:footnoteReference w:id="1342"/>
      </w:r>
      <w:r>
        <w:rPr>
          <w:rFonts w:ascii="Amiri" w:hAnsi="Amiri" w:eastAsia="Amiri" w:cs="Amiri"/>
          <w:color w:val="111111"/>
          <w:sz w:val="28"/>
          <w:sz w:val="28"/>
          <w:szCs w:val="28"/>
          <w:rtl w:val="true"/>
          <w:lang w:bidi="ar-SA"/>
        </w:rPr>
        <w:t>الذِّكرِ قد قامَت بنَقلِه، و تَديَّنَت بروايتِه؛ و أنتَ قد صَرَّحتَ في قولِكَ بأنّ النبيَّ صَلَّى اللّٰهُ عليه و آلِه نَصَّ علىٰ صفاتِ الإمامِ و ما يَتَولّاه و يَقومُ به، و بَيَّنَ ذلكَ لأُمّتِه، و إن كانَ لَم يَنقُلْه واحدٌ منها، و لَم يَروِه صغيرٌ مِن جُملتِها و لا كبيرٌ؛ و هذه مُناقَضةٌ ظاهرةٌ يَحمِلُ عَلَيها عِشقُ المَذهَبِ، و المَحَبّةُ لتَشييدِه</w:t>
      </w:r>
      <w:r>
        <w:rPr>
          <w:rStyle w:val="FootnoteAnchor"/>
          <w:rtl w:val="true"/>
        </w:rPr>
        <w:footnoteReference w:id="1343"/>
      </w:r>
      <w:r>
        <w:rPr>
          <w:rFonts w:ascii="Amiri" w:hAnsi="Amiri" w:eastAsia="Amiri" w:cs="Amiri"/>
          <w:color w:val="111111"/>
          <w:sz w:val="28"/>
          <w:sz w:val="28"/>
          <w:szCs w:val="28"/>
          <w:rtl w:val="true"/>
          <w:lang w:bidi="ar-SA"/>
        </w:rPr>
        <w:t>و تَرقيعِه</w:t>
      </w:r>
      <w:r>
        <w:rPr>
          <w:rStyle w:val="FootnoteAnchor"/>
          <w:rtl w:val="true"/>
        </w:rPr>
        <w:footnoteReference w:id="1344"/>
      </w:r>
      <w:r>
        <w:rPr>
          <w:rFonts w:ascii="Amiri" w:hAnsi="Amiri" w:eastAsia="Amiri" w:cs="Amiri"/>
          <w:color w:val="111111"/>
          <w:sz w:val="28"/>
          <w:sz w:val="28"/>
          <w:szCs w:val="28"/>
          <w:rtl w:val="true"/>
          <w:lang w:bidi="ar-SA"/>
        </w:rPr>
        <w:t>بالجَيّدِ و الرديءِ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صاحبُ الكتابِ مِن بَعدِ هذا الفَصلِ 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w:t>
      </w:r>
      <w:r>
        <w:rPr>
          <w:rStyle w:val="FootnoteAnchor"/>
          <w:rtl w:val="true"/>
        </w:rPr>
        <w:footnoteReference w:id="1345"/>
      </w:r>
      <w:r>
        <w:rPr>
          <w:rFonts w:ascii="Amiri" w:hAnsi="Amiri" w:eastAsia="Amiri" w:cs="Amiri"/>
          <w:color w:val="111111"/>
          <w:sz w:val="28"/>
          <w:sz w:val="28"/>
          <w:szCs w:val="28"/>
          <w:rtl w:val="true"/>
          <w:lang w:bidi="ar-SA"/>
        </w:rPr>
        <w:t>إلىٰ مُناقَضَتِه</w:t>
      </w:r>
      <w:r>
        <w:rPr>
          <w:rStyle w:val="FootnoteAnchor"/>
          <w:rtl w:val="true"/>
        </w:rPr>
        <w:footnoteReference w:id="1346"/>
      </w:r>
      <w:r>
        <w:rPr>
          <w:rFonts w:ascii="Amiri" w:hAnsi="Amiri" w:eastAsia="Amiri" w:cs="Amiri"/>
          <w:color w:val="111111"/>
          <w:sz w:val="28"/>
          <w:sz w:val="28"/>
          <w:szCs w:val="28"/>
          <w:rtl w:val="true"/>
          <w:lang w:bidi="ar-SA"/>
        </w:rPr>
        <w:t>فيه؛ لأنّه بَينَ زيادةٍ أَورَدَها علىٰ نَفسِه في وجوبِ الإمامةِ و أجابَ عنها بما لا شُبهةَ فيها و لا مُتَعلَّقَ‌</w:t>
      </w:r>
      <w:r>
        <w:rPr>
          <w:rStyle w:val="FootnoteAnchor"/>
          <w:rtl w:val="true"/>
        </w:rPr>
        <w:footnoteReference w:id="1347"/>
      </w:r>
      <w:r>
        <w:rPr>
          <w:rFonts w:ascii="Amiri" w:hAnsi="Amiri" w:eastAsia="Amiri" w:cs="Amiri"/>
          <w:color w:val="111111"/>
          <w:sz w:val="28"/>
          <w:sz w:val="28"/>
          <w:szCs w:val="28"/>
          <w:rtl w:val="true"/>
          <w:lang w:bidi="ar-SA"/>
        </w:rPr>
        <w:t>بمِثلِها، و بَينَ تفريعٍ علىٰ صِحّةِ الاختيارِ و بِناءٍ علىٰ أُصولِ الذاهبينَ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الكلامُ في فَسادِ الاختيارِ</w:t>
      </w:r>
      <w:r>
        <w:rPr>
          <w:rStyle w:val="FootnoteAnchor"/>
          <w:rtl w:val="true"/>
        </w:rPr>
        <w:footnoteReference w:id="1348"/>
      </w:r>
      <w:r>
        <w:rPr>
          <w:rFonts w:ascii="Amiri" w:hAnsi="Amiri" w:eastAsia="Amiri" w:cs="Amiri"/>
          <w:color w:val="111111"/>
          <w:sz w:val="28"/>
          <w:sz w:val="28"/>
          <w:szCs w:val="28"/>
          <w:rtl w:val="true"/>
          <w:lang w:bidi="ar-SA"/>
        </w:rPr>
        <w:t>مُستَقصىً فيما بَعدُ</w:t>
      </w:r>
      <w:r>
        <w:rPr>
          <w:rStyle w:val="FootnoteAnchor"/>
          <w:rtl w:val="true"/>
        </w:rPr>
        <w:footnoteReference w:id="1349"/>
      </w:r>
      <w:r>
        <w:rPr>
          <w:rFonts w:ascii="Amiri" w:hAnsi="Amiri" w:eastAsia="Amiri" w:cs="Amiri"/>
          <w:color w:val="111111"/>
          <w:sz w:val="28"/>
          <w:sz w:val="28"/>
          <w:szCs w:val="28"/>
          <w:rtl w:val="true"/>
          <w:lang w:bidi="ar-SA"/>
        </w:rPr>
        <w:t>إن شاءَ اللّٰهُ ، بمَشيئتِه و حُسنِ توفيقِه</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20044_770942"/>
      <w:bookmarkStart w:id="509" w:name="pg20044_770942"/>
      <w:bookmarkEnd w:id="509"/>
    </w:p>
    <w:p>
      <w:pPr>
        <w:pStyle w:val="Heading3"/>
        <w:numPr>
          <w:ilvl w:val="2"/>
          <w:numId w:val="1"/>
        </w:numPr>
        <w:rPr/>
      </w:pPr>
      <w:bookmarkStart w:id="510" w:name="pg20044_770942"/>
      <w:bookmarkStart w:id="511" w:name="__RefHeading___Toc828632_2320776876"/>
      <w:bookmarkStart w:id="512" w:name="_Toc181"/>
      <w:bookmarkEnd w:id="510"/>
      <w:bookmarkEnd w:id="511"/>
      <w:r>
        <w:rPr/>
        <w:t>3</w:t>
      </w:r>
      <w:r>
        <w:rPr>
          <w:rtl w:val="true"/>
        </w:rPr>
        <w:t xml:space="preserve"> </w:t>
      </w:r>
      <w:r>
        <w:rPr>
          <w:rtl w:val="true"/>
        </w:rPr>
        <w:t>فَصلٌ في الكلامِ علَى اعتِراضِه علىٰ ما حَكاه مِن أدلّتِنا في وجوبِ الإمامةِ و العصمةِ</w:t>
      </w:r>
      <w:bookmarkEnd w:id="512"/>
    </w:p>
    <w:p>
      <w:pPr>
        <w:pStyle w:val="Heading4"/>
        <w:numPr>
          <w:ilvl w:val="3"/>
          <w:numId w:val="1"/>
        </w:numPr>
        <w:rPr/>
      </w:pPr>
      <w:bookmarkStart w:id="513" w:name="__RefHeading___Toc828634_2320776876"/>
      <w:bookmarkStart w:id="514" w:name="_Toc182"/>
      <w:bookmarkEnd w:id="513"/>
      <w:r>
        <w:rPr>
          <w:rtl w:val="true"/>
        </w:rPr>
        <w:t>اشارة</w:t>
      </w:r>
      <w:bookmarkEnd w:id="51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الكلامِ علَى اعتِراضِه علىٰ </w:t>
      </w:r>
      <w:r>
        <w:rPr>
          <w:rStyle w:val="FootnoteAnchor"/>
          <w:rtl w:val="true"/>
        </w:rPr>
        <w:footnoteReference w:id="1350"/>
      </w:r>
      <w:r>
        <w:rPr>
          <w:rFonts w:ascii="Amiri" w:hAnsi="Amiri" w:eastAsia="Amiri" w:cs="Amiri"/>
          <w:color w:val="111111"/>
          <w:sz w:val="28"/>
          <w:sz w:val="28"/>
          <w:szCs w:val="28"/>
          <w:rtl w:val="true"/>
          <w:lang w:bidi="ar-SA"/>
        </w:rPr>
        <w:t xml:space="preserve">ما حَكاه مِن أدلّتِنا في وجوبِ الإمامةِ و العصمةِ </w:t>
      </w:r>
      <w:r>
        <w:rPr>
          <w:rStyle w:val="FootnoteAnchor"/>
          <w:rtl w:val="true"/>
        </w:rPr>
        <w:footnoteReference w:id="135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20044_770944"/>
      <w:bookmarkStart w:id="516" w:name="pg20044_770944"/>
      <w:bookmarkEnd w:id="516"/>
    </w:p>
    <w:p>
      <w:pPr>
        <w:pStyle w:val="Heading4"/>
        <w:numPr>
          <w:ilvl w:val="3"/>
          <w:numId w:val="1"/>
        </w:numPr>
        <w:rPr/>
      </w:pPr>
      <w:bookmarkStart w:id="517" w:name="pg20044_770944"/>
      <w:bookmarkStart w:id="518" w:name="__RefHeading___Toc828636_2320776876"/>
      <w:bookmarkStart w:id="519" w:name="_Toc183"/>
      <w:bookmarkEnd w:id="517"/>
      <w:bookmarkEnd w:id="518"/>
      <w:r>
        <w:rPr>
          <w:rtl w:val="true"/>
        </w:rPr>
        <w:t>الدليل الأوّل عموم النقص بين الناس</w:t>
      </w:r>
      <w:bookmarkEnd w:id="519"/>
    </w:p>
    <w:p>
      <w:pPr>
        <w:pStyle w:val="Heading5"/>
        <w:numPr>
          <w:ilvl w:val="4"/>
          <w:numId w:val="1"/>
        </w:numPr>
        <w:rPr/>
      </w:pPr>
      <w:bookmarkStart w:id="520" w:name="__RefHeading___Toc828638_2320776876"/>
      <w:bookmarkStart w:id="521" w:name="_Toc184"/>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قال صاحبُ الكتابِ حكايةً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النَّقصَ قد عَمَّ الناسَ، و قد كُلِّفوا مع ذلكَ الصَّوابَ في العِلمِ و العَمَلِ،</w:t>
      </w:r>
      <w:r>
        <w:rPr>
          <w:rStyle w:val="FootnoteAnchor"/>
          <w:rtl w:val="true"/>
        </w:rPr>
        <w:footnoteReference w:id="1352"/>
      </w:r>
      <w:r>
        <w:rPr>
          <w:rFonts w:ascii="Amiri" w:hAnsi="Amiri" w:eastAsia="Amiri" w:cs="Amiri"/>
          <w:color w:val="111111"/>
          <w:sz w:val="28"/>
          <w:sz w:val="28"/>
          <w:szCs w:val="28"/>
          <w:rtl w:val="true"/>
          <w:lang w:bidi="ar-SA"/>
        </w:rPr>
        <w:t>فلا بُدَّ في المُكلِّفِ الحكيمِ أن يُرسِلَ رَسولاً أو يَنصِبَ‌</w:t>
      </w:r>
      <w:r>
        <w:rPr>
          <w:rStyle w:val="FootnoteAnchor"/>
          <w:rtl w:val="true"/>
        </w:rPr>
        <w:footnoteReference w:id="1353"/>
      </w:r>
      <w:r>
        <w:rPr>
          <w:rFonts w:ascii="Amiri" w:hAnsi="Amiri" w:eastAsia="Amiri" w:cs="Amiri"/>
          <w:color w:val="111111"/>
          <w:sz w:val="28"/>
          <w:sz w:val="28"/>
          <w:szCs w:val="28"/>
          <w:rtl w:val="true"/>
          <w:lang w:bidi="ar-SA"/>
        </w:rPr>
        <w:t>حُجّةً ليُزيلَ نَقصَهم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فَسَّروا هذا النَّقصَ بذِكرِ السَّهوِ و الغَفلةِ و جوازِهما علىٰ جميعِهم، فلا بُدَّ مِن مُنبِّهٍ مُزيلٍ </w:t>
      </w:r>
      <w:r>
        <w:rPr>
          <w:rStyle w:val="FootnoteAnchor"/>
          <w:rtl w:val="true"/>
        </w:rPr>
        <w:footnoteReference w:id="1354"/>
      </w:r>
      <w:r>
        <w:rPr>
          <w:rFonts w:ascii="Amiri" w:hAnsi="Amiri" w:eastAsia="Amiri" w:cs="Amiri"/>
          <w:color w:val="111111"/>
          <w:sz w:val="28"/>
          <w:sz w:val="28"/>
          <w:szCs w:val="28"/>
          <w:rtl w:val="true"/>
          <w:lang w:bidi="ar-SA"/>
        </w:rPr>
        <w:t>لهذا الأمرِ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فَسَّروا ذلكَ باتِّباعِ الشَّهَواتِ و جوازِ الشُّبَهِ </w:t>
      </w:r>
      <w:r>
        <w:rPr>
          <w:rStyle w:val="FootnoteAnchor"/>
          <w:rtl w:val="true"/>
        </w:rPr>
        <w:footnoteReference w:id="1355"/>
      </w:r>
      <w:r>
        <w:rPr>
          <w:rFonts w:ascii="Amiri" w:hAnsi="Amiri" w:eastAsia="Amiri" w:cs="Amiri"/>
          <w:color w:val="111111"/>
          <w:sz w:val="28"/>
          <w:sz w:val="28"/>
          <w:szCs w:val="28"/>
          <w:rtl w:val="true"/>
          <w:lang w:bidi="ar-SA"/>
        </w:rPr>
        <w:t xml:space="preserve">، و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بُدَّ مِن معصومٍ يَعدِلُ بهم فيما كُلِّفوه عن هذه الطريقةِ </w:t>
      </w:r>
      <w:r>
        <w:rPr>
          <w:rFonts w:eastAsia="Amiri" w:cs="Amiri" w:ascii="Amiri" w:hAnsi="Amiri"/>
          <w:color w:val="111111"/>
          <w:sz w:val="28"/>
          <w:szCs w:val="28"/>
          <w:rtl w:val="true"/>
          <w:lang w:bidi="ar-SA"/>
        </w:rPr>
        <w:t>»....</w:t>
      </w:r>
      <w:r>
        <w:rPr>
          <w:rStyle w:val="FootnoteAnchor"/>
          <w:rtl w:val="true"/>
        </w:rPr>
        <w:footnoteReference w:id="1356"/>
      </w:r>
    </w:p>
    <w:p>
      <w:pPr>
        <w:pStyle w:val="Heading5"/>
        <w:numPr>
          <w:ilvl w:val="4"/>
          <w:numId w:val="1"/>
        </w:numPr>
        <w:rPr/>
      </w:pPr>
      <w:bookmarkStart w:id="522" w:name="__RefHeading___Toc828640_2320776876"/>
      <w:bookmarkStart w:id="523" w:name="_Toc185"/>
      <w:bookmarkEnd w:id="522"/>
      <w:r>
        <w:rPr>
          <w:rtl w:val="true"/>
        </w:rPr>
        <w:t>بيان التقرير الصحيح لدليل اللطف علىٰ وجوب الإمامة</w:t>
      </w:r>
      <w:bookmarkEnd w:id="52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حَكَيتَه عنّا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لَفظَكَ و لا تَرتيبَكَ </w:t>
      </w:r>
      <w:bookmarkStart w:id="524" w:name="pg20044_770945"/>
    </w:p>
    <w:p>
      <w:pPr>
        <w:pStyle w:val="BookText"/>
        <w:rPr/>
      </w:pPr>
      <w:bookmarkEnd w:id="524"/>
      <w:r>
        <w:rPr>
          <w:rFonts w:ascii="Amiri" w:hAnsi="Amiri" w:eastAsia="Amiri" w:cs="Amiri"/>
          <w:color w:val="111111"/>
          <w:sz w:val="28"/>
          <w:sz w:val="28"/>
          <w:szCs w:val="28"/>
          <w:rtl w:val="true"/>
          <w:lang w:bidi="ar-SA"/>
        </w:rPr>
        <w:t>و لا تَفسيرَكَ؛ و دليلُنا علىٰ وجوبِ الإمامةِ و وجهُ وجوبِها مِن طريقِ العقلِ و بَعدَ التعبُّدِ بالشَّرعِ قد</w:t>
      </w:r>
      <w:r>
        <w:rPr>
          <w:rStyle w:val="FootnoteAnchor"/>
          <w:rtl w:val="true"/>
        </w:rPr>
        <w:footnoteReference w:id="1357"/>
      </w:r>
      <w:r>
        <w:rPr>
          <w:rFonts w:ascii="Amiri" w:hAnsi="Amiri" w:eastAsia="Amiri" w:cs="Amiri"/>
          <w:color w:val="111111"/>
          <w:sz w:val="28"/>
          <w:sz w:val="28"/>
          <w:szCs w:val="28"/>
          <w:rtl w:val="true"/>
          <w:lang w:bidi="ar-SA"/>
        </w:rPr>
        <w:t>بيّنّاه، و دَلَّلنا علىٰ كَونِ الإمامةِ لُطفاً في فِعلِ الواجباتِ و الطاعاتِ، و تَجَنُّبِ المُقبَّحاتِ، و ارتفاعِ الفسادِ، و انتظامِ أمرِ الخَلقِ‌</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أشَرنا أيضاً إلىٰ ما يوجِبُ الحاجةَ إليه مِن الشَّرائعِ 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يُفسِّرُ مُجمَلَها، و يُبيِّنُ مُحتَمَلَها</w:t>
      </w:r>
      <w:r>
        <w:rPr>
          <w:rStyle w:val="FootnoteAnchor"/>
          <w:rtl w:val="true"/>
        </w:rPr>
        <w:footnoteReference w:id="1359"/>
      </w:r>
      <w:r>
        <w:rPr>
          <w:rFonts w:ascii="Amiri" w:hAnsi="Amiri" w:eastAsia="Amiri" w:cs="Amiri"/>
          <w:color w:val="111111"/>
          <w:sz w:val="28"/>
          <w:sz w:val="28"/>
          <w:szCs w:val="28"/>
          <w:rtl w:val="true"/>
          <w:lang w:bidi="ar-SA"/>
        </w:rPr>
        <w:t>، و يوضِحُ عن الأغراضِ المُلتَبِسةِ فيها، و يَكونُ المَفزَعَ في الخِلافِ الواقِعِ فيما الأدلّةُ الشَّرعيّةُ عليه كالمُتَكافئةِ إليه، و ليَكونَ مِن وَراءِ الناقِلينَ؛ فمتىٰ وَقَعَ مِنهم ما هو جائزٌ عَلَيهم مِن الإعراضِ عن النَّقلِ بَيَّنَ‌</w:t>
      </w:r>
      <w:r>
        <w:rPr>
          <w:rStyle w:val="FootnoteAnchor"/>
          <w:rtl w:val="true"/>
        </w:rPr>
        <w:footnoteReference w:id="1360"/>
      </w:r>
      <w:r>
        <w:rPr>
          <w:rFonts w:ascii="Amiri" w:hAnsi="Amiri" w:eastAsia="Amiri" w:cs="Amiri"/>
          <w:color w:val="111111"/>
          <w:sz w:val="28"/>
          <w:sz w:val="28"/>
          <w:szCs w:val="28"/>
          <w:rtl w:val="true"/>
          <w:lang w:bidi="ar-SA"/>
        </w:rPr>
        <w:t>ذلكَ، و كانَ قولُه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حَكاه مِن التعَلُّقِ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عُمومِه للخَلقِ ، فمُرادُ مَن تَعلَّقَ مِن أصحابِنا به</w:t>
      </w:r>
      <w:r>
        <w:rPr>
          <w:rStyle w:val="FootnoteAnchor"/>
          <w:rtl w:val="true"/>
        </w:rPr>
        <w:footnoteReference w:id="1361"/>
      </w:r>
      <w:r>
        <w:rPr>
          <w:rFonts w:ascii="Amiri" w:hAnsi="Amiri" w:eastAsia="Amiri" w:cs="Amiri"/>
          <w:color w:val="111111"/>
          <w:sz w:val="28"/>
          <w:sz w:val="28"/>
          <w:szCs w:val="28"/>
          <w:rtl w:val="true"/>
          <w:lang w:bidi="ar-SA"/>
        </w:rPr>
        <w:t xml:space="preserve">ارتفاعُ العصمةِ عنهم، و جوازُ مُقارَفةِ </w:t>
      </w:r>
      <w:r>
        <w:rPr>
          <w:rStyle w:val="FootnoteAnchor"/>
          <w:rtl w:val="true"/>
        </w:rPr>
        <w:footnoteReference w:id="1362"/>
      </w:r>
      <w:r>
        <w:rPr>
          <w:rFonts w:ascii="Amiri" w:hAnsi="Amiri" w:eastAsia="Amiri" w:cs="Amiri"/>
          <w:color w:val="111111"/>
          <w:sz w:val="28"/>
          <w:sz w:val="28"/>
          <w:szCs w:val="28"/>
          <w:rtl w:val="true"/>
          <w:lang w:bidi="ar-SA"/>
        </w:rPr>
        <w:t xml:space="preserve">القبيحِ عَلَيهم؛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بهذه الصفةِ افتَقَروا إلىٰ رئيسٍ يَجمَعُ شَملَهم، و يَنظِمُ أمرَهم؛ ليَرتَفِعَ بوجودِه مِن الفَسادِ ما يَكونُ واقعاً 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مُرادُ مَن استَعمَلَ اللفظةَ التي حَكاها</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828642_2320776876"/>
      <w:bookmarkStart w:id="526" w:name="_Toc186"/>
      <w:bookmarkEnd w:id="525"/>
      <w:r>
        <w:rPr>
          <w:rtl w:val="true"/>
        </w:rPr>
        <w:t>عدم دلالة جواز السهو على الحاجة إلى الإمام، علىٰ تفصيل في ذلك</w:t>
      </w:r>
      <w:bookmarkEnd w:id="52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جوازُ السَّهوِ فلَيسَ ممّا يوجَبُ مِن أجلِه الحاجةُ إلى الإمامِ </w:t>
      </w:r>
      <w:r>
        <w:rPr>
          <w:rStyle w:val="FootnoteAnchor"/>
          <w:rtl w:val="true"/>
        </w:rPr>
        <w:footnoteReference w:id="1363"/>
      </w:r>
      <w:r>
        <w:rPr>
          <w:rFonts w:ascii="Amiri" w:hAnsi="Amiri" w:eastAsia="Amiri" w:cs="Amiri"/>
          <w:color w:val="111111"/>
          <w:sz w:val="28"/>
          <w:sz w:val="28"/>
          <w:szCs w:val="28"/>
          <w:rtl w:val="true"/>
          <w:lang w:bidi="ar-SA"/>
        </w:rPr>
        <w:t xml:space="preserve">لأنّ السَّهوَ أوّلاً </w:t>
      </w:r>
    </w:p>
    <w:p>
      <w:pPr>
        <w:pStyle w:val="BookText"/>
        <w:rPr/>
      </w:pPr>
      <w:r>
        <w:rPr>
          <w:rFonts w:ascii="Amiri" w:hAnsi="Amiri" w:eastAsia="Amiri" w:cs="Amiri"/>
          <w:color w:val="111111"/>
          <w:sz w:val="28"/>
          <w:sz w:val="28"/>
          <w:szCs w:val="28"/>
          <w:rtl w:val="true"/>
          <w:lang w:bidi="ar-SA"/>
        </w:rPr>
        <w:t>غيرُ جائزٍ عندَنا عَلَيهم في كُلِّ شَيءٍ، و الأشياءُ التي يَجوزُ فيها السَّهوُ لا يَجوزُ مِن</w:t>
      </w:r>
      <w:r>
        <w:rPr>
          <w:rStyle w:val="FootnoteAnchor"/>
          <w:rtl w:val="true"/>
        </w:rPr>
        <w:footnoteReference w:id="1364"/>
      </w:r>
      <w:r>
        <w:rPr>
          <w:rFonts w:ascii="Amiri" w:hAnsi="Amiri" w:eastAsia="Amiri" w:cs="Amiri"/>
          <w:color w:val="111111"/>
          <w:sz w:val="28"/>
          <w:sz w:val="28"/>
          <w:szCs w:val="28"/>
          <w:rtl w:val="true"/>
          <w:lang w:bidi="ar-SA"/>
        </w:rPr>
        <w:t>جميعِهم أن يَسهوا عنها، و لا في الجَماعاتِ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تَعلَّقَ مُتَعلِّقٌ بالسَّهوِ فلَيسَ يَجوزُ أن يوجِبَ‌</w:t>
      </w:r>
      <w:r>
        <w:rPr>
          <w:rStyle w:val="FootnoteAnchor"/>
          <w:rtl w:val="true"/>
        </w:rPr>
        <w:footnoteReference w:id="1365"/>
      </w:r>
      <w:r>
        <w:rPr>
          <w:rFonts w:ascii="Amiri" w:hAnsi="Amiri" w:eastAsia="Amiri" w:cs="Amiri"/>
          <w:color w:val="111111"/>
          <w:sz w:val="28"/>
          <w:sz w:val="28"/>
          <w:szCs w:val="28"/>
          <w:rtl w:val="true"/>
          <w:lang w:bidi="ar-SA"/>
        </w:rPr>
        <w:t xml:space="preserve">مِن أجلِ جوازِه الحاجةَ إلَى الإمامِ فيما لا يُبطِلُ السَّهوُ عنه قيامَ الحُجّةِ به و ثُبوتَها، و إنّما يوجِبُ </w:t>
      </w:r>
      <w:r>
        <w:rPr>
          <w:rStyle w:val="FootnoteAnchor"/>
          <w:rtl w:val="true"/>
        </w:rPr>
        <w:footnoteReference w:id="1366"/>
      </w:r>
      <w:r>
        <w:rPr>
          <w:rFonts w:ascii="Amiri" w:hAnsi="Amiri" w:eastAsia="Amiri" w:cs="Amiri"/>
          <w:color w:val="111111"/>
          <w:sz w:val="28"/>
          <w:sz w:val="28"/>
          <w:szCs w:val="28"/>
          <w:rtl w:val="true"/>
          <w:lang w:bidi="ar-SA"/>
        </w:rPr>
        <w:t xml:space="preserve">جوازُ السَّهوِ الحاجةَ إلَى الإمامِ في المَوضِعِ الذي يَكونُ السَّهوُ موجِباً لبُطلانِ الحُجّةِ و انسدادِ طريقِ الاستدلالِ علَى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الأوّلِ </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العقليّاتُ و أدلّتُها؛ لأنّ السَّهوَ عنها لا يُبطِلُ دَلالتَها، و لا يُخرِجُ المُكلَّفينَ عن التمَكُّنِ مِن إصابةِ الحقِّ إذا قَصَدوه و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الشَّرعيّاتُ التي طريقُ العَمَلِ بها الأخبارُ؛ لأنّ الناقِلينَ متىٰ سَهَوا عن النَّقلِ و أعرَضوا عنه</w:t>
      </w:r>
      <w:r>
        <w:rPr>
          <w:rStyle w:val="FootnoteAnchor"/>
          <w:rtl w:val="true"/>
        </w:rPr>
        <w:footnoteReference w:id="1369"/>
      </w:r>
      <w:r>
        <w:rPr>
          <w:rFonts w:ascii="Amiri" w:hAnsi="Amiri" w:eastAsia="Amiri" w:cs="Amiri"/>
          <w:color w:val="111111"/>
          <w:sz w:val="28"/>
          <w:sz w:val="28"/>
          <w:szCs w:val="28"/>
          <w:rtl w:val="true"/>
          <w:lang w:bidi="ar-SA"/>
        </w:rPr>
        <w:t>بَطَلَت الحُجّةُ به، و لَم يَكُن للمُكلَّفِ طريقٌ إلَى</w:t>
      </w:r>
      <w:r>
        <w:rPr>
          <w:rStyle w:val="FootnoteAnchor"/>
          <w:rtl w:val="true"/>
        </w:rPr>
        <w:footnoteReference w:id="1370"/>
      </w:r>
      <w:r>
        <w:rPr>
          <w:rFonts w:ascii="Amiri" w:hAnsi="Amiri" w:eastAsia="Amiri" w:cs="Amiri"/>
          <w:color w:val="111111"/>
          <w:sz w:val="28"/>
          <w:sz w:val="28"/>
          <w:szCs w:val="28"/>
          <w:rtl w:val="true"/>
          <w:lang w:bidi="ar-SA"/>
        </w:rPr>
        <w:t>العَمَلِ بالشَّيءِ الذي عَدَلوا عن نَقلِه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السهو و التقويم لزيغ الساهين أجاب عنه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ما سيذكره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السهو الناشئ عن البعض علّة محوجة إلى الإمام لأنّه يوجب عدم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الحاجة حينئذ ليست من جهة دفع السهو، بل لاستلزام السهو ما هو يورث الحاجة إليه عليه السلام؛ فلا تنافي بين أوّل الكلام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يمكن حمل كلام صاحب الكتاب أيضاً علىٰ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حاشية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انتفاء العصمة محوج إلى الإمام مطلقاً، و جواز السهو إنّما يحوج إليه في السمعيّات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كلامه تشويش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س</w:t>
      </w:r>
      <w:r>
        <w:rPr>
          <w:rFonts w:eastAsia="Amiri" w:cs="Amiri" w:ascii="Amiri" w:hAnsi="Amiri"/>
          <w:color w:val="111111"/>
          <w:sz w:val="28"/>
          <w:szCs w:val="28"/>
          <w:rtl w:val="true"/>
          <w:lang w:bidi="ar-SA"/>
        </w:rPr>
        <w:t xml:space="preserve">)». </w:t>
      </w:r>
      <w:bookmarkStart w:id="527" w:name="pg20044_770947"/>
    </w:p>
    <w:p>
      <w:pPr>
        <w:pStyle w:val="BookText"/>
        <w:rPr/>
      </w:pPr>
      <w:bookmarkEnd w:id="527"/>
      <w:r>
        <w:rPr>
          <w:rFonts w:ascii="Amiri" w:hAnsi="Amiri" w:eastAsia="Amiri" w:cs="Amiri"/>
          <w:color w:val="111111"/>
          <w:sz w:val="28"/>
          <w:sz w:val="28"/>
          <w:szCs w:val="28"/>
          <w:rtl w:val="true"/>
          <w:lang w:bidi="ar-SA"/>
        </w:rPr>
        <w:t>و هَبْ أنّ الجماعةَ المُتَواتِرينَ لا يَجوزُ أن يَلحَقَ جميعَهم السَّهوُ عمّا نَقَلوه، إذا جازَ ذلكَ علَى الآحادِ مِنهم لَم يَلحَقْهم</w:t>
      </w:r>
      <w:r>
        <w:rPr>
          <w:rStyle w:val="FootnoteAnchor"/>
          <w:rtl w:val="true"/>
        </w:rPr>
        <w:footnoteReference w:id="1371"/>
      </w:r>
      <w:r>
        <w:rPr>
          <w:rFonts w:ascii="Amiri" w:hAnsi="Amiri" w:eastAsia="Amiri" w:cs="Amiri"/>
          <w:color w:val="111111"/>
          <w:sz w:val="28"/>
          <w:sz w:val="28"/>
          <w:szCs w:val="28"/>
          <w:rtl w:val="true"/>
          <w:lang w:bidi="ar-SA"/>
        </w:rPr>
        <w:t>السَّهوُ عن المنقولِ فيَترُكوا نَقلَه، و هُم إذا نَقَلوه مع غيرِهم كانَ الخَبَرُ مُتَواتِراً و وَجَبَت الحُجّةُ به، و إذا خَلَوا</w:t>
      </w:r>
      <w:r>
        <w:rPr>
          <w:rStyle w:val="FootnoteAnchor"/>
          <w:rtl w:val="true"/>
        </w:rPr>
        <w:footnoteReference w:id="1372"/>
      </w:r>
      <w:r>
        <w:rPr>
          <w:rFonts w:ascii="Amiri" w:hAnsi="Amiri" w:eastAsia="Amiri" w:cs="Amiri"/>
          <w:color w:val="111111"/>
          <w:sz w:val="28"/>
          <w:sz w:val="28"/>
          <w:szCs w:val="28"/>
          <w:rtl w:val="true"/>
          <w:lang w:bidi="ar-SA"/>
        </w:rPr>
        <w:t xml:space="preserve">بنَقلِه خَرَجَ عن حَدِّ التواتُرِ و عن كَونِه حُجّةً ؛ فقَد عادَ الأمرُ إلىٰ أنّ </w:t>
      </w:r>
      <w:r>
        <w:rPr>
          <w:rStyle w:val="FootnoteAnchor"/>
          <w:rtl w:val="true"/>
        </w:rPr>
        <w:footnoteReference w:id="1373"/>
      </w:r>
      <w:r>
        <w:rPr>
          <w:rFonts w:ascii="Amiri" w:hAnsi="Amiri" w:eastAsia="Amiri" w:cs="Amiri"/>
          <w:color w:val="111111"/>
          <w:sz w:val="28"/>
          <w:sz w:val="28"/>
          <w:szCs w:val="28"/>
          <w:rtl w:val="true"/>
          <w:lang w:bidi="ar-SA"/>
        </w:rPr>
        <w:t>جوازَ السَّهوِ علَى الترتيبِ الذي ذَكَرناه</w:t>
      </w:r>
      <w:r>
        <w:rPr>
          <w:rStyle w:val="FootnoteAnchor"/>
          <w:rtl w:val="true"/>
        </w:rPr>
        <w:footnoteReference w:id="1374"/>
      </w:r>
      <w:r>
        <w:rPr>
          <w:rFonts w:ascii="Amiri" w:hAnsi="Amiri" w:eastAsia="Amiri" w:cs="Amiri"/>
          <w:color w:val="111111"/>
          <w:sz w:val="28"/>
          <w:sz w:val="28"/>
          <w:szCs w:val="28"/>
          <w:rtl w:val="true"/>
          <w:lang w:bidi="ar-SA"/>
        </w:rPr>
        <w:t xml:space="preserve">يُحوِجُ إلَى الحُجّةِ </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828644_2320776876"/>
      <w:bookmarkStart w:id="529" w:name="_Toc187"/>
      <w:bookmarkEnd w:id="528"/>
      <w:r>
        <w:rPr>
          <w:rtl w:val="true"/>
        </w:rPr>
        <w:t xml:space="preserve">معنىٰ </w:t>
      </w:r>
      <w:r>
        <w:rPr>
          <w:rtl w:val="true"/>
        </w:rPr>
        <w:t>«</w:t>
      </w:r>
      <w:r>
        <w:rPr>
          <w:rtl w:val="true"/>
        </w:rPr>
        <w:t>اتّباع الشهوات</w:t>
      </w:r>
      <w:r>
        <w:rPr>
          <w:rtl w:val="true"/>
        </w:rPr>
        <w:t xml:space="preserve">» </w:t>
      </w:r>
      <w:r>
        <w:rPr>
          <w:rtl w:val="true"/>
        </w:rPr>
        <w:t>في دليل وجوب الإمامة</w:t>
      </w:r>
      <w:bookmarkEnd w:id="529"/>
    </w:p>
    <w:p>
      <w:pPr>
        <w:pStyle w:val="BookText"/>
        <w:rPr/>
      </w:pPr>
      <w:r>
        <w:rPr>
          <w:rFonts w:ascii="Amiri" w:hAnsi="Amiri" w:eastAsia="Amiri" w:cs="Amiri"/>
          <w:color w:val="111111"/>
          <w:sz w:val="28"/>
          <w:sz w:val="28"/>
          <w:szCs w:val="28"/>
          <w:rtl w:val="true"/>
          <w:lang w:bidi="ar-SA"/>
        </w:rPr>
        <w:t xml:space="preserve">فأمّا اتّباعُ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ما قَدَّمناه مِن مُواقَعةِ الخَطَإ و فِعلِ القبيحِ لَحِقَ بطريقتِنا، و إن</w:t>
      </w:r>
      <w:r>
        <w:rPr>
          <w:rStyle w:val="FootnoteAnchor"/>
          <w:rtl w:val="true"/>
        </w:rPr>
        <w:footnoteReference w:id="1375"/>
      </w:r>
      <w:r>
        <w:rPr>
          <w:rFonts w:ascii="Amiri" w:hAnsi="Amiri" w:eastAsia="Amiri" w:cs="Amiri"/>
          <w:color w:val="111111"/>
          <w:sz w:val="28"/>
          <w:sz w:val="28"/>
          <w:szCs w:val="28"/>
          <w:rtl w:val="true"/>
          <w:lang w:bidi="ar-SA"/>
        </w:rPr>
        <w:t>لَم يُرَدْ ذلكَ فلا مَعنىٰ له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828646_2320776876"/>
      <w:bookmarkStart w:id="531" w:name="_Toc188"/>
      <w:bookmarkEnd w:id="530"/>
      <w:r>
        <w:rPr>
          <w:rtl w:val="true"/>
        </w:rPr>
        <w:t>التقرير الصحيح للاستدلال بجواز الشُّبَه علىٰ وجوب الإمامة</w:t>
      </w:r>
      <w:bookmarkEnd w:id="53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جوازُ الشُّبَهِ، فما نَعرِفُ </w:t>
      </w:r>
      <w:r>
        <w:rPr>
          <w:rStyle w:val="FootnoteAnchor"/>
          <w:rtl w:val="true"/>
        </w:rPr>
        <w:footnoteReference w:id="1376"/>
      </w:r>
      <w:r>
        <w:rPr>
          <w:rFonts w:ascii="Amiri" w:hAnsi="Amiri" w:eastAsia="Amiri" w:cs="Amiri"/>
          <w:color w:val="111111"/>
          <w:sz w:val="28"/>
          <w:sz w:val="28"/>
          <w:szCs w:val="28"/>
          <w:rtl w:val="true"/>
          <w:lang w:bidi="ar-SA"/>
        </w:rPr>
        <w:t>أحَداً مِن أصحابِنا تَعلَّقَ به، لا سِيَّما علىٰ هذا الإطلاقِ و مِن هذا الوجهِ ؛ لأنّ ما دَلالتُه ثابتةٌ مِن العقليّاتِ و الشَّرعيّاتِ لا يُخِلُّ دخولُ الشُّبهةِ علىٰ مَن تَدخُلُ عليه بإمكانِ التوَصُّلِ إليه و مَعرفةِ الحَقِّ منه، و إنّما تُخِلُّ الشُّبهةُ بالحُجّةِ و يُفتَقَرُ إلَى الإمامِ إذا دَخَلَت علىٰ ناقِلي</w:t>
      </w:r>
      <w:r>
        <w:rPr>
          <w:rStyle w:val="FootnoteAnchor"/>
          <w:rtl w:val="true"/>
        </w:rPr>
        <w:footnoteReference w:id="1377"/>
      </w:r>
      <w:r>
        <w:rPr>
          <w:rFonts w:ascii="Amiri" w:hAnsi="Amiri" w:eastAsia="Amiri" w:cs="Amiri"/>
          <w:color w:val="111111"/>
          <w:sz w:val="28"/>
          <w:sz w:val="28"/>
          <w:szCs w:val="28"/>
          <w:rtl w:val="true"/>
          <w:lang w:bidi="ar-SA"/>
        </w:rPr>
        <w:t xml:space="preserve">الأخبارِ و أَوجَبَت </w:t>
      </w:r>
      <w:bookmarkStart w:id="532" w:name="pg20044_770948"/>
    </w:p>
    <w:p>
      <w:pPr>
        <w:pStyle w:val="BookText"/>
        <w:rPr/>
      </w:pPr>
      <w:bookmarkEnd w:id="532"/>
      <w:r>
        <w:rPr>
          <w:rFonts w:ascii="Amiri" w:hAnsi="Amiri" w:eastAsia="Amiri" w:cs="Amiri"/>
          <w:color w:val="111111"/>
          <w:sz w:val="28"/>
          <w:sz w:val="28"/>
          <w:szCs w:val="28"/>
          <w:rtl w:val="true"/>
          <w:lang w:bidi="ar-SA"/>
        </w:rPr>
        <w:t>عُدولَهم عن النَّقلِ و سُقوطَ الحُجّةِ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الوجهِ يَستَقيمُ التَّعَلُّقُ بدُخولِ الشُّبهةِ ، لا مِن الوجهِ الذي تَوهَّمَه صاحبُ الكتابِ و 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فَصلٍ لا يَقتَضي نَقضاً </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Style w:val="FootnoteAnchor"/>
          <w:rtl w:val="true"/>
        </w:rPr>
        <w:footnoteReference w:id="1379"/>
      </w:r>
      <w:r>
        <w:rPr>
          <w:rFonts w:ascii="Amiri" w:hAnsi="Amiri" w:eastAsia="Amiri" w:cs="Amiri"/>
          <w:color w:val="111111"/>
          <w:sz w:val="28"/>
          <w:sz w:val="28"/>
          <w:szCs w:val="28"/>
          <w:rtl w:val="true"/>
          <w:lang w:bidi="ar-SA"/>
        </w:rPr>
        <w:t xml:space="preserve">لهم فيما ادَّعَوه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أيُمكِنُكم</w:t>
      </w:r>
      <w:r>
        <w:rPr>
          <w:rStyle w:val="FootnoteAnchor"/>
          <w:rtl w:val="true"/>
        </w:rPr>
        <w:footnoteReference w:id="1381"/>
      </w:r>
      <w:r>
        <w:rPr>
          <w:rFonts w:ascii="Amiri" w:hAnsi="Amiri" w:eastAsia="Amiri" w:cs="Amiri"/>
          <w:color w:val="111111"/>
          <w:sz w:val="28"/>
          <w:sz w:val="28"/>
          <w:szCs w:val="28"/>
          <w:rtl w:val="true"/>
          <w:lang w:bidi="ar-SA"/>
        </w:rPr>
        <w:t>مع ثَباتِه</w:t>
      </w:r>
      <w:r>
        <w:rPr>
          <w:rStyle w:val="FootnoteAnchor"/>
          <w:rtl w:val="true"/>
        </w:rPr>
        <w:footnoteReference w:id="1382"/>
      </w:r>
      <w:r>
        <w:rPr>
          <w:rFonts w:ascii="Amiri" w:hAnsi="Amiri" w:eastAsia="Amiri" w:cs="Amiri"/>
          <w:color w:val="111111"/>
          <w:sz w:val="28"/>
          <w:sz w:val="28"/>
          <w:szCs w:val="28"/>
          <w:rtl w:val="true"/>
          <w:lang w:bidi="ar-SA"/>
        </w:rPr>
        <w:t>القيامُ بما كُلِّفتُموه ؟</w:t>
      </w:r>
      <w:r>
        <w:rPr>
          <w:rStyle w:val="FootnoteAnchor"/>
          <w:rtl w:val="true"/>
        </w:rPr>
        <w:footnoteReference w:id="1383"/>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حاجةَ بِهم</w:t>
      </w:r>
      <w:r>
        <w:rPr>
          <w:rStyle w:val="FootnoteAnchor"/>
          <w:rtl w:val="true"/>
        </w:rPr>
        <w:footnoteReference w:id="1384"/>
      </w:r>
      <w:r>
        <w:rPr>
          <w:rFonts w:ascii="Amiri" w:hAnsi="Amiri" w:eastAsia="Amiri" w:cs="Amiri"/>
          <w:color w:val="111111"/>
          <w:sz w:val="28"/>
          <w:sz w:val="28"/>
          <w:szCs w:val="28"/>
          <w:rtl w:val="true"/>
          <w:lang w:bidi="ar-SA"/>
        </w:rPr>
        <w:t xml:space="preserve">إلَى الإمامِ </w:t>
      </w:r>
      <w:r>
        <w:rPr>
          <w:rStyle w:val="FootnoteAnchor"/>
          <w:rtl w:val="true"/>
        </w:rPr>
        <w:footnoteReference w:id="1385"/>
      </w:r>
      <w:r>
        <w:rPr>
          <w:rFonts w:ascii="Amiri" w:hAnsi="Amiri" w:eastAsia="Amiri" w:cs="Amiri"/>
          <w:color w:val="111111"/>
          <w:sz w:val="28"/>
          <w:sz w:val="28"/>
          <w:szCs w:val="28"/>
          <w:rtl w:val="true"/>
          <w:lang w:bidi="ar-SA"/>
        </w:rPr>
        <w:t xml:space="preserve">و إن كانَ النَّقصُ قائماً؛ لأنّ النَّقصَ في هذا الوجهِ بمَنزِلةِ وَصفِهم بأنّهم أجسامٌ و مُحدَثونَ إلىٰ غيرِ ذلكَ ممّا لا يؤثِّرُ في هذا البابِ </w:t>
      </w:r>
      <w:r>
        <w:rPr>
          <w:rFonts w:eastAsia="Amiri" w:cs="Amiri" w:ascii="Amiri" w:hAnsi="Amiri"/>
          <w:color w:val="111111"/>
          <w:sz w:val="28"/>
          <w:szCs w:val="28"/>
          <w:rtl w:val="true"/>
          <w:lang w:bidi="ar-SA"/>
        </w:rPr>
        <w:t>.</w:t>
      </w:r>
      <w:r>
        <w:rPr>
          <w:rStyle w:val="FootnoteAnchor"/>
          <w:rtl w:val="true"/>
        </w:rPr>
        <w:footnoteReference w:id="1386"/>
      </w:r>
    </w:p>
    <w:p>
      <w:pPr>
        <w:pStyle w:val="Heading5"/>
        <w:numPr>
          <w:ilvl w:val="4"/>
          <w:numId w:val="1"/>
        </w:numPr>
        <w:rPr/>
      </w:pPr>
      <w:bookmarkStart w:id="533" w:name="__RefHeading___Toc828648_2320776876"/>
      <w:bookmarkStart w:id="534" w:name="_Toc189"/>
      <w:bookmarkEnd w:id="533"/>
      <w:r>
        <w:rPr>
          <w:rtl w:val="true"/>
        </w:rPr>
        <w:t>استلزام وجودِ النقص بين الناس حاجتَهم إلى الإمام، على تفصيل في ذلك</w:t>
      </w:r>
      <w:bookmarkEnd w:id="53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المُرادَ بلفظةِ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فإن أرَدتَ بسؤالِكَ عن تَمَكُّنِهم مِن القيامِ بما كُلِّفوه مع ثَباتِه</w:t>
      </w:r>
      <w:r>
        <w:rPr>
          <w:rFonts w:eastAsia="Amiri" w:cs="Amiri" w:ascii="Amiri" w:hAnsi="Amiri"/>
          <w:color w:val="111111"/>
          <w:sz w:val="28"/>
          <w:szCs w:val="28"/>
          <w:rtl w:val="true"/>
          <w:lang w:bidi="ar-SA"/>
        </w:rPr>
        <w:t>:</w:t>
      </w:r>
      <w:r>
        <w:rPr>
          <w:rStyle w:val="FootnoteAnchor"/>
          <w:rtl w:val="true"/>
        </w:rPr>
        <w:footnoteReference w:id="1389"/>
      </w:r>
      <w:r>
        <w:rPr>
          <w:rFonts w:ascii="Amiri" w:hAnsi="Amiri" w:eastAsia="Amiri" w:cs="Amiri"/>
          <w:color w:val="111111"/>
          <w:sz w:val="28"/>
          <w:sz w:val="28"/>
          <w:szCs w:val="28"/>
          <w:rtl w:val="true"/>
          <w:lang w:bidi="ar-SA"/>
        </w:rPr>
        <w:t>أنّ ذلكَ مقدورٌ لهم و أنّه لا</w:t>
      </w:r>
      <w:r>
        <w:rPr>
          <w:rStyle w:val="FootnoteAnchor"/>
          <w:rtl w:val="true"/>
        </w:rPr>
        <w:footnoteReference w:id="1390"/>
      </w:r>
      <w:r>
        <w:rPr>
          <w:rFonts w:ascii="Amiri" w:hAnsi="Amiri" w:eastAsia="Amiri" w:cs="Amiri"/>
          <w:color w:val="111111"/>
          <w:sz w:val="28"/>
          <w:sz w:val="28"/>
          <w:szCs w:val="28"/>
          <w:rtl w:val="true"/>
          <w:lang w:bidi="ar-SA"/>
        </w:rPr>
        <w:t>حائلَ بَينَهم و بَينَه، فهُم كذلك</w:t>
      </w:r>
      <w:r>
        <w:rPr>
          <w:rFonts w:eastAsia="Amiri" w:cs="Amiri" w:ascii="Amiri" w:hAnsi="Amiri"/>
          <w:color w:val="111111"/>
          <w:sz w:val="28"/>
          <w:szCs w:val="28"/>
          <w:rtl w:val="true"/>
          <w:lang w:bidi="ar-SA"/>
        </w:rPr>
        <w:t xml:space="preserve">. </w:t>
      </w:r>
      <w:bookmarkStart w:id="535" w:name="pg20044_770949"/>
    </w:p>
    <w:p>
      <w:pPr>
        <w:pStyle w:val="BookText"/>
        <w:rPr/>
      </w:pPr>
      <w:bookmarkEnd w:id="535"/>
      <w:r>
        <w:rPr>
          <w:rFonts w:ascii="Amiri" w:hAnsi="Amiri" w:eastAsia="Amiri" w:cs="Amiri"/>
          <w:color w:val="111111"/>
          <w:sz w:val="28"/>
          <w:sz w:val="28"/>
          <w:szCs w:val="28"/>
          <w:rtl w:val="true"/>
          <w:lang w:bidi="ar-SA"/>
        </w:rPr>
        <w:t>و إن أرَدتَ أنّ حالَهم مع ثُبوتِ هذا النَّقصِ و فَقدِ الإمامِ كحالِهم مع وجودِ الإمامِ في القُربِ مِن الصَّلاحِ و البُعدِ مِن الفَسادِ و في كُلِّ ما يَرجِعُ إلىٰ إزاحةِ‌</w:t>
      </w:r>
      <w:r>
        <w:rPr>
          <w:rStyle w:val="FootnoteAnchor"/>
          <w:rtl w:val="true"/>
        </w:rPr>
        <w:footnoteReference w:id="1391"/>
      </w:r>
      <w:r>
        <w:rPr>
          <w:rFonts w:ascii="Amiri" w:hAnsi="Amiri" w:eastAsia="Amiri" w:cs="Amiri"/>
          <w:color w:val="111111"/>
          <w:sz w:val="28"/>
          <w:sz w:val="28"/>
          <w:szCs w:val="28"/>
          <w:rtl w:val="true"/>
          <w:lang w:bidi="ar-SA"/>
        </w:rPr>
        <w:t>العِلّةِ، فلَيسَ هُم كذلكَ ؛ لأنّا قد دَلَّلنا علىٰ أنّ وجودَ الإمامِ لُطفٌ فيما عَدَّدناه</w:t>
      </w:r>
      <w:r>
        <w:rPr>
          <w:rStyle w:val="FootnoteAnchor"/>
          <w:rtl w:val="true"/>
        </w:rPr>
        <w:footnoteReference w:id="1392"/>
      </w:r>
      <w:r>
        <w:rPr>
          <w:rFonts w:ascii="Amiri" w:hAnsi="Amiri" w:eastAsia="Amiri" w:cs="Amiri"/>
          <w:color w:val="111111"/>
          <w:sz w:val="28"/>
          <w:sz w:val="28"/>
          <w:szCs w:val="28"/>
          <w:rtl w:val="true"/>
          <w:lang w:bidi="ar-SA"/>
        </w:rPr>
        <w:t xml:space="preserve">، فلَيسَ </w:t>
      </w:r>
      <w:r>
        <w:rPr>
          <w:rStyle w:val="FootnoteAnchor"/>
          <w:rtl w:val="true"/>
        </w:rPr>
        <w:footnoteReference w:id="1393"/>
      </w:r>
      <w:r>
        <w:rPr>
          <w:rFonts w:ascii="Amiri" w:hAnsi="Amiri" w:eastAsia="Amiri" w:cs="Amiri"/>
          <w:color w:val="111111"/>
          <w:sz w:val="28"/>
          <w:sz w:val="28"/>
          <w:szCs w:val="28"/>
          <w:rtl w:val="true"/>
          <w:lang w:bidi="ar-SA"/>
        </w:rPr>
        <w:t>يَجوزُ أن يَكونَ حالُ المُكلَّفينَ مع فَقدِه مُساويةً لِحالِهم مع وجودِه، و إن كانوا في الحالَينِ قادِرينَ علىٰ فِعلِ ما كُلِّفوا به و مُجانَبةِ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ظَنِّكَ أنّ وَصفَهم بالنَّقصِ بمَنزِلةِ وَصفِهم بأنّهم أجسامٌ و مُحدَثونَ ؛ لأنّ </w:t>
      </w:r>
      <w:r>
        <w:rPr>
          <w:rStyle w:val="FootnoteAnchor"/>
          <w:rtl w:val="true"/>
        </w:rPr>
        <w:footnoteReference w:id="1394"/>
      </w:r>
      <w:r>
        <w:rPr>
          <w:rFonts w:ascii="Amiri" w:hAnsi="Amiri" w:eastAsia="Amiri" w:cs="Amiri"/>
          <w:color w:val="111111"/>
          <w:sz w:val="28"/>
          <w:sz w:val="28"/>
          <w:szCs w:val="28"/>
          <w:rtl w:val="true"/>
          <w:lang w:bidi="ar-SA"/>
        </w:rPr>
        <w:t>وَصفَهم بما ذَكَرتَه لا تأثيرَ له فيما قَصَدناه، و وَصفَهم بالنَّقصِ مؤثِّرٌ علَى الوجهِ الذي فَصَّلنا الكلامَ فيه</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828650_2320776876"/>
      <w:bookmarkStart w:id="537" w:name="_Toc190"/>
      <w:bookmarkEnd w:id="536"/>
      <w:r>
        <w:rPr>
          <w:rtl w:val="true"/>
        </w:rPr>
        <w:t>عدم اقتضاء كون الإمام لطفاً نفيَ القدرة عن اللّٰه تعالىٰ</w:t>
      </w:r>
      <w:bookmarkEnd w:id="537"/>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مِنه تَعالىٰ رَفعُ هذا النَّقصِ بغَيرِ إمامٍ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فقَد جَعَلوا للإمامِ مِن القُدرةِ ما لَم يَجعَلوه للّٰهِ تَعالىٰ </w:t>
      </w:r>
      <w:r>
        <w:rPr>
          <w:rFonts w:eastAsia="Amiri" w:cs="Amiri" w:ascii="Amiri" w:hAnsi="Amiri"/>
          <w:color w:val="111111"/>
          <w:sz w:val="28"/>
          <w:szCs w:val="28"/>
          <w:rtl w:val="true"/>
          <w:lang w:bidi="ar-SA"/>
        </w:rPr>
        <w:t>....</w:t>
      </w:r>
      <w:r>
        <w:rPr>
          <w:rStyle w:val="FootnoteAnchor"/>
          <w:rtl w:val="true"/>
        </w:rPr>
        <w:footnoteReference w:id="1396"/>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أَبيَنَ فَسادَ هذا الكلامِ و أَقبَحَ صورةَ </w:t>
      </w:r>
      <w:r>
        <w:rPr>
          <w:rStyle w:val="FootnoteAnchor"/>
          <w:rtl w:val="true"/>
        </w:rPr>
        <w:footnoteReference w:id="1397"/>
      </w:r>
      <w:r>
        <w:rPr>
          <w:rFonts w:ascii="Amiri" w:hAnsi="Amiri" w:eastAsia="Amiri" w:cs="Amiri"/>
          <w:color w:val="111111"/>
          <w:sz w:val="28"/>
          <w:sz w:val="28"/>
          <w:szCs w:val="28"/>
          <w:rtl w:val="true"/>
          <w:lang w:bidi="ar-SA"/>
        </w:rPr>
        <w:t>المُتَعلِّقِ به</w:t>
      </w:r>
      <w:r>
        <w:rPr>
          <w:rStyle w:val="FootnoteAnchor"/>
          <w:rtl w:val="true"/>
        </w:rPr>
        <w:footnoteReference w:id="1398"/>
      </w:r>
      <w:r>
        <w:rPr>
          <w:rFonts w:ascii="Amiri" w:hAnsi="Amiri" w:eastAsia="Amiri" w:cs="Amiri"/>
          <w:color w:val="111111"/>
          <w:sz w:val="28"/>
          <w:sz w:val="28"/>
          <w:szCs w:val="28"/>
          <w:rtl w:val="true"/>
          <w:lang w:bidi="ar-SA"/>
        </w:rPr>
        <w:t xml:space="preserve">لأنّكَ ظَنَنتَ أنّ </w:t>
      </w:r>
    </w:p>
    <w:p>
      <w:pPr>
        <w:pStyle w:val="BookText"/>
        <w:rPr/>
      </w:pPr>
      <w:r>
        <w:rPr>
          <w:rFonts w:ascii="Amiri" w:hAnsi="Amiri" w:eastAsia="Amiri" w:cs="Amiri"/>
          <w:color w:val="111111"/>
          <w:sz w:val="28"/>
          <w:sz w:val="28"/>
          <w:szCs w:val="28"/>
          <w:rtl w:val="true"/>
          <w:lang w:bidi="ar-SA"/>
        </w:rPr>
        <w:t>النَّقصَ إذا لَم يَرتَفِعْ إلّابإمامٍ‌</w:t>
      </w:r>
      <w:r>
        <w:rPr>
          <w:rStyle w:val="FootnoteAnchor"/>
          <w:rtl w:val="true"/>
        </w:rPr>
        <w:footnoteReference w:id="1399"/>
      </w:r>
      <w:r>
        <w:rPr>
          <w:rFonts w:ascii="Amiri" w:hAnsi="Amiri" w:eastAsia="Amiri" w:cs="Amiri"/>
          <w:color w:val="111111"/>
          <w:sz w:val="28"/>
          <w:sz w:val="28"/>
          <w:szCs w:val="28"/>
          <w:rtl w:val="true"/>
          <w:lang w:bidi="ar-SA"/>
        </w:rPr>
        <w:t>و لَم يَقُمْ فيه مَقامَه غيرُه، أنّ ذلكَ وصفٌ له بالقُدرةِ علىٰ ما لا يَقدِرُ اللّٰهُ تَعالىٰ عليه</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تَظُنُّ‌</w:t>
      </w:r>
      <w:r>
        <w:rPr>
          <w:rStyle w:val="FootnoteAnchor"/>
          <w:rtl w:val="true"/>
        </w:rPr>
        <w:footnoteReference w:id="1401"/>
      </w:r>
      <w:r>
        <w:rPr>
          <w:rFonts w:ascii="Amiri" w:hAnsi="Amiri" w:eastAsia="Amiri" w:cs="Amiri"/>
          <w:color w:val="111111"/>
          <w:sz w:val="28"/>
          <w:sz w:val="28"/>
          <w:szCs w:val="28"/>
          <w:rtl w:val="true"/>
          <w:lang w:bidi="ar-SA"/>
        </w:rPr>
        <w:t>ذلكَ مع مَذهَبِكَ المعروفِ في اللُّطفِ، و أنّه غيرُ مُمتَنِعٍ عندَكَ أن يَعلَمَ اللّٰهُ تَعالىٰ أنّ شيئاً يَصلُحُ المكلَّفُ عندَه لا يَقومُ غيرُه مِن جميعِ الأشياءِ في مَصلَحَتِه</w:t>
      </w:r>
      <w:r>
        <w:rPr>
          <w:rStyle w:val="FootnoteAnchor"/>
          <w:rtl w:val="true"/>
        </w:rPr>
        <w:footnoteReference w:id="1402"/>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لكَ قائلٌ في معرفةِ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أحَدُ الألطافِ عندَكَ‌</w:t>
      </w:r>
      <w:r>
        <w:rPr>
          <w:rStyle w:val="FootnoteAnchor"/>
          <w:rtl w:val="true"/>
        </w:rPr>
        <w:footnoteReference w:id="1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المعرفةِ مِن جميعِ الأشياءِ لا يَقومُ في مَصلَحةِ المُكلَّفِ مَقامَ المعرفةِ، فقَد جَعَلتَ للمعرفةِ مِن الحَظِّ و القدرةِ في صَلاحِ المُكلَّفِ ما لَم تَجعَلْه للّٰهِ تَعالىٰ </w:t>
      </w:r>
      <w:r>
        <w:rPr>
          <w:rFonts w:eastAsia="Amiri" w:cs="Amiri" w:ascii="Amiri" w:hAnsi="Amiri"/>
          <w:color w:val="111111"/>
          <w:sz w:val="28"/>
          <w:szCs w:val="28"/>
          <w:rtl w:val="true"/>
          <w:lang w:bidi="ar-SA"/>
        </w:rPr>
        <w:t>»</w:t>
      </w:r>
      <w:r>
        <w:rPr>
          <w:rStyle w:val="FootnoteAnchor"/>
          <w:rtl w:val="true"/>
        </w:rPr>
        <w:footnoteReference w:id="1404"/>
      </w:r>
      <w:r>
        <w:rPr>
          <w:rFonts w:ascii="IRNazanin" w:hAnsi="IRNazanin" w:eastAsia="IRNazanin"/>
          <w:color w:val="111111"/>
          <w:sz w:val="28"/>
          <w:sz w:val="28"/>
          <w:szCs w:val="28"/>
          <w:rtl w:val="true"/>
          <w:lang w:bidi="fa-IR"/>
        </w:rPr>
        <w:t>، ما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بل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سبحانه أن يجعلهم معصومين فيرتفع النقص حينئذ من غير افتقار و حاجة إلىٰ 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يخرج المكلّف عن حدّ التكليف؛ لأنّ العصمة إنّما تمكن مع الجبر على الطاعات و الحفظ عن اجتناب المقبّحات، لا مع بقاء الاختيار لهم و تفويض الأمر إلىٰ آرائهم؛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لمّا كان مشتملاً علىٰ جواز الشُّبه و الجهل بالمعارف الدينيّة، فلا طريق إلىٰ رفعها سوىٰ نصب الإمام العالم بجميع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الإلهام فلا يصير؛ إذ لعلّ المقصود أن يسعى المكلّف في تحصيل المعارف و يشقىٰ في كسبها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هذا كلام لا يخفىٰ على المتأمّل</w:t>
      </w:r>
      <w:r>
        <w:rPr>
          <w:rFonts w:eastAsia="Amiri" w:cs="Amiri" w:ascii="Amiri" w:hAnsi="Amiri"/>
          <w:color w:val="111111"/>
          <w:sz w:val="28"/>
          <w:szCs w:val="28"/>
          <w:rtl w:val="true"/>
          <w:lang w:bidi="ar-SA"/>
        </w:rPr>
        <w:t xml:space="preserve">». </w:t>
      </w:r>
      <w:bookmarkStart w:id="538" w:name="pg20044_770951"/>
    </w:p>
    <w:p>
      <w:pPr>
        <w:pStyle w:val="BookText"/>
        <w:rPr/>
      </w:pPr>
      <w:bookmarkEnd w:id="538"/>
      <w:r>
        <w:rPr>
          <w:rFonts w:ascii="Amiri" w:hAnsi="Amiri" w:eastAsia="Amiri" w:cs="Amiri"/>
          <w:color w:val="111111"/>
          <w:sz w:val="28"/>
          <w:sz w:val="28"/>
          <w:szCs w:val="28"/>
          <w:rtl w:val="true"/>
          <w:lang w:bidi="ar-SA"/>
        </w:rPr>
        <w:t xml:space="preserve">كانَ يَكونُ جَوابُك؟ و ما نَظُنُّ </w:t>
      </w:r>
      <w:r>
        <w:rPr>
          <w:rStyle w:val="FootnoteAnchor"/>
          <w:rtl w:val="true"/>
        </w:rPr>
        <w:footnoteReference w:id="1405"/>
      </w:r>
      <w:r>
        <w:rPr>
          <w:rFonts w:ascii="Amiri" w:hAnsi="Amiri" w:eastAsia="Amiri" w:cs="Amiri"/>
          <w:color w:val="111111"/>
          <w:sz w:val="28"/>
          <w:sz w:val="28"/>
          <w:szCs w:val="28"/>
          <w:rtl w:val="true"/>
          <w:lang w:bidi="ar-SA"/>
        </w:rPr>
        <w:t xml:space="preserve">إن قالَ </w:t>
      </w:r>
      <w:r>
        <w:rPr>
          <w:rStyle w:val="FootnoteAnchor"/>
          <w:rtl w:val="true"/>
        </w:rPr>
        <w:footnoteReference w:id="1406"/>
      </w:r>
      <w:r>
        <w:rPr>
          <w:rFonts w:ascii="Amiri" w:hAnsi="Amiri" w:eastAsia="Amiri" w:cs="Amiri"/>
          <w:color w:val="111111"/>
          <w:sz w:val="28"/>
          <w:sz w:val="28"/>
          <w:szCs w:val="28"/>
          <w:rtl w:val="true"/>
          <w:lang w:bidi="ar-SA"/>
        </w:rPr>
        <w:t xml:space="preserve">قائلٌ </w:t>
      </w:r>
      <w:r>
        <w:rPr>
          <w:rStyle w:val="FootnoteAnchor"/>
          <w:rtl w:val="true"/>
        </w:rPr>
        <w:footnoteReference w:id="1407"/>
      </w:r>
      <w:r>
        <w:rPr>
          <w:rFonts w:ascii="Amiri" w:hAnsi="Amiri" w:eastAsia="Amiri" w:cs="Amiri"/>
          <w:color w:val="111111"/>
          <w:sz w:val="28"/>
          <w:sz w:val="28"/>
          <w:szCs w:val="28"/>
          <w:rtl w:val="true"/>
          <w:lang w:bidi="ar-SA"/>
        </w:rPr>
        <w:t>هذا لكَ يَستَحِقُّ عَلَيكَ جَواباً، بَل يَكونُ مَكانَ جَوابِه التعجُّبُ مِن غَفلتِه، و حَمدُ اللّٰهِ تَعالىٰ علَى التنزيهِ عن مَنزِلتِه</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828652_2320776876"/>
      <w:bookmarkStart w:id="540" w:name="_Toc191"/>
      <w:bookmarkEnd w:id="539"/>
      <w:r>
        <w:rPr>
          <w:rtl w:val="true"/>
        </w:rPr>
        <w:t>بيان دقيق في كيفيّة الاستدلال بالنقص علىٰ وجوب الإمام</w:t>
      </w:r>
      <w:bookmarkEnd w:id="540"/>
    </w:p>
    <w:p>
      <w:pPr>
        <w:pStyle w:val="BookText"/>
        <w:rPr/>
      </w:pPr>
      <w:r>
        <w:rPr>
          <w:rFonts w:ascii="Amiri" w:hAnsi="Amiri" w:eastAsia="Amiri" w:cs="Amiri"/>
          <w:color w:val="111111"/>
          <w:sz w:val="28"/>
          <w:sz w:val="28"/>
          <w:szCs w:val="28"/>
          <w:rtl w:val="true"/>
          <w:lang w:bidi="ar-SA"/>
        </w:rPr>
        <w:t xml:space="preserve">علىٰ أنّ مَن تَعلَّقَ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به ما فسَّرناه مِن ارتفاعِ العصمةِ و جوازِ فعلِ القبيحِ‌</w:t>
      </w:r>
      <w:r>
        <w:rPr>
          <w:rStyle w:val="FootnoteAnchor"/>
          <w:rtl w:val="true"/>
        </w:rPr>
        <w:footnoteReference w:id="1408"/>
      </w:r>
      <w:r>
        <w:rPr>
          <w:rFonts w:ascii="Amiri" w:hAnsi="Amiri" w:eastAsia="Amiri" w:cs="Amiri"/>
          <w:color w:val="111111"/>
          <w:sz w:val="28"/>
          <w:sz w:val="28"/>
          <w:szCs w:val="28"/>
          <w:rtl w:val="true"/>
          <w:lang w:bidi="ar-SA"/>
        </w:rPr>
        <w:t>لا يَجوزُ له أن يوجِبَ الإمامَ ليَرفَعَ النقصَ؛ لأنّه معلومٌ أنّ وجودَه لَيسَ يُدخِلُهم في العصمةِ، اللّهمّ إلّاأن يَجعَلَ وجودَه رافعاً لمقتضَى النقصِ و هو فِعلُ القبائحِ،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يَرتفِعُ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مقتضاه؛ فيَصِحُّ الكلامُ 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يُريدَ بالنقصِ في الأصلِ فِعلَ القبيحِ الذي هو غيرُ مأمونٍ مع فَقدِ الرؤَساءِ ، و معلومٌ أنّ وجودَهم يَرفَعُه أو يُقلِّلُه؛ فيَصِحُّ علىٰ هذا الوجهِ القولُ بأنّ وجودَه يَرفَعُ النقصَ ، و إن كانَ المَعنَى الأوّلُ أشبَهَ و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كَونَ الإمامِ حُجَّةً باضطِرارٍ أو باستدلالٍ؟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باضطِرارٍ و نَقصُهم لا يؤثِّرُ في ذلكَ ،</w:t>
      </w:r>
      <w:r>
        <w:rPr>
          <w:rStyle w:val="FootnoteAnchor"/>
          <w:rtl w:val="true"/>
        </w:rPr>
        <w:footnoteReference w:id="1409"/>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فجَوِّزوا في سائرِ أُمورِ الدِّينِ أن تَعلَموه باضطِرارٍ و لا يَقدَحَ </w:t>
      </w:r>
      <w:r>
        <w:rPr>
          <w:rStyle w:val="FootnoteAnchor"/>
          <w:rtl w:val="true"/>
        </w:rPr>
        <w:footnoteReference w:id="1410"/>
      </w:r>
      <w:r>
        <w:rPr>
          <w:rFonts w:ascii="Amiri" w:hAnsi="Amiri" w:eastAsia="Amiri" w:cs="Amiri"/>
          <w:color w:val="111111"/>
          <w:sz w:val="28"/>
          <w:sz w:val="28"/>
          <w:szCs w:val="28"/>
          <w:rtl w:val="true"/>
          <w:lang w:bidi="ar-SA"/>
        </w:rPr>
        <w:t>النقصُ فيه</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141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باستدلالٍ،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فنَقصُهم يَمنَعُ مِن قيامِهم بما كُلِّفوه مِن الاستدلالِ علىٰ كَونِه حُجّةً؟</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141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لَزِمَت</w:t>
      </w:r>
      <w:r>
        <w:rPr>
          <w:rStyle w:val="FootnoteAnchor"/>
          <w:rtl w:val="true"/>
        </w:rPr>
        <w:footnoteReference w:id="1414"/>
      </w:r>
      <w:r>
        <w:rPr>
          <w:rFonts w:ascii="Amiri" w:hAnsi="Amiri" w:eastAsia="Amiri" w:cs="Amiri"/>
          <w:color w:val="111111"/>
          <w:sz w:val="28"/>
          <w:sz w:val="28"/>
          <w:szCs w:val="28"/>
          <w:rtl w:val="true"/>
          <w:lang w:bidi="ar-SA"/>
        </w:rPr>
        <w:t>الحاجةُ إلىٰ إمامٍ آخَرَ، ثُمّ الكلامُ فيه كالكلامِ في هذا الإمامِ، و يوجِبُ ذلكَ إثباتَ أئمّةٍ لا أوّلَ لهم، مع أنّهم لا يؤثِّرونَ كما لا يؤثِّرُ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القولِ مِن</w:t>
      </w:r>
      <w:r>
        <w:rPr>
          <w:rStyle w:val="FootnoteAnchor"/>
          <w:rtl w:val="true"/>
        </w:rPr>
        <w:footnoteReference w:id="1415"/>
      </w:r>
      <w:r>
        <w:rPr>
          <w:rFonts w:ascii="Amiri" w:hAnsi="Amiri" w:eastAsia="Amiri" w:cs="Amiri"/>
          <w:color w:val="111111"/>
          <w:sz w:val="28"/>
          <w:sz w:val="28"/>
          <w:szCs w:val="28"/>
          <w:rtl w:val="true"/>
          <w:lang w:bidi="ar-SA"/>
        </w:rPr>
        <w:t>أنّه</w:t>
      </w:r>
      <w:r>
        <w:rPr>
          <w:rStyle w:val="FootnoteAnchor"/>
          <w:rtl w:val="true"/>
        </w:rPr>
        <w:footnoteReference w:id="1416"/>
      </w:r>
      <w:r>
        <w:rPr>
          <w:rFonts w:ascii="Amiri" w:hAnsi="Amiri" w:eastAsia="Amiri" w:cs="Amiri"/>
          <w:color w:val="111111"/>
          <w:sz w:val="28"/>
          <w:sz w:val="28"/>
          <w:szCs w:val="28"/>
          <w:rtl w:val="true"/>
          <w:lang w:bidi="ar-SA"/>
        </w:rPr>
        <w:t>يُمكِنُهم معرفةُ الحُجّةِ و القيامُ بنُصرتِه</w:t>
      </w:r>
      <w:r>
        <w:rPr>
          <w:rStyle w:val="FootnoteAnchor"/>
          <w:rtl w:val="true"/>
        </w:rPr>
        <w:footnoteReference w:id="1417"/>
      </w:r>
      <w:r>
        <w:rPr>
          <w:rFonts w:ascii="Amiri" w:hAnsi="Amiri" w:eastAsia="Amiri" w:cs="Amiri"/>
          <w:color w:val="111111"/>
          <w:sz w:val="28"/>
          <w:sz w:val="28"/>
          <w:szCs w:val="28"/>
          <w:rtl w:val="true"/>
          <w:lang w:bidi="ar-SA"/>
        </w:rPr>
        <w:t>مِن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مِثلَ ذلكَ في سائرِ ما كُلِّفُوه</w:t>
      </w:r>
      <w:r>
        <w:rPr>
          <w:rStyle w:val="FootnoteAnchor"/>
          <w:rtl w:val="true"/>
        </w:rPr>
        <w:footnoteReference w:id="1419"/>
      </w:r>
      <w:r>
        <w:rPr>
          <w:rFonts w:ascii="Amiri" w:hAnsi="Amiri" w:eastAsia="Amiri" w:cs="Amiri"/>
          <w:color w:val="111111"/>
          <w:sz w:val="28"/>
          <w:sz w:val="28"/>
          <w:szCs w:val="28"/>
          <w:rtl w:val="true"/>
          <w:lang w:bidi="ar-SA"/>
        </w:rPr>
        <w:t>و إن كانَ النقصُ قائماً</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الإيجاب ضروريّاً، فليُجوَّز ضروريّة أدقّ مسائل الهيئة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حاشية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منع؛ لأنّه لا يلزم من قدح النقص في بعض المعارف أن يُقدح في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الإمام و إن كان نظريّاً، إلّاأنّ المقدّمات المثبتة له ضروريّة، فلا يقدح النقص في إقامة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اعترفتم بأنّ الجهل قد عمّ الناس حتّىٰ خلفاءكم، مع أنّه غير قادح في المعرفة؛ كيف ؟ و لو كان كذلك لقيل مثله في كلّ نظريّ ؛ لأنّ الجهل القادح في العلم بالنتيجة قادح في الاستدلال، فلا طريق إلى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الضروريّات أنّها لو كانت 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لارتفع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ارتفع العلم و انتفىٰ بقسميه، كما لا يخفىٰ </w:t>
      </w:r>
      <w:r>
        <w:rPr>
          <w:rFonts w:eastAsia="Amiri" w:cs="Amiri" w:ascii="Amiri" w:hAnsi="Amiri"/>
          <w:color w:val="111111"/>
          <w:sz w:val="28"/>
          <w:szCs w:val="28"/>
          <w:rtl w:val="true"/>
          <w:lang w:bidi="ar-SA"/>
        </w:rPr>
        <w:t xml:space="preserve">». </w:t>
      </w:r>
      <w:bookmarkStart w:id="541" w:name="pg20044_770953"/>
    </w:p>
    <w:p>
      <w:pPr>
        <w:pStyle w:val="Heading5"/>
        <w:numPr>
          <w:ilvl w:val="4"/>
          <w:numId w:val="1"/>
        </w:numPr>
        <w:rPr/>
      </w:pPr>
      <w:bookmarkStart w:id="542" w:name="__RefHeading___Toc828654_2320776876"/>
      <w:bookmarkStart w:id="543" w:name="_Toc192"/>
      <w:bookmarkEnd w:id="541"/>
      <w:bookmarkEnd w:id="542"/>
      <w:r>
        <w:rPr>
          <w:rtl w:val="true"/>
        </w:rPr>
        <w:t>عدم المنافاة بين العلم الضروريّ بأُمور الدين، و الحاجة إلى الإمام</w:t>
      </w:r>
      <w:bookmarkEnd w:id="543"/>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هذا مَبنيٌّ علىٰ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تَوَهُّمُكَ عَلَينا إيجابَ الحاجةِ إلَى الإمامِ لنَعلَمَ عندَ وجودِه ما لا نَعلَمُه</w:t>
      </w:r>
      <w:r>
        <w:rPr>
          <w:rStyle w:val="FootnoteAnchor"/>
          <w:rtl w:val="true"/>
        </w:rPr>
        <w:footnoteReference w:id="1421"/>
      </w:r>
      <w:r>
        <w:rPr>
          <w:rFonts w:ascii="Amiri" w:hAnsi="Amiri" w:eastAsia="Amiri" w:cs="Amiri"/>
          <w:color w:val="111111"/>
          <w:sz w:val="28"/>
          <w:sz w:val="28"/>
          <w:szCs w:val="28"/>
          <w:rtl w:val="true"/>
          <w:lang w:bidi="ar-SA"/>
        </w:rPr>
        <w:t>عندَ فَقدِه، فقَد بيّنّا كَيفَ قولُنا في هذا و فَصَّلناه، و كَشَفنا عن غرضِ مَن أطلَقَه و أنّ التقييدَ واجبٌ فيه</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أنّكَ أرَدتَ ما حَكَيناه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فجَوِّزوا في سائرِ أُمورِ الدِّينِ أن تَعلَموه باضطِرارٍ و لا يَقدَحَ النقصُ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عَلِمنا سائرَ أُمورِ الدِّينِ باضطِرارٍ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الحاجةُ إلى الإمامِ ثابتةً مِن</w:t>
      </w:r>
      <w:r>
        <w:rPr>
          <w:rStyle w:val="FootnoteAnchor"/>
          <w:rtl w:val="true"/>
        </w:rPr>
        <w:footnoteReference w:id="1423"/>
      </w:r>
      <w:r>
        <w:rPr>
          <w:rFonts w:ascii="Amiri" w:hAnsi="Amiri" w:eastAsia="Amiri" w:cs="Amiri"/>
          <w:color w:val="111111"/>
          <w:sz w:val="28"/>
          <w:sz w:val="28"/>
          <w:szCs w:val="28"/>
          <w:rtl w:val="true"/>
          <w:lang w:bidi="ar-SA"/>
        </w:rPr>
        <w:t xml:space="preserve">وجهِ كَونِه لُطفاً في مُجانَبةِ القبيحِ و فِعلِ الواجبِ ، و لَيسَ يَصِحُّ الاستغناءُ عنه و إن عَلِمنا سائرَ الدِّينِ باضطِرارٍ؛ لأنّ الإخلالَ بما عَلِمنا اضطِرارٌ متوَقَّعٌ منّا عندَ فَقدِ الإمامِ ، و لا يمنَعُ </w:t>
      </w:r>
      <w:r>
        <w:rPr>
          <w:rStyle w:val="FootnoteAnchor"/>
          <w:rtl w:val="true"/>
        </w:rPr>
        <w:footnoteReference w:id="1424"/>
      </w:r>
      <w:r>
        <w:rPr>
          <w:rFonts w:ascii="Amiri" w:hAnsi="Amiri" w:eastAsia="Amiri" w:cs="Amiri"/>
          <w:color w:val="111111"/>
          <w:sz w:val="28"/>
          <w:sz w:val="28"/>
          <w:szCs w:val="28"/>
          <w:rtl w:val="true"/>
          <w:lang w:bidi="ar-SA"/>
        </w:rPr>
        <w:t>كَونُنا مضطَرّينَ إلى العِلمِ بوجوبِ الفِعلِ مِن الإخلالِ به، و كونُنا مضطَرّينَ إلىٰ عِلمِ قُبحِه مِن الإقدامِ عليه؛ لأنّ أكثَرَ مَن يُقدِمُ علَى الظُّلمِ و ما جانَسَه مِن القبائحِ يُقدِمُ عليه مع العِلمِ بقُبحِه</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828656_2320776876"/>
      <w:bookmarkStart w:id="545" w:name="_Toc193"/>
      <w:bookmarkEnd w:id="544"/>
      <w:r>
        <w:rPr>
          <w:rtl w:val="true"/>
        </w:rPr>
        <w:t>اختلاف أنواع الألطاف من حيث الخصوص و العموم</w:t>
      </w:r>
      <w:bookmarkEnd w:id="54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ظَنُّكَ أنّ ما كانَ لُطفاً في بعضِ التكاليفِ يَجِبُ أن يَكونَ لُطفاً في جميعِها، و هذا ممّا قد كَشَفنا عنه و عن فَسادِه فيما تَقدَّمَ </w:t>
      </w:r>
      <w:r>
        <w:rPr>
          <w:rStyle w:val="FootnoteAnchor"/>
          <w:rtl w:val="true"/>
        </w:rPr>
        <w:footnoteReference w:id="1425"/>
      </w:r>
      <w:r>
        <w:rPr>
          <w:rFonts w:ascii="Amiri" w:hAnsi="Amiri" w:eastAsia="Amiri" w:cs="Amiri"/>
          <w:color w:val="111111"/>
          <w:sz w:val="28"/>
          <w:sz w:val="28"/>
          <w:szCs w:val="28"/>
          <w:rtl w:val="true"/>
          <w:lang w:bidi="ar-SA"/>
        </w:rPr>
        <w:t xml:space="preserve">، و دَلَّلنا علىٰ أنّه لا يَمتَنِعُ في الألطافِ الخصوصُ و العمومُ ، و الخصوصُ مِن وجهٍ و العمومُ مِن وجهٍ </w:t>
      </w:r>
      <w:bookmarkStart w:id="546" w:name="pg20044_770954"/>
    </w:p>
    <w:p>
      <w:pPr>
        <w:pStyle w:val="BookText"/>
        <w:rPr/>
      </w:pPr>
      <w:bookmarkEnd w:id="546"/>
      <w:r>
        <w:rPr>
          <w:rFonts w:ascii="Amiri" w:hAnsi="Amiri" w:eastAsia="Amiri" w:cs="Amiri"/>
          <w:color w:val="111111"/>
          <w:sz w:val="28"/>
          <w:sz w:val="28"/>
          <w:szCs w:val="28"/>
          <w:rtl w:val="true"/>
          <w:lang w:bidi="ar-SA"/>
        </w:rPr>
        <w:t xml:space="preserve">آخَرَ؛ فلَيسَ يَجِبُ إذا كانَ الإمامُ لُطفاً في ارتفاعِ الظُّلمِ و البغيِ و لزومِ الإنصافِ و العدلِ ، أن يَكونَ لُطفاً في كُلِّ تكليفٍ ؛ حتّىٰ يَكونَ لُطفاً في معرفةِ </w:t>
      </w:r>
      <w:r>
        <w:rPr>
          <w:rStyle w:val="FootnoteAnchor"/>
          <w:rtl w:val="true"/>
        </w:rPr>
        <w:footnoteReference w:id="1426"/>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1427"/>
      </w:r>
    </w:p>
    <w:p>
      <w:pPr>
        <w:pStyle w:val="Heading5"/>
        <w:numPr>
          <w:ilvl w:val="4"/>
          <w:numId w:val="1"/>
        </w:numPr>
        <w:rPr/>
      </w:pPr>
      <w:bookmarkStart w:id="547" w:name="__RefHeading___Toc828658_2320776876"/>
      <w:bookmarkStart w:id="548" w:name="_Toc194"/>
      <w:bookmarkEnd w:id="547"/>
      <w:r>
        <w:rPr>
          <w:rtl w:val="true"/>
        </w:rPr>
        <w:t>استحالة توقّف معرفة جميع الأئمّة علىٰ معرفة الإمام</w:t>
      </w:r>
      <w:bookmarkEnd w:id="548"/>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معرفةُ الثوابِ و العقابِ علَى الوجهِ الذي وَجَبا عليه لُطفاً في</w:t>
      </w:r>
    </w:p>
    <w:p>
      <w:pPr>
        <w:pStyle w:val="BookText"/>
        <w:rPr/>
      </w:pPr>
      <w:r>
        <w:rPr>
          <w:rFonts w:ascii="Amiri" w:hAnsi="Amiri" w:eastAsia="Amiri" w:cs="Amiri"/>
          <w:color w:val="111111"/>
          <w:sz w:val="28"/>
          <w:sz w:val="28"/>
          <w:szCs w:val="28"/>
          <w:rtl w:val="true"/>
          <w:lang w:bidi="ar-SA"/>
        </w:rPr>
        <w:t>جميعِ فِعلِ الواجباتِ‌</w:t>
      </w:r>
      <w:r>
        <w:rPr>
          <w:rStyle w:val="FootnoteAnchor"/>
          <w:rtl w:val="true"/>
        </w:rPr>
        <w:footnoteReference w:id="1428"/>
      </w:r>
      <w:r>
        <w:rPr>
          <w:rFonts w:ascii="Amiri" w:hAnsi="Amiri" w:eastAsia="Amiri" w:cs="Amiri"/>
          <w:color w:val="111111"/>
          <w:sz w:val="28"/>
          <w:sz w:val="28"/>
          <w:szCs w:val="28"/>
          <w:rtl w:val="true"/>
          <w:lang w:bidi="ar-SA"/>
        </w:rPr>
        <w:t>و الامتناعِ مِن سائرِ المُقبَّحاتِ، فلذلكَ أَوجَبتم المعرفةَ باللّٰهِ مِن حَيثُ لا يَتِمُّ معرفةُ الثوابِ و العِقابِ إلّابها؟</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أفتقولُ إنّ هذه المعرفةَ التي أشَرنا إليها لُطفٌ في نفسِها، حتّىٰ يَكونَ المُكلَّفُ لا يَصِحُّ إيجابُها عليه إلّابَعدَ أن يَتقدَّمَ </w:t>
      </w:r>
      <w:r>
        <w:rPr>
          <w:rStyle w:val="FootnoteAnchor"/>
          <w:rtl w:val="true"/>
        </w:rPr>
        <w:footnoteReference w:id="1429"/>
      </w:r>
      <w:r>
        <w:rPr>
          <w:rFonts w:ascii="Amiri" w:hAnsi="Amiri" w:eastAsia="Amiri" w:cs="Amiri"/>
          <w:color w:val="111111"/>
          <w:sz w:val="28"/>
          <w:sz w:val="28"/>
          <w:szCs w:val="28"/>
          <w:rtl w:val="true"/>
          <w:lang w:bidi="ar-SA"/>
        </w:rPr>
        <w:t>معرفتُه بالثوابِ و العِقابِ؟</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ففَسادُ ذلكَ ظاهرٌ، 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أن يَستَغنيَ بعضُ التكاليفِ </w:t>
      </w:r>
      <w:r>
        <w:rPr>
          <w:rStyle w:val="FootnoteAnchor"/>
          <w:rtl w:val="true"/>
        </w:rPr>
        <w:footnoteReference w:id="1430"/>
      </w:r>
      <w:r>
        <w:rPr>
          <w:rFonts w:ascii="Amiri" w:hAnsi="Amiri" w:eastAsia="Amiri" w:cs="Amiri"/>
          <w:color w:val="111111"/>
          <w:sz w:val="28"/>
          <w:sz w:val="28"/>
          <w:szCs w:val="28"/>
          <w:rtl w:val="true"/>
          <w:lang w:bidi="ar-SA"/>
        </w:rPr>
        <w:t>عن هذه المعرفةِ و كونِها لُطفاً فيه، فألّا جازَ الاستغناءُ عنها في سائرِ التكاليفِ؟</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بالثوابِ و العقابِ و إن لَم يَكُن</w:t>
      </w:r>
      <w:r>
        <w:rPr>
          <w:rStyle w:val="FootnoteAnchor"/>
          <w:rtl w:val="true"/>
        </w:rPr>
        <w:footnoteReference w:id="1431"/>
      </w:r>
      <w:r>
        <w:rPr>
          <w:rFonts w:ascii="Amiri" w:hAnsi="Amiri" w:eastAsia="Amiri" w:cs="Amiri"/>
          <w:color w:val="111111"/>
          <w:sz w:val="28"/>
          <w:sz w:val="28"/>
          <w:szCs w:val="28"/>
          <w:rtl w:val="true"/>
          <w:lang w:bidi="ar-SA"/>
        </w:rPr>
        <w:t xml:space="preserve">لُطفاً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لَم يَصِحَّ ذلك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ما يَقومُ مَقامَها، و هو الظنُّ بهما، فلَم يَعرَ</w:t>
      </w:r>
      <w:r>
        <w:rPr>
          <w:rStyle w:val="FootnoteAnchor"/>
          <w:rtl w:val="true"/>
        </w:rPr>
        <w:footnoteReference w:id="1432"/>
      </w:r>
      <w:r>
        <w:rPr>
          <w:rFonts w:ascii="Amiri" w:hAnsi="Amiri" w:eastAsia="Amiri" w:cs="Amiri"/>
          <w:color w:val="111111"/>
          <w:sz w:val="28"/>
          <w:sz w:val="28"/>
          <w:szCs w:val="28"/>
          <w:rtl w:val="true"/>
          <w:lang w:bidi="ar-SA"/>
        </w:rPr>
        <w:t xml:space="preserve">المكلَّفُ مِن </w:t>
      </w:r>
      <w:bookmarkStart w:id="549" w:name="pg20044_770955"/>
    </w:p>
    <w:p>
      <w:pPr>
        <w:pStyle w:val="BookText"/>
        <w:rPr/>
      </w:pPr>
      <w:bookmarkEnd w:id="549"/>
      <w:r>
        <w:rPr>
          <w:rFonts w:ascii="Amiri" w:hAnsi="Amiri" w:eastAsia="Amiri" w:cs="Amiri"/>
          <w:color w:val="111111"/>
          <w:sz w:val="28"/>
          <w:sz w:val="28"/>
          <w:szCs w:val="28"/>
          <w:rtl w:val="true"/>
          <w:lang w:bidi="ar-SA"/>
        </w:rPr>
        <w:t xml:space="preserve">لُطفٍ في تكليفِه المعرفةَ و إن لَم يَكُن مُماثِلاً للُطفِه في سائرِ التكاليفِ </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فاقنَعْ مِنّا</w:t>
      </w:r>
      <w:r>
        <w:rPr>
          <w:rStyle w:val="FootnoteAnchor"/>
          <w:rtl w:val="true"/>
        </w:rPr>
        <w:footnoteReference w:id="1434"/>
      </w:r>
      <w:r>
        <w:rPr>
          <w:rFonts w:ascii="Amiri" w:hAnsi="Amiri" w:eastAsia="Amiri" w:cs="Amiri"/>
          <w:color w:val="111111"/>
          <w:sz w:val="28"/>
          <w:sz w:val="28"/>
          <w:szCs w:val="28"/>
          <w:rtl w:val="true"/>
          <w:lang w:bidi="ar-SA"/>
        </w:rPr>
        <w:t>بمِثلِ ما اقتَنَعنا</w:t>
      </w:r>
      <w:r>
        <w:rPr>
          <w:rStyle w:val="FootnoteAnchor"/>
          <w:rtl w:val="true"/>
        </w:rPr>
        <w:footnoteReference w:id="1435"/>
      </w:r>
      <w:r>
        <w:rPr>
          <w:rFonts w:ascii="Amiri" w:hAnsi="Amiri" w:eastAsia="Amiri" w:cs="Amiri"/>
          <w:color w:val="111111"/>
          <w:sz w:val="28"/>
          <w:sz w:val="28"/>
          <w:szCs w:val="28"/>
          <w:rtl w:val="true"/>
          <w:lang w:bidi="ar-SA"/>
        </w:rPr>
        <w:t>به؛ فإنّا نَقولُ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كُلِّ الأئمّةِ يَستَحيلُ أن يَكونَ اللطفُ فيها معرفةَ الإمامِ؛ لأنّه لا بُدَّ في أوّلِ الأئمّةِ مِن أن يَكونَ معرفتُه واجبةً و إن لَم يَتقدَّمْ للمكلَّفِ معرفةٌ </w:t>
      </w:r>
      <w:r>
        <w:rPr>
          <w:rStyle w:val="FootnoteAnchor"/>
          <w:rtl w:val="true"/>
        </w:rPr>
        <w:footnoteReference w:id="1436"/>
      </w:r>
      <w:r>
        <w:rPr>
          <w:rFonts w:ascii="Amiri" w:hAnsi="Amiri" w:eastAsia="Amiri" w:cs="Amiri"/>
          <w:color w:val="111111"/>
          <w:sz w:val="28"/>
          <w:sz w:val="28"/>
          <w:szCs w:val="28"/>
          <w:rtl w:val="true"/>
          <w:lang w:bidi="ar-SA"/>
        </w:rPr>
        <w:t>بإمامٍ غيرِه، و إذا استَحالَ ذلكَ جازَ أن يَقومَ مَقامَ المعرفةِ بالإمامِ في هذا التكليفِ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أن يَعُمَّ هذا الوجهُ سائرَ المكلَّفينَ و التكاليفَ ، كما لَم يَجِبْ </w:t>
      </w:r>
      <w:r>
        <w:rPr>
          <w:rStyle w:val="FootnoteAnchor"/>
          <w:rtl w:val="true"/>
        </w:rPr>
        <w:footnoteReference w:id="1437"/>
      </w:r>
      <w:r>
        <w:rPr>
          <w:rFonts w:ascii="Amiri" w:hAnsi="Amiri" w:eastAsia="Amiri" w:cs="Amiri"/>
          <w:color w:val="111111"/>
          <w:sz w:val="28"/>
          <w:sz w:val="28"/>
          <w:szCs w:val="28"/>
          <w:rtl w:val="true"/>
          <w:lang w:bidi="ar-SA"/>
        </w:rPr>
        <w:t>أن يَعُمَّ اللُّطفُ الحاصلُ للمكلَّفِ في استدلالِه علىٰ معرفةِ اللّٰهِ تَعالىٰ و معرفةِ ثوابِه و عقابِه سائِرَ</w:t>
      </w:r>
      <w:r>
        <w:rPr>
          <w:rStyle w:val="FootnoteAnchor"/>
          <w:rtl w:val="true"/>
        </w:rPr>
        <w:footnoteReference w:id="1438"/>
      </w:r>
      <w:r>
        <w:rPr>
          <w:rFonts w:ascii="Amiri" w:hAnsi="Amiri" w:eastAsia="Amiri" w:cs="Amiri"/>
          <w:color w:val="111111"/>
          <w:sz w:val="28"/>
          <w:sz w:val="28"/>
          <w:szCs w:val="28"/>
          <w:rtl w:val="true"/>
          <w:lang w:bidi="ar-SA"/>
        </w:rPr>
        <w:t xml:space="preserve">التكاليفِ </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828660_2320776876"/>
      <w:bookmarkStart w:id="551" w:name="_Toc195"/>
      <w:bookmarkEnd w:id="550"/>
      <w:r>
        <w:rPr>
          <w:rtl w:val="true"/>
        </w:rPr>
        <w:t>عدم تساوي وجود الإمام و عدمه في معرفة الناس التكاليفَ و قيامهم بها</w:t>
      </w:r>
      <w:bookmarkEnd w:id="551"/>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الإمامَ لا يَصِحُّ أن يُغيِّرَ حالَهم في القدرةِ و الآلةِ و العقلِ و سائرِ وجوهِ التمكينِ ، فلا بُدَّ مِن كَونِها حاصلةً </w:t>
      </w:r>
      <w:r>
        <w:rPr>
          <w:rStyle w:val="FootnoteAnchor"/>
          <w:rtl w:val="true"/>
        </w:rPr>
        <w:footnoteReference w:id="1439"/>
      </w:r>
      <w:r>
        <w:rPr>
          <w:rFonts w:ascii="Amiri" w:hAnsi="Amiri" w:eastAsia="Amiri" w:cs="Amiri"/>
          <w:color w:val="111111"/>
          <w:sz w:val="28"/>
          <w:sz w:val="28"/>
          <w:szCs w:val="28"/>
          <w:rtl w:val="true"/>
          <w:lang w:bidi="ar-SA"/>
        </w:rPr>
        <w:t>، و كذلكَ فالأدلّةُ علىٰ ما كُلِّفوه منصوبةٌ مع فَقدِ الحُجّةِ ؛ فإذا صَحَّ ذلكَ فما الذي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يَمنَعُ مِن أن يَستَدِلّوا بها فيَعلَموا ما كُلِّفوه و يَقوموا به مع فَقدِ الإمامِ </w:t>
      </w:r>
      <w:r>
        <w:rPr>
          <w:rStyle w:val="FootnoteAnchor"/>
          <w:rtl w:val="true"/>
        </w:rPr>
        <w:footnoteReference w:id="1440"/>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هَلّا كانَ حالُهم مع فَقدِه كحالِهم مع وجودِه ؟ لأنّه مع وجودِه</w:t>
      </w:r>
      <w:r>
        <w:rPr>
          <w:rStyle w:val="FootnoteAnchor"/>
          <w:rtl w:val="true"/>
        </w:rPr>
        <w:footnoteReference w:id="1441"/>
      </w:r>
      <w:r>
        <w:rPr>
          <w:rFonts w:ascii="Amiri" w:hAnsi="Amiri" w:eastAsia="Amiri" w:cs="Amiri"/>
          <w:color w:val="111111"/>
          <w:sz w:val="28"/>
          <w:sz w:val="28"/>
          <w:szCs w:val="28"/>
          <w:rtl w:val="true"/>
          <w:lang w:bidi="ar-SA"/>
        </w:rPr>
        <w:t>إنّما</w:t>
      </w:r>
      <w:r>
        <w:rPr>
          <w:rStyle w:val="FootnoteAnchor"/>
          <w:rtl w:val="true"/>
        </w:rPr>
        <w:footnoteReference w:id="1442"/>
      </w:r>
      <w:r>
        <w:rPr>
          <w:rFonts w:ascii="Amiri" w:hAnsi="Amiri" w:eastAsia="Amiri" w:cs="Amiri"/>
          <w:color w:val="111111"/>
          <w:sz w:val="28"/>
          <w:sz w:val="28"/>
          <w:szCs w:val="28"/>
          <w:rtl w:val="true"/>
          <w:lang w:bidi="ar-SA"/>
        </w:rPr>
        <w:t>يَستَفيدونَ بالنظَرِ في الأدلّةِ ، و ذلك مُمكِنٌ مع عَدَمِه</w:t>
      </w:r>
      <w:r>
        <w:rPr>
          <w:rFonts w:eastAsia="Amiri" w:cs="Amiri" w:ascii="Amiri" w:hAnsi="Amiri"/>
          <w:color w:val="111111"/>
          <w:sz w:val="28"/>
          <w:szCs w:val="28"/>
          <w:rtl w:val="true"/>
          <w:lang w:bidi="ar-SA"/>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توَهُّمٌ مِنكَ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إيجابَ الإمامةِ و وجودَ الإمامِ في كُلِّ زمانٍ ؛ لِيُعلَمَ عندَ وجودِه ما لا يَصِحُّ أن يُعلَمَ عندَ فَقدِه، و إن كانَت الأدلّةُ علَى المعلومِ موجودةً في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أنّا لا نَذهَبُ إلىٰ ذلكَ و لا نَعتَمِدُه، و بيّنّا كَيفَ القولُ فيه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يَمنَعُ مِن أن يَستَدِلّوا و يَعلَموا و يَقوموا بما كُلِّفوا</w:t>
      </w:r>
      <w:r>
        <w:rPr>
          <w:rStyle w:val="FootnoteAnchor"/>
          <w:rtl w:val="true"/>
        </w:rPr>
        <w:footnoteReference w:id="14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ما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القيامُ بجميعِ ما كُلِّفوه، فهو و إن كانَ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لُطفٌ في وقوعِه علىٰ ما دَلَّلنا عليه</w:t>
      </w:r>
      <w:r>
        <w:rPr>
          <w:rStyle w:val="FootnoteAnchor"/>
          <w:rtl w:val="true"/>
        </w:rPr>
        <w:footnoteReference w:id="1446"/>
      </w:r>
      <w:r>
        <w:rPr>
          <w:rFonts w:ascii="Amiri" w:hAnsi="Amiri" w:eastAsia="Amiri" w:cs="Amiri"/>
          <w:color w:val="111111"/>
          <w:sz w:val="28"/>
          <w:sz w:val="28"/>
          <w:szCs w:val="28"/>
          <w:rtl w:val="true"/>
          <w:lang w:bidi="ar-SA"/>
        </w:rPr>
        <w:t>، و مُحالٌ إذا كانَ لُطفاً أن</w:t>
      </w:r>
      <w:r>
        <w:rPr>
          <w:rStyle w:val="FootnoteAnchor"/>
          <w:rtl w:val="true"/>
        </w:rPr>
        <w:footnoteReference w:id="1447"/>
      </w:r>
      <w:r>
        <w:rPr>
          <w:rFonts w:ascii="Amiri" w:hAnsi="Amiri" w:eastAsia="Amiri" w:cs="Amiri"/>
          <w:color w:val="111111"/>
          <w:sz w:val="28"/>
          <w:sz w:val="28"/>
          <w:szCs w:val="28"/>
          <w:rtl w:val="true"/>
          <w:lang w:bidi="ar-SA"/>
        </w:rPr>
        <w:t>يَكونَ حالُهم مع وجودِه كحالِهم مع فَقدِه في القيامِ بما كُلِّفوه مِن العباداتِ التي بيّنّا أنّ وجودَ الإمامِ لُطفٌ في وقوعِها و فَقدَه داعٍ إلَى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لكَ نافي اللُّطفِ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أنّ جميعَ الألطافِ لا تُغيِّرُ</w:t>
      </w:r>
      <w:r>
        <w:rPr>
          <w:rStyle w:val="FootnoteAnchor"/>
          <w:rtl w:val="true"/>
        </w:rPr>
        <w:footnoteReference w:id="1449"/>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المسائل التي طريق معرفتها العقل مع العلم بمقدّماتها، فأمّا مع الجهل بها رأساً أو كون المجهول من المعارف الدينيّة التي لا يفيد التفكّر فيها شيئاً فلا وجه لما ذكره، فيُحتاج فيها إلىٰ رسول أو إمام يتحمّل أعباءها</w:t>
      </w:r>
      <w:r>
        <w:rPr>
          <w:rFonts w:eastAsia="Amiri" w:cs="Amiri" w:ascii="Amiri" w:hAnsi="Amiri"/>
          <w:color w:val="111111"/>
          <w:sz w:val="28"/>
          <w:szCs w:val="28"/>
          <w:rtl w:val="true"/>
          <w:lang w:bidi="ar-SA"/>
        </w:rPr>
        <w:t xml:space="preserve">». </w:t>
      </w:r>
      <w:bookmarkStart w:id="552" w:name="pg20044_770957"/>
    </w:p>
    <w:p>
      <w:pPr>
        <w:pStyle w:val="BookText"/>
        <w:rPr/>
      </w:pPr>
      <w:bookmarkEnd w:id="552"/>
      <w:r>
        <w:rPr>
          <w:rFonts w:ascii="Amiri" w:hAnsi="Amiri" w:eastAsia="Amiri" w:cs="Amiri"/>
          <w:color w:val="111111"/>
          <w:sz w:val="28"/>
          <w:sz w:val="28"/>
          <w:szCs w:val="28"/>
          <w:rtl w:val="true"/>
          <w:lang w:bidi="ar-SA"/>
        </w:rPr>
        <w:t xml:space="preserve">حالَ المكلَّفِ في قدرةٍ و آلةٍ إلىٰ سائرِ وجوهِ التمكينِ؛ لأنّ المكلَّفَ متمكِّنٌ مِن الفِعلِ مع عَدَمِ اللُّطفِ كما أنّه متمكِّنٌ مِنه مع وجودِه، فألّا جازَ الاستغناءُ عن الألطافِ و الاقتصارُ بالمكلَّفينَ علىٰ قُدَرِهم و تَمكُّنِهم ؟ و جميعُ ما يَبطُلُ به هذا القولُ و يوجِبُ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و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الألطافِ ، بمِثلِه يَبطُلُ قولُكَ </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828662_2320776876"/>
      <w:bookmarkStart w:id="554" w:name="_Toc196"/>
      <w:bookmarkEnd w:id="553"/>
      <w:r>
        <w:rPr>
          <w:rtl w:val="true"/>
        </w:rPr>
        <w:t xml:space="preserve">إشكالٌ لصاحِبِ </w:t>
      </w:r>
      <w:r>
        <w:rPr>
          <w:rtl w:val="true"/>
        </w:rPr>
        <w:t>«</w:t>
      </w:r>
      <w:r>
        <w:rPr>
          <w:rtl w:val="true"/>
        </w:rPr>
        <w:t>المُغني</w:t>
      </w:r>
      <w:r>
        <w:rPr>
          <w:rtl w:val="true"/>
        </w:rPr>
        <w:t xml:space="preserve">» </w:t>
      </w:r>
      <w:r>
        <w:rPr>
          <w:rtl w:val="true"/>
        </w:rPr>
        <w:t>حَولَ غَيبةِ الإمامِ ، و ردُّه</w:t>
      </w:r>
      <w:bookmarkEnd w:id="554"/>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زَعمِكم إذا لَم يَظهَرِ الإمامُ حتّىٰ يَزولَ </w:t>
      </w:r>
      <w:r>
        <w:rPr>
          <w:rStyle w:val="FootnoteAnchor"/>
          <w:rtl w:val="true"/>
        </w:rPr>
        <w:footnoteReference w:id="1451"/>
      </w:r>
      <w:r>
        <w:rPr>
          <w:rFonts w:ascii="Amiri" w:hAnsi="Amiri" w:eastAsia="Amiri" w:cs="Amiri"/>
          <w:color w:val="111111"/>
          <w:sz w:val="28"/>
          <w:sz w:val="28"/>
          <w:szCs w:val="28"/>
          <w:rtl w:val="true"/>
          <w:lang w:bidi="ar-SA"/>
        </w:rPr>
        <w:t xml:space="preserve">النقصُ به، أن يَكونَ الحالُ فيه كالحالِ و لا حُجّةَ في الزمانِ </w:t>
      </w:r>
      <w:r>
        <w:rPr>
          <w:rStyle w:val="FootnoteAnchor"/>
          <w:rtl w:val="true"/>
        </w:rPr>
        <w:footnoteReference w:id="1452"/>
      </w:r>
      <w:r>
        <w:rPr>
          <w:rFonts w:ascii="Amiri" w:hAnsi="Amiri" w:eastAsia="Amiri" w:cs="Amiri"/>
          <w:color w:val="111111"/>
          <w:sz w:val="28"/>
          <w:sz w:val="28"/>
          <w:szCs w:val="28"/>
          <w:rtl w:val="true"/>
          <w:lang w:bidi="ar-SA"/>
        </w:rPr>
        <w:t>لأنّ النقصَ لا يَزولُ بوجودِ</w:t>
      </w:r>
      <w:r>
        <w:rPr>
          <w:rStyle w:val="FootnoteAnchor"/>
          <w:rtl w:val="true"/>
        </w:rPr>
        <w:footnoteReference w:id="1453"/>
      </w:r>
      <w:r>
        <w:rPr>
          <w:rFonts w:ascii="Amiri" w:hAnsi="Amiri" w:eastAsia="Amiri" w:cs="Amiri"/>
          <w:color w:val="111111"/>
          <w:sz w:val="28"/>
          <w:sz w:val="28"/>
          <w:szCs w:val="28"/>
          <w:rtl w:val="true"/>
          <w:lang w:bidi="ar-SA"/>
        </w:rPr>
        <w:t>الإمام، و إنّما يَزولُ بما يَظهَرُ مِنه و يُعلَمُ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يوجِبُ عَلَيهم في هذا الزمانِ و في كثيرٍ مِن الأزمنةِ أن يَكونَ المُكلَّفُ معذوراً، أو التكليفُ </w:t>
      </w:r>
      <w:r>
        <w:rPr>
          <w:rStyle w:val="FootnoteAnchor"/>
          <w:rtl w:val="true"/>
        </w:rPr>
        <w:footnoteReference w:id="1454"/>
      </w:r>
      <w:r>
        <w:rPr>
          <w:rFonts w:ascii="Amiri" w:hAnsi="Amiri" w:eastAsia="Amiri" w:cs="Amiri"/>
          <w:color w:val="111111"/>
          <w:sz w:val="28"/>
          <w:sz w:val="28"/>
          <w:szCs w:val="28"/>
          <w:rtl w:val="true"/>
          <w:lang w:bidi="ar-SA"/>
        </w:rPr>
        <w:t>ساقِطاً</w:t>
      </w:r>
      <w:r>
        <w:rPr>
          <w:rFonts w:eastAsia="Amiri" w:cs="Amiri" w:ascii="Amiri" w:hAnsi="Amiri"/>
          <w:color w:val="111111"/>
          <w:sz w:val="28"/>
          <w:szCs w:val="28"/>
          <w:rtl w:val="true"/>
          <w:lang w:bidi="ar-SA"/>
        </w:rPr>
        <w:t>....</w:t>
      </w:r>
      <w:r>
        <w:rPr>
          <w:rStyle w:val="FootnoteAnchor"/>
          <w:rtl w:val="true"/>
        </w:rPr>
        <w:footnoteReference w:id="1455"/>
      </w:r>
    </w:p>
    <w:p>
      <w:pPr>
        <w:pStyle w:val="Heading5"/>
        <w:numPr>
          <w:ilvl w:val="4"/>
          <w:numId w:val="1"/>
        </w:numPr>
        <w:rPr/>
      </w:pPr>
      <w:bookmarkStart w:id="555" w:name="__RefHeading___Toc828664_2320776876"/>
      <w:bookmarkStart w:id="556" w:name="_Toc197"/>
      <w:bookmarkEnd w:id="555"/>
      <w:r>
        <w:rPr>
          <w:rtl w:val="true"/>
        </w:rPr>
        <w:t>بيان الفرق بين عدم ظهور الإمام و عدم عينه</w:t>
      </w:r>
      <w:bookmarkEnd w:id="55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 إذا لَم يَظهَرِ الإمامُ ففاتَ النفعُ به أن يَكونَ الحالُ عندَ عَدَمِ </w:t>
      </w:r>
    </w:p>
    <w:p>
      <w:pPr>
        <w:pStyle w:val="BookText"/>
        <w:rPr/>
      </w:pPr>
      <w:r>
        <w:rPr>
          <w:rFonts w:ascii="Amiri" w:hAnsi="Amiri" w:eastAsia="Amiri" w:cs="Amiri"/>
          <w:color w:val="111111"/>
          <w:sz w:val="28"/>
          <w:sz w:val="28"/>
          <w:szCs w:val="28"/>
          <w:rtl w:val="true"/>
          <w:lang w:bidi="ar-SA"/>
        </w:rPr>
        <w:t>ظُهورِه كالحالِ عندَ عَدَمِ عَينِه</w:t>
      </w:r>
      <w:r>
        <w:rPr>
          <w:rStyle w:val="FootnoteAnchor"/>
          <w:rtl w:val="true"/>
        </w:rPr>
        <w:footnoteReference w:id="1456"/>
      </w:r>
      <w:r>
        <w:rPr>
          <w:rFonts w:ascii="Amiri" w:hAnsi="Amiri" w:eastAsia="Amiri" w:cs="Amiri"/>
          <w:color w:val="111111"/>
          <w:sz w:val="28"/>
          <w:sz w:val="28"/>
          <w:szCs w:val="28"/>
          <w:rtl w:val="true"/>
          <w:lang w:bidi="ar-SA"/>
        </w:rPr>
        <w:t>لأنّه إذا لَم يَظهَرْ لإخافةِ الظالِمينَ له و لأنّهم أحوَجوه إلَى الغَيبةِ و الاستتارِ، كانَت الحُجّةُ في فَوتِ المَصلَحةِ به عَلَيهم، فكانوا</w:t>
      </w:r>
      <w:r>
        <w:rPr>
          <w:rStyle w:val="FootnoteAnchor"/>
          <w:rtl w:val="true"/>
        </w:rPr>
        <w:footnoteReference w:id="1457"/>
      </w:r>
      <w:r>
        <w:rPr>
          <w:rFonts w:ascii="Amiri" w:hAnsi="Amiri" w:eastAsia="Amiri" w:cs="Amiri"/>
          <w:color w:val="111111"/>
          <w:sz w:val="28"/>
          <w:sz w:val="28"/>
          <w:szCs w:val="28"/>
          <w:rtl w:val="true"/>
          <w:lang w:bidi="ar-SA"/>
        </w:rPr>
        <w:t>هُم المانِعينَ أنفسَهم مِن الانتفاعِ به، و إذا عُدِمَت عَينُ الإمامِ ففاتَ المكلَّفينَ الانتفاعُ به، كانَت الحُجّةُ في ذلكَ علىٰ مَن فَوَّتَهم النفعَ به و هو القَديمُ تَعالىٰ، و إذا أُوجِبَت</w:t>
      </w:r>
      <w:r>
        <w:rPr>
          <w:rStyle w:val="FootnoteAnchor"/>
          <w:rtl w:val="true"/>
        </w:rPr>
        <w:footnoteReference w:id="1458"/>
      </w:r>
      <w:r>
        <w:rPr>
          <w:rFonts w:ascii="Amiri" w:hAnsi="Amiri" w:eastAsia="Amiri" w:cs="Amiri"/>
          <w:color w:val="111111"/>
          <w:sz w:val="28"/>
          <w:sz w:val="28"/>
          <w:szCs w:val="28"/>
          <w:rtl w:val="true"/>
          <w:lang w:bidi="ar-SA"/>
        </w:rPr>
        <w:t xml:space="preserve">إزاحةُ عِلَلِ المكلَّفينَ علَيه تَعالىٰ، عَلِمنا أنّه لا بُدَّ مِن أن يوجِدَ الإمامَ </w:t>
      </w:r>
      <w:r>
        <w:rPr>
          <w:rStyle w:val="FootnoteAnchor"/>
          <w:rtl w:val="true"/>
        </w:rPr>
        <w:footnoteReference w:id="1459"/>
      </w:r>
      <w:r>
        <w:rPr>
          <w:rFonts w:ascii="Amiri" w:hAnsi="Amiri" w:eastAsia="Amiri" w:cs="Amiri"/>
          <w:color w:val="111111"/>
          <w:sz w:val="28"/>
          <w:sz w:val="28"/>
          <w:szCs w:val="28"/>
          <w:rtl w:val="true"/>
          <w:lang w:bidi="ar-SA"/>
        </w:rPr>
        <w:t xml:space="preserve">و يأمُرَ بطاعتِه و الانقيادِ له؛ سَواءٌ عَلِمَ وقوعَ الطاعةِ مِن المكلَّفينَ ، أو عَلِمَ أنّهم يُخيفونَه و يُلجِئونَه إلَى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ظَنَّه مِن كَونِ المكلَّفينَ مَعذورينَ ، أو سقوطِ التكليفِ عنهم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المكلَّفونَ غيرَ معذورينَ و قد أخافوا الإمامَ علىٰ دعواكم، و أحوَجوه</w:t>
      </w:r>
      <w:r>
        <w:rPr>
          <w:rStyle w:val="FootnoteAnchor"/>
          <w:rtl w:val="true"/>
        </w:rPr>
        <w:footnoteReference w:id="1460"/>
      </w:r>
      <w:r>
        <w:rPr>
          <w:rFonts w:ascii="Amiri" w:hAnsi="Amiri" w:eastAsia="Amiri" w:cs="Amiri"/>
          <w:color w:val="111111"/>
          <w:sz w:val="28"/>
          <w:sz w:val="28"/>
          <w:szCs w:val="28"/>
          <w:rtl w:val="true"/>
          <w:lang w:bidi="ar-SA"/>
        </w:rPr>
        <w:t xml:space="preserve">إلى الكَونِ </w:t>
      </w:r>
      <w:r>
        <w:rPr>
          <w:rStyle w:val="FootnoteAnchor"/>
          <w:rtl w:val="true"/>
        </w:rPr>
        <w:footnoteReference w:id="1461"/>
      </w:r>
      <w:r>
        <w:rPr>
          <w:rFonts w:ascii="Amiri" w:hAnsi="Amiri" w:eastAsia="Amiri" w:cs="Amiri"/>
          <w:color w:val="111111"/>
          <w:sz w:val="28"/>
          <w:sz w:val="28"/>
          <w:szCs w:val="28"/>
          <w:rtl w:val="true"/>
          <w:lang w:bidi="ar-SA"/>
        </w:rPr>
        <w:t xml:space="preserve">بحَيثُ لا يَنتَفِعونَ به، و لا يَصِلونَ إلىٰ مَصالحِهم مِن جهتِه، فيَجِبُ أن يَسقُطَ عنهم التكليفُ الذي أمْرُ الإمامِ </w:t>
      </w:r>
      <w:r>
        <w:rPr>
          <w:rStyle w:val="FootnoteAnchor"/>
          <w:rtl w:val="true"/>
        </w:rPr>
        <w:footnoteReference w:id="1462"/>
      </w:r>
      <w:r>
        <w:rPr>
          <w:rFonts w:ascii="Amiri" w:hAnsi="Amiri" w:eastAsia="Amiri" w:cs="Amiri"/>
          <w:color w:val="111111"/>
          <w:sz w:val="28"/>
          <w:sz w:val="28"/>
          <w:szCs w:val="28"/>
          <w:rtl w:val="true"/>
          <w:lang w:bidi="ar-SA"/>
        </w:rPr>
        <w:t>و نهيُه و تصرُّفُه لُطفٌ فيه؛ لأنّهم بما فَعَلوه قد مُنِعوا</w:t>
      </w:r>
      <w:r>
        <w:rPr>
          <w:rStyle w:val="FootnoteAnchor"/>
          <w:rtl w:val="true"/>
        </w:rPr>
        <w:footnoteReference w:id="1463"/>
      </w:r>
      <w:r>
        <w:rPr>
          <w:rFonts w:ascii="Amiri" w:hAnsi="Amiri" w:eastAsia="Amiri" w:cs="Amiri"/>
          <w:color w:val="111111"/>
          <w:sz w:val="28"/>
          <w:sz w:val="28"/>
          <w:szCs w:val="28"/>
          <w:rtl w:val="true"/>
          <w:lang w:bidi="ar-SA"/>
        </w:rPr>
        <w:t xml:space="preserve">مِن هذا اللُّطفِ </w:t>
      </w:r>
      <w:r>
        <w:rPr>
          <w:rStyle w:val="FootnoteAnchor"/>
          <w:rtl w:val="true"/>
        </w:rPr>
        <w:footnoteReference w:id="1464"/>
      </w:r>
      <w:r>
        <w:rPr>
          <w:rFonts w:ascii="Amiri" w:hAnsi="Amiri" w:eastAsia="Amiri" w:cs="Amiri"/>
          <w:color w:val="111111"/>
          <w:sz w:val="28"/>
          <w:sz w:val="28"/>
          <w:szCs w:val="28"/>
          <w:rtl w:val="true"/>
          <w:lang w:bidi="ar-SA"/>
        </w:rPr>
        <w:t>، و جَرَوا في هذا الوجهِ مَجرىٰ مَن قَطَعَ رِجْلَ نَفسِه في أنّ تكليفَه بالصلاةِ قائماً لا يَلزَمُه و يَجِبُ سقوطُه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557" w:name="pg20044_770959"/>
    </w:p>
    <w:p>
      <w:pPr>
        <w:pStyle w:val="BookText"/>
        <w:rPr/>
      </w:pPr>
      <w:bookmarkEnd w:id="557"/>
      <w:r>
        <w:rPr>
          <w:rFonts w:ascii="Amiri" w:hAnsi="Amiri" w:eastAsia="Amiri" w:cs="Amiri"/>
          <w:color w:val="111111"/>
          <w:sz w:val="28"/>
          <w:sz w:val="28"/>
          <w:szCs w:val="28"/>
          <w:rtl w:val="true"/>
          <w:lang w:bidi="ar-SA"/>
        </w:rPr>
        <w:t xml:space="preserve">يَفْتَرِقُ </w:t>
      </w:r>
      <w:r>
        <w:rPr>
          <w:rStyle w:val="FootnoteAnchor"/>
          <w:rtl w:val="true"/>
        </w:rPr>
        <w:footnoteReference w:id="1465"/>
      </w:r>
      <w:r>
        <w:rPr>
          <w:rFonts w:ascii="Amiri" w:hAnsi="Amiri" w:eastAsia="Amiri" w:cs="Amiri"/>
          <w:color w:val="111111"/>
          <w:sz w:val="28"/>
          <w:sz w:val="28"/>
          <w:szCs w:val="28"/>
          <w:rtl w:val="true"/>
          <w:lang w:bidi="ar-SA"/>
        </w:rPr>
        <w:t>في سقوطِ التكليفِ عنه</w:t>
      </w:r>
      <w:r>
        <w:rPr>
          <w:rStyle w:val="FootnoteAnchor"/>
          <w:rtl w:val="true"/>
        </w:rPr>
        <w:footnoteReference w:id="1466"/>
      </w:r>
      <w:r>
        <w:rPr>
          <w:rFonts w:ascii="Amiri" w:hAnsi="Amiri" w:eastAsia="Amiri" w:cs="Amiri"/>
          <w:color w:val="111111"/>
          <w:sz w:val="28"/>
          <w:sz w:val="28"/>
          <w:szCs w:val="28"/>
          <w:rtl w:val="true"/>
          <w:lang w:bidi="ar-SA"/>
        </w:rPr>
        <w:t>حالُ قَطعِه لرِجْلِ نَفسِه، و قَطعِ اللّٰهِ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يُشبَّهُ‌</w:t>
      </w:r>
      <w:r>
        <w:rPr>
          <w:rStyle w:val="FootnoteAnchor"/>
          <w:rtl w:val="true"/>
        </w:rPr>
        <w:footnoteReference w:id="1467"/>
      </w:r>
      <w:r>
        <w:rPr>
          <w:rFonts w:ascii="Amiri" w:hAnsi="Amiri" w:eastAsia="Amiri" w:cs="Amiri"/>
          <w:color w:val="111111"/>
          <w:sz w:val="28"/>
          <w:sz w:val="28"/>
          <w:szCs w:val="28"/>
          <w:rtl w:val="true"/>
          <w:lang w:bidi="ar-SA"/>
        </w:rPr>
        <w:t>حالُ المكلَّفينَ المانِعينَ للإمامِ مِن الظهورِ و القيامِ بأمرِ الإمامةِ بحالِ القاطعِ لرِجْلِ نَفسِه في سقوطِ تكليفِ الصلاةِ مع القيامِ عنه؛ لأنّ‌</w:t>
      </w:r>
      <w:r>
        <w:rPr>
          <w:rStyle w:val="FootnoteAnchor"/>
          <w:rtl w:val="true"/>
        </w:rPr>
        <w:footnoteReference w:id="1468"/>
      </w:r>
      <w:r>
        <w:rPr>
          <w:rFonts w:ascii="Amiri" w:hAnsi="Amiri" w:eastAsia="Amiri" w:cs="Amiri"/>
          <w:color w:val="111111"/>
          <w:sz w:val="28"/>
          <w:sz w:val="28"/>
          <w:szCs w:val="28"/>
          <w:rtl w:val="true"/>
          <w:lang w:bidi="ar-SA"/>
        </w:rPr>
        <w:t>مَن قَطَعَ رِجْلَ نَفسِه قد أخرَجَ نَفسَه عن التمكُّنِ‌</w:t>
      </w:r>
      <w:r>
        <w:rPr>
          <w:rStyle w:val="FootnoteAnchor"/>
          <w:rtl w:val="true"/>
        </w:rPr>
        <w:footnoteReference w:id="1469"/>
      </w:r>
      <w:r>
        <w:rPr>
          <w:rFonts w:ascii="Amiri" w:hAnsi="Amiri" w:eastAsia="Amiri" w:cs="Amiri"/>
          <w:color w:val="111111"/>
          <w:sz w:val="28"/>
          <w:sz w:val="28"/>
          <w:szCs w:val="28"/>
          <w:rtl w:val="true"/>
          <w:lang w:bidi="ar-SA"/>
        </w:rPr>
        <w:t>مِن الصلاةِ قائماً؛ لأنّه لا وصولَ له</w:t>
      </w:r>
      <w:r>
        <w:rPr>
          <w:rStyle w:val="FootnoteAnchor"/>
          <w:rtl w:val="true"/>
        </w:rPr>
        <w:footnoteReference w:id="1470"/>
      </w:r>
      <w:r>
        <w:rPr>
          <w:rFonts w:ascii="Amiri" w:hAnsi="Amiri" w:eastAsia="Amiri" w:cs="Amiri"/>
          <w:color w:val="111111"/>
          <w:sz w:val="28"/>
          <w:sz w:val="28"/>
          <w:szCs w:val="28"/>
          <w:rtl w:val="true"/>
          <w:lang w:bidi="ar-SA"/>
        </w:rPr>
        <w:t>إلىٰ هذه الصلاةِ بشَيءٍ مِن أفعالِه و مقدوراتِه</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حالُ الظالِمينَ المُخيفينَ‌</w:t>
      </w:r>
      <w:r>
        <w:rPr>
          <w:rStyle w:val="FootnoteAnchor"/>
          <w:rtl w:val="true"/>
        </w:rPr>
        <w:footnoteReference w:id="1472"/>
      </w:r>
      <w:r>
        <w:rPr>
          <w:rFonts w:ascii="Amiri" w:hAnsi="Amiri" w:eastAsia="Amiri" w:cs="Amiri"/>
          <w:color w:val="111111"/>
          <w:sz w:val="28"/>
          <w:sz w:val="28"/>
          <w:szCs w:val="28"/>
          <w:rtl w:val="true"/>
          <w:lang w:bidi="ar-SA"/>
        </w:rPr>
        <w:t xml:space="preserve">للإمامِ؛ لأنّهم قادرونَ و متمكِّنونَ مِن إزالةِ إخافتِه و ما أحوَجَه إلَى الغَيبةِ، و يَجرونَ في هذا الوجهِ مَجرىٰ مَن شَدَّ رِجْلَ نَفسِه في أنّ تكليفَه للصلاةِ </w:t>
      </w:r>
      <w:r>
        <w:rPr>
          <w:rStyle w:val="FootnoteAnchor"/>
          <w:rtl w:val="true"/>
        </w:rPr>
        <w:footnoteReference w:id="1473"/>
      </w:r>
      <w:r>
        <w:rPr>
          <w:rFonts w:ascii="Amiri" w:hAnsi="Amiri" w:eastAsia="Amiri" w:cs="Amiri"/>
          <w:color w:val="111111"/>
          <w:sz w:val="28"/>
          <w:sz w:val="28"/>
          <w:szCs w:val="28"/>
          <w:rtl w:val="true"/>
          <w:lang w:bidi="ar-SA"/>
        </w:rPr>
        <w:t xml:space="preserve">قائماً لا يَسقُطُ عنه و إن كانَ في حالِ شَدِّها غيرَ متمكِّنٍ مِن الصلاةِ ؛ لأنّه قادرٌ علىٰ إزالةِ </w:t>
      </w:r>
      <w:r>
        <w:rPr>
          <w:rStyle w:val="FootnoteAnchor"/>
          <w:rtl w:val="true"/>
        </w:rPr>
        <w:footnoteReference w:id="1474"/>
      </w:r>
      <w:r>
        <w:rPr>
          <w:rFonts w:ascii="Amiri" w:hAnsi="Amiri" w:eastAsia="Amiri" w:cs="Amiri"/>
          <w:color w:val="111111"/>
          <w:sz w:val="28"/>
          <w:sz w:val="28"/>
          <w:szCs w:val="28"/>
          <w:rtl w:val="true"/>
          <w:lang w:bidi="ar-SA"/>
        </w:rPr>
        <w:t xml:space="preserve">الشَّدِّ، فيَصِحُّ مِنه فِعلُ الصلاةِ </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828666_2320776876"/>
      <w:bookmarkStart w:id="559" w:name="_Toc198"/>
      <w:bookmarkEnd w:id="558"/>
      <w:r>
        <w:rPr>
          <w:rtl w:val="true"/>
        </w:rPr>
        <w:t>بيان المانع الحقيقي من ظهور الإمام</w:t>
      </w:r>
      <w:bookmarkEnd w:id="55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Style w:val="FootnoteAnchor"/>
          <w:rtl w:val="true"/>
        </w:rPr>
        <w:footnoteReference w:id="1475"/>
      </w:r>
      <w:r>
        <w:rPr>
          <w:rFonts w:ascii="Amiri" w:hAnsi="Amiri" w:eastAsia="Amiri" w:cs="Amiri"/>
          <w:color w:val="111111"/>
          <w:sz w:val="28"/>
          <w:sz w:val="28"/>
          <w:szCs w:val="28"/>
          <w:rtl w:val="true"/>
          <w:lang w:bidi="ar-SA"/>
        </w:rPr>
        <w:t>هذا الأمرُ الذي فَعَلَه الظالمونَ فمَنَعوا به</w:t>
      </w:r>
      <w:r>
        <w:rPr>
          <w:rStyle w:val="FootnoteAnchor"/>
          <w:rtl w:val="true"/>
        </w:rPr>
        <w:footnoteReference w:id="1476"/>
      </w:r>
      <w:r>
        <w:rPr>
          <w:rFonts w:ascii="Amiri" w:hAnsi="Amiri" w:eastAsia="Amiri" w:cs="Amiri"/>
          <w:color w:val="111111"/>
          <w:sz w:val="28"/>
          <w:sz w:val="28"/>
          <w:szCs w:val="28"/>
          <w:rtl w:val="true"/>
          <w:lang w:bidi="ar-SA"/>
        </w:rPr>
        <w:t xml:space="preserve">الإمامَ مِن الظهورِ؟ </w:t>
      </w:r>
    </w:p>
    <w:p>
      <w:pPr>
        <w:pStyle w:val="BookText"/>
        <w:rPr/>
      </w:pPr>
      <w:r>
        <w:rPr>
          <w:rFonts w:ascii="Amiri" w:hAnsi="Amiri" w:eastAsia="Amiri" w:cs="Amiri"/>
          <w:color w:val="111111"/>
          <w:sz w:val="28"/>
          <w:sz w:val="28"/>
          <w:szCs w:val="28"/>
          <w:rtl w:val="true"/>
          <w:lang w:bidi="ar-SA"/>
        </w:rPr>
        <w:t xml:space="preserve">بَيِّنوه لنَعلَمَ </w:t>
      </w:r>
      <w:r>
        <w:rPr>
          <w:rStyle w:val="FootnoteAnchor"/>
          <w:rtl w:val="true"/>
        </w:rPr>
        <w:footnoteReference w:id="1477"/>
      </w:r>
      <w:r>
        <w:rPr>
          <w:rFonts w:ascii="Amiri" w:hAnsi="Amiri" w:eastAsia="Amiri" w:cs="Amiri"/>
          <w:color w:val="111111"/>
          <w:sz w:val="28"/>
          <w:sz w:val="28"/>
          <w:szCs w:val="28"/>
          <w:rtl w:val="true"/>
          <w:lang w:bidi="ar-SA"/>
        </w:rPr>
        <w:t>صحّةَ ما ادَّعَيتموه مِن تمكُّنِهم</w:t>
      </w:r>
      <w:r>
        <w:rPr>
          <w:rStyle w:val="FootnoteAnchor"/>
          <w:rtl w:val="true"/>
        </w:rPr>
        <w:footnoteReference w:id="1478"/>
      </w:r>
      <w:r>
        <w:rPr>
          <w:rFonts w:ascii="Amiri" w:hAnsi="Amiri" w:eastAsia="Amiri" w:cs="Amiri"/>
          <w:color w:val="111111"/>
          <w:sz w:val="28"/>
          <w:sz w:val="28"/>
          <w:szCs w:val="28"/>
          <w:rtl w:val="true"/>
          <w:lang w:bidi="ar-SA"/>
        </w:rPr>
        <w:t>مِن إزالتِه و الانصِرافِ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في الحقيقةِ عندَنا مِن ظهورِه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اللّٰهِ تَعالىٰ له</w:t>
      </w:r>
      <w:r>
        <w:rPr>
          <w:rStyle w:val="FootnoteAnchor"/>
          <w:rtl w:val="true"/>
        </w:rPr>
        <w:footnoteReference w:id="1479"/>
      </w:r>
      <w:r>
        <w:rPr>
          <w:rFonts w:ascii="Amiri" w:hAnsi="Amiri" w:eastAsia="Amiri" w:cs="Amiri"/>
          <w:color w:val="111111"/>
          <w:sz w:val="28"/>
          <w:sz w:val="28"/>
          <w:szCs w:val="28"/>
          <w:rtl w:val="true"/>
          <w:lang w:bidi="ar-SA"/>
        </w:rPr>
        <w:t>أنّ الظالِمينَ متىٰ ظَهَرَ أقدَموا علىٰ قَتلِه و سَفكِ دَمِه، فبَطَلَ‌</w:t>
      </w:r>
      <w:r>
        <w:rPr>
          <w:rStyle w:val="FootnoteAnchor"/>
          <w:rtl w:val="true"/>
        </w:rPr>
        <w:footnoteReference w:id="1480"/>
      </w:r>
      <w:r>
        <w:rPr>
          <w:rFonts w:ascii="Amiri" w:hAnsi="Amiri" w:eastAsia="Amiri" w:cs="Amiri"/>
          <w:color w:val="111111"/>
          <w:sz w:val="28"/>
          <w:sz w:val="28"/>
          <w:szCs w:val="28"/>
          <w:rtl w:val="true"/>
          <w:lang w:bidi="ar-SA"/>
        </w:rPr>
        <w:t>الحُجّةُ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Style w:val="FootnoteAnchor"/>
          <w:rtl w:val="true"/>
        </w:rPr>
        <w:footnoteReference w:id="1481"/>
      </w:r>
      <w:r>
        <w:rPr>
          <w:rFonts w:ascii="Amiri" w:hAnsi="Amiri" w:eastAsia="Amiri" w:cs="Amiri"/>
          <w:color w:val="111111"/>
          <w:sz w:val="28"/>
          <w:sz w:val="28"/>
          <w:szCs w:val="28"/>
          <w:rtl w:val="true"/>
          <w:lang w:bidi="ar-SA"/>
        </w:rPr>
        <w:t xml:space="preserve">يَجوزُ أن يَكونَ المانعُ مِن الظهورِ إلّاما ذَكَرناه؛ لأنّ مجرَّدَ الخَوفِ مِن الضرَرِ و ما يَجري مَجرَى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يَبلُغُ إلىٰ تَلَفِ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يَجوزُ أن يَكونَ مانعاً</w:t>
      </w:r>
      <w:r>
        <w:rPr>
          <w:rStyle w:val="FootnoteAnchor"/>
          <w:rtl w:val="true"/>
        </w:rPr>
        <w:footnoteReference w:id="1482"/>
      </w:r>
      <w:r>
        <w:rPr>
          <w:rFonts w:ascii="Amiri" w:hAnsi="Amiri" w:eastAsia="Amiri" w:cs="Amiri"/>
          <w:color w:val="111111"/>
          <w:sz w:val="28"/>
          <w:sz w:val="28"/>
          <w:szCs w:val="28"/>
          <w:rtl w:val="true"/>
          <w:lang w:bidi="ar-SA"/>
        </w:rPr>
        <w:t xml:space="preserve">لأنّا قد رَأَينا مِن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Style w:val="FootnoteAnchor"/>
          <w:rtl w:val="true"/>
        </w:rPr>
        <w:footnoteReference w:id="1483"/>
      </w:r>
      <w:r>
        <w:rPr>
          <w:rFonts w:ascii="Amiri" w:hAnsi="Amiri" w:eastAsia="Amiri" w:cs="Amiri"/>
          <w:color w:val="111111"/>
          <w:sz w:val="28"/>
          <w:sz w:val="28"/>
          <w:szCs w:val="28"/>
          <w:rtl w:val="true"/>
          <w:lang w:bidi="ar-SA"/>
        </w:rPr>
        <w:t>ظَهَرَ مع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يُجعَلَ المانعُ مِن الظهورِ عِلمَ اللّٰهِ تَعالىٰ مِن حالِ بَعضِ المكلَّفينَ أو أكثَرِهم أنّهم يَفسُدونَ عندَ ظهورِه في بعضِ الأحوالِ؛ لأنّه إن قيلَ‌</w:t>
      </w:r>
      <w:r>
        <w:rPr>
          <w:rStyle w:val="FootnoteAnchor"/>
          <w:rtl w:val="true"/>
        </w:rPr>
        <w:footnoteReference w:id="1484"/>
      </w:r>
      <w:r>
        <w:rPr>
          <w:rFonts w:ascii="Amiri" w:hAnsi="Amiri" w:eastAsia="Amiri" w:cs="Amiri"/>
          <w:color w:val="111111"/>
          <w:sz w:val="28"/>
          <w:sz w:val="28"/>
          <w:szCs w:val="28"/>
          <w:rtl w:val="true"/>
          <w:lang w:bidi="ar-SA"/>
        </w:rPr>
        <w:t>أنّه يَعلَمُ ذلكَ علىٰ وجهٍ يَكونُ ظهورُه مؤثِّراً فيه</w:t>
      </w:r>
      <w:r>
        <w:rPr>
          <w:rStyle w:val="FootnoteAnchor"/>
          <w:rtl w:val="true"/>
        </w:rPr>
        <w:footnoteReference w:id="1485"/>
      </w:r>
      <w:r>
        <w:rPr>
          <w:rFonts w:ascii="Amiri" w:hAnsi="Amiri" w:eastAsia="Amiri" w:cs="Amiri"/>
          <w:color w:val="111111"/>
          <w:sz w:val="28"/>
          <w:sz w:val="28"/>
          <w:szCs w:val="28"/>
          <w:rtl w:val="true"/>
          <w:lang w:bidi="ar-SA"/>
        </w:rPr>
        <w:t>، وَجَبَ سقوطُ ما عَوَّلنا عليه في أصلِ الإمامةِ مِن كَونِها لُطفاً في الواجباتِ و ارتفاعِ المُقَبَّحاتِ، و لَزِمَ فيها ما نأباه مِن كَونِها استفساداً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ظهورُه مؤثِّراً فيما يَقَعُ </w:t>
      </w:r>
      <w:r>
        <w:rPr>
          <w:rStyle w:val="FootnoteAnchor"/>
          <w:rtl w:val="true"/>
        </w:rPr>
        <w:footnoteReference w:id="148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الفَسادِ، لَم يَلزَمِ الاستتارُ</w:t>
      </w:r>
      <w:r>
        <w:rPr>
          <w:rStyle w:val="FootnoteAnchor"/>
          <w:rtl w:val="true"/>
        </w:rPr>
        <w:footnoteReference w:id="1487"/>
      </w:r>
      <w:r>
        <w:rPr>
          <w:rFonts w:ascii="Amiri" w:hAnsi="Amiri" w:eastAsia="Amiri" w:cs="Amiri"/>
          <w:color w:val="111111"/>
          <w:sz w:val="28"/>
          <w:sz w:val="28"/>
          <w:szCs w:val="28"/>
          <w:rtl w:val="true"/>
          <w:lang w:bidi="ar-SA"/>
        </w:rPr>
        <w:t>لأجلِه، كما لَم يَلزَمِ استتارُ مَن تَقدَّمَه</w:t>
      </w:r>
      <w:r>
        <w:rPr>
          <w:rStyle w:val="FootnoteAnchor"/>
          <w:rtl w:val="true"/>
        </w:rPr>
        <w:footnoteReference w:id="1488"/>
      </w:r>
      <w:r>
        <w:rPr>
          <w:rFonts w:ascii="Amiri" w:hAnsi="Amiri" w:eastAsia="Amiri" w:cs="Amiri"/>
          <w:color w:val="111111"/>
          <w:sz w:val="28"/>
          <w:sz w:val="28"/>
          <w:szCs w:val="28"/>
          <w:rtl w:val="true"/>
          <w:lang w:bidi="ar-SA"/>
        </w:rPr>
        <w:t xml:space="preserve">مِن الأئمّةِ </w:t>
      </w:r>
      <w:bookmarkStart w:id="560" w:name="pg20044_770961"/>
    </w:p>
    <w:p>
      <w:pPr>
        <w:pStyle w:val="BookText"/>
        <w:rPr/>
      </w:pPr>
      <w:bookmarkEnd w:id="560"/>
      <w:r>
        <w:rPr>
          <w:rFonts w:ascii="Amiri" w:hAnsi="Amiri" w:eastAsia="Amiri" w:cs="Amiri"/>
          <w:color w:val="111111"/>
          <w:sz w:val="28"/>
          <w:sz w:val="28"/>
          <w:szCs w:val="28"/>
          <w:rtl w:val="true"/>
          <w:lang w:bidi="ar-SA"/>
        </w:rPr>
        <w:t xml:space="preserve">عليهم السلامُ و لا تَركُ بِعثةِ كثيرٍ مِن الرُّسُلِ لأجلِ ما وَقَعَ مِن بعضِ المكلَّفينَ مِن الفَسادِ في حالِ الإمامةِ لهؤلاءِ و النبوّةِ لأولئكَ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يبيِّنُ أنّ الوجهَ الصحيحَ الذي ذَكَرناه،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المانعُ هو ما ذَكَرتُموه، فيَجِبُ في كُلِّ مَن كانَ في المعلومِ أنّ رَعيّتَه تَقتُلُه مِن إمامٍ أو نَبيٍّ أن يوجِبَ اللّٰهُ تَعالىٰ عليه الاستتارَ و الغَيبةَ ، و يَحظُرَ</w:t>
      </w:r>
      <w:r>
        <w:rPr>
          <w:rStyle w:val="FootnoteAnchor"/>
          <w:rtl w:val="true"/>
        </w:rPr>
        <w:footnoteReference w:id="1489"/>
      </w:r>
      <w:r>
        <w:rPr>
          <w:rFonts w:ascii="Amiri" w:hAnsi="Amiri" w:eastAsia="Amiri" w:cs="Amiri"/>
          <w:color w:val="111111"/>
          <w:sz w:val="28"/>
          <w:sz w:val="28"/>
          <w:szCs w:val="28"/>
          <w:rtl w:val="true"/>
          <w:lang w:bidi="ar-SA"/>
        </w:rPr>
        <w:t xml:space="preserve">عليه الظهورَ، و إلّافإن جازَ أن يُبيحَ اللّٰهُ تَعالىٰ لبَعضِ </w:t>
      </w:r>
      <w:r>
        <w:rPr>
          <w:rStyle w:val="FootnoteAnchor"/>
          <w:rtl w:val="true"/>
        </w:rPr>
        <w:footnoteReference w:id="1490"/>
      </w:r>
      <w:r>
        <w:rPr>
          <w:rFonts w:ascii="Amiri" w:hAnsi="Amiri" w:eastAsia="Amiri" w:cs="Amiri"/>
          <w:color w:val="111111"/>
          <w:sz w:val="28"/>
          <w:sz w:val="28"/>
          <w:szCs w:val="28"/>
          <w:rtl w:val="true"/>
          <w:lang w:bidi="ar-SA"/>
        </w:rPr>
        <w:t xml:space="preserve">مَن يَعلَمُ أنّه يُقتَلُ مِن حُجَجِه الظهورَ، جازَ مِثلُ ذلكَ في كُلِّ إمامٍ ؛ فبَطَلَ </w:t>
      </w:r>
      <w:r>
        <w:rPr>
          <w:rStyle w:val="FootnoteAnchor"/>
          <w:rtl w:val="true"/>
        </w:rPr>
        <w:footnoteReference w:id="1491"/>
      </w:r>
      <w:r>
        <w:rPr>
          <w:rFonts w:ascii="Amiri" w:hAnsi="Amiri" w:eastAsia="Amiri" w:cs="Amiri"/>
          <w:color w:val="111111"/>
          <w:sz w:val="28"/>
          <w:sz w:val="28"/>
          <w:szCs w:val="28"/>
          <w:rtl w:val="true"/>
          <w:lang w:bidi="ar-SA"/>
        </w:rPr>
        <w:t>أن يَكونَ المانعُ ما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أوجَبنا أن يَكونَ ما بيّنّاه مانعاً بشَرطِ أن يَكونَ مصلحةُ المكلَّفينَ مقصورةً علىٰ ذلكَ الإمامِ بعَينِه، و يَكونَ في معلومِ اللّٰهِ تَعالىٰ أنّ أحَداً مِن البَشَرِ لا يَقومُ في مصلحةِ الخَلقِ بإمامتِه مَقامَه، و مَن أباحَه</w:t>
      </w:r>
      <w:r>
        <w:rPr>
          <w:rStyle w:val="FootnoteAnchor"/>
          <w:rtl w:val="true"/>
        </w:rPr>
        <w:footnoteReference w:id="1492"/>
      </w:r>
      <w:r>
        <w:rPr>
          <w:rFonts w:ascii="Amiri" w:hAnsi="Amiri" w:eastAsia="Amiri" w:cs="Amiri"/>
          <w:color w:val="111111"/>
          <w:sz w:val="28"/>
          <w:sz w:val="28"/>
          <w:szCs w:val="28"/>
          <w:rtl w:val="true"/>
          <w:lang w:bidi="ar-SA"/>
        </w:rPr>
        <w:t>اللّٰهُ تَعالَى الصَّبرَ</w:t>
      </w:r>
      <w:r>
        <w:rPr>
          <w:rStyle w:val="FootnoteAnchor"/>
          <w:rtl w:val="true"/>
        </w:rPr>
        <w:footnoteReference w:id="1493"/>
      </w:r>
      <w:r>
        <w:rPr>
          <w:rFonts w:ascii="Amiri" w:hAnsi="Amiri" w:eastAsia="Amiri" w:cs="Amiri"/>
          <w:color w:val="111111"/>
          <w:sz w:val="28"/>
          <w:sz w:val="28"/>
          <w:szCs w:val="28"/>
          <w:rtl w:val="true"/>
          <w:lang w:bidi="ar-SA"/>
        </w:rPr>
        <w:t xml:space="preserve">علَى القَتلِ مِن حُجَجِه و أنبيائه لَم يُبِحْهُ </w:t>
      </w:r>
      <w:r>
        <w:rPr>
          <w:rStyle w:val="FootnoteAnchor"/>
          <w:rtl w:val="true"/>
        </w:rPr>
        <w:footnoteReference w:id="1494"/>
      </w:r>
      <w:r>
        <w:rPr>
          <w:rFonts w:ascii="Amiri" w:hAnsi="Amiri" w:eastAsia="Amiri" w:cs="Amiri"/>
          <w:color w:val="111111"/>
          <w:sz w:val="28"/>
          <w:sz w:val="28"/>
          <w:szCs w:val="28"/>
          <w:rtl w:val="true"/>
          <w:lang w:bidi="ar-SA"/>
        </w:rPr>
        <w:t xml:space="preserve">ذلكَ إلّامع العِلمِ بأنّه إذا قُتِلَ قامَ مَقامَه غيرُه مِن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Style w:val="FootnoteAnchor"/>
          <w:rtl w:val="true"/>
        </w:rPr>
        <w:footnoteReference w:id="1495"/>
      </w:r>
      <w:r>
        <w:rPr>
          <w:rFonts w:ascii="Amiri" w:hAnsi="Amiri" w:eastAsia="Amiri" w:cs="Amiri"/>
          <w:color w:val="111111"/>
          <w:sz w:val="28"/>
          <w:sz w:val="28"/>
          <w:szCs w:val="28"/>
          <w:rtl w:val="true"/>
          <w:lang w:bidi="ar-SA"/>
        </w:rPr>
        <w:t>واضحٌ لِمَن تأمَّلَه</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828668_2320776876"/>
      <w:bookmarkStart w:id="562" w:name="_Toc199"/>
      <w:bookmarkEnd w:id="561"/>
      <w:r>
        <w:rPr>
          <w:rtl w:val="true"/>
        </w:rPr>
        <w:t>بيان الفرق بين علّة الاستتار من الأعداء و من الأولياء</w:t>
      </w:r>
      <w:bookmarkEnd w:id="56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المانعُ للإمامِ مِن الظهورِ ما بَيَّنتموه ممّا</w:t>
      </w:r>
      <w:r>
        <w:rPr>
          <w:rStyle w:val="FootnoteAnchor"/>
          <w:rtl w:val="true"/>
        </w:rPr>
        <w:footnoteReference w:id="1496"/>
      </w:r>
      <w:r>
        <w:rPr>
          <w:rFonts w:ascii="Amiri" w:hAnsi="Amiri" w:eastAsia="Amiri" w:cs="Amiri"/>
          <w:color w:val="111111"/>
          <w:sz w:val="28"/>
          <w:sz w:val="28"/>
          <w:szCs w:val="28"/>
          <w:rtl w:val="true"/>
          <w:lang w:bidi="ar-SA"/>
        </w:rPr>
        <w:t xml:space="preserve">هو معلومٌ أنّ الظالِمينَ </w:t>
      </w:r>
    </w:p>
    <w:p>
      <w:pPr>
        <w:pStyle w:val="BookText"/>
        <w:rPr/>
      </w:pPr>
      <w:r>
        <w:rPr>
          <w:rFonts w:ascii="Amiri" w:hAnsi="Amiri" w:eastAsia="Amiri" w:cs="Amiri"/>
          <w:color w:val="111111"/>
          <w:sz w:val="28"/>
          <w:sz w:val="28"/>
          <w:szCs w:val="28"/>
          <w:rtl w:val="true"/>
          <w:lang w:bidi="ar-SA"/>
        </w:rPr>
        <w:t>هُم المخصوصونَ به، فما قولُكم في أوليائه و معتَقِدي إمامتِه و هُم متميِّزونَ مِن أعدائه في المنعِ الذي ذَكَرتموه؟ فيَجِبُ عَلَيكم 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Style w:val="FootnoteAnchor"/>
          <w:rtl w:val="true"/>
        </w:rPr>
        <w:footnoteReference w:id="1497"/>
      </w:r>
      <w:r>
        <w:rPr>
          <w:rFonts w:ascii="Amiri" w:hAnsi="Amiri" w:eastAsia="Amiri" w:cs="Amiri"/>
          <w:color w:val="111111"/>
          <w:sz w:val="28"/>
          <w:sz w:val="28"/>
          <w:szCs w:val="28"/>
          <w:rtl w:val="true"/>
          <w:lang w:bidi="ar-SA"/>
        </w:rPr>
        <w:t>أن تَقولوا أنّ التكليفَ الذي الإمامُ لُطفٌ فيه ساقطٌ عنهم</w:t>
      </w:r>
      <w:r>
        <w:rPr>
          <w:rStyle w:val="FootnoteAnchor"/>
          <w:rtl w:val="true"/>
        </w:rPr>
        <w:footnoteReference w:id="1498"/>
      </w:r>
      <w:r>
        <w:rPr>
          <w:rFonts w:ascii="Amiri" w:hAnsi="Amiri" w:eastAsia="Amiri" w:cs="Amiri"/>
          <w:color w:val="111111"/>
          <w:sz w:val="28"/>
          <w:sz w:val="28"/>
          <w:szCs w:val="28"/>
          <w:rtl w:val="true"/>
          <w:lang w:bidi="ar-SA"/>
        </w:rPr>
        <w:t xml:space="preserve">، و هذا خروجٌ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تَرتكبوا</w:t>
      </w:r>
      <w:r>
        <w:rPr>
          <w:rStyle w:val="FootnoteAnchor"/>
          <w:rtl w:val="true"/>
        </w:rPr>
        <w:footnoteReference w:id="1499"/>
      </w:r>
      <w:r>
        <w:rPr>
          <w:rFonts w:ascii="Amiri" w:hAnsi="Amiri" w:eastAsia="Amiri" w:cs="Amiri"/>
          <w:color w:val="111111"/>
          <w:sz w:val="28"/>
          <w:sz w:val="28"/>
          <w:szCs w:val="28"/>
          <w:rtl w:val="true"/>
          <w:lang w:bidi="ar-SA"/>
        </w:rPr>
        <w:t>القولَ بظُهورِ الإمامِ لهم</w:t>
      </w:r>
      <w:r>
        <w:rPr>
          <w:rStyle w:val="FootnoteAnchor"/>
          <w:rtl w:val="true"/>
        </w:rPr>
        <w:footnoteReference w:id="1500"/>
      </w:r>
      <w:r>
        <w:rPr>
          <w:rFonts w:ascii="Amiri" w:hAnsi="Amiri" w:eastAsia="Amiri" w:cs="Amiri"/>
          <w:color w:val="111111"/>
          <w:sz w:val="28"/>
          <w:sz w:val="28"/>
          <w:szCs w:val="28"/>
          <w:rtl w:val="true"/>
          <w:lang w:bidi="ar-SA"/>
        </w:rPr>
        <w:t>، و تَدَّعونَ ما تَعلَمونَ أنتم و كُلُّ أحَدٍ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تُشرِّكوا بَينَهم</w:t>
      </w:r>
      <w:r>
        <w:rPr>
          <w:rStyle w:val="FootnoteAnchor"/>
          <w:rtl w:val="true"/>
        </w:rPr>
        <w:footnoteReference w:id="1501"/>
      </w:r>
      <w:r>
        <w:rPr>
          <w:rFonts w:ascii="Amiri" w:hAnsi="Amiri" w:eastAsia="Amiri" w:cs="Amiri"/>
          <w:color w:val="111111"/>
          <w:sz w:val="28"/>
          <w:sz w:val="28"/>
          <w:szCs w:val="28"/>
          <w:rtl w:val="true"/>
          <w:lang w:bidi="ar-SA"/>
        </w:rPr>
        <w:t>و بَينَ الأعداءِ في المنعِ الذي ادَّعَيتموه، فيَلزَمُكم مساواتُهم لِحالِهم</w:t>
      </w:r>
      <w:r>
        <w:rPr>
          <w:rStyle w:val="FootnoteAnchor"/>
          <w:rtl w:val="true"/>
        </w:rPr>
        <w:footnoteReference w:id="1502"/>
      </w:r>
      <w:r>
        <w:rPr>
          <w:rFonts w:ascii="Amiri" w:hAnsi="Amiri" w:eastAsia="Amiri" w:cs="Amiri"/>
          <w:color w:val="111111"/>
          <w:sz w:val="28"/>
          <w:sz w:val="28"/>
          <w:szCs w:val="28"/>
          <w:rtl w:val="true"/>
          <w:lang w:bidi="ar-SA"/>
        </w:rPr>
        <w:t xml:space="preserve">و خروجُهم مِن جُملةِ الوَلايةِ إلَى العَداوةِ ؛ و قد عَلِمنا و عَلِمتم أنّ جميعَ الناسِ لَيسَ بأعداءٍ للإمامِ </w:t>
      </w:r>
      <w:r>
        <w:rPr>
          <w:rStyle w:val="FootnoteAnchor"/>
          <w:rtl w:val="true"/>
        </w:rPr>
        <w:footnoteReference w:id="1503"/>
      </w:r>
      <w:r>
        <w:rPr>
          <w:rFonts w:ascii="Amiri" w:hAnsi="Amiri" w:eastAsia="Amiri" w:cs="Amiri"/>
          <w:color w:val="111111"/>
          <w:sz w:val="28"/>
          <w:sz w:val="28"/>
          <w:szCs w:val="28"/>
          <w:rtl w:val="true"/>
          <w:lang w:bidi="ar-SA"/>
        </w:rPr>
        <w:t>الذي تَدَّعونَه، بَل فيهم مَن يَعتقدُ إمامتَه و يَنتظرُ ظهورَه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أصحابُنا عن هذا السؤالِ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استتارِ الإمامِ في غَيبتِه عن أوليائه غيرُ العِلّةِ في استتارِه عن</w:t>
      </w:r>
      <w:r>
        <w:rPr>
          <w:rStyle w:val="FootnoteAnchor"/>
          <w:rtl w:val="true"/>
        </w:rPr>
        <w:footnoteReference w:id="1504"/>
      </w:r>
      <w:r>
        <w:rPr>
          <w:rFonts w:ascii="Amiri" w:hAnsi="Amiri" w:eastAsia="Amiri" w:cs="Amiri"/>
          <w:color w:val="111111"/>
          <w:sz w:val="28"/>
          <w:sz w:val="28"/>
          <w:szCs w:val="28"/>
          <w:rtl w:val="true"/>
          <w:lang w:bidi="ar-SA"/>
        </w:rPr>
        <w:t>أعدائه؛ و هي</w:t>
      </w:r>
      <w:r>
        <w:rPr>
          <w:rStyle w:val="FootnoteAnchor"/>
          <w:rtl w:val="true"/>
        </w:rPr>
        <w:footnoteReference w:id="1505"/>
      </w:r>
      <w:r>
        <w:rPr>
          <w:rFonts w:ascii="Amiri" w:hAnsi="Amiri" w:eastAsia="Amiri" w:cs="Amiri"/>
          <w:color w:val="111111"/>
          <w:sz w:val="28"/>
          <w:sz w:val="28"/>
          <w:szCs w:val="28"/>
          <w:rtl w:val="true"/>
          <w:lang w:bidi="ar-SA"/>
        </w:rPr>
        <w:t xml:space="preserve">خَوفُه مِن الظهورِ </w:t>
      </w:r>
    </w:p>
    <w:p>
      <w:pPr>
        <w:pStyle w:val="BookText"/>
        <w:rPr/>
      </w:pPr>
      <w:r>
        <w:rPr>
          <w:rFonts w:ascii="IRNazanin" w:hAnsi="IRNazanin" w:eastAsia="IRNazanin"/>
          <w:color w:val="111111"/>
          <w:sz w:val="28"/>
          <w:sz w:val="28"/>
          <w:szCs w:val="28"/>
          <w:rtl w:val="true"/>
          <w:lang w:bidi="fa-IR"/>
        </w:rPr>
        <w:t>لهم</w:t>
      </w:r>
      <w:r>
        <w:rPr>
          <w:rStyle w:val="FootnoteAnchor"/>
          <w:rtl w:val="true"/>
        </w:rPr>
        <w:footnoteReference w:id="1506"/>
      </w:r>
      <w:r>
        <w:rPr>
          <w:rFonts w:ascii="Amiri" w:hAnsi="Amiri" w:eastAsia="Amiri" w:cs="Amiri"/>
          <w:color w:val="111111"/>
          <w:sz w:val="28"/>
          <w:sz w:val="28"/>
          <w:szCs w:val="28"/>
          <w:rtl w:val="true"/>
          <w:lang w:bidi="ar-SA"/>
        </w:rPr>
        <w:t>لئلّا يَنشُروا</w:t>
      </w:r>
      <w:r>
        <w:rPr>
          <w:rStyle w:val="FootnoteAnchor"/>
          <w:rtl w:val="true"/>
        </w:rPr>
        <w:footnoteReference w:id="1507"/>
      </w:r>
      <w:r>
        <w:rPr>
          <w:rFonts w:ascii="Amiri" w:hAnsi="Amiri" w:eastAsia="Amiri" w:cs="Amiri"/>
          <w:color w:val="111111"/>
          <w:sz w:val="28"/>
          <w:sz w:val="28"/>
          <w:szCs w:val="28"/>
          <w:rtl w:val="true"/>
          <w:lang w:bidi="ar-SA"/>
        </w:rPr>
        <w:t>خَبَرَه و يُجروا ذِكرَه، فيَسمَعَ به الأعداءُ و يَظهَروا عليه، فيَؤولُ‌</w:t>
      </w:r>
      <w:r>
        <w:rPr>
          <w:rStyle w:val="FootnoteAnchor"/>
          <w:rtl w:val="true"/>
        </w:rPr>
        <w:footnoteReference w:id="1508"/>
      </w:r>
      <w:r>
        <w:rPr>
          <w:rFonts w:ascii="Amiri" w:hAnsi="Amiri" w:eastAsia="Amiri" w:cs="Amiri"/>
          <w:color w:val="111111"/>
          <w:sz w:val="28"/>
          <w:sz w:val="28"/>
          <w:szCs w:val="28"/>
          <w:rtl w:val="true"/>
          <w:lang w:bidi="ar-SA"/>
        </w:rPr>
        <w:t>الأمرُ إلَى الغايةِ الموجِبةِ للاستتارِ من الأعداءِ؛ و هذا قريبٌ</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أن يُجابَ به عن هذا السؤالِ‌</w:t>
      </w:r>
      <w:r>
        <w:rPr>
          <w:rStyle w:val="FootnoteAnchor"/>
          <w:rtl w:val="true"/>
        </w:rPr>
        <w:footnoteReference w:id="1509"/>
      </w:r>
      <w:r>
        <w:rPr>
          <w:rFonts w:ascii="Amiri" w:hAnsi="Amiri" w:eastAsia="Amiri" w:cs="Amiri"/>
          <w:color w:val="111111"/>
          <w:sz w:val="28"/>
          <w:sz w:val="28"/>
          <w:szCs w:val="28"/>
          <w:rtl w:val="true"/>
          <w:lang w:bidi="ar-SA"/>
        </w:rPr>
        <w:t xml:space="preserve">،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الإمامَ إذا ظَهَرَ لجميعِ رعيّتِه أو لبعضِهم و لَيسَ يُعلَمُ صدقُه في ادّعائه أنّه الإمامُ بنَفسِ دعواه، بَل لا بُدَّ مِن آيةٍ يُظهِرُها تَدُلُّ علىٰ صدقِه، و ما يُظهِرُه مِن الآياتِ لَيسَ يُعلَمُ ضرورةً كَونُه آيةً و دَلالةً ، بل يُعلَمُ </w:t>
      </w:r>
      <w:r>
        <w:rPr>
          <w:rStyle w:val="FootnoteAnchor"/>
          <w:rtl w:val="true"/>
        </w:rPr>
        <w:footnoteReference w:id="1510"/>
      </w:r>
      <w:r>
        <w:rPr>
          <w:rFonts w:ascii="Amiri" w:hAnsi="Amiri" w:eastAsia="Amiri" w:cs="Amiri"/>
          <w:color w:val="111111"/>
          <w:sz w:val="28"/>
          <w:sz w:val="28"/>
          <w:szCs w:val="28"/>
          <w:rtl w:val="true"/>
          <w:lang w:bidi="ar-SA"/>
        </w:rPr>
        <w:t xml:space="preserve">ذلكَ بضُروبِ الاستدلالِ التي تَدخُلُ </w:t>
      </w:r>
      <w:r>
        <w:rPr>
          <w:rStyle w:val="FootnoteAnchor"/>
          <w:rtl w:val="true"/>
        </w:rPr>
        <w:footnoteReference w:id="1511"/>
      </w:r>
      <w:r>
        <w:rPr>
          <w:rFonts w:ascii="Amiri" w:hAnsi="Amiri" w:eastAsia="Amiri" w:cs="Amiri"/>
          <w:color w:val="111111"/>
          <w:sz w:val="28"/>
          <w:sz w:val="28"/>
          <w:szCs w:val="28"/>
          <w:rtl w:val="true"/>
          <w:lang w:bidi="ar-SA"/>
        </w:rPr>
        <w:t xml:space="preserve">في طُرُقِها </w:t>
      </w:r>
    </w:p>
    <w:p>
      <w:pPr>
        <w:pStyle w:val="BookText"/>
        <w:rPr/>
      </w:pPr>
      <w:r>
        <w:rPr>
          <w:rFonts w:ascii="Amiri" w:hAnsi="Amiri" w:eastAsia="Amiri" w:cs="Amiri"/>
          <w:color w:val="111111"/>
          <w:sz w:val="28"/>
          <w:sz w:val="28"/>
          <w:szCs w:val="28"/>
          <w:rtl w:val="true"/>
          <w:lang w:bidi="ar-SA"/>
        </w:rPr>
        <w:t>الشكوكُ و الشبُهاتُ، و إذا صَحَّ هذا فمَن لَم</w:t>
      </w:r>
      <w:r>
        <w:rPr>
          <w:rStyle w:val="FootnoteAnchor"/>
          <w:rtl w:val="true"/>
        </w:rPr>
        <w:footnoteReference w:id="1512"/>
      </w:r>
      <w:r>
        <w:rPr>
          <w:rFonts w:ascii="Amiri" w:hAnsi="Amiri" w:eastAsia="Amiri" w:cs="Amiri"/>
          <w:color w:val="111111"/>
          <w:sz w:val="28"/>
          <w:sz w:val="28"/>
          <w:szCs w:val="28"/>
          <w:rtl w:val="true"/>
          <w:lang w:bidi="ar-SA"/>
        </w:rPr>
        <w:t>يَظهَر له الإمامُ مِن أوليائه لا يَمتَنِعُ أن يَكونَ المعلومُ مِن حالِه أنّ ما يُظهِرُه الإمامُ مِن المُعجِزِ يَدخُلُ‌</w:t>
      </w:r>
      <w:r>
        <w:rPr>
          <w:rStyle w:val="FootnoteAnchor"/>
          <w:rtl w:val="true"/>
        </w:rPr>
        <w:footnoteReference w:id="1513"/>
      </w:r>
      <w:r>
        <w:rPr>
          <w:rFonts w:ascii="Amiri" w:hAnsi="Amiri" w:eastAsia="Amiri" w:cs="Amiri"/>
          <w:color w:val="111111"/>
          <w:sz w:val="28"/>
          <w:sz w:val="28"/>
          <w:szCs w:val="28"/>
          <w:rtl w:val="true"/>
          <w:lang w:bidi="ar-SA"/>
        </w:rPr>
        <w:t>عليه في طريقِه الشُّبُهاتُ، فلا يَصِلُ إلَى العِلمِ بكَونِه آيةً مُعجِزةً، و إذا لَم يَصِلْ إلىٰ ما ذَكَرناه و اعتَقَدَ في المُظهِرِ له ما يُعتَقَدُ في المُحتالينَ‌</w:t>
      </w:r>
      <w:r>
        <w:rPr>
          <w:rStyle w:val="FootnoteAnchor"/>
          <w:rtl w:val="true"/>
        </w:rPr>
        <w:footnoteReference w:id="1514"/>
      </w:r>
      <w:r>
        <w:rPr>
          <w:rFonts w:ascii="Amiri" w:hAnsi="Amiri" w:eastAsia="Amiri" w:cs="Amiri"/>
          <w:color w:val="111111"/>
          <w:sz w:val="28"/>
          <w:sz w:val="28"/>
          <w:szCs w:val="28"/>
          <w:rtl w:val="true"/>
          <w:lang w:bidi="ar-SA"/>
        </w:rPr>
        <w:t>المُخرِّفينَ‌</w:t>
      </w:r>
      <w:r>
        <w:rPr>
          <w:rStyle w:val="FootnoteAnchor"/>
          <w:rtl w:val="true"/>
        </w:rPr>
        <w:footnoteReference w:id="1515"/>
      </w:r>
      <w:r>
        <w:rPr>
          <w:rFonts w:ascii="Amiri" w:hAnsi="Amiri" w:eastAsia="Amiri" w:cs="Amiri"/>
          <w:color w:val="111111"/>
          <w:sz w:val="28"/>
          <w:sz w:val="28"/>
          <w:szCs w:val="28"/>
          <w:rtl w:val="true"/>
          <w:lang w:bidi="ar-SA"/>
        </w:rPr>
        <w:t>، لَم يَمتَنِعْ‌</w:t>
      </w:r>
      <w:r>
        <w:rPr>
          <w:rStyle w:val="FootnoteAnchor"/>
          <w:rtl w:val="true"/>
        </w:rPr>
        <w:footnoteReference w:id="1516"/>
      </w:r>
      <w:r>
        <w:rPr>
          <w:rFonts w:ascii="Amiri" w:hAnsi="Amiri" w:eastAsia="Amiri" w:cs="Amiri"/>
          <w:color w:val="111111"/>
          <w:sz w:val="28"/>
          <w:sz w:val="28"/>
          <w:szCs w:val="28"/>
          <w:rtl w:val="true"/>
          <w:lang w:bidi="ar-SA"/>
        </w:rPr>
        <w:t xml:space="preserve">أن يَكونَ في المعلومِ مِنه أن يُقدِمَ مع هذا الاعتقادِ علىٰ سَفكِ دَمِه أو فِعلِ ما يؤدّي إلىٰ ذلكَ مِن تنبيهِ بعضِهم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Style w:val="FootnoteAnchor"/>
          <w:rtl w:val="true"/>
        </w:rPr>
        <w:footnoteReference w:id="1517"/>
      </w:r>
      <w:r>
        <w:rPr>
          <w:rFonts w:ascii="Amiri" w:hAnsi="Amiri" w:eastAsia="Amiri" w:cs="Amiri"/>
          <w:color w:val="111111"/>
          <w:sz w:val="28"/>
          <w:sz w:val="28"/>
          <w:szCs w:val="28"/>
          <w:rtl w:val="true"/>
          <w:lang w:bidi="ar-SA"/>
        </w:rPr>
        <w:t xml:space="preserve">بَعضَ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فيَؤولُ الحالُ إلَى العِلّةِ التي مَنَعنا لها مِن ظهورِه لأعدائه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بَينَ الأعداءِ و الأولياءِ فَرقٌ مِن وجهٍ آخَرَ؛ لأنّ الأعداءَ قَبلَ ظهورِه معتقِدونَ أنّه لا إمامَ في العالَمِ، و أنّ مَن ادَّعَى الإمامةَ مُبطِلٌ كاذبٌ، فهُم عندَ ظهورِ مَن يَدَّعي الإمامةَ علَى الوجهِ الذي نَذهَبُ‌</w:t>
      </w:r>
      <w:r>
        <w:rPr>
          <w:rStyle w:val="FootnoteAnchor"/>
          <w:rtl w:val="true"/>
        </w:rPr>
        <w:footnoteReference w:id="1518"/>
      </w:r>
      <w:r>
        <w:rPr>
          <w:rFonts w:ascii="Amiri" w:hAnsi="Amiri" w:eastAsia="Amiri" w:cs="Amiri"/>
          <w:color w:val="111111"/>
          <w:sz w:val="28"/>
          <w:sz w:val="28"/>
          <w:szCs w:val="28"/>
          <w:rtl w:val="true"/>
          <w:lang w:bidi="ar-SA"/>
        </w:rPr>
        <w:t xml:space="preserve">إليه لا يَنظُرونَ فيما يُظهِرُه ممّا يَدَّعي أنّه آيةٌ؛ لتَقدُّمِ اعتقادِهم أنّ كُلَّ ما يَدَّعيه مِن نَسَبِ </w:t>
      </w:r>
      <w:r>
        <w:rPr>
          <w:rStyle w:val="FootnoteAnchor"/>
          <w:rtl w:val="true"/>
        </w:rPr>
        <w:footnoteReference w:id="1519"/>
      </w:r>
      <w:r>
        <w:rPr>
          <w:rFonts w:ascii="Amiri" w:hAnsi="Amiri" w:eastAsia="Amiri" w:cs="Amiri"/>
          <w:color w:val="111111"/>
          <w:sz w:val="28"/>
          <w:sz w:val="28"/>
          <w:szCs w:val="28"/>
          <w:rtl w:val="true"/>
          <w:lang w:bidi="ar-SA"/>
        </w:rPr>
        <w:t>الإمامةِ المخصوصةِ إلىٰ نَفسِه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الآياتِ باطلٌ لا دَلالةَ فيه، فيُقدِمونَ لهذه الاعتقاداتِ </w:t>
      </w:r>
      <w:r>
        <w:rPr>
          <w:rStyle w:val="FootnoteAnchor"/>
          <w:rtl w:val="true"/>
        </w:rPr>
        <w:footnoteReference w:id="1520"/>
      </w:r>
      <w:r>
        <w:rPr>
          <w:rFonts w:ascii="Amiri" w:hAnsi="Amiri" w:eastAsia="Amiri" w:cs="Amiri"/>
          <w:color w:val="111111"/>
          <w:sz w:val="28"/>
          <w:sz w:val="28"/>
          <w:szCs w:val="28"/>
          <w:rtl w:val="true"/>
          <w:lang w:bidi="ar-SA"/>
        </w:rPr>
        <w:t>علَى المكروهِ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حالُ الأولياءِ ؛ لأنّهم يَنتظرونَ ظهورَ الإمامِ الذي يَدَّعي هذا النسَبَ </w:t>
      </w:r>
      <w:bookmarkStart w:id="563" w:name="pg20044_770965"/>
    </w:p>
    <w:p>
      <w:pPr>
        <w:pStyle w:val="BookText"/>
        <w:rPr/>
      </w:pPr>
      <w:bookmarkEnd w:id="563"/>
      <w:r>
        <w:rPr>
          <w:rFonts w:ascii="Amiri" w:hAnsi="Amiri" w:eastAsia="Amiri" w:cs="Amiri"/>
          <w:color w:val="111111"/>
          <w:sz w:val="28"/>
          <w:sz w:val="28"/>
          <w:szCs w:val="28"/>
          <w:rtl w:val="true"/>
          <w:lang w:bidi="ar-SA"/>
        </w:rPr>
        <w:t>المخصوصَ ، فهُم يَنظرونَ فيما يُظهِرُه</w:t>
      </w:r>
      <w:r>
        <w:rPr>
          <w:rStyle w:val="FootnoteAnchor"/>
          <w:rtl w:val="true"/>
        </w:rPr>
        <w:footnoteReference w:id="1521"/>
      </w:r>
      <w:r>
        <w:rPr>
          <w:rFonts w:ascii="Amiri" w:hAnsi="Amiri" w:eastAsia="Amiri" w:cs="Amiri"/>
          <w:color w:val="111111"/>
          <w:sz w:val="28"/>
          <w:sz w:val="28"/>
          <w:szCs w:val="28"/>
          <w:rtl w:val="true"/>
          <w:lang w:bidi="ar-SA"/>
        </w:rPr>
        <w:t xml:space="preserve">مِن 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يَستَحِلُّ بعضُهم فيه المحرَّمَ لدُخولِ الشُّبهةِ عليه فيما يُظهِرُه حتّىٰ يَعتقِدَ أنّه لَيسَ بآيةٍ و لا 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الجوابَينِ جميعاً لسنا نَقطعُ علىٰ أنّ الإمامَ لا يَظهَرُ لبعضِ أوليائه و شيعتِه، بل يَجوزُ ذلكَ ، و يَجوزُ أيضاً أن لا يَكونَ ظاهراً لأحَدٍ مِنهم، و لَيسَ يَعرِفُ كُلُّ واحدٍ منّا إلّاحالَ نَفسِه، فأمّا حالُ غيرِه فغَيرُ معلومةٍ له؛ و لأجلِ تجويزِنا أن لا يَظهَرَ لبعضِهم أو لجميعِهم ما ذَكَرنا العِلّةَ المانعةَ مِن الظهورِ</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828670_2320776876"/>
      <w:bookmarkStart w:id="565" w:name="_Toc200"/>
      <w:bookmarkEnd w:id="564"/>
      <w:r>
        <w:rPr>
          <w:rtl w:val="true"/>
        </w:rPr>
        <w:t>عدم لزوم كون الإمام في كلّ بلد و جَمْع</w:t>
      </w:r>
      <w:bookmarkEnd w:id="565"/>
    </w:p>
    <w:p>
      <w:pPr>
        <w:pStyle w:val="BookText"/>
        <w:rPr/>
      </w:pPr>
      <w:r>
        <w:rPr>
          <w:rFonts w:ascii="Amiri" w:hAnsi="Amiri" w:eastAsia="Amiri" w:cs="Amiri"/>
          <w:color w:val="111111"/>
          <w:sz w:val="28"/>
          <w:sz w:val="28"/>
          <w:szCs w:val="28"/>
          <w:rtl w:val="true"/>
          <w:lang w:bidi="ar-SA"/>
        </w:rPr>
        <w:t xml:space="preserve">و 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مِن قَبلُ </w:t>
      </w:r>
      <w:r>
        <w:rPr>
          <w:rStyle w:val="FootnoteAnchor"/>
          <w:rtl w:val="true"/>
        </w:rPr>
        <w:footnoteReference w:id="1522"/>
      </w:r>
      <w:r>
        <w:rPr>
          <w:rFonts w:ascii="Amiri" w:hAnsi="Amiri" w:eastAsia="Amiri" w:cs="Amiri"/>
          <w:color w:val="111111"/>
          <w:sz w:val="28"/>
          <w:sz w:val="28"/>
          <w:szCs w:val="28"/>
          <w:rtl w:val="true"/>
          <w:lang w:bidi="ar-SA"/>
        </w:rPr>
        <w:t>أنّه</w:t>
      </w:r>
      <w:r>
        <w:rPr>
          <w:rStyle w:val="FootnoteAnchor"/>
          <w:rtl w:val="true"/>
        </w:rPr>
        <w:footnoteReference w:id="1523"/>
      </w:r>
      <w:r>
        <w:rPr>
          <w:rFonts w:ascii="Amiri" w:hAnsi="Amiri" w:eastAsia="Amiri" w:cs="Amiri"/>
          <w:color w:val="111111"/>
          <w:sz w:val="28"/>
          <w:sz w:val="28"/>
          <w:szCs w:val="28"/>
          <w:rtl w:val="true"/>
          <w:lang w:bidi="ar-SA"/>
        </w:rPr>
        <w:t xml:space="preserve">يَلزَمُهم كَونُ الإمامِ و الحُجّةِ في كُلِّ وقتٍ و في كُلِّ بَلَدٍ و عندَ كُلِّ جَمعٍ ؛ ليَصِحَّ مِنه تَعالىٰ تكليفُ المكلَّفينَ مع النقصِ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متىٰ جوَّزوا خِلافَ ذلكَ فقَد نَقَضوا قولَهم</w:t>
      </w:r>
      <w:r>
        <w:rPr>
          <w:rFonts w:eastAsia="Amiri" w:cs="Amiri" w:ascii="Amiri" w:hAnsi="Amiri"/>
          <w:color w:val="111111"/>
          <w:sz w:val="28"/>
          <w:szCs w:val="28"/>
          <w:rtl w:val="true"/>
          <w:lang w:bidi="ar-SA"/>
        </w:rPr>
        <w:t>....</w:t>
      </w:r>
      <w:r>
        <w:rPr>
          <w:rStyle w:val="FootnoteAnchor"/>
          <w:rtl w:val="true"/>
        </w:rPr>
        <w:footnoteReference w:id="152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الإمامِ في كلِّ وقتٍ فهو واجبٌ مع قيامِ التكليفِ ، و أمّا في كُلِّ بلدٍ و كُلِّ جَمعٍ فغيرُ لازمٍ ؛ لأنّا قد</w:t>
      </w:r>
      <w:r>
        <w:rPr>
          <w:rStyle w:val="FootnoteAnchor"/>
          <w:rtl w:val="true"/>
        </w:rPr>
        <w:footnoteReference w:id="1526"/>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هذا</w:t>
      </w:r>
      <w:r>
        <w:rPr>
          <w:rStyle w:val="FootnoteAnchor"/>
          <w:rtl w:val="true"/>
        </w:rPr>
        <w:footnoteReference w:id="1527"/>
      </w:r>
      <w:r>
        <w:rPr>
          <w:rFonts w:ascii="Amiri" w:hAnsi="Amiri" w:eastAsia="Amiri" w:cs="Amiri"/>
          <w:color w:val="111111"/>
          <w:sz w:val="28"/>
          <w:sz w:val="28"/>
          <w:szCs w:val="28"/>
          <w:rtl w:val="true"/>
          <w:lang w:bidi="ar-SA"/>
        </w:rPr>
        <w:t>و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تَعلَّقَت المصلحةُ بوجودِ أئمّةٍ في البُلدانِ و سائرِ الأقطارِ، فَعَلَ اللّٰهُ تَعالىٰ </w:t>
      </w:r>
    </w:p>
    <w:p>
      <w:pPr>
        <w:pStyle w:val="BookText"/>
        <w:rPr/>
      </w:pPr>
      <w:r>
        <w:rPr>
          <w:rFonts w:ascii="Amiri" w:hAnsi="Amiri" w:eastAsia="Amiri" w:cs="Amiri"/>
          <w:color w:val="111111"/>
          <w:sz w:val="28"/>
          <w:sz w:val="28"/>
          <w:szCs w:val="28"/>
          <w:rtl w:val="true"/>
          <w:lang w:bidi="ar-SA"/>
        </w:rPr>
        <w:t xml:space="preserve">ما يَعلَمُ أنّ فيه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يَجوزُ أن لا يَعلَمَ ذلكَ </w:t>
      </w:r>
      <w:r>
        <w:rPr>
          <w:rStyle w:val="FootnoteAnchor"/>
          <w:rtl w:val="true"/>
        </w:rPr>
        <w:footnoteReference w:id="1528"/>
      </w:r>
      <w:r>
        <w:rPr>
          <w:rFonts w:ascii="Amiri" w:hAnsi="Amiri" w:eastAsia="Amiri" w:cs="Amiri"/>
          <w:color w:val="111111"/>
          <w:sz w:val="28"/>
          <w:sz w:val="28"/>
          <w:szCs w:val="28"/>
          <w:rtl w:val="true"/>
          <w:lang w:bidi="ar-SA"/>
        </w:rPr>
        <w:t>، فيَكونَ الأُمَراءُ و الحُكّامُ</w:t>
      </w:r>
    </w:p>
    <w:p>
      <w:pPr>
        <w:pStyle w:val="BookText"/>
        <w:rPr/>
      </w:pPr>
      <w:r>
        <w:rPr>
          <w:rFonts w:ascii="Amiri" w:hAnsi="Amiri" w:eastAsia="Amiri" w:cs="Amiri"/>
          <w:color w:val="111111"/>
          <w:sz w:val="28"/>
          <w:sz w:val="28"/>
          <w:szCs w:val="28"/>
          <w:rtl w:val="true"/>
          <w:lang w:bidi="ar-SA"/>
        </w:rPr>
        <w:t>و الخُلفاءُ مِن قِبَلِ الإمامِ في البُلدانِ و الأمصارِ يَقومونَ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الرؤَساءُ للناسِ و الأئمّةُ بجَميعِهم علىٰ صفةِ الأُمَراءِ </w:t>
      </w:r>
      <w:r>
        <w:rPr>
          <w:rStyle w:val="FootnoteAnchor"/>
          <w:rtl w:val="true"/>
        </w:rPr>
        <w:footnoteReference w:id="1529"/>
      </w:r>
      <w:r>
        <w:rPr>
          <w:rFonts w:ascii="Amiri" w:hAnsi="Amiri" w:eastAsia="Amiri" w:cs="Amiri"/>
          <w:color w:val="111111"/>
          <w:sz w:val="28"/>
          <w:sz w:val="28"/>
          <w:szCs w:val="28"/>
          <w:rtl w:val="true"/>
          <w:lang w:bidi="ar-SA"/>
        </w:rPr>
        <w:t>مِن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الأُمَراءِ في البُلدانِ يَقومُ مَقامَ وجودِ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الكلامَ‌</w:t>
      </w:r>
      <w:r>
        <w:rPr>
          <w:rStyle w:val="FootnoteAnchor"/>
          <w:rtl w:val="true"/>
        </w:rPr>
        <w:footnoteReference w:id="1530"/>
      </w:r>
      <w:r>
        <w:rPr>
          <w:rFonts w:ascii="Amiri" w:hAnsi="Amiri" w:eastAsia="Amiri" w:cs="Amiri"/>
          <w:color w:val="111111"/>
          <w:sz w:val="28"/>
          <w:sz w:val="28"/>
          <w:szCs w:val="28"/>
          <w:rtl w:val="true"/>
          <w:lang w:bidi="ar-SA"/>
        </w:rPr>
        <w:t>في صفاتِ الرئيسِ، لا في وجوبِ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وَجبَت الرئاسةُ في الجُملةِ لا يُعلَمُ‌</w:t>
      </w:r>
      <w:r>
        <w:rPr>
          <w:rStyle w:val="FootnoteAnchor"/>
          <w:rtl w:val="true"/>
        </w:rPr>
        <w:footnoteReference w:id="1531"/>
      </w:r>
      <w:r>
        <w:rPr>
          <w:rFonts w:ascii="Amiri" w:hAnsi="Amiri" w:eastAsia="Amiri" w:cs="Amiri"/>
          <w:color w:val="111111"/>
          <w:sz w:val="28"/>
          <w:sz w:val="28"/>
          <w:szCs w:val="28"/>
          <w:rtl w:val="true"/>
          <w:lang w:bidi="ar-SA"/>
        </w:rPr>
        <w:t>صفةُ الرئيسِ، و إنّما يُعلَمُ صفتُه و أحوالُه و ما يَجِبُ أن يَكونَ عليه باستئنافِ نظرٍ و استدلالٍ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رئاسةَ الأُمَراءِ و الحُكّامِ في البُلدانِ إنّما قامَت في اللُّطفِ و المصلحةِ مَقامَ كَونِ الإمامِ في تلكَ المواضعِ؛ لأنّ الإمامَ مِن وَرائهم، و لأنّهم مَسوسونَ بسياستِه، و متدبِّرونَ‌</w:t>
      </w:r>
      <w:r>
        <w:rPr>
          <w:rStyle w:val="FootnoteAnchor"/>
          <w:rtl w:val="true"/>
        </w:rPr>
        <w:footnoteReference w:id="1532"/>
      </w:r>
      <w:r>
        <w:rPr>
          <w:rFonts w:ascii="Amiri" w:hAnsi="Amiri" w:eastAsia="Amiri" w:cs="Amiri"/>
          <w:color w:val="111111"/>
          <w:sz w:val="28"/>
          <w:sz w:val="28"/>
          <w:szCs w:val="28"/>
          <w:rtl w:val="true"/>
          <w:lang w:bidi="ar-SA"/>
        </w:rPr>
        <w:t>بتدبيرِه، و مُنهُونَ‌</w:t>
      </w:r>
      <w:r>
        <w:rPr>
          <w:rStyle w:val="FootnoteAnchor"/>
          <w:rtl w:val="true"/>
        </w:rPr>
        <w:footnoteReference w:id="1533"/>
      </w:r>
      <w:r>
        <w:rPr>
          <w:rFonts w:ascii="Amiri" w:hAnsi="Amiri" w:eastAsia="Amiri" w:cs="Amiri"/>
          <w:color w:val="111111"/>
          <w:sz w:val="28"/>
          <w:sz w:val="28"/>
          <w:szCs w:val="28"/>
          <w:rtl w:val="true"/>
          <w:lang w:bidi="ar-SA"/>
        </w:rPr>
        <w:t>إليه أُمورَهم، و كُلُّ ذلكَ مفقودٌ إذا لَم يَكُن في العالَمِ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المصلحةُ في رئاسةِ هؤلاءِ إنّما تَتِمُّ‌</w:t>
      </w:r>
      <w:r>
        <w:rPr>
          <w:rStyle w:val="FootnoteAnchor"/>
          <w:rtl w:val="true"/>
        </w:rPr>
        <w:footnoteReference w:id="1534"/>
      </w:r>
      <w:r>
        <w:rPr>
          <w:rFonts w:ascii="Amiri" w:hAnsi="Amiri" w:eastAsia="Amiri" w:cs="Amiri"/>
          <w:color w:val="111111"/>
          <w:sz w:val="28"/>
          <w:sz w:val="28"/>
          <w:szCs w:val="28"/>
          <w:rtl w:val="true"/>
          <w:lang w:bidi="ar-SA"/>
        </w:rPr>
        <w:t xml:space="preserve">بالإمامِ و كَونِه مِن وراءِ مُراعاتِهم، فكَيفَ يُظَنُّ </w:t>
      </w:r>
      <w:r>
        <w:rPr>
          <w:rStyle w:val="FootnoteAnchor"/>
          <w:rtl w:val="true"/>
        </w:rPr>
        <w:footnoteReference w:id="1535"/>
      </w:r>
      <w:r>
        <w:rPr>
          <w:rFonts w:ascii="IRNazanin" w:hAnsi="IRNazanin" w:eastAsia="IRNazanin"/>
          <w:color w:val="111111"/>
          <w:sz w:val="28"/>
          <w:sz w:val="28"/>
          <w:szCs w:val="28"/>
          <w:rtl w:val="true"/>
          <w:lang w:bidi="fa-IR"/>
        </w:rPr>
        <w:t xml:space="preserve">الاستغناءُ بهم عن الإمامِ؟ </w:t>
      </w:r>
      <w:bookmarkStart w:id="566" w:name="pg20044_770967"/>
    </w:p>
    <w:p>
      <w:pPr>
        <w:pStyle w:val="BookText"/>
        <w:rPr/>
      </w:pPr>
      <w:bookmarkEnd w:id="566"/>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نَعودُ إلىٰ ما ذَكَروه مِن التفصيلِ </w:t>
      </w:r>
      <w:r>
        <w:rPr>
          <w:rStyle w:val="FootnoteAnchor"/>
          <w:rtl w:val="true"/>
        </w:rPr>
        <w:footnoteReference w:id="1536"/>
      </w:r>
      <w:r>
        <w:rPr>
          <w:rFonts w:ascii="Amiri" w:hAnsi="Amiri" w:eastAsia="Amiri" w:cs="Amiri"/>
          <w:color w:val="111111"/>
          <w:sz w:val="28"/>
          <w:sz w:val="28"/>
          <w:szCs w:val="28"/>
          <w:rtl w:val="true"/>
          <w:lang w:bidi="ar-SA"/>
        </w:rPr>
        <w:t>،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السَّهوَ يَعُمُّ الجميعَ ، فلا بُدَّ مِن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السَّهوِ عَلَيهم لا يَمنَعُ مِن صحّةِ قيامِهم بما كُلِّفوه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يَمنَعُ </w:t>
      </w:r>
      <w:r>
        <w:rPr>
          <w:rStyle w:val="FootnoteAnchor"/>
          <w:rtl w:val="true"/>
        </w:rPr>
        <w:footnoteReference w:id="1537"/>
      </w:r>
      <w:r>
        <w:rPr>
          <w:rFonts w:ascii="Amiri" w:hAnsi="Amiri" w:eastAsia="Amiri" w:cs="Amiri"/>
          <w:color w:val="111111"/>
          <w:sz w:val="28"/>
          <w:sz w:val="28"/>
          <w:szCs w:val="28"/>
          <w:rtl w:val="true"/>
          <w:lang w:bidi="ar-SA"/>
        </w:rPr>
        <w:t xml:space="preserve">مِن التكليفِ في وقتٍ لا يُمكِنُ الوصولُ إلَى الحُجّةِ </w:t>
      </w:r>
      <w:r>
        <w:rPr>
          <w:rStyle w:val="FootnoteAnchor"/>
          <w:rtl w:val="true"/>
        </w:rPr>
        <w:footnoteReference w:id="1538"/>
      </w:r>
      <w:r>
        <w:rPr>
          <w:rFonts w:ascii="Amiri" w:hAnsi="Amiri" w:eastAsia="Amiri" w:cs="Amiri"/>
          <w:color w:val="111111"/>
          <w:sz w:val="28"/>
          <w:sz w:val="28"/>
          <w:szCs w:val="28"/>
          <w:rtl w:val="true"/>
          <w:lang w:bidi="ar-SA"/>
        </w:rPr>
        <w:t xml:space="preserve">، و يوجِبُ </w:t>
      </w:r>
      <w:r>
        <w:rPr>
          <w:rStyle w:val="FootnoteAnchor"/>
          <w:rtl w:val="true"/>
        </w:rPr>
        <w:footnoteReference w:id="1539"/>
      </w:r>
      <w:r>
        <w:rPr>
          <w:rFonts w:ascii="Amiri" w:hAnsi="Amiri" w:eastAsia="Amiri" w:cs="Amiri"/>
          <w:color w:val="111111"/>
          <w:sz w:val="28"/>
          <w:sz w:val="28"/>
          <w:szCs w:val="28"/>
          <w:rtl w:val="true"/>
          <w:lang w:bidi="ar-SA"/>
        </w:rPr>
        <w:t>في نَفسِ الحُجّةِ أنّه</w:t>
      </w:r>
      <w:r>
        <w:rPr>
          <w:rStyle w:val="FootnoteAnchor"/>
          <w:rtl w:val="true"/>
        </w:rPr>
        <w:footnoteReference w:id="1540"/>
      </w:r>
      <w:r>
        <w:rPr>
          <w:rFonts w:ascii="Amiri" w:hAnsi="Amiri" w:eastAsia="Amiri" w:cs="Amiri"/>
          <w:color w:val="111111"/>
          <w:sz w:val="28"/>
          <w:sz w:val="28"/>
          <w:szCs w:val="28"/>
          <w:rtl w:val="true"/>
          <w:lang w:bidi="ar-SA"/>
        </w:rPr>
        <w:t xml:space="preserve">لا يُمكِنُه القيامُ بما كُلِّفَ إلّابحُجّةٍ </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 xml:space="preserve">كلامُكَ في هذا الفصلِ مَبنيٌّ علىٰ توهُّمِكَ عَلَينا إيجابَ الحُجّةِ لأجلِ جوازِ السَّهوِ علَى الخَلقِ في طريقِ النظَرِ و الاستدلالِ و التوصُّلِ إلَى المَعارفِ ، و قد بيّنّا أنّ الأمرَ بخِلافِ ما ظنَنتَه، و رَتَّبنا التعلُّقَ بالسَّهوِ في وجوبِ الحاجةِ إلَى الإمامِ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828672_2320776876"/>
      <w:bookmarkStart w:id="568" w:name="_Toc201"/>
      <w:bookmarkEnd w:id="567"/>
      <w:r>
        <w:rPr>
          <w:rtl w:val="true"/>
        </w:rPr>
        <w:t>تمكُّن المكلَّفين من أداء التكليف في زمن الغيبة</w:t>
      </w:r>
      <w:bookmarkEnd w:id="56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تكليفُ المكلَّفينَ في وقتٍ لا يَتمكَّنونَ فيه مِن الوصولِ إلَى الحُجّةِ ، فإنّما كان يَقبُحُ لَو امتَنَعَ وصولُهم إليه لشَيءٍ يَرجِعُ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كانوا</w:t>
      </w:r>
      <w:r>
        <w:rPr>
          <w:rStyle w:val="FootnoteAnchor"/>
          <w:rtl w:val="true"/>
        </w:rPr>
        <w:footnoteReference w:id="1544"/>
      </w:r>
      <w:bookmarkStart w:id="569" w:name="pg20044_770968"/>
    </w:p>
    <w:p>
      <w:pPr>
        <w:pStyle w:val="BookText"/>
        <w:rPr/>
      </w:pPr>
      <w:bookmarkEnd w:id="569"/>
      <w:r>
        <w:rPr>
          <w:rFonts w:ascii="Amiri" w:hAnsi="Amiri" w:eastAsia="Amiri" w:cs="Amiri"/>
          <w:color w:val="111111"/>
          <w:sz w:val="28"/>
          <w:sz w:val="28"/>
          <w:szCs w:val="28"/>
          <w:rtl w:val="true"/>
          <w:lang w:bidi="ar-SA"/>
        </w:rPr>
        <w:t>في الأحوالِ التي لا يَصِلونَ إليه فيها غيرَ متمكِّنينَ مِن أفعالٍ إذا وَقَعَت مِنهم وَصَلوا إليها لا مَحالةَ ، و قد بيّنّا أنّهم متمكِّنونَ ممّا إذا فَعَلوه زالَت تقيّةُ الإمامِ و خَوفُه و وَجَبَ عليه الظهورُ</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828674_2320776876"/>
      <w:bookmarkStart w:id="571" w:name="_Toc202"/>
      <w:bookmarkEnd w:id="570"/>
      <w:r>
        <w:rPr>
          <w:rtl w:val="true"/>
        </w:rPr>
        <w:t>نفي السهو عن الإمام</w:t>
      </w:r>
      <w:bookmarkEnd w:id="571"/>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 نَفسِ الحُجّةِ أن لا يُمكِنَه</w:t>
      </w:r>
      <w:r>
        <w:rPr>
          <w:rStyle w:val="FootnoteAnchor"/>
          <w:rtl w:val="true"/>
        </w:rPr>
        <w:footnoteReference w:id="1546"/>
      </w:r>
      <w:r>
        <w:rPr>
          <w:rFonts w:ascii="Amiri" w:hAnsi="Amiri" w:eastAsia="Amiri" w:cs="Amiri"/>
          <w:color w:val="111111"/>
          <w:sz w:val="28"/>
          <w:sz w:val="28"/>
          <w:szCs w:val="28"/>
          <w:rtl w:val="true"/>
          <w:lang w:bidi="ar-SA"/>
        </w:rPr>
        <w:t>القيامُ بما كُلِّفَ إلّابحُجّةٍ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فطَريفٌ </w:t>
      </w:r>
      <w:r>
        <w:rPr>
          <w:rStyle w:val="FootnoteAnchor"/>
          <w:rtl w:val="true"/>
        </w:rPr>
        <w:footnoteReference w:id="1547"/>
      </w:r>
      <w:r>
        <w:rPr>
          <w:rFonts w:ascii="Amiri" w:hAnsi="Amiri" w:eastAsia="Amiri" w:cs="Amiri"/>
          <w:color w:val="111111"/>
          <w:sz w:val="28"/>
          <w:sz w:val="28"/>
          <w:szCs w:val="28"/>
          <w:rtl w:val="true"/>
          <w:lang w:bidi="ar-SA"/>
        </w:rPr>
        <w:t xml:space="preserve">لأنّ الحُجّةَ عندَ خُصومِكَ لا يَجوزُ عليه السَّهوُ و لا شَيءٌ ممّا احتاجَت الأُمّةُ مِن أجلِه إليه؛ فكَيفَ تَظُنُّ </w:t>
      </w:r>
      <w:r>
        <w:rPr>
          <w:rStyle w:val="FootnoteAnchor"/>
          <w:rtl w:val="true"/>
        </w:rPr>
        <w:footnoteReference w:id="1548"/>
      </w:r>
      <w:r>
        <w:rPr>
          <w:rFonts w:ascii="Amiri" w:hAnsi="Amiri" w:eastAsia="Amiri" w:cs="Amiri"/>
          <w:color w:val="111111"/>
          <w:sz w:val="28"/>
          <w:sz w:val="28"/>
          <w:szCs w:val="28"/>
          <w:rtl w:val="true"/>
          <w:lang w:bidi="ar-SA"/>
        </w:rPr>
        <w:t>أنّه يَلزَمُ خُصومَكَ إذا أوجَبوا حاجةَ الخَلقِ إلَى الإمامِ لأجلِ جوازِ السَّهوِ عَلَيهم لَزِمَهم حاجةُ الإمامِ نَفسِه إلىٰ إمامٍ ، و هو عندَهم لا يَجوزُ عليه السَّهوُ؟</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828676_2320776876"/>
      <w:bookmarkStart w:id="573" w:name="_Toc203"/>
      <w:bookmarkEnd w:id="572"/>
      <w:r>
        <w:rPr>
          <w:rtl w:val="true"/>
        </w:rPr>
        <w:t>جواز عدول الناقلين للأخبار عن النقل</w:t>
      </w:r>
      <w:bookmarkEnd w:id="57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كانَ الحُجّةُ يبيِّنُ لنا</w:t>
      </w:r>
      <w:r>
        <w:rPr>
          <w:rStyle w:val="FootnoteAnchor"/>
          <w:rtl w:val="true"/>
        </w:rPr>
        <w:footnoteReference w:id="1549"/>
      </w:r>
      <w:r>
        <w:rPr>
          <w:rFonts w:ascii="Amiri" w:hAnsi="Amiri" w:eastAsia="Amiri" w:cs="Amiri"/>
          <w:color w:val="111111"/>
          <w:sz w:val="28"/>
          <w:sz w:val="28"/>
          <w:szCs w:val="28"/>
          <w:rtl w:val="true"/>
          <w:lang w:bidi="ar-SA"/>
        </w:rPr>
        <w:t xml:space="preserve">ما لَولاه لَم يَتنَبَّهِ </w:t>
      </w:r>
      <w:r>
        <w:rPr>
          <w:rStyle w:val="FootnoteAnchor"/>
          <w:rtl w:val="true"/>
        </w:rPr>
        <w:footnoteReference w:id="1550"/>
      </w:r>
      <w:r>
        <w:rPr>
          <w:rFonts w:ascii="Amiri" w:hAnsi="Amiri" w:eastAsia="Amiri" w:cs="Amiri"/>
          <w:color w:val="111111"/>
          <w:sz w:val="28"/>
          <w:sz w:val="28"/>
          <w:szCs w:val="28"/>
          <w:rtl w:val="true"/>
          <w:lang w:bidi="ar-SA"/>
        </w:rPr>
        <w:t>المكلَّفُ ؛ فمِن أينَ أنّه لا بُدَّ مِنه</w:t>
      </w:r>
      <w:r>
        <w:rPr>
          <w:rStyle w:val="FootnoteAnchor"/>
          <w:rtl w:val="true"/>
        </w:rPr>
        <w:footnoteReference w:id="1551"/>
      </w:r>
      <w:r>
        <w:rPr>
          <w:rFonts w:ascii="Amiri" w:hAnsi="Amiri" w:eastAsia="Amiri" w:cs="Amiri"/>
          <w:color w:val="111111"/>
          <w:sz w:val="28"/>
          <w:sz w:val="28"/>
          <w:szCs w:val="28"/>
          <w:rtl w:val="true"/>
          <w:lang w:bidi="ar-SA"/>
        </w:rPr>
        <w:t xml:space="preserve">في كُلِّ زمانٍ؟ و هَلّا جازَ أن يَستغنيَ المكلَّفونَ في كثيرٍ مِن الأعصارِ بما يَتَواتَرُ عن الرسولِ صلَّى اللّٰهُ عليه و آلِه و سَلَّمَ </w:t>
      </w:r>
    </w:p>
    <w:p>
      <w:pPr>
        <w:pStyle w:val="BookText"/>
        <w:rPr/>
      </w:pPr>
      <w:r>
        <w:rPr>
          <w:rFonts w:ascii="Amiri" w:hAnsi="Amiri" w:eastAsia="Amiri" w:cs="Amiri"/>
          <w:color w:val="111111"/>
          <w:sz w:val="28"/>
          <w:sz w:val="28"/>
          <w:szCs w:val="28"/>
          <w:rtl w:val="true"/>
          <w:lang w:bidi="ar-SA"/>
        </w:rPr>
        <w:t xml:space="preserve">و الحُجّةِ </w:t>
      </w:r>
      <w:r>
        <w:rPr>
          <w:rStyle w:val="FootnoteAnchor"/>
          <w:rtl w:val="true"/>
        </w:rPr>
        <w:footnoteReference w:id="1552"/>
      </w:r>
      <w:r>
        <w:rPr>
          <w:rFonts w:ascii="IRNazanin" w:hAnsi="IRNazanin" w:eastAsia="IRNazanin"/>
          <w:color w:val="111111"/>
          <w:sz w:val="28"/>
          <w:sz w:val="28"/>
          <w:szCs w:val="28"/>
          <w:rtl w:val="true"/>
          <w:lang w:bidi="fa-IR"/>
        </w:rPr>
        <w:t>و الإمامِ؟ فإن</w:t>
      </w:r>
      <w:r>
        <w:rPr>
          <w:rStyle w:val="FootnoteAnchor"/>
          <w:rtl w:val="true"/>
        </w:rPr>
        <w:footnoteReference w:id="1553"/>
      </w:r>
      <w:r>
        <w:rPr>
          <w:rFonts w:ascii="Amiri" w:hAnsi="Amiri" w:eastAsia="Amiri" w:cs="Amiri"/>
          <w:color w:val="111111"/>
          <w:sz w:val="28"/>
          <w:sz w:val="28"/>
          <w:szCs w:val="28"/>
          <w:rtl w:val="true"/>
          <w:lang w:bidi="ar-SA"/>
        </w:rPr>
        <w:t xml:space="preserve">امتَنَعوا مِن ارتفاعِ النقصِ و السَّهوِ بالتواتُرِ مع أنّه يوجِبُ العِلمَ الضَّروريَّ </w:t>
      </w:r>
      <w:r>
        <w:rPr>
          <w:rStyle w:val="FootnoteAnchor"/>
          <w:rtl w:val="true"/>
        </w:rPr>
        <w:footnoteReference w:id="1554"/>
      </w:r>
      <w:r>
        <w:rPr>
          <w:rFonts w:ascii="Amiri" w:hAnsi="Amiri" w:eastAsia="Amiri" w:cs="Amiri"/>
          <w:color w:val="111111"/>
          <w:sz w:val="28"/>
          <w:sz w:val="28"/>
          <w:szCs w:val="28"/>
          <w:rtl w:val="true"/>
          <w:lang w:bidi="ar-SA"/>
        </w:rPr>
        <w:t xml:space="preserve">، لَزِمَهم أن لا يَرتَفِعا بالحُجّةِ الذي غايةُ ما يأتيه هو البيانُ </w:t>
      </w:r>
      <w:r>
        <w:rPr>
          <w:rStyle w:val="FootnoteAnchor"/>
          <w:rtl w:val="true"/>
        </w:rPr>
        <w:footnoteReference w:id="1555"/>
      </w:r>
      <w:r>
        <w:rPr>
          <w:rFonts w:ascii="Amiri" w:hAnsi="Amiri" w:eastAsia="Amiri" w:cs="Amiri"/>
          <w:color w:val="111111"/>
          <w:sz w:val="28"/>
          <w:sz w:val="28"/>
          <w:szCs w:val="28"/>
          <w:rtl w:val="true"/>
          <w:lang w:bidi="ar-SA"/>
        </w:rPr>
        <w:t xml:space="preserve">الذي لا يَستَقِلُّ بنَفسِه، و يُحتاجُ معه إلَى النظَرِ و الاستدلالِ </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التواتُرَ يوجِبُ العِلمَ الضروريَّ علىٰ ما اقتَرَحتَ، ألَيسَ إنّما يَجِبُ العِلمُ الضروريُّ عندَ ما يُنقَلُ‌</w:t>
      </w:r>
      <w:r>
        <w:rPr>
          <w:rStyle w:val="FootnoteAnchor"/>
          <w:rtl w:val="true"/>
        </w:rPr>
        <w:footnoteReference w:id="1557"/>
      </w:r>
      <w:r>
        <w:rPr>
          <w:rFonts w:ascii="Amiri" w:hAnsi="Amiri" w:eastAsia="Amiri" w:cs="Amiri"/>
          <w:color w:val="111111"/>
          <w:sz w:val="28"/>
          <w:sz w:val="28"/>
          <w:szCs w:val="28"/>
          <w:rtl w:val="true"/>
          <w:lang w:bidi="ar-SA"/>
        </w:rPr>
        <w:t>و يُتَواتَرُ به مِن الأخبارِ؟</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علَى الناقلِ العُدولُ عن النقلِ لسَهوٍ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فيما تَقدَّمَ </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يَنفَعْنا حصولُ العِلمِ الضَّروريِّ لنا بما نُقِلَ ، و وَجَبَ أن لا نَكونَ واثقينَ بأنّ جميعَ الشرعِ قد تَضمَّنَه النقلُ </w:t>
      </w:r>
      <w:r>
        <w:rPr>
          <w:rStyle w:val="FootnoteAnchor"/>
          <w:rtl w:val="true"/>
        </w:rPr>
        <w:footnoteReference w:id="1559"/>
      </w:r>
      <w:r>
        <w:rPr>
          <w:rFonts w:ascii="Amiri" w:hAnsi="Amiri" w:eastAsia="Amiri" w:cs="Amiri"/>
          <w:color w:val="111111"/>
          <w:sz w:val="28"/>
          <w:sz w:val="28"/>
          <w:szCs w:val="28"/>
          <w:rtl w:val="true"/>
          <w:lang w:bidi="ar-SA"/>
        </w:rPr>
        <w:t xml:space="preserve">، و لَزِمَت الحاجةُ إلَى الإمامِ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Style w:val="FootnoteAnchor"/>
          <w:rtl w:val="true"/>
        </w:rPr>
        <w:footnoteReference w:id="1560"/>
      </w:r>
      <w:r>
        <w:rPr>
          <w:rFonts w:ascii="Amiri" w:hAnsi="Amiri" w:eastAsia="Amiri" w:cs="Amiri"/>
          <w:color w:val="111111"/>
          <w:sz w:val="28"/>
          <w:sz w:val="28"/>
          <w:szCs w:val="28"/>
          <w:rtl w:val="true"/>
          <w:lang w:bidi="ar-SA"/>
        </w:rPr>
        <w:t xml:space="preserve">لكَ أيضاً أنّ الناقِلينَ لا يَجوزُ أن يَعدِلوا عن النقلِ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يُخِلّوا به، مُضافاً إلىٰ أنّ تسليمَنا أنّ نَقلَهم يوجِبُ العِلمَ الضَّروريَّ ، </w:t>
      </w:r>
      <w:bookmarkStart w:id="574" w:name="pg20044_770970"/>
    </w:p>
    <w:p>
      <w:pPr>
        <w:pStyle w:val="BookText"/>
        <w:rPr/>
      </w:pPr>
      <w:bookmarkEnd w:id="574"/>
      <w:r>
        <w:rPr>
          <w:rFonts w:ascii="Amiri" w:hAnsi="Amiri" w:eastAsia="Amiri" w:cs="Amiri"/>
          <w:color w:val="111111"/>
          <w:sz w:val="28"/>
          <w:sz w:val="28"/>
          <w:szCs w:val="28"/>
          <w:rtl w:val="true"/>
          <w:lang w:bidi="ar-SA"/>
        </w:rPr>
        <w:t xml:space="preserve">لَم يَجِبْ ما تَوهَّمتَه مِن الاستغناءِ عن الإمامِ ؛ لأنّا قد بيّنّا فيما تَقدَّمَ أنّ وجودَ الإمامِ لُطفٌ في فِعلِ </w:t>
      </w:r>
      <w:r>
        <w:rPr>
          <w:rStyle w:val="FootnoteAnchor"/>
          <w:rtl w:val="true"/>
        </w:rPr>
        <w:footnoteReference w:id="1561"/>
      </w:r>
      <w:r>
        <w:rPr>
          <w:rFonts w:ascii="Amiri" w:hAnsi="Amiri" w:eastAsia="Amiri" w:cs="Amiri"/>
          <w:color w:val="111111"/>
          <w:sz w:val="28"/>
          <w:sz w:val="28"/>
          <w:szCs w:val="28"/>
          <w:rtl w:val="true"/>
          <w:lang w:bidi="ar-SA"/>
        </w:rPr>
        <w:t xml:space="preserve">كثيرٍ مِن الواجباتِ و ارتفاعِ كثيرٍ مِن المُقبَّحاتِ </w:t>
      </w:r>
      <w:r>
        <w:rPr>
          <w:rStyle w:val="FootnoteAnchor"/>
          <w:rtl w:val="true"/>
        </w:rPr>
        <w:footnoteReference w:id="1562"/>
      </w:r>
      <w:r>
        <w:rPr>
          <w:rFonts w:ascii="Amiri" w:hAnsi="Amiri" w:eastAsia="Amiri" w:cs="Amiri"/>
          <w:color w:val="111111"/>
          <w:sz w:val="28"/>
          <w:sz w:val="28"/>
          <w:szCs w:val="28"/>
          <w:rtl w:val="true"/>
          <w:lang w:bidi="ar-SA"/>
        </w:rPr>
        <w:t xml:space="preserve">، و ما هذه حالُه تَلزَمُ </w:t>
      </w:r>
      <w:r>
        <w:rPr>
          <w:rStyle w:val="FootnoteAnchor"/>
          <w:rtl w:val="true"/>
        </w:rPr>
        <w:footnoteReference w:id="1563"/>
      </w:r>
      <w:r>
        <w:rPr>
          <w:rFonts w:ascii="Amiri" w:hAnsi="Amiri" w:eastAsia="Amiri" w:cs="Amiri"/>
          <w:color w:val="111111"/>
          <w:sz w:val="28"/>
          <w:sz w:val="28"/>
          <w:szCs w:val="28"/>
          <w:rtl w:val="true"/>
          <w:lang w:bidi="ar-SA"/>
        </w:rPr>
        <w:t>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في النقلِ علىٰ ما تَدَّعيه و تَقتَرِحُه؛</w:t>
      </w:r>
      <w:r>
        <w:rPr>
          <w:rStyle w:val="FootnoteAnchor"/>
          <w:rtl w:val="true"/>
        </w:rPr>
        <w:footnoteReference w:id="1564"/>
      </w:r>
      <w:r>
        <w:rPr>
          <w:rFonts w:ascii="Amiri" w:hAnsi="Amiri" w:eastAsia="Amiri" w:cs="Amiri"/>
          <w:color w:val="111111"/>
          <w:sz w:val="28"/>
          <w:sz w:val="28"/>
          <w:szCs w:val="28"/>
          <w:rtl w:val="true"/>
          <w:lang w:bidi="ar-SA"/>
        </w:rPr>
        <w:t>فكَيفَ يَصِحُّ إطلاقُكَ أنّ التواتُرَ إذا أوجَبَ العِلمَ الضَّروريَّ ارتَفَعَت الحاجةُ إلَى الحُجّةِ في كُلِّ زمانٍ؟</w:t>
      </w:r>
    </w:p>
    <w:p>
      <w:pPr>
        <w:pStyle w:val="Heading5"/>
        <w:numPr>
          <w:ilvl w:val="4"/>
          <w:numId w:val="1"/>
        </w:numPr>
        <w:rPr/>
      </w:pPr>
      <w:bookmarkStart w:id="575" w:name="__RefHeading___Toc828678_2320776876"/>
      <w:bookmarkStart w:id="576" w:name="_Toc204"/>
      <w:bookmarkEnd w:id="575"/>
      <w:r>
        <w:rPr>
          <w:rtl w:val="true"/>
        </w:rPr>
        <w:t>عدم التلازم بين سقوط التكليف عن الناقل إذا سها، و بين سقوطه عن الآخرين</w:t>
      </w:r>
      <w:bookmarkEnd w:id="576"/>
    </w:p>
    <w:p>
      <w:pPr>
        <w:pStyle w:val="BookText"/>
        <w:rPr/>
      </w:pPr>
      <w:r>
        <w:rPr>
          <w:rFonts w:ascii="Amiri" w:hAnsi="Amiri" w:eastAsia="Amiri" w:cs="Amiri"/>
          <w:color w:val="111111"/>
          <w:sz w:val="28"/>
          <w:sz w:val="28"/>
          <w:szCs w:val="28"/>
          <w:rtl w:val="true"/>
          <w:lang w:bidi="ar-SA"/>
        </w:rPr>
        <w:t>ثُمّ أَورَدَ صاحبُ الكتابِ كلاماً في السهوِ يَجري مَجرىٰ ما تَقدَّمَ في بِنائه</w:t>
      </w:r>
      <w:r>
        <w:rPr>
          <w:rStyle w:val="FootnoteAnchor"/>
          <w:rtl w:val="true"/>
        </w:rPr>
        <w:footnoteReference w:id="1565"/>
      </w:r>
      <w:r>
        <w:rPr>
          <w:rFonts w:ascii="Amiri" w:hAnsi="Amiri" w:eastAsia="Amiri" w:cs="Amiri"/>
          <w:color w:val="111111"/>
          <w:sz w:val="28"/>
          <w:sz w:val="28"/>
          <w:szCs w:val="28"/>
          <w:rtl w:val="true"/>
          <w:lang w:bidi="ar-SA"/>
        </w:rPr>
        <w:t>علَى التوَهُّمِ عَلَينا إيجابَ وجودِ الإمامِ لجوازِ</w:t>
      </w:r>
      <w:r>
        <w:rPr>
          <w:rStyle w:val="FootnoteAnchor"/>
          <w:rtl w:val="true"/>
        </w:rPr>
        <w:footnoteReference w:id="1566"/>
      </w:r>
      <w:r>
        <w:rPr>
          <w:rFonts w:ascii="Amiri" w:hAnsi="Amiri" w:eastAsia="Amiri" w:cs="Amiri"/>
          <w:color w:val="111111"/>
          <w:sz w:val="28"/>
          <w:sz w:val="28"/>
          <w:szCs w:val="28"/>
          <w:rtl w:val="true"/>
          <w:lang w:bidi="ar-SA"/>
        </w:rPr>
        <w:t>السهوِ في طُرُقِ المَعارفِ‌</w:t>
      </w:r>
      <w:r>
        <w:rPr>
          <w:rStyle w:val="FootnoteAnchor"/>
          <w:rtl w:val="true"/>
        </w:rPr>
        <w:footnoteReference w:id="1567"/>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السهوَ إذا لَحِقَ المكلَّفَ فيما كُلِّفَ ،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يَتذكَّرْ مِن ذي قِبَلٍ </w:t>
      </w:r>
      <w:r>
        <w:rPr>
          <w:rStyle w:val="FootnoteAnchor"/>
          <w:rtl w:val="true"/>
        </w:rPr>
        <w:footnoteReference w:id="1568"/>
      </w:r>
      <w:r>
        <w:rPr>
          <w:rFonts w:ascii="Amiri" w:hAnsi="Amiri" w:eastAsia="Amiri" w:cs="Amiri"/>
          <w:color w:val="111111"/>
          <w:sz w:val="28"/>
          <w:sz w:val="28"/>
          <w:szCs w:val="28"/>
          <w:rtl w:val="true"/>
          <w:lang w:bidi="ar-SA"/>
        </w:rPr>
        <w:t xml:space="preserve">و لا حَصَلَ هناكَ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يُخطِرَ اللّٰهُ تَعالىٰ بِبالِه ما يَزولُ معه السهوُ، و إلّاقَبُحَ </w:t>
      </w:r>
      <w:r>
        <w:rPr>
          <w:rStyle w:val="FootnoteAnchor"/>
          <w:rtl w:val="true"/>
        </w:rPr>
        <w:footnoteReference w:id="1569"/>
      </w:r>
      <w:r>
        <w:rPr>
          <w:rFonts w:ascii="Amiri" w:hAnsi="Amiri" w:eastAsia="Amiri" w:cs="Amiri"/>
          <w:color w:val="111111"/>
          <w:sz w:val="28"/>
          <w:sz w:val="28"/>
          <w:szCs w:val="28"/>
          <w:rtl w:val="true"/>
          <w:lang w:bidi="ar-SA"/>
        </w:rPr>
        <w:t xml:space="preserve">تكليفُه، فكَيفَ يَحتاجُ </w:t>
      </w:r>
      <w:r>
        <w:rPr>
          <w:rStyle w:val="FootnoteAnchor"/>
          <w:rtl w:val="true"/>
        </w:rPr>
        <w:footnoteReference w:id="1570"/>
      </w:r>
      <w:r>
        <w:rPr>
          <w:rFonts w:ascii="Amiri" w:hAnsi="Amiri" w:eastAsia="Amiri" w:cs="Amiri"/>
          <w:color w:val="111111"/>
          <w:sz w:val="28"/>
          <w:sz w:val="28"/>
          <w:szCs w:val="28"/>
          <w:rtl w:val="true"/>
          <w:lang w:bidi="ar-SA"/>
        </w:rPr>
        <w:t>إلىٰ وجودِ</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الحُجّةِ مع ذلكَ؟</w:t>
      </w:r>
      <w:r>
        <w:rPr>
          <w:rFonts w:eastAsia="Amiri" w:cs="Amiri" w:ascii="Amiri" w:hAnsi="Amiri"/>
          <w:color w:val="111111"/>
          <w:sz w:val="28"/>
          <w:szCs w:val="28"/>
          <w:rtl w:val="true"/>
          <w:lang w:bidi="ar-SA"/>
        </w:rPr>
        <w:t>....</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فيُقالُ له</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و في حاشية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نظير ما ذكره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الإمام في الحثّ على الطاعة و الزجر عن المعصية؛ اذ يجب على اللّٰه سبحانه ردعهم عنها و ترغيبهم إلى الطاعات؛ إذ يمكنه سبحانه أن يجعل الناس أبراراً أتقياء يجتنبون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الرسول أيضاً؛ لجواز إلهام المعارف و إلقائها على الخلائق من غير حاجة إلىٰ بعث أحد اليهم، و لا تكون المعرفة أيضاً لطفاً واجباً،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تتخبَّط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تكليفَ مَن سَها و لَم يُخطِرِ اللّٰهُ تَعالىٰ بِبالِه ما يَزولُ معه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إلّاقَبُحَ تكليفُه؛ فكَيفَ يَكونُ ما ذَكَرتَه قادِحاً في كلامِنا و مُعتَرِضاً عَلَينا؟ و نَحنُ نَعلَمُ أنّ تكليفَ النقلِ‌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سَها عنه لَو سَقَطَ حَسَبَ ما ادَّعَيتَ، لَم يَسقُط وجوبُ معرفةِ الشيءِ المنقولِ عن غيرِه مِن المكلَّفينَ الذين لَم يَلحَقهم سهوٌ، و لا طريقَ لهم مع وقوعِ السهوِ عن النقلِ إلىٰ معرفةِ ما تَضمَّنَه النقلُ إلّا قولُ الإمامِ و بيانُه، و هذا يبيِّنُ أنّ ما تَكلَّفتَه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ادِّعاءِ وجوبِ أن يُخطِرَ اللّٰهُ تَعالىٰ علىٰ 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المكلَّفِ ما سَها عنه أو سُقوطِ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عنكَ شيئاً في لُزومِ الحاجةِ إلَى الإمامِ </w:t>
      </w:r>
      <w:r>
        <w:rPr>
          <w:rFonts w:eastAsia="Amiri" w:cs="Amiri" w:ascii="Amiri" w:hAnsi="Amiri"/>
          <w:color w:val="111111"/>
          <w:sz w:val="28"/>
          <w:szCs w:val="28"/>
          <w:rtl w:val="true"/>
          <w:lang w:bidi="ar-SA"/>
        </w:rPr>
        <w:t>.</w:t>
      </w:r>
      <w:bookmarkStart w:id="577" w:name="pg20044_770972"/>
    </w:p>
    <w:p>
      <w:pPr>
        <w:pStyle w:val="BookText"/>
        <w:rPr/>
      </w:pPr>
      <w:bookmarkEnd w:id="577"/>
      <w:r>
        <w:rPr>
          <w:rFonts w:ascii="Amiri" w:hAnsi="Amiri" w:eastAsia="Amiri" w:cs="Amiri"/>
          <w:color w:val="111111"/>
          <w:sz w:val="28"/>
          <w:sz w:val="28"/>
          <w:szCs w:val="28"/>
          <w:rtl w:val="true"/>
          <w:lang w:bidi="ar-SA"/>
        </w:rPr>
        <w:t>اللّهمّ إلّاأن يَدَّعيَ أيضاً أنّ السهوَ إذا لَحِقَ الناقِلينَ فأعرَضوا عن النقلِ و سَقَطَ عنهم تكليفُه، فقَد سَقَطَ أيضاً تكليفُ معرفةِ الشيءِ المنقولِ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قولٌ ظاهرُ الفَسادِ، و في 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فَرَضَه اللّٰهُ تَعالىٰ علىٰ لسانِ نبيِّه صَلَّى اللّٰهُ عليه و آلِه</w:t>
      </w:r>
      <w:r>
        <w:rPr>
          <w:rStyle w:val="FootnoteAnchor"/>
          <w:rtl w:val="true"/>
        </w:rPr>
        <w:footnoteReference w:id="1574"/>
      </w:r>
      <w:r>
        <w:rPr>
          <w:rFonts w:ascii="Amiri" w:hAnsi="Amiri" w:eastAsia="Amiri" w:cs="Amiri"/>
          <w:color w:val="111111"/>
          <w:sz w:val="28"/>
          <w:sz w:val="28"/>
          <w:szCs w:val="28"/>
          <w:rtl w:val="true"/>
          <w:lang w:bidi="ar-SA"/>
        </w:rPr>
        <w:t xml:space="preserve">و تَعبَّدَ به و بيَّنَه لِمَن كانَ في زمانِه لازمٌ لنا و واجبٌ عَلَينا التوَصُّلُ إلىٰ معرفتِه و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بُطلانِ دعوىٰ مَن ادَّعىٰ سقوطَ التكليفِ الشرعيِّ عن بعضِ الأُمّةِ مِن حَيثُ سَها بعضُها عن النقلِ ، و لَم يَقُم بما وَجَبَ عليه فيه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828680_2320776876"/>
      <w:bookmarkStart w:id="579" w:name="_Toc205"/>
      <w:bookmarkEnd w:id="578"/>
      <w:r>
        <w:rPr>
          <w:rtl w:val="true"/>
        </w:rPr>
        <w:t>وجه دلالة جواز دخول الشبهة على الحاجة إلى الإمام</w:t>
      </w:r>
      <w:bookmarkEnd w:id="57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تَعلُّقُهم بجوازِ الشُّبَهِ </w:t>
      </w:r>
      <w:r>
        <w:rPr>
          <w:rStyle w:val="FootnoteAnchor"/>
          <w:rtl w:val="true"/>
        </w:rPr>
        <w:footnoteReference w:id="1575"/>
      </w:r>
      <w:r>
        <w:rPr>
          <w:rFonts w:ascii="Amiri" w:hAnsi="Amiri" w:eastAsia="Amiri" w:cs="Amiri"/>
          <w:color w:val="111111"/>
          <w:sz w:val="28"/>
          <w:sz w:val="28"/>
          <w:szCs w:val="28"/>
          <w:rtl w:val="true"/>
          <w:lang w:bidi="ar-SA"/>
        </w:rPr>
        <w:t>فهو أبعَدُ ممّا قُلناه؛ لأنّه قد يَصِحُّ أن لا تَعتريَهم كَما يَصِحُّ تَطرُّقُها</w:t>
      </w:r>
      <w:r>
        <w:rPr>
          <w:rStyle w:val="FootnoteAnchor"/>
          <w:rtl w:val="true"/>
        </w:rPr>
        <w:footnoteReference w:id="1576"/>
      </w:r>
      <w:r>
        <w:rPr>
          <w:rFonts w:ascii="Amiri" w:hAnsi="Amiri" w:eastAsia="Amiri" w:cs="Amiri"/>
          <w:color w:val="111111"/>
          <w:sz w:val="28"/>
          <w:sz w:val="28"/>
          <w:szCs w:val="28"/>
          <w:rtl w:val="true"/>
          <w:lang w:bidi="ar-SA"/>
        </w:rPr>
        <w:t xml:space="preserve">عَلَيهم أو علىٰ بعضِهم؛ فكَيفَ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بُدَّ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أمرٍ قد يَصِحُّ زوالُه و التكليفُ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صَحَّ زوالُه فيَجِبُ أن يُستَغنىٰ عن الحُجّةِ </w:t>
      </w:r>
      <w:r>
        <w:rPr>
          <w:rFonts w:eastAsia="Amiri" w:cs="Amiri" w:ascii="Amiri" w:hAnsi="Amiri"/>
          <w:color w:val="111111"/>
          <w:sz w:val="28"/>
          <w:szCs w:val="28"/>
          <w:rtl w:val="true"/>
          <w:lang w:bidi="ar-SA"/>
        </w:rPr>
        <w:t>].</w:t>
      </w:r>
      <w:r>
        <w:rPr>
          <w:rStyle w:val="FootnoteAnchor"/>
          <w:rtl w:val="true"/>
        </w:rPr>
        <w:footnoteReference w:id="157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فيما سَلَفَ وجهَ التعلُّقِ بجوازِ الشُّبَهِ </w:t>
      </w:r>
      <w:r>
        <w:rPr>
          <w:rStyle w:val="FootnoteAnchor"/>
          <w:rtl w:val="true"/>
        </w:rPr>
        <w:footnoteReference w:id="1578"/>
      </w:r>
      <w:r>
        <w:rPr>
          <w:rFonts w:ascii="Amiri" w:hAnsi="Amiri" w:eastAsia="Amiri" w:cs="Amiri"/>
          <w:color w:val="111111"/>
          <w:sz w:val="28"/>
          <w:sz w:val="28"/>
          <w:szCs w:val="28"/>
          <w:rtl w:val="true"/>
          <w:lang w:bidi="ar-SA"/>
        </w:rPr>
        <w:t xml:space="preserve">في الحاجةِ إلَى الإمامِ </w:t>
      </w:r>
      <w:r>
        <w:rPr>
          <w:rStyle w:val="FootnoteAnchor"/>
          <w:rtl w:val="true"/>
        </w:rPr>
        <w:footnoteReference w:id="1579"/>
      </w:r>
      <w:r>
        <w:rPr>
          <w:rFonts w:ascii="Amiri" w:hAnsi="Amiri" w:eastAsia="Amiri" w:cs="Amiri"/>
          <w:color w:val="111111"/>
          <w:sz w:val="28"/>
          <w:sz w:val="28"/>
          <w:szCs w:val="28"/>
          <w:rtl w:val="true"/>
          <w:lang w:bidi="ar-SA"/>
        </w:rPr>
        <w:t>، و هو علىٰ خِلافِ ما تظُنُّه</w:t>
      </w:r>
      <w:r>
        <w:rPr>
          <w:rStyle w:val="FootnoteAnchor"/>
          <w:rtl w:val="true"/>
        </w:rPr>
        <w:footnoteReference w:id="1580"/>
      </w:r>
      <w:r>
        <w:rPr>
          <w:rFonts w:ascii="Amiri" w:hAnsi="Amiri" w:eastAsia="Amiri" w:cs="Amiri"/>
          <w:color w:val="111111"/>
          <w:sz w:val="28"/>
          <w:sz w:val="28"/>
          <w:szCs w:val="28"/>
          <w:rtl w:val="true"/>
          <w:lang w:bidi="ar-SA"/>
        </w:rPr>
        <w:t xml:space="preserve">عَلَينا؛ لأنّا لَم نوجِبِ الإمامةَ لجوازِ الشُّبهةِ </w:t>
      </w:r>
      <w:r>
        <w:rPr>
          <w:rStyle w:val="FootnoteAnchor"/>
          <w:rtl w:val="true"/>
        </w:rPr>
        <w:footnoteReference w:id="1581"/>
      </w:r>
      <w:r>
        <w:rPr>
          <w:rFonts w:ascii="Amiri" w:hAnsi="Amiri" w:eastAsia="Amiri" w:cs="Amiri"/>
          <w:color w:val="111111"/>
          <w:sz w:val="28"/>
          <w:sz w:val="28"/>
          <w:szCs w:val="28"/>
          <w:rtl w:val="true"/>
          <w:lang w:bidi="ar-SA"/>
        </w:rPr>
        <w:t xml:space="preserve">في طُرُقِ </w:t>
      </w:r>
    </w:p>
    <w:p>
      <w:pPr>
        <w:pStyle w:val="BookText"/>
        <w:rPr/>
      </w:pPr>
      <w:r>
        <w:rPr>
          <w:rFonts w:ascii="Amiri" w:hAnsi="Amiri" w:eastAsia="Amiri" w:cs="Amiri"/>
          <w:color w:val="111111"/>
          <w:sz w:val="28"/>
          <w:sz w:val="28"/>
          <w:szCs w:val="28"/>
          <w:rtl w:val="true"/>
          <w:lang w:bidi="ar-SA"/>
        </w:rPr>
        <w:t>الأدلّةِ الثابتةِ التي لا يَمنَعُ دخولُ الشُّبهةِ‌</w:t>
      </w:r>
      <w:r>
        <w:rPr>
          <w:rStyle w:val="FootnoteAnchor"/>
          <w:rtl w:val="true"/>
        </w:rPr>
        <w:footnoteReference w:id="1582"/>
      </w:r>
      <w:r>
        <w:rPr>
          <w:rFonts w:ascii="Amiri" w:hAnsi="Amiri" w:eastAsia="Amiri" w:cs="Amiri"/>
          <w:color w:val="111111"/>
          <w:sz w:val="28"/>
          <w:sz w:val="28"/>
          <w:szCs w:val="28"/>
          <w:rtl w:val="true"/>
          <w:lang w:bidi="ar-SA"/>
        </w:rPr>
        <w:t>فيها مِن استدراكِ الحقِّ فيها؛</w:t>
      </w:r>
      <w:r>
        <w:rPr>
          <w:rStyle w:val="FootnoteAnchor"/>
          <w:rtl w:val="true"/>
        </w:rPr>
        <w:footnoteReference w:id="1583"/>
      </w:r>
      <w:r>
        <w:rPr>
          <w:rFonts w:ascii="Amiri" w:hAnsi="Amiri" w:eastAsia="Amiri" w:cs="Amiri"/>
          <w:color w:val="111111"/>
          <w:sz w:val="28"/>
          <w:sz w:val="28"/>
          <w:szCs w:val="28"/>
          <w:rtl w:val="true"/>
          <w:lang w:bidi="ar-SA"/>
        </w:rPr>
        <w:t>لأنّ الشُّبَهَ‌</w:t>
      </w:r>
      <w:r>
        <w:rPr>
          <w:rStyle w:val="FootnoteAnchor"/>
          <w:rtl w:val="true"/>
        </w:rPr>
        <w:footnoteReference w:id="1584"/>
      </w:r>
      <w:r>
        <w:rPr>
          <w:rFonts w:ascii="Amiri" w:hAnsi="Amiri" w:eastAsia="Amiri" w:cs="Amiri"/>
          <w:color w:val="111111"/>
          <w:sz w:val="28"/>
          <w:sz w:val="28"/>
          <w:szCs w:val="28"/>
          <w:rtl w:val="true"/>
          <w:lang w:bidi="ar-SA"/>
        </w:rPr>
        <w:t>و إن دَخَلَت فيما هذا</w:t>
      </w:r>
      <w:r>
        <w:rPr>
          <w:rStyle w:val="FootnoteAnchor"/>
          <w:rtl w:val="true"/>
        </w:rPr>
        <w:footnoteReference w:id="1585"/>
      </w:r>
      <w:r>
        <w:rPr>
          <w:rFonts w:ascii="Amiri" w:hAnsi="Amiri" w:eastAsia="Amiri" w:cs="Amiri"/>
          <w:color w:val="111111"/>
          <w:sz w:val="28"/>
          <w:sz w:val="28"/>
          <w:szCs w:val="28"/>
          <w:rtl w:val="true"/>
          <w:lang w:bidi="ar-SA"/>
        </w:rPr>
        <w:t>حُكمُه، فالمكلَّفُ متمكِّنٌ مِن إصابةِ الحقِّ، و إنّما يَعدِلُ عن إصابتِه بتقصيرٍ</w:t>
      </w:r>
      <w:r>
        <w:rPr>
          <w:rStyle w:val="FootnoteAnchor"/>
          <w:rtl w:val="true"/>
        </w:rPr>
        <w:footnoteReference w:id="1586"/>
      </w:r>
      <w:r>
        <w:rPr>
          <w:rFonts w:ascii="Amiri" w:hAnsi="Amiri" w:eastAsia="Amiri" w:cs="Amiri"/>
          <w:color w:val="111111"/>
          <w:sz w:val="28"/>
          <w:sz w:val="28"/>
          <w:szCs w:val="28"/>
          <w:rtl w:val="true"/>
          <w:lang w:bidi="ar-SA"/>
        </w:rPr>
        <w:t>مِن جهتِه، و إنّما أَوجَبنا الحاجةَ إلى الإمامِ في هذا الوجهِ لأجلِ جوازِ دخولِ الشُّبَهِ‌</w:t>
      </w:r>
      <w:r>
        <w:rPr>
          <w:rStyle w:val="FootnoteAnchor"/>
          <w:rtl w:val="true"/>
        </w:rPr>
        <w:footnoteReference w:id="1587"/>
      </w:r>
      <w:r>
        <w:rPr>
          <w:rFonts w:ascii="Amiri" w:hAnsi="Amiri" w:eastAsia="Amiri" w:cs="Amiri"/>
          <w:color w:val="111111"/>
          <w:sz w:val="28"/>
          <w:sz w:val="28"/>
          <w:szCs w:val="28"/>
          <w:rtl w:val="true"/>
          <w:lang w:bidi="ar-SA"/>
        </w:rPr>
        <w:t>علَى الناقِلينَ حتّىٰ يَعدِلوا عن النقلِ، فلا يُمكِنُ الوصولُ مع عدولِهم عنه</w:t>
      </w:r>
      <w:r>
        <w:rPr>
          <w:rStyle w:val="FootnoteAnchor"/>
          <w:rtl w:val="true"/>
        </w:rPr>
        <w:footnoteReference w:id="1588"/>
      </w:r>
      <w:r>
        <w:rPr>
          <w:rFonts w:ascii="Amiri" w:hAnsi="Amiri" w:eastAsia="Amiri" w:cs="Amiri"/>
          <w:color w:val="111111"/>
          <w:sz w:val="28"/>
          <w:sz w:val="28"/>
          <w:szCs w:val="28"/>
          <w:rtl w:val="true"/>
          <w:lang w:bidi="ar-SA"/>
        </w:rPr>
        <w:t>إلىٰ معرفةِ الشيءِ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الشُّبَهَ يَصِحُّ أن تَعرِضَ و أن لا تَعرِضَ</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فهو كذلكَ، غيرَ أنّ الوضعَ الذي حَصَّلناه و أوجَبنا منه</w:t>
      </w:r>
      <w:r>
        <w:rPr>
          <w:rStyle w:val="FootnoteAnchor"/>
          <w:rtl w:val="true"/>
        </w:rPr>
        <w:footnoteReference w:id="1590"/>
      </w:r>
      <w:r>
        <w:rPr>
          <w:rFonts w:ascii="Amiri" w:hAnsi="Amiri" w:eastAsia="Amiri" w:cs="Amiri"/>
          <w:color w:val="111111"/>
          <w:sz w:val="28"/>
          <w:sz w:val="28"/>
          <w:szCs w:val="28"/>
          <w:rtl w:val="true"/>
          <w:lang w:bidi="ar-SA"/>
        </w:rPr>
        <w:t>الحاجةَ إلَى الإمامِ لا يَفتَقِرُ</w:t>
      </w:r>
      <w:r>
        <w:rPr>
          <w:rStyle w:val="FootnoteAnchor"/>
          <w:rtl w:val="true"/>
        </w:rPr>
        <w:footnoteReference w:id="1591"/>
      </w:r>
      <w:r>
        <w:rPr>
          <w:rFonts w:ascii="Amiri" w:hAnsi="Amiri" w:eastAsia="Amiri" w:cs="Amiri"/>
          <w:color w:val="111111"/>
          <w:sz w:val="28"/>
          <w:sz w:val="28"/>
          <w:szCs w:val="28"/>
          <w:rtl w:val="true"/>
          <w:lang w:bidi="ar-SA"/>
        </w:rPr>
        <w:t>إلَى القَطعِ علىٰ وجوبِ دُخولِ الشُّبَهِ، بل التجويزُ لدُخولِها كافٍ؛ مِن حَيثُ لَم يَحصُلِ‌</w:t>
      </w:r>
      <w:r>
        <w:rPr>
          <w:rStyle w:val="FootnoteAnchor"/>
          <w:rtl w:val="true"/>
        </w:rPr>
        <w:footnoteReference w:id="1592"/>
      </w:r>
      <w:r>
        <w:rPr>
          <w:rFonts w:ascii="Amiri" w:hAnsi="Amiri" w:eastAsia="Amiri" w:cs="Amiri"/>
          <w:color w:val="111111"/>
          <w:sz w:val="28"/>
          <w:sz w:val="28"/>
          <w:szCs w:val="28"/>
          <w:rtl w:val="true"/>
          <w:lang w:bidi="ar-SA"/>
        </w:rPr>
        <w:t>الثقةُ بأنّ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ما يُحتاجُ </w:t>
      </w:r>
      <w:r>
        <w:rPr>
          <w:rStyle w:val="FootnoteAnchor"/>
          <w:rtl w:val="true"/>
        </w:rPr>
        <w:footnoteReference w:id="1593"/>
      </w:r>
      <w:r>
        <w:rPr>
          <w:rFonts w:ascii="Amiri" w:hAnsi="Amiri" w:eastAsia="Amiri" w:cs="Amiri"/>
          <w:color w:val="111111"/>
          <w:sz w:val="28"/>
          <w:sz w:val="28"/>
          <w:szCs w:val="28"/>
          <w:rtl w:val="true"/>
          <w:lang w:bidi="ar-SA"/>
        </w:rPr>
        <w:t>إليه و قد كُلِّفنا معرفتَه قد نُقِلَ إلينا</w:t>
      </w:r>
      <w:r>
        <w:rPr>
          <w:rStyle w:val="FootnoteAnchor"/>
          <w:rtl w:val="true"/>
        </w:rPr>
        <w:footnoteReference w:id="1594"/>
      </w:r>
      <w:r>
        <w:rPr>
          <w:rFonts w:ascii="Amiri" w:hAnsi="Amiri" w:eastAsia="Amiri" w:cs="Amiri"/>
          <w:color w:val="111111"/>
          <w:sz w:val="28"/>
          <w:sz w:val="28"/>
          <w:szCs w:val="28"/>
          <w:rtl w:val="true"/>
          <w:lang w:bidi="ar-SA"/>
        </w:rPr>
        <w:t xml:space="preserve">مع الجوازِ كما لا يَحصُلُ مع الوجوبِ ؛ فما ظَنَّه مِن الفَرقِ بَينَ الأمرَينِ غيرُ 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الشُّبَهَ </w:t>
      </w:r>
      <w:r>
        <w:rPr>
          <w:rStyle w:val="FootnoteAnchor"/>
          <w:rtl w:val="true"/>
        </w:rPr>
        <w:footnoteReference w:id="1595"/>
      </w:r>
      <w:r>
        <w:rPr>
          <w:rFonts w:ascii="Amiri" w:hAnsi="Amiri" w:eastAsia="Amiri" w:cs="Amiri"/>
          <w:color w:val="111111"/>
          <w:sz w:val="28"/>
          <w:sz w:val="28"/>
          <w:szCs w:val="28"/>
          <w:rtl w:val="true"/>
          <w:lang w:bidi="ar-SA"/>
        </w:rPr>
        <w:t>مِن قِبَلِهم</w:t>
      </w:r>
      <w:r>
        <w:rPr>
          <w:rStyle w:val="FootnoteAnchor"/>
          <w:rtl w:val="true"/>
        </w:rPr>
        <w:footnoteReference w:id="1596"/>
      </w:r>
      <w:r>
        <w:rPr>
          <w:rFonts w:ascii="Amiri" w:hAnsi="Amiri" w:eastAsia="Amiri" w:cs="Amiri"/>
          <w:color w:val="111111"/>
          <w:sz w:val="28"/>
          <w:sz w:val="28"/>
          <w:szCs w:val="28"/>
          <w:rtl w:val="true"/>
          <w:lang w:bidi="ar-SA"/>
        </w:rPr>
        <w:t xml:space="preserve">قد يَصِحُّ منهم حَلُّها بالنظَرِ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يَصِحُّ أن يَتَوَصَّلوا إلَى العِلمِ بما كُلِّفوا بالنظَرِ، فإذا كانوا بتَمكُّنِهم مِن ذلكَ يَستَغنونَ به عن الحُجّةِ فكذلكَ في حَلِّ الشُّبهةِ </w:t>
      </w:r>
      <w:r>
        <w:rPr>
          <w:rFonts w:eastAsia="Amiri" w:cs="Amiri" w:ascii="Amiri" w:hAnsi="Amiri"/>
          <w:color w:val="111111"/>
          <w:sz w:val="28"/>
          <w:szCs w:val="28"/>
          <w:rtl w:val="true"/>
          <w:lang w:bidi="ar-SA"/>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توَهُّمٌ منكَ عَلَينا إيجابَ الإمامِ و وجودَه لدفعِ الشُّبَهِ </w:t>
      </w:r>
      <w:r>
        <w:rPr>
          <w:rStyle w:val="FootnoteAnchor"/>
          <w:rtl w:val="true"/>
        </w:rPr>
        <w:footnoteReference w:id="1598"/>
      </w:r>
      <w:r>
        <w:rPr>
          <w:rFonts w:ascii="Amiri" w:hAnsi="Amiri" w:eastAsia="Amiri" w:cs="Amiri"/>
          <w:color w:val="111111"/>
          <w:sz w:val="28"/>
          <w:sz w:val="28"/>
          <w:szCs w:val="28"/>
          <w:rtl w:val="true"/>
          <w:lang w:bidi="ar-SA"/>
        </w:rPr>
        <w:t xml:space="preserve">و المنعِ مِن وقوعِها، و هو شبيهٌ بما تَقَدَّمَ مِن ظنِّكَ عَلَينا في السهوِ و جوازِ دخولِه علَى الخَلقِ ، و قد مضىٰ </w:t>
      </w:r>
      <w:r>
        <w:rPr>
          <w:rStyle w:val="FootnoteAnchor"/>
          <w:rtl w:val="true"/>
        </w:rPr>
        <w:footnoteReference w:id="1599"/>
      </w:r>
      <w:r>
        <w:rPr>
          <w:rFonts w:ascii="Amiri" w:hAnsi="Amiri" w:eastAsia="Amiri" w:cs="Amiri"/>
          <w:color w:val="111111"/>
          <w:sz w:val="28"/>
          <w:sz w:val="28"/>
          <w:szCs w:val="28"/>
          <w:rtl w:val="true"/>
          <w:lang w:bidi="ar-SA"/>
        </w:rPr>
        <w:t>كَيفَ قولُنا في الأمرَينِ و الوجهُ الصحيحُ في ترتيبِ الاستدلالِ بهما</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الشُّبَهَ قد تَجوزُ</w:t>
      </w:r>
      <w:r>
        <w:rPr>
          <w:rStyle w:val="FootnoteAnchor"/>
          <w:rtl w:val="true"/>
        </w:rPr>
        <w:footnoteReference w:id="1601"/>
      </w:r>
      <w:r>
        <w:rPr>
          <w:rFonts w:ascii="Amiri" w:hAnsi="Amiri" w:eastAsia="Amiri" w:cs="Amiri"/>
          <w:color w:val="111111"/>
          <w:sz w:val="28"/>
          <w:sz w:val="28"/>
          <w:szCs w:val="28"/>
          <w:rtl w:val="true"/>
          <w:lang w:bidi="ar-SA"/>
        </w:rPr>
        <w:t xml:space="preserve">في العِلمِ بنفسِ الحُجّةِ ، فتَجِبُ </w:t>
      </w:r>
      <w:r>
        <w:rPr>
          <w:rStyle w:val="FootnoteAnchor"/>
          <w:rtl w:val="true"/>
        </w:rPr>
        <w:footnoteReference w:id="1602"/>
      </w:r>
      <w:r>
        <w:rPr>
          <w:rFonts w:ascii="Amiri" w:hAnsi="Amiri" w:eastAsia="Amiri" w:cs="Amiri"/>
          <w:color w:val="111111"/>
          <w:sz w:val="28"/>
          <w:sz w:val="28"/>
          <w:szCs w:val="28"/>
          <w:rtl w:val="true"/>
          <w:lang w:bidi="ar-SA"/>
        </w:rPr>
        <w:t>الحاجةُ إلىٰ آخَرَ، و يَلزَمُ مِن ذلكَ ما قَدَّمناه</w:t>
      </w:r>
      <w:r>
        <w:rPr>
          <w:rFonts w:eastAsia="Amiri" w:cs="Amiri" w:ascii="Amiri" w:hAnsi="Amiri"/>
          <w:color w:val="111111"/>
          <w:sz w:val="28"/>
          <w:szCs w:val="28"/>
          <w:rtl w:val="true"/>
          <w:lang w:bidi="ar-SA"/>
        </w:rPr>
        <w:t>.</w:t>
      </w:r>
      <w:r>
        <w:rPr>
          <w:rStyle w:val="FootnoteAnchor"/>
          <w:rtl w:val="true"/>
        </w:rPr>
        <w:footnoteReference w:id="160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و إن جازَت في العِلمِ بنفسِ الحُجَّةِ ، فهي غيرُ مانعةٍ مِن إمكانِ الوصولِ إلَى الحَقِّ ، و لا دافعةٍ للدَّلالةِ علَى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حُكمُ الشُّبَهِ إذا </w:t>
      </w:r>
    </w:p>
    <w:p>
      <w:pPr>
        <w:pStyle w:val="BookText"/>
        <w:rPr/>
      </w:pPr>
      <w:r>
        <w:rPr>
          <w:rFonts w:ascii="Amiri" w:hAnsi="Amiri" w:eastAsia="Amiri" w:cs="Amiri"/>
          <w:color w:val="111111"/>
          <w:sz w:val="28"/>
          <w:sz w:val="28"/>
          <w:szCs w:val="28"/>
          <w:rtl w:val="true"/>
          <w:lang w:bidi="ar-SA"/>
        </w:rPr>
        <w:t>دَخَلَت علَى الناقِلينَ المتواتِرينَ أو علىٰ بعضِهم، فخَرَجَ الخبرُ مِن أن يَكونَ متواتِراً؛ لأنّها إذا دَخَلَت في هذا المَوضِعِ ارتَفَعَ الطريقُ إلَى المعرفةِ بما تَضمَّنَه النقلُ ، و إذا دَخَلَت هناكَ لَم تُخِلَّ بإمكانِ المعرفةِ ، و لا رَفَعَت الطريقَ إلىٰ إدراكِ الحقِّ و 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الشُّبهةَ‌</w:t>
      </w:r>
      <w:r>
        <w:rPr>
          <w:rStyle w:val="FootnoteAnchor"/>
          <w:rtl w:val="true"/>
        </w:rPr>
        <w:footnoteReference w:id="1604"/>
      </w:r>
      <w:r>
        <w:rPr>
          <w:rFonts w:ascii="Amiri" w:hAnsi="Amiri" w:eastAsia="Amiri" w:cs="Amiri"/>
          <w:color w:val="111111"/>
          <w:sz w:val="28"/>
          <w:sz w:val="28"/>
          <w:szCs w:val="28"/>
          <w:rtl w:val="true"/>
          <w:lang w:bidi="ar-SA"/>
        </w:rPr>
        <w:t>تَجوزُ علَى الحُجّةِ، و إنّما يَختارُ خِلافَها أو يُزيلُها بما آتاه اللّٰهُ مِن الدَّلالةِ ،</w:t>
      </w:r>
      <w:r>
        <w:rPr>
          <w:rStyle w:val="FootnoteAnchor"/>
          <w:rtl w:val="true"/>
        </w:rPr>
        <w:footnoteReference w:id="1605"/>
      </w:r>
      <w:r>
        <w:rPr>
          <w:rFonts w:ascii="Amiri" w:hAnsi="Amiri" w:eastAsia="Amiri" w:cs="Amiri"/>
          <w:color w:val="111111"/>
          <w:sz w:val="28"/>
          <w:sz w:val="28"/>
          <w:szCs w:val="28"/>
          <w:rtl w:val="true"/>
          <w:lang w:bidi="ar-SA"/>
        </w:rPr>
        <w:t>و حالُ غيرِه كحالِه و إن كانَ قد يَقصُرُ؛ فما الحاجةُ إلَى الحُجّةِ؟ و لا يُمكِنُهم أن يَجعَلوا الحُجّةَ معصوماً، بمَعنَى المنعِ مِن الإقدامِ علىٰ هذه الأُمورِ</w:t>
      </w:r>
      <w:r>
        <w:rPr>
          <w:rStyle w:val="FootnoteAnchor"/>
          <w:rtl w:val="true"/>
        </w:rPr>
        <w:footnoteReference w:id="1606"/>
      </w:r>
      <w:r>
        <w:rPr>
          <w:rFonts w:ascii="Amiri" w:hAnsi="Amiri" w:eastAsia="Amiri" w:cs="Amiri"/>
          <w:color w:val="111111"/>
          <w:sz w:val="28"/>
          <w:sz w:val="28"/>
          <w:szCs w:val="28"/>
          <w:rtl w:val="true"/>
          <w:lang w:bidi="ar-SA"/>
        </w:rPr>
        <w:t xml:space="preserve">لأنّ ذلكَ يوجِبُ زوالَ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فيه العصمةُ </w:t>
      </w:r>
      <w:r>
        <w:rPr>
          <w:rStyle w:val="FootnoteAnchor"/>
          <w:rtl w:val="true"/>
        </w:rPr>
        <w:footnoteReference w:id="1607"/>
      </w:r>
      <w:r>
        <w:rPr>
          <w:rFonts w:ascii="Amiri" w:hAnsi="Amiri" w:eastAsia="Amiri" w:cs="Amiri"/>
          <w:color w:val="111111"/>
          <w:sz w:val="28"/>
          <w:sz w:val="28"/>
          <w:szCs w:val="28"/>
          <w:rtl w:val="true"/>
          <w:lang w:bidi="ar-SA"/>
        </w:rPr>
        <w:t>فمَعناها أنّ المعلومَ أنّه لا يَختارُ ذلكَ ، و ذلكَ مُمكِنٌ في غيرِه علىٰ ما قَدَّمناه</w:t>
      </w:r>
      <w:r>
        <w:rPr>
          <w:rFonts w:eastAsia="Amiri" w:cs="Amiri" w:ascii="Amiri" w:hAnsi="Amiri"/>
          <w:color w:val="111111"/>
          <w:sz w:val="28"/>
          <w:szCs w:val="28"/>
          <w:rtl w:val="true"/>
          <w:lang w:bidi="ar-SA"/>
        </w:rPr>
        <w:t>.</w:t>
      </w:r>
      <w:r>
        <w:rPr>
          <w:rStyle w:val="FootnoteAnchor"/>
          <w:rtl w:val="true"/>
        </w:rPr>
        <w:footnoteReference w:id="160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الشُّبهةَ تَجوزُ علىٰ نَفسِ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القُدرةِ‌</w:t>
      </w:r>
      <w:r>
        <w:rPr>
          <w:rStyle w:val="FootnoteAnchor"/>
          <w:rtl w:val="true"/>
        </w:rPr>
        <w:footnoteReference w:id="1609"/>
      </w:r>
      <w:r>
        <w:rPr>
          <w:rFonts w:ascii="Amiri" w:hAnsi="Amiri" w:eastAsia="Amiri" w:cs="Amiri"/>
          <w:color w:val="111111"/>
          <w:sz w:val="28"/>
          <w:sz w:val="28"/>
          <w:szCs w:val="28"/>
          <w:rtl w:val="true"/>
          <w:lang w:bidi="ar-SA"/>
        </w:rPr>
        <w:t xml:space="preserve">، فنَعَم؛ الحُجّةُ قادرٌ علَى الشُّبهةِ، كما أنّه قادرٌ علىٰ ضُروبِ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بالجوازِ مَعنَى الشَّكِّ ، فَلا؛ لأنّا قد قَطَعنا علىٰ أنّه لا يَختارُ ذلكَ بالأدلّةِ </w:t>
      </w:r>
      <w:r>
        <w:rPr>
          <w:rStyle w:val="FootnoteAnchor"/>
          <w:rtl w:val="true"/>
        </w:rPr>
        <w:footnoteReference w:id="1610"/>
      </w:r>
      <w:r>
        <w:rPr>
          <w:rFonts w:ascii="Amiri" w:hAnsi="Amiri" w:eastAsia="Amiri" w:cs="Amiri"/>
          <w:color w:val="111111"/>
          <w:sz w:val="28"/>
          <w:sz w:val="28"/>
          <w:szCs w:val="28"/>
          <w:rtl w:val="true"/>
          <w:lang w:bidi="ar-SA"/>
        </w:rPr>
        <w:t xml:space="preserve">الدالّةِ علىٰ عصمتِه؛ فكَيفَ يَكونُ حالُ غيرِه ممّن لا يؤمَنُ مِنه ذلكَ كحالِه ؟ </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مُمكِنٌ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أنّه مُمكِنٌ أن يَكونَ معصوماً، بمَعنىٰ أنّه لا يَختارُ علىٰ هذا الوجهِ، فذلكَ يَجوزُ أن يَكونَ مُمكِناً، و إذَن كانَ </w:t>
      </w:r>
      <w:r>
        <w:rPr>
          <w:rStyle w:val="FootnoteAnchor"/>
          <w:rtl w:val="true"/>
        </w:rPr>
        <w:footnoteReference w:id="1611"/>
      </w:r>
      <w:r>
        <w:rPr>
          <w:rFonts w:ascii="Amiri" w:hAnsi="Amiri" w:eastAsia="Amiri" w:cs="Amiri"/>
          <w:color w:val="111111"/>
          <w:sz w:val="28"/>
          <w:sz w:val="28"/>
          <w:szCs w:val="28"/>
          <w:rtl w:val="true"/>
          <w:lang w:bidi="ar-SA"/>
        </w:rPr>
        <w:t xml:space="preserve">لَم يَحتَجْ هذا المعصومُ إلىٰ إمامٍ مِن هذا الوجهِ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مُمكِنٌ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يَختارَ و أن لا يَختارَ، فلأجلِ هذا الجوازِ و عدمِ الأمانِ و الثقةِ احتيجَ حينئذٍ إلَى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إذا قَصَّرَ</w:t>
      </w:r>
      <w:r>
        <w:rPr>
          <w:rStyle w:val="FootnoteAnchor"/>
          <w:rtl w:val="true"/>
        </w:rPr>
        <w:footnoteReference w:id="1613"/>
      </w:r>
      <w:r>
        <w:rPr>
          <w:rFonts w:ascii="Amiri" w:hAnsi="Amiri" w:eastAsia="Amiri" w:cs="Amiri"/>
          <w:color w:val="111111"/>
          <w:sz w:val="28"/>
          <w:sz w:val="28"/>
          <w:szCs w:val="28"/>
          <w:rtl w:val="true"/>
          <w:lang w:bidi="ar-SA"/>
        </w:rPr>
        <w:t xml:space="preserve">أن يَنصِبَ اللّٰهُ تَعالىٰ حُجّةً ؛ لأنّ الحُجّةَ لا يُزيلُ التقصيرَ؛ إذ المعلومُ أنّ مع وجودِه قد يقصِّرُ المكلَّفُ ؛ لأنّه لا يُضطَرُّ إلىٰ فِعلِ ما كُلِّفَه، و إنّما يُدَلُّ و يُنبَّهُ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مَبنيٌّ علىٰ توَهُّمِكَ الأوّلِ </w:t>
      </w:r>
      <w:r>
        <w:rPr>
          <w:rStyle w:val="FootnoteAnchor"/>
          <w:rtl w:val="true"/>
        </w:rPr>
        <w:footnoteReference w:id="1615"/>
      </w:r>
      <w:r>
        <w:rPr>
          <w:rFonts w:ascii="Amiri" w:hAnsi="Amiri" w:eastAsia="Amiri" w:cs="Amiri"/>
          <w:color w:val="111111"/>
          <w:sz w:val="28"/>
          <w:sz w:val="28"/>
          <w:szCs w:val="28"/>
          <w:rtl w:val="true"/>
          <w:lang w:bidi="ar-SA"/>
        </w:rPr>
        <w:t xml:space="preserve">، و قد مضىٰ ما فيه كفايةٌ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ما نَقولُه</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لأجلِ تقصيرِ المكلَّفِ الذي دَخَلَت عليه الشُّبهةُ أَوجَبنا الحاجةَ إلَى الإمامِ ليُنبِّهَه على تقصيرِه، و لكنّ تقصيرَه إذا وَقَعَ و تَعدّىٰ إلىٰ غيرِه مِن حيثُ سُدَّ عليه بابُ العِلمِ مِن جهةِ النقلِ ، احتيجَ إلىٰ إمامٍ ليُبيِّنَ ما لا يَعلَمُه المكلَّفُ لولا بيانُه</w:t>
      </w:r>
      <w:r>
        <w:rPr>
          <w:rFonts w:eastAsia="Amiri" w:cs="Amiri" w:ascii="Amiri" w:hAnsi="Amiri"/>
          <w:color w:val="111111"/>
          <w:sz w:val="28"/>
          <w:szCs w:val="28"/>
          <w:rtl w:val="true"/>
          <w:lang w:bidi="ar-SA"/>
        </w:rPr>
        <w:t xml:space="preserve">. </w:t>
      </w:r>
      <w:bookmarkStart w:id="580" w:name="pg20044_770977"/>
    </w:p>
    <w:p>
      <w:pPr>
        <w:pStyle w:val="Heading5"/>
        <w:numPr>
          <w:ilvl w:val="4"/>
          <w:numId w:val="1"/>
        </w:numPr>
        <w:rPr/>
      </w:pPr>
      <w:bookmarkStart w:id="581" w:name="__RefHeading___Toc828682_2320776876"/>
      <w:bookmarkStart w:id="582" w:name="_Toc206"/>
      <w:bookmarkEnd w:id="580"/>
      <w:bookmarkEnd w:id="581"/>
      <w:r>
        <w:rPr>
          <w:rtl w:val="true"/>
        </w:rPr>
        <w:t>وجه دلالة اتّباع الشهوات على الحاجة إلى الإمام</w:t>
      </w:r>
      <w:bookmarkEnd w:id="58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617"/>
      </w:r>
      <w:r>
        <w:rPr>
          <w:rFonts w:ascii="Amiri" w:hAnsi="Amiri" w:eastAsia="Amiri" w:cs="Amiri"/>
          <w:color w:val="111111"/>
          <w:sz w:val="28"/>
          <w:sz w:val="28"/>
          <w:szCs w:val="28"/>
          <w:rtl w:val="true"/>
          <w:lang w:bidi="ar-SA"/>
        </w:rPr>
        <w:t>الشهوةُ و الهوىٰ و التعلُّقُ بهما فبَعيدٌ</w:t>
      </w:r>
      <w:r>
        <w:rPr>
          <w:rStyle w:val="FootnoteAnchor"/>
          <w:rtl w:val="true"/>
        </w:rPr>
        <w:footnoteReference w:id="1618"/>
      </w:r>
      <w:r>
        <w:rPr>
          <w:rFonts w:ascii="Amiri" w:hAnsi="Amiri" w:eastAsia="Amiri" w:cs="Amiri"/>
          <w:color w:val="111111"/>
          <w:sz w:val="28"/>
          <w:sz w:val="28"/>
          <w:szCs w:val="28"/>
          <w:rtl w:val="true"/>
          <w:lang w:bidi="ar-SA"/>
        </w:rPr>
        <w:t>لأنّ مع وجودِ الحُجّةِ لا بُدَّ مِن ثَباتِهما حتّىٰ يَصِحَّ التكليفُ، و إنّما يَكونُ في التَعلُّقِ بذلكَ فائدةٌ لَو كانَ عندَ وجودِ الإمامِ يَزولُ ذلكَ و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كانَت حاصلةً مع وجودِ الإمامِ، فإنّه ببيانِه و تحذيرِه يَصدِفُ‌</w:t>
      </w:r>
      <w:r>
        <w:rPr>
          <w:rStyle w:val="FootnoteAnchor"/>
          <w:rtl w:val="true"/>
        </w:rPr>
        <w:footnoteReference w:id="1619"/>
      </w:r>
      <w:r>
        <w:rPr>
          <w:rFonts w:ascii="Amiri" w:hAnsi="Amiri" w:eastAsia="Amiri" w:cs="Amiri"/>
          <w:color w:val="111111"/>
          <w:sz w:val="28"/>
          <w:sz w:val="28"/>
          <w:szCs w:val="28"/>
          <w:rtl w:val="true"/>
          <w:lang w:bidi="ar-SA"/>
        </w:rPr>
        <w:t>المكلَّفَ عن اتّباعِ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يَصدِفُ بالتنبيهِ و التحذيرِ دون الاضطِرارِ، و ذلكَ مُمكِنٌ مِن غيرِه و مِنه و إن لَم يَكُن حُجّةً ، و يُمكِنُ </w:t>
      </w:r>
      <w:r>
        <w:rPr>
          <w:rStyle w:val="FootnoteAnchor"/>
          <w:rtl w:val="true"/>
        </w:rPr>
        <w:footnoteReference w:id="1621"/>
      </w:r>
      <w:r>
        <w:rPr>
          <w:rFonts w:ascii="Amiri" w:hAnsi="Amiri" w:eastAsia="Amiri" w:cs="Amiri"/>
          <w:color w:val="111111"/>
          <w:sz w:val="28"/>
          <w:sz w:val="28"/>
          <w:szCs w:val="28"/>
          <w:rtl w:val="true"/>
          <w:lang w:bidi="ar-SA"/>
        </w:rPr>
        <w:t xml:space="preserve">المكلَّفَ مِن ذي قِبَلٍ ، فيَجِبُ الغِنىٰ عن الإمامِ </w:t>
      </w:r>
      <w:r>
        <w:rPr>
          <w:rFonts w:eastAsia="Amiri" w:cs="Amiri" w:ascii="Amiri" w:hAnsi="Amiri"/>
          <w:color w:val="111111"/>
          <w:sz w:val="28"/>
          <w:szCs w:val="28"/>
          <w:rtl w:val="true"/>
          <w:lang w:bidi="ar-SA"/>
        </w:rPr>
        <w:t>.</w:t>
      </w:r>
      <w:r>
        <w:rPr>
          <w:rStyle w:val="FootnoteAnchor"/>
          <w:rtl w:val="true"/>
        </w:rPr>
        <w:footnoteReference w:id="162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فيما مضىٰ وجهَ التعَلُّقِ في الحاجةِ إلى الإمامِ بالشهوةِ و الهوىٰ </w:t>
      </w:r>
      <w:r>
        <w:rPr>
          <w:rStyle w:val="FootnoteAnchor"/>
          <w:rtl w:val="true"/>
        </w:rPr>
        <w:footnoteReference w:id="1623"/>
      </w:r>
      <w:r>
        <w:rPr>
          <w:rFonts w:ascii="Amiri" w:hAnsi="Amiri" w:eastAsia="Amiri" w:cs="Amiri"/>
          <w:color w:val="111111"/>
          <w:sz w:val="28"/>
          <w:sz w:val="28"/>
          <w:szCs w:val="28"/>
          <w:rtl w:val="true"/>
          <w:lang w:bidi="ar-SA"/>
        </w:rPr>
        <w:t xml:space="preserve">، و هو بخِلافِ ما ظنَنتَه مِن أنّ وجودَه يُزيلُ الشهَواتِ أو يُغيِّرُها، و كَشَفنا عن أنّ وجودَ الإمامِ إنّما يؤثِّرُ في مقتضَى الشهَواتِ ، فيقلِّلُ وقوعَ ما لَولا وجودُه لَوَقَعَ مِن الخَلقِ </w:t>
      </w:r>
      <w:r>
        <w:rPr>
          <w:rStyle w:val="FootnoteAnchor"/>
          <w:rtl w:val="true"/>
        </w:rPr>
        <w:footnoteReference w:id="1624"/>
      </w:r>
      <w:r>
        <w:rPr>
          <w:rFonts w:ascii="Amiri" w:hAnsi="Amiri" w:eastAsia="Amiri" w:cs="Amiri"/>
          <w:color w:val="111111"/>
          <w:sz w:val="28"/>
          <w:sz w:val="28"/>
          <w:szCs w:val="28"/>
          <w:rtl w:val="true"/>
          <w:lang w:bidi="ar-SA"/>
        </w:rPr>
        <w:t>لمَكانِ شَهَواتِهم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مُمكِنٌ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مُمكِنٌ كما قُلتَ ، غيرَ أنّه لا يؤثِّرُ</w:t>
      </w:r>
    </w:p>
    <w:p>
      <w:pPr>
        <w:pStyle w:val="BookText"/>
        <w:rPr/>
      </w:pPr>
      <w:r>
        <w:rPr>
          <w:rFonts w:ascii="Amiri" w:hAnsi="Amiri" w:eastAsia="Amiri" w:cs="Amiri"/>
          <w:color w:val="111111"/>
          <w:sz w:val="28"/>
          <w:sz w:val="28"/>
          <w:szCs w:val="28"/>
          <w:rtl w:val="true"/>
          <w:lang w:bidi="ar-SA"/>
        </w:rPr>
        <w:t xml:space="preserve">تأثيرَ فِعلِ الأئمّةِ المُطاعينَ الذينَ قامَت هَيبتُهم في النفوسِ ؛ لأنّا نَعلَمُ ضَرورةً أنّ زَجرَ الأئمّةِ المَهيبينَ </w:t>
      </w:r>
      <w:r>
        <w:rPr>
          <w:rStyle w:val="FootnoteAnchor"/>
          <w:rtl w:val="true"/>
        </w:rPr>
        <w:footnoteReference w:id="1625"/>
      </w:r>
      <w:r>
        <w:rPr>
          <w:rFonts w:ascii="Amiri" w:hAnsi="Amiri" w:eastAsia="Amiri" w:cs="Amiri"/>
          <w:color w:val="111111"/>
          <w:sz w:val="28"/>
          <w:sz w:val="28"/>
          <w:szCs w:val="28"/>
          <w:rtl w:val="true"/>
          <w:lang w:bidi="ar-SA"/>
        </w:rPr>
        <w:t xml:space="preserve">المُتَسلِّطينَ و أمرَهم و نهيَهم له مِن التأثيرِ في ارتفاعِ كثيرٍ ممّا يميلُ </w:t>
      </w:r>
      <w:r>
        <w:rPr>
          <w:rStyle w:val="FootnoteAnchor"/>
          <w:rtl w:val="true"/>
        </w:rPr>
        <w:footnoteReference w:id="1626"/>
      </w:r>
      <w:r>
        <w:rPr>
          <w:rFonts w:ascii="Amiri" w:hAnsi="Amiri" w:eastAsia="Amiri" w:cs="Amiri"/>
          <w:color w:val="111111"/>
          <w:sz w:val="28"/>
          <w:sz w:val="28"/>
          <w:szCs w:val="28"/>
          <w:rtl w:val="true"/>
          <w:lang w:bidi="ar-SA"/>
        </w:rPr>
        <w:t>إليه شَهَواتُ رَعاياهم ما لَيسَ لزَجرِ غيرِهم ممّن لا طاعةَ له و لا سُلطانَ و لا نُفوذَ أمرٍ، و مَن دفَعَ هذا كان مُكابِراً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المُكلَّفَ مِن ذي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يُمكِنُه، غيرَ أنّه معلومٌ أنّه عندَ وجودِ الرؤَساءِ و الأئمّةِ و ذَوي</w:t>
      </w:r>
      <w:r>
        <w:rPr>
          <w:rStyle w:val="FootnoteAnchor"/>
          <w:rtl w:val="true"/>
        </w:rPr>
        <w:footnoteReference w:id="1627"/>
      </w:r>
      <w:r>
        <w:rPr>
          <w:rFonts w:ascii="Amiri" w:hAnsi="Amiri" w:eastAsia="Amiri" w:cs="Amiri"/>
          <w:color w:val="111111"/>
          <w:sz w:val="28"/>
          <w:sz w:val="28"/>
          <w:szCs w:val="28"/>
          <w:rtl w:val="true"/>
          <w:lang w:bidi="ar-SA"/>
        </w:rPr>
        <w:t>السُّلطانِ و البَسطِ</w:t>
      </w:r>
      <w:r>
        <w:rPr>
          <w:rStyle w:val="FootnoteAnchor"/>
          <w:rtl w:val="true"/>
        </w:rPr>
        <w:footnoteReference w:id="1628"/>
      </w:r>
      <w:r>
        <w:rPr>
          <w:rFonts w:ascii="Amiri" w:hAnsi="Amiri" w:eastAsia="Amiri" w:cs="Amiri"/>
          <w:color w:val="111111"/>
          <w:sz w:val="28"/>
          <w:sz w:val="28"/>
          <w:szCs w:val="28"/>
          <w:rtl w:val="true"/>
          <w:lang w:bidi="ar-SA"/>
        </w:rPr>
        <w:t>يَكونُ أقرَبَ إلىٰ تجَنُّبِه، و عندَ عَدَمِهم أقرَبَ إلىٰ مُواقَعَتِه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الدَّلالةِ علىٰ أنّ وجودَ الرؤَساءِ لُطفٌ فيما ذَكَرناه</w:t>
      </w:r>
      <w:r>
        <w:rPr>
          <w:rStyle w:val="FootnoteAnchor"/>
          <w:rtl w:val="true"/>
        </w:rPr>
        <w:footnoteReference w:id="1629"/>
      </w:r>
      <w:r>
        <w:rPr>
          <w:rFonts w:ascii="Amiri" w:hAnsi="Amiri" w:eastAsia="Amiri" w:cs="Amiri"/>
          <w:color w:val="111111"/>
          <w:sz w:val="28"/>
          <w:sz w:val="28"/>
          <w:szCs w:val="28"/>
          <w:rtl w:val="true"/>
          <w:lang w:bidi="ar-SA"/>
        </w:rPr>
        <w:t>يُبطِلُ كُلَّ هذا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ذلكَ قائمٌ في النظَرِ في كَونِه حُجّةً ؛ لأنّ مُقتَضَى الشهوةِ العُدولُ عن ذلكَ لِما فيه مِن الراحةِ ، و لِما قد يَعتَري المُكلَّفَ مِن الشُّبَهِ </w:t>
      </w:r>
      <w:r>
        <w:rPr>
          <w:rStyle w:val="FootnoteAnchor"/>
          <w:rtl w:val="true"/>
        </w:rPr>
        <w:footnoteReference w:id="1630"/>
      </w:r>
      <w:r>
        <w:rPr>
          <w:rFonts w:ascii="Amiri" w:hAnsi="Amiri" w:eastAsia="Amiri" w:cs="Amiri"/>
          <w:color w:val="111111"/>
          <w:sz w:val="28"/>
          <w:sz w:val="28"/>
          <w:szCs w:val="28"/>
          <w:rtl w:val="true"/>
          <w:lang w:bidi="ar-SA"/>
        </w:rPr>
        <w:t xml:space="preserve">، فتَجِبُ الحاجةُ إلىٰ حُجّةٍ قَبلَ الإمامِ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يؤدّي إلىٰ ما قَدَّمناه مِن الفَسادِ</w:t>
      </w:r>
      <w:r>
        <w:rPr>
          <w:rFonts w:eastAsia="Amiri" w:cs="Amiri" w:ascii="Amiri" w:hAnsi="Amiri"/>
          <w:color w:val="111111"/>
          <w:sz w:val="28"/>
          <w:szCs w:val="28"/>
          <w:rtl w:val="true"/>
          <w:lang w:bidi="ar-SA"/>
        </w:rPr>
        <w:t>].</w:t>
      </w:r>
      <w:r>
        <w:rPr>
          <w:rStyle w:val="FootnoteAnchor"/>
          <w:rtl w:val="true"/>
        </w:rPr>
        <w:footnoteReference w:id="163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ما ذَكَرتَه مَن يوجِبُ كَونَ الإمامِ لُطفاً في ارتفاعِ كُلِّ ما تَدعو </w:t>
      </w:r>
    </w:p>
    <w:p>
      <w:pPr>
        <w:pStyle w:val="BookText"/>
        <w:rPr/>
      </w:pPr>
      <w:r>
        <w:rPr>
          <w:rFonts w:ascii="Amiri" w:hAnsi="Amiri" w:eastAsia="Amiri" w:cs="Amiri"/>
          <w:color w:val="111111"/>
          <w:sz w:val="28"/>
          <w:sz w:val="28"/>
          <w:szCs w:val="28"/>
          <w:rtl w:val="true"/>
          <w:lang w:bidi="ar-SA"/>
        </w:rPr>
        <w:t>إليه الشهَواتُ و تَميلُ إليه النفوسُ ، حتّىٰ يَجعَلَه لُطفاً في جَميعِ ما يَلزَمُ مِن النظَرِ و الاستدلالِ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أنّ الصحيحَ خِلافُ ذلكَ </w:t>
      </w:r>
      <w:r>
        <w:rPr>
          <w:rStyle w:val="FootnoteAnchor"/>
          <w:rtl w:val="true"/>
        </w:rPr>
        <w:footnoteReference w:id="1632"/>
      </w:r>
      <w:r>
        <w:rPr>
          <w:rFonts w:ascii="Amiri" w:hAnsi="Amiri" w:eastAsia="Amiri" w:cs="Amiri"/>
          <w:color w:val="111111"/>
          <w:sz w:val="28"/>
          <w:sz w:val="28"/>
          <w:szCs w:val="28"/>
          <w:rtl w:val="true"/>
          <w:lang w:bidi="ar-SA"/>
        </w:rPr>
        <w:t xml:space="preserve">، و لَيسَ إذا قَضَت العاداتُ بكَونِ الأئمّةِ و الرؤَساءِ لُطفاً في وقوعِ كثيرٍ مِن الواجباتِ و الامتناعِ مِن ضُروبِ المقبَّحاتِ ، وَجَبَ أن يُقطَعَ علىٰ كَونِهم لُطفاً في كُلِّ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الحُجّةُ يُؤثِّرُ</w:t>
      </w:r>
      <w:r>
        <w:rPr>
          <w:rStyle w:val="FootnoteAnchor"/>
          <w:rtl w:val="true"/>
        </w:rPr>
        <w:footnoteReference w:id="1633"/>
      </w:r>
      <w:r>
        <w:rPr>
          <w:rFonts w:ascii="Amiri" w:hAnsi="Amiri" w:eastAsia="Amiri" w:cs="Amiri"/>
          <w:color w:val="111111"/>
          <w:sz w:val="28"/>
          <w:sz w:val="28"/>
          <w:szCs w:val="28"/>
          <w:rtl w:val="true"/>
          <w:lang w:bidi="ar-SA"/>
        </w:rPr>
        <w:t xml:space="preserve">في الشهوةِ ، لَكانَ يَجِبُ الغِنىٰ عنه بأن لا يَفعَلَ اللّٰهُ تَعالَى الشهوةَ </w:t>
      </w:r>
      <w:r>
        <w:rPr>
          <w:rStyle w:val="FootnoteAnchor"/>
          <w:rtl w:val="true"/>
        </w:rPr>
        <w:footnoteReference w:id="1634"/>
      </w:r>
      <w:r>
        <w:rPr>
          <w:rFonts w:ascii="Amiri" w:hAnsi="Amiri" w:eastAsia="Amiri" w:cs="Amiri"/>
          <w:color w:val="111111"/>
          <w:sz w:val="28"/>
          <w:sz w:val="28"/>
          <w:szCs w:val="28"/>
          <w:rtl w:val="true"/>
          <w:lang w:bidi="ar-SA"/>
        </w:rPr>
        <w:t>أو يُزيلَها</w:t>
      </w:r>
      <w:r>
        <w:rPr>
          <w:rStyle w:val="FootnoteAnchor"/>
          <w:rtl w:val="true"/>
        </w:rPr>
        <w:footnoteReference w:id="1635"/>
      </w:r>
      <w:r>
        <w:rPr>
          <w:rFonts w:ascii="Amiri" w:hAnsi="Amiri" w:eastAsia="Amiri" w:cs="Amiri"/>
          <w:color w:val="111111"/>
          <w:sz w:val="28"/>
          <w:sz w:val="28"/>
          <w:szCs w:val="28"/>
          <w:rtl w:val="true"/>
          <w:lang w:bidi="ar-SA"/>
        </w:rPr>
        <w:t>عن المُكلَّفِ و التكليفُ قائمٌ ؛ لأنّه تَعالىٰ علىٰ ذلكَ أقدَرُ</w:t>
      </w:r>
      <w:r>
        <w:rPr>
          <w:rFonts w:eastAsia="Amiri" w:cs="Amiri" w:ascii="Amiri" w:hAnsi="Amiri"/>
          <w:color w:val="111111"/>
          <w:sz w:val="28"/>
          <w:szCs w:val="28"/>
          <w:rtl w:val="true"/>
          <w:lang w:bidi="ar-SA"/>
        </w:rPr>
        <w:t>.</w:t>
      </w:r>
      <w:r>
        <w:rPr>
          <w:rStyle w:val="FootnoteAnchor"/>
          <w:rtl w:val="true"/>
        </w:rPr>
        <w:footnoteReference w:id="163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تَعالىٰ أزالَ الشهوةَ أو لَم يَفعَلْها في الابتداءِ </w:t>
      </w:r>
      <w:r>
        <w:rPr>
          <w:rStyle w:val="FootnoteAnchor"/>
          <w:rtl w:val="true"/>
        </w:rPr>
        <w:footnoteReference w:id="1637"/>
      </w:r>
      <w:r>
        <w:rPr>
          <w:rFonts w:ascii="Amiri" w:hAnsi="Amiri" w:eastAsia="Amiri" w:cs="Amiri"/>
          <w:color w:val="111111"/>
          <w:sz w:val="28"/>
          <w:sz w:val="28"/>
          <w:szCs w:val="28"/>
          <w:rtl w:val="true"/>
          <w:lang w:bidi="ar-SA"/>
        </w:rPr>
        <w:t>لَقَبُحَ التكليفُ ؛ لأنّ فَقدَها مُخِلٌّ بشَرطِه</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سَقَطَ التكليفُ لَم يُحتَجْ إلَى الإمامِ ؛ لأنّ الحاجةَ إليه</w:t>
      </w:r>
      <w:r>
        <w:rPr>
          <w:rStyle w:val="FootnoteAnchor"/>
          <w:rtl w:val="true"/>
        </w:rPr>
        <w:footnoteReference w:id="1639"/>
      </w:r>
      <w:r>
        <w:rPr>
          <w:rFonts w:ascii="Amiri" w:hAnsi="Amiri" w:eastAsia="Amiri" w:cs="Amiri"/>
          <w:color w:val="111111"/>
          <w:sz w:val="28"/>
          <w:sz w:val="28"/>
          <w:szCs w:val="28"/>
          <w:rtl w:val="true"/>
          <w:lang w:bidi="ar-SA"/>
        </w:rPr>
        <w:t>مقرونةٌ به</w:t>
      </w:r>
      <w:r>
        <w:rPr>
          <w:rStyle w:val="FootnoteAnchor"/>
          <w:rtl w:val="true"/>
        </w:rPr>
        <w:footnoteReference w:id="1640"/>
      </w:r>
      <w:r>
        <w:rPr>
          <w:rFonts w:ascii="IRNazanin" w:hAnsi="IRNazanin" w:eastAsia="IRNazanin"/>
          <w:color w:val="111111"/>
          <w:sz w:val="28"/>
          <w:sz w:val="28"/>
          <w:szCs w:val="28"/>
          <w:rtl w:val="true"/>
          <w:lang w:bidi="fa-IR"/>
        </w:rPr>
        <w:t>و باستمرارِه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تَعني الشهوةَ،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مُناقَضةً ظاهرةً‌</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 في حاشية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غرض صاحب الكتاب بعد التنزّل عن فساد إزالة الشهوة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يترتّب علىٰ وجود الإمام من زوالها لو جاز، جاز أن يكون بتأثير اللّٰه سبحانه بغير واسطة؛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لأنّكَ قَبلَ هذا الفَصلِ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الشهوةَ و الهَوىٰ لا بُدَّ مِن ثَباتِهما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يَصِحَّ التكليفُ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فكَيفَ أُنسيتَ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هاهُنا، و أَلزَمتَ أن لا يَفعلَها اللّٰهُ تَعالىٰ مع ثُبوتِ التكليفِ؟</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1642"/>
      </w:r>
      <w:r>
        <w:rPr>
          <w:rFonts w:ascii="Amiri" w:hAnsi="Amiri" w:eastAsia="Amiri" w:cs="Amiri"/>
          <w:color w:val="111111"/>
          <w:sz w:val="28"/>
          <w:sz w:val="28"/>
          <w:szCs w:val="28"/>
          <w:rtl w:val="true"/>
          <w:lang w:bidi="ar-SA"/>
        </w:rPr>
        <w:t>أرَدتُ أنّه</w:t>
      </w:r>
      <w:r>
        <w:rPr>
          <w:rStyle w:val="FootnoteAnchor"/>
          <w:rtl w:val="true"/>
        </w:rPr>
        <w:footnoteReference w:id="1643"/>
      </w:r>
      <w:r>
        <w:rPr>
          <w:rFonts w:ascii="Amiri" w:hAnsi="Amiri" w:eastAsia="Amiri" w:cs="Amiri"/>
          <w:color w:val="111111"/>
          <w:sz w:val="28"/>
          <w:sz w:val="28"/>
          <w:szCs w:val="28"/>
          <w:rtl w:val="true"/>
          <w:lang w:bidi="ar-SA"/>
        </w:rPr>
        <w:t xml:space="preserve">يُزيلُها كما يُزيلُها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لَيسَ يُزيلُها، و إنّما هو لُطفٌ في ارتفاعِ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فألّا رَفَعَ </w:t>
      </w:r>
      <w:r>
        <w:rPr>
          <w:rStyle w:val="FootnoteAnchor"/>
          <w:rtl w:val="true"/>
        </w:rPr>
        <w:footnoteReference w:id="1644"/>
      </w:r>
      <w:r>
        <w:rPr>
          <w:rFonts w:ascii="Amiri" w:hAnsi="Amiri" w:eastAsia="Amiri" w:cs="Amiri"/>
          <w:color w:val="111111"/>
          <w:sz w:val="28"/>
          <w:sz w:val="28"/>
          <w:szCs w:val="28"/>
          <w:rtl w:val="true"/>
          <w:lang w:bidi="ar-SA"/>
        </w:rPr>
        <w:t>مُقتَضاها بغيرِ إمامٍ؟</w:t>
      </w:r>
    </w:p>
    <w:p>
      <w:pPr>
        <w:pStyle w:val="BookText"/>
        <w:rPr/>
      </w:pPr>
      <w:r>
        <w:rPr>
          <w:rFonts w:ascii="Amiri" w:hAnsi="Amiri" w:eastAsia="Amiri" w:cs="Amiri"/>
          <w:color w:val="111111"/>
          <w:sz w:val="28"/>
          <w:sz w:val="28"/>
          <w:szCs w:val="28"/>
          <w:rtl w:val="true"/>
          <w:lang w:bidi="ar-SA"/>
        </w:rPr>
        <w:t xml:space="preserve">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قد بيّنّا فَسادَه بالدَّلالةِ علىٰ أنّ الإمامَ لُطفٌ ، و أنّ غيرَه لا يَقومُ مَقامَه فيمَن كانَ لُطفاً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تَعلُّقُهم بكُلِّ ذلكَ يَبطُلُ ؛ لأنّه يوجِبُ أن لا يَقتَصِروا علىٰ حُجّةٍ واحدةٍ </w:t>
      </w:r>
      <w:r>
        <w:rPr>
          <w:rStyle w:val="FootnoteAnchor"/>
          <w:rtl w:val="true"/>
        </w:rPr>
        <w:footnoteReference w:id="1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يَلزَمُهم أن لا يُجوِّزوا الغَيبةَ عليه و خَفاءَ المَوضِعِ و الشخصِ ، و</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 xml:space="preserve">يَلزَمُهم أن يَكونَ كُلُّ مكلَّفٍ متمكِّناً مِنه في كُلِّ وقتٍ </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إلزامُكَ أن لا يُقتَصَرَ علىٰ حُجّةٍ واحدةٍ، فقَد مَضىٰ ما فيه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 نُجوِّزْها مع الاختيارِ، بَل مع الإلجاءِ و الاضطِرارِ، و الحُجّةُ فيها</w:t>
      </w:r>
      <w:r>
        <w:rPr>
          <w:rStyle w:val="FootnoteAnchor"/>
          <w:rtl w:val="true"/>
        </w:rPr>
        <w:footnoteReference w:id="1648"/>
      </w:r>
      <w:r>
        <w:rPr>
          <w:rFonts w:ascii="Amiri" w:hAnsi="Amiri" w:eastAsia="Amiri" w:cs="Amiri"/>
          <w:color w:val="111111"/>
          <w:sz w:val="28"/>
          <w:sz w:val="28"/>
          <w:szCs w:val="28"/>
          <w:rtl w:val="true"/>
          <w:lang w:bidi="ar-SA"/>
        </w:rPr>
        <w:t>علَى الظالِمينَ الذينَ أخافوا الإمامَ و أحوَجوه إلَى الاستتارِ و الغَيبةِ ، و لا حُجّةَ فيها</w:t>
      </w:r>
      <w:r>
        <w:rPr>
          <w:rStyle w:val="FootnoteAnchor"/>
          <w:rtl w:val="true"/>
        </w:rPr>
        <w:footnoteReference w:id="1649"/>
      </w:r>
      <w:r>
        <w:rPr>
          <w:rFonts w:ascii="Amiri" w:hAnsi="Amiri" w:eastAsia="Amiri" w:cs="Amiri"/>
          <w:color w:val="111111"/>
          <w:sz w:val="28"/>
          <w:sz w:val="28"/>
          <w:szCs w:val="28"/>
          <w:rtl w:val="true"/>
          <w:lang w:bidi="ar-SA"/>
        </w:rPr>
        <w:t xml:space="preserve">علَى اللّٰهِ تَعالىٰ و لا علَى الإمامِ عليه السلامُ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تَمكُّنُ كُلِّ واحدٍ مِن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مُمكِنٌ ؛ مِن حَيثُ تَمكَّنوا مِن مُفارَقةِ ما أحوَجَ الإمامَ إلَى الاستتارِ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bookmarkStart w:id="583" w:name="pg20044_770982"/>
    </w:p>
    <w:p>
      <w:pPr>
        <w:pStyle w:val="Heading4"/>
        <w:numPr>
          <w:ilvl w:val="3"/>
          <w:numId w:val="1"/>
        </w:numPr>
        <w:rPr/>
      </w:pPr>
      <w:bookmarkStart w:id="584" w:name="__RefHeading___Toc828684_2320776876"/>
      <w:bookmarkStart w:id="585" w:name="_Toc207"/>
      <w:bookmarkEnd w:id="583"/>
      <w:bookmarkEnd w:id="584"/>
      <w:r>
        <w:rPr>
          <w:rtl w:val="true"/>
        </w:rPr>
        <w:t>الدليل الثاني جواز السهو و الغفلة و الشبهة و التقصير على المكلّفين</w:t>
      </w:r>
      <w:bookmarkEnd w:id="585"/>
    </w:p>
    <w:p>
      <w:pPr>
        <w:pStyle w:val="Heading5"/>
        <w:numPr>
          <w:ilvl w:val="4"/>
          <w:numId w:val="1"/>
        </w:numPr>
        <w:rPr/>
      </w:pPr>
      <w:bookmarkStart w:id="586" w:name="__RefHeading___Toc828686_2320776876"/>
      <w:bookmarkStart w:id="587" w:name="_Toc208"/>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لهُم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سَلَكوا ما يُقارِبُ‌</w:t>
      </w:r>
      <w:r>
        <w:rPr>
          <w:rStyle w:val="FootnoteAnchor"/>
          <w:rtl w:val="true"/>
        </w:rPr>
        <w:footnoteReference w:id="1651"/>
      </w:r>
      <w:r>
        <w:rPr>
          <w:rFonts w:ascii="Amiri" w:hAnsi="Amiri" w:eastAsia="Amiri" w:cs="Amiri"/>
          <w:color w:val="111111"/>
          <w:sz w:val="28"/>
          <w:sz w:val="28"/>
          <w:szCs w:val="28"/>
          <w:rtl w:val="true"/>
          <w:lang w:bidi="ar-SA"/>
        </w:rPr>
        <w:t>هذه الطريقةَ علىٰ وجهٍ آخَرَ؛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السهوُ و الغَفلةُ و الغَلَطُ</w:t>
      </w:r>
      <w:r>
        <w:rPr>
          <w:rStyle w:val="FootnoteAnchor"/>
          <w:rtl w:val="true"/>
        </w:rPr>
        <w:footnoteReference w:id="1652"/>
      </w:r>
      <w:r>
        <w:rPr>
          <w:rFonts w:ascii="Amiri" w:hAnsi="Amiri" w:eastAsia="Amiri" w:cs="Amiri"/>
          <w:color w:val="111111"/>
          <w:sz w:val="28"/>
          <w:sz w:val="28"/>
          <w:szCs w:val="28"/>
          <w:rtl w:val="true"/>
          <w:lang w:bidi="ar-SA"/>
        </w:rPr>
        <w:t>لاتّباعِ الشهوةِ و الشُّبهةِ جائزةً‌</w:t>
      </w:r>
      <w:r>
        <w:rPr>
          <w:rStyle w:val="FootnoteAnchor"/>
          <w:rtl w:val="true"/>
        </w:rPr>
        <w:footnoteReference w:id="1653"/>
      </w:r>
      <w:r>
        <w:rPr>
          <w:rFonts w:ascii="Amiri" w:hAnsi="Amiri" w:eastAsia="Amiri" w:cs="Amiri"/>
          <w:color w:val="111111"/>
          <w:sz w:val="28"/>
          <w:sz w:val="28"/>
          <w:szCs w:val="28"/>
          <w:rtl w:val="true"/>
          <w:lang w:bidi="ar-SA"/>
        </w:rPr>
        <w:t>علَى المُكلَّفينَ و كذلكَ النقصُ و التقصيرُ، و كانَ الأقربُ في زوالِ ذلكَ أو زوالِ تأثيرِه</w:t>
      </w:r>
      <w:r>
        <w:rPr>
          <w:rStyle w:val="FootnoteAnchor"/>
          <w:rtl w:val="true"/>
        </w:rPr>
        <w:footnoteReference w:id="1654"/>
      </w:r>
      <w:r>
        <w:rPr>
          <w:rFonts w:ascii="Amiri" w:hAnsi="Amiri" w:eastAsia="Amiri" w:cs="Amiri"/>
          <w:color w:val="111111"/>
          <w:sz w:val="28"/>
          <w:sz w:val="28"/>
          <w:szCs w:val="28"/>
          <w:rtl w:val="true"/>
          <w:lang w:bidi="ar-SA"/>
        </w:rPr>
        <w:t xml:space="preserve">وجودَ حُجّةٍ في الزمانِ ؛ لأنّ عندَه لا شَكَّ يَكونونَ أقرَبَ إلَى العُدولِ عن ذلكَ إلَى القيامِ بما كُلِّفوه، فلا بُدَّ في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حَسَنَ </w:t>
      </w:r>
      <w:r>
        <w:rPr>
          <w:rStyle w:val="FootnoteAnchor"/>
          <w:rtl w:val="true"/>
        </w:rPr>
        <w:footnoteReference w:id="1655"/>
      </w:r>
      <w:r>
        <w:rPr>
          <w:rFonts w:ascii="Amiri" w:hAnsi="Amiri" w:eastAsia="Amiri" w:cs="Amiri"/>
          <w:color w:val="111111"/>
          <w:sz w:val="28"/>
          <w:sz w:val="28"/>
          <w:szCs w:val="28"/>
          <w:rtl w:val="true"/>
          <w:lang w:bidi="ar-SA"/>
        </w:rPr>
        <w:t xml:space="preserve">النظَرِ للمكلَّفينَ </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لهم في الزمانِ </w:t>
      </w:r>
      <w:r>
        <w:rPr>
          <w:rStyle w:val="FootnoteAnchor"/>
          <w:rtl w:val="true"/>
        </w:rPr>
        <w:footnoteReference w:id="1657"/>
      </w:r>
      <w:bookmarkStart w:id="588" w:name="pg20044_770983"/>
    </w:p>
    <w:p>
      <w:pPr>
        <w:pStyle w:val="BookText"/>
        <w:rPr/>
      </w:pPr>
      <w:bookmarkEnd w:id="588"/>
      <w:r>
        <w:rPr>
          <w:rFonts w:ascii="Amiri" w:hAnsi="Amiri" w:eastAsia="Amiri" w:cs="Amiri"/>
          <w:color w:val="111111"/>
          <w:sz w:val="28"/>
          <w:sz w:val="28"/>
          <w:szCs w:val="28"/>
          <w:rtl w:val="true"/>
          <w:lang w:bidi="ar-SA"/>
        </w:rPr>
        <w:t>حُجّةً مِن رسولٍ أو إمامٍ ، كما لا بُدَّ مِن أن يَلطُفَ لهم</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يَسقُطُ بوجوهٍ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مِن أنّه لا وجهَ يُقطعُ </w:t>
      </w:r>
      <w:r>
        <w:rPr>
          <w:rStyle w:val="FootnoteAnchor"/>
          <w:rtl w:val="true"/>
        </w:rPr>
        <w:footnoteReference w:id="1660"/>
      </w:r>
      <w:r>
        <w:rPr>
          <w:rFonts w:ascii="Amiri" w:hAnsi="Amiri" w:eastAsia="Amiri" w:cs="Amiri"/>
          <w:color w:val="111111"/>
          <w:sz w:val="28"/>
          <w:sz w:val="28"/>
          <w:szCs w:val="28"/>
          <w:rtl w:val="true"/>
          <w:lang w:bidi="ar-SA"/>
        </w:rPr>
        <w:t>به علىٰ أنّ ذلكَ أقرَبُ إلىٰ قيامِهم بما كُلِّفوه؛ لأنّا قد بيّنّا مُفارَقتَه لكَونِ المعرفةِ لُطفاً لهم</w:t>
      </w:r>
      <w:r>
        <w:rPr>
          <w:rStyle w:val="FootnoteAnchor"/>
          <w:rtl w:val="true"/>
        </w:rPr>
        <w:footnoteReference w:id="1661"/>
      </w:r>
      <w:r>
        <w:rPr>
          <w:rFonts w:ascii="Amiri" w:hAnsi="Amiri" w:eastAsia="Amiri" w:cs="Amiri"/>
          <w:color w:val="111111"/>
          <w:sz w:val="28"/>
          <w:sz w:val="28"/>
          <w:szCs w:val="28"/>
          <w:rtl w:val="true"/>
          <w:lang w:bidi="ar-SA"/>
        </w:rPr>
        <w:t>علىٰ كُلِّ حالٍ ، و بيّنّا أنّ لُطفَ المكلَّفِ قد يَكونُ بأن</w:t>
      </w:r>
      <w:r>
        <w:rPr>
          <w:rStyle w:val="FootnoteAnchor"/>
          <w:rtl w:val="true"/>
        </w:rPr>
        <w:footnoteReference w:id="1662"/>
      </w:r>
      <w:r>
        <w:rPr>
          <w:rFonts w:ascii="Amiri" w:hAnsi="Amiri" w:eastAsia="Amiri" w:cs="Amiri"/>
          <w:color w:val="111111"/>
          <w:sz w:val="28"/>
          <w:sz w:val="28"/>
          <w:szCs w:val="28"/>
          <w:rtl w:val="true"/>
          <w:lang w:bidi="ar-SA"/>
        </w:rPr>
        <w:t>يُخَلّىٰ سربُه</w:t>
      </w:r>
      <w:r>
        <w:rPr>
          <w:rStyle w:val="FootnoteAnchor"/>
          <w:rtl w:val="true"/>
        </w:rPr>
        <w:footnoteReference w:id="1663"/>
      </w:r>
      <w:r>
        <w:rPr>
          <w:rFonts w:ascii="Amiri" w:hAnsi="Amiri" w:eastAsia="Amiri" w:cs="Amiri"/>
          <w:color w:val="111111"/>
          <w:sz w:val="28"/>
          <w:sz w:val="28"/>
          <w:szCs w:val="28"/>
          <w:rtl w:val="true"/>
          <w:lang w:bidi="ar-SA"/>
        </w:rPr>
        <w:t>و يوكَلَ إلىٰ نَفْسِه</w:t>
      </w:r>
      <w:r>
        <w:rPr>
          <w:rStyle w:val="FootnoteAnchor"/>
          <w:rtl w:val="true"/>
        </w:rPr>
        <w:footnoteReference w:id="1664"/>
      </w:r>
      <w:r>
        <w:rPr>
          <w:rFonts w:ascii="Amiri" w:hAnsi="Amiri" w:eastAsia="Amiri" w:cs="Amiri"/>
          <w:color w:val="111111"/>
          <w:sz w:val="28"/>
          <w:sz w:val="28"/>
          <w:szCs w:val="28"/>
          <w:rtl w:val="true"/>
          <w:lang w:bidi="ar-SA"/>
        </w:rPr>
        <w:t>، و قَد</w:t>
      </w:r>
      <w:r>
        <w:rPr>
          <w:rStyle w:val="FootnoteAnchor"/>
          <w:rtl w:val="true"/>
        </w:rPr>
        <w:footnoteReference w:id="1665"/>
      </w:r>
      <w:r>
        <w:rPr>
          <w:rFonts w:ascii="Amiri" w:hAnsi="Amiri" w:eastAsia="Amiri" w:cs="Amiri"/>
          <w:color w:val="111111"/>
          <w:sz w:val="28"/>
          <w:sz w:val="28"/>
          <w:szCs w:val="28"/>
          <w:rtl w:val="true"/>
          <w:lang w:bidi="ar-SA"/>
        </w:rPr>
        <w:t>يَكونُ عندَ ذلكَ أقرَبَ إلَى الطاعةِ مِن أن يُلزَمَ اتّباعَ غيرِه</w:t>
      </w:r>
      <w:r>
        <w:rPr>
          <w:rFonts w:eastAsia="Amiri" w:cs="Amiri" w:ascii="Amiri" w:hAnsi="Amiri"/>
          <w:color w:val="111111"/>
          <w:sz w:val="28"/>
          <w:szCs w:val="28"/>
          <w:rtl w:val="true"/>
          <w:lang w:bidi="ar-SA"/>
        </w:rPr>
        <w:t>.</w:t>
      </w:r>
      <w:r>
        <w:rPr>
          <w:rStyle w:val="FootnoteAnchor"/>
          <w:rtl w:val="true"/>
        </w:rPr>
        <w:footnoteReference w:id="1666"/>
      </w:r>
    </w:p>
    <w:p>
      <w:pPr>
        <w:pStyle w:val="Heading5"/>
        <w:numPr>
          <w:ilvl w:val="4"/>
          <w:numId w:val="1"/>
        </w:numPr>
        <w:rPr/>
      </w:pPr>
      <w:bookmarkStart w:id="589" w:name="__RefHeading___Toc828688_2320776876"/>
      <w:bookmarkStart w:id="590" w:name="_Toc209"/>
      <w:bookmarkEnd w:id="589"/>
      <w:r>
        <w:rPr>
          <w:rtl w:val="true"/>
        </w:rPr>
        <w:t>إشارات إلىٰ مسألة كون الإمامة لطفاً</w:t>
      </w:r>
      <w:bookmarkEnd w:id="59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ذِكرُنا للوجهِ </w:t>
      </w:r>
      <w:r>
        <w:rPr>
          <w:rStyle w:val="FootnoteAnchor"/>
          <w:rtl w:val="true"/>
        </w:rPr>
        <w:footnoteReference w:id="1667"/>
      </w:r>
      <w:r>
        <w:rPr>
          <w:rFonts w:ascii="Amiri" w:hAnsi="Amiri" w:eastAsia="Amiri" w:cs="Amiri"/>
          <w:color w:val="111111"/>
          <w:sz w:val="28"/>
          <w:sz w:val="28"/>
          <w:szCs w:val="28"/>
          <w:rtl w:val="true"/>
          <w:lang w:bidi="ar-SA"/>
        </w:rPr>
        <w:t xml:space="preserve">الذي يُقطعُ </w:t>
      </w:r>
      <w:r>
        <w:rPr>
          <w:rStyle w:val="FootnoteAnchor"/>
          <w:rtl w:val="true"/>
        </w:rPr>
        <w:footnoteReference w:id="1668"/>
      </w:r>
      <w:r>
        <w:rPr>
          <w:rFonts w:ascii="Amiri" w:hAnsi="Amiri" w:eastAsia="Amiri" w:cs="Amiri"/>
          <w:color w:val="111111"/>
          <w:sz w:val="28"/>
          <w:sz w:val="28"/>
          <w:szCs w:val="28"/>
          <w:rtl w:val="true"/>
          <w:lang w:bidi="ar-SA"/>
        </w:rPr>
        <w:t xml:space="preserve">به علىٰ أنّ وجودَ الأئمّةِ </w:t>
      </w:r>
    </w:p>
    <w:p>
      <w:pPr>
        <w:pStyle w:val="BookText"/>
        <w:rPr/>
      </w:pPr>
      <w:r>
        <w:rPr>
          <w:rFonts w:ascii="Amiri" w:hAnsi="Amiri" w:eastAsia="Amiri" w:cs="Amiri"/>
          <w:color w:val="111111"/>
          <w:sz w:val="28"/>
          <w:sz w:val="28"/>
          <w:szCs w:val="28"/>
          <w:rtl w:val="true"/>
          <w:lang w:bidi="ar-SA"/>
        </w:rPr>
        <w:t>و الرؤَساءِ لُطفٌ للمكلَّفينَ، و دَلَّلنا علىٰ أنّه لا بُدَّ أن يَكونوا عندَ وجودِهم أقرَبَ إلَى الصلاحِ و أبعَدَ مِن الفَسادِ</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و ما ظَنَنتَ أنّه يُفسِدُ هذه الطريقةَ و أحَلتَ في كلامِكَ هذا عليه، فقَد أفسَدناه و دَلَّلنا علىٰ بُطلانِه و بُعدِه مِن الصوابِ</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فأمّا مُفارَقةُ الإمامةِ للمعرفةِ في عمومِ اللطفِ بها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عامّةٌ‌</w:t>
      </w:r>
      <w:r>
        <w:rPr>
          <w:rStyle w:val="FootnoteAnchor"/>
          <w:rtl w:val="true"/>
        </w:rPr>
        <w:footnoteReference w:id="1671"/>
      </w:r>
      <w:r>
        <w:rPr>
          <w:rFonts w:ascii="Amiri" w:hAnsi="Amiri" w:eastAsia="Amiri" w:cs="Amiri"/>
          <w:color w:val="111111"/>
          <w:sz w:val="28"/>
          <w:sz w:val="28"/>
          <w:szCs w:val="28"/>
          <w:rtl w:val="true"/>
          <w:lang w:bidi="ar-SA"/>
        </w:rPr>
        <w:t xml:space="preserve">في الأحوالِ و مُساويةٌ للمعرفةِ في ذلكَ ، و إن لَم يَجِبِ القطعُ علىٰ أنّها لُطفٌ في كُلِّ تكليفٍ كالمعرفةِ </w:t>
      </w:r>
      <w:r>
        <w:rPr>
          <w:rStyle w:val="FootnoteAnchor"/>
          <w:rtl w:val="true"/>
        </w:rPr>
        <w:footnoteReference w:id="1672"/>
      </w:r>
      <w:r>
        <w:rPr>
          <w:rFonts w:ascii="Amiri" w:hAnsi="Amiri" w:eastAsia="Amiri" w:cs="Amiri"/>
          <w:color w:val="111111"/>
          <w:sz w:val="28"/>
          <w:sz w:val="28"/>
          <w:szCs w:val="28"/>
          <w:rtl w:val="true"/>
          <w:lang w:bidi="ar-SA"/>
        </w:rPr>
        <w:t xml:space="preserve">، و لا في كُلِّ مكلَّفٍ حتّىٰ يُتَعدّىٰ إلى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w:t>
      </w:r>
      <w:r>
        <w:rPr>
          <w:rStyle w:val="FootnoteAnchor"/>
          <w:rtl w:val="true"/>
        </w:rPr>
        <w:footnoteReference w:id="1673"/>
      </w:r>
      <w:r>
        <w:rPr>
          <w:rFonts w:ascii="Amiri" w:hAnsi="Amiri" w:eastAsia="Amiri" w:cs="Amiri"/>
          <w:color w:val="111111"/>
          <w:sz w:val="28"/>
          <w:sz w:val="28"/>
          <w:szCs w:val="28"/>
          <w:rtl w:val="true"/>
          <w:lang w:bidi="ar-SA"/>
        </w:rPr>
        <w:t xml:space="preserve">ذِكرِ الخصوصِ و العمومِ في الألطافِ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قد تَتّفِقُ في ذلكَ و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يُحتاجُ إلىٰ إعادتِه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عجيبِ الأُمورِ تصريحُه بأنّ الصلاحَ قد يَكونُ في الإهمالِ بقَولِه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لُطفَ المكلَّفِ قد يَكونُ في أن</w:t>
      </w:r>
      <w:r>
        <w:rPr>
          <w:rStyle w:val="FootnoteAnchor"/>
          <w:rtl w:val="true"/>
        </w:rPr>
        <w:footnoteReference w:id="1675"/>
      </w:r>
      <w:r>
        <w:rPr>
          <w:rFonts w:ascii="Amiri" w:hAnsi="Amiri" w:eastAsia="Amiri" w:cs="Amiri"/>
          <w:color w:val="111111"/>
          <w:sz w:val="28"/>
          <w:sz w:val="28"/>
          <w:szCs w:val="28"/>
          <w:rtl w:val="true"/>
          <w:lang w:bidi="ar-SA"/>
        </w:rPr>
        <w:t>يُخلّىٰ سربُه و يوكَلَ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حالةٌ يَعلَمُ كُلُّ العقلاءِ ما تُثمِرُه مِن الفَسادِ، و يَيأسونَ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شيءٍ مِن الصلاحِ ، حتّىٰ أنّهم إذا بَلَغوا الغايةَ في التعَوُّذِ مِن المَكارِهِ رَغِبوا إلَى اللّٰهِ تَعالىٰ في أن لا يَكِلَهم إلىٰ نُفوسِهم</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و المناظَرةُ في الضروريّاتِ لا مَعنىٰ لها، و أكثرُ ما يُستعملُ فيها التنبيهُ الذي استَقصَيناه و تَناهَينا في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أن يَكونَ ذلكَ‌</w:t>
      </w:r>
      <w:r>
        <w:rPr>
          <w:rStyle w:val="FootnoteAnchor"/>
          <w:rtl w:val="true"/>
        </w:rPr>
        <w:footnoteReference w:id="1677"/>
      </w:r>
      <w:r>
        <w:rPr>
          <w:rFonts w:ascii="Amiri" w:hAnsi="Amiri" w:eastAsia="Amiri" w:cs="Amiri"/>
          <w:color w:val="111111"/>
          <w:sz w:val="28"/>
          <w:sz w:val="28"/>
          <w:szCs w:val="28"/>
          <w:rtl w:val="true"/>
          <w:lang w:bidi="ar-SA"/>
        </w:rPr>
        <w:t>لُطفاً في كُلِّ أمرٍ كُلِّفوه، أو في بَعضِه</w:t>
      </w:r>
      <w:r>
        <w:rPr>
          <w:rStyle w:val="FootnoteAnchor"/>
          <w:rtl w:val="true"/>
        </w:rPr>
        <w:footnoteReference w:id="1678"/>
      </w:r>
      <w:r>
        <w:rPr>
          <w:rFonts w:ascii="Amiri" w:hAnsi="Amiri" w:eastAsia="Amiri" w:cs="Amiri"/>
          <w:color w:val="111111"/>
          <w:sz w:val="28"/>
          <w:sz w:val="28"/>
          <w:szCs w:val="28"/>
          <w:rtl w:val="true"/>
          <w:lang w:bidi="ar-SA"/>
        </w:rPr>
        <w:t>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w:t>
      </w:r>
      <w:r>
        <w:rPr>
          <w:rFonts w:eastAsia="Amiri" w:cs="Amiri" w:ascii="Amiri" w:hAnsi="Amiri"/>
          <w:color w:val="111111"/>
          <w:sz w:val="28"/>
          <w:szCs w:val="28"/>
          <w:rtl w:val="true"/>
          <w:lang w:bidi="ar-SA"/>
        </w:rPr>
        <w:t>]</w:t>
      </w:r>
      <w:r>
        <w:rPr>
          <w:rStyle w:val="FootnoteAnchor"/>
          <w:rtl w:val="true"/>
        </w:rPr>
        <w:footnoteReference w:id="1679"/>
      </w:r>
      <w:r>
        <w:rPr>
          <w:rFonts w:ascii="Amiri" w:hAnsi="Amiri" w:eastAsia="Amiri" w:cs="Amiri"/>
          <w:color w:val="111111"/>
          <w:sz w:val="28"/>
          <w:sz w:val="28"/>
          <w:szCs w:val="28"/>
          <w:rtl w:val="true"/>
          <w:lang w:bidi="ar-SA"/>
        </w:rPr>
        <w:t>في كُلِّه، لَزِمَ‌</w:t>
      </w:r>
      <w:r>
        <w:rPr>
          <w:rStyle w:val="FootnoteAnchor"/>
          <w:rtl w:val="true"/>
        </w:rPr>
        <w:footnoteReference w:id="1680"/>
      </w:r>
      <w:r>
        <w:rPr>
          <w:rFonts w:ascii="Amiri" w:hAnsi="Amiri" w:eastAsia="Amiri" w:cs="Amiri"/>
          <w:color w:val="111111"/>
          <w:sz w:val="28"/>
          <w:sz w:val="28"/>
          <w:szCs w:val="28"/>
          <w:rtl w:val="true"/>
          <w:lang w:bidi="ar-SA"/>
        </w:rPr>
        <w:t xml:space="preserve">الحاجةُ إلىٰ حُجّةٍ في النظَرِ المؤدّي إلى العِلمِ بأنّ الحُجّةَ حُجّةٌ، و يؤدّي إلىٰ ما ذَكَرناه مِن الفَسادِ، و يَلزَمُ </w:t>
      </w:r>
      <w:r>
        <w:rPr>
          <w:rStyle w:val="FootnoteAnchor"/>
          <w:rtl w:val="true"/>
        </w:rPr>
        <w:footnoteReference w:id="1681"/>
      </w:r>
      <w:r>
        <w:rPr>
          <w:rFonts w:ascii="Amiri" w:hAnsi="Amiri" w:eastAsia="Amiri" w:cs="Amiri"/>
          <w:color w:val="111111"/>
          <w:sz w:val="28"/>
          <w:sz w:val="28"/>
          <w:szCs w:val="28"/>
          <w:rtl w:val="true"/>
          <w:lang w:bidi="ar-SA"/>
        </w:rPr>
        <w:t>حضورُ الحُجّةِ في كُلِّ وقتٍ عندَ كُلِّ مكلَّفٍ ، أو يَلزَمُ إثباتُ حُجَجٍ ليَصِحَّ ذلكَ فيهم، إلىٰ سائرِ 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168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لُطفٌ في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لرغبتهم إليه تعالىٰ في أن لا يكلهم إلىٰ أحد من الناس أيضاً؛ و المقصود التضرّع إلى اللّٰه سبحانه في إنجاح المطالب و تيسير ما يُخاف عسره و دفع المكاره؛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حاشية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إن وكلتني إلىٰ نفسي عجزتُ عنها و لم أُقم ما فيه مصلحتها، و إن وكلتني إلى الناس تجهّموني، و إن ألجأتني إلىٰ قرابتي حرموني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و من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فساد الكِلة إلىٰ نفسه العجز، و أمّا الاستعاذة من الوكلة إلى الناس فلخوف التجهّم و نحوه، فهو مخصوص بمن يجوز في شأنه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الوكلة إلى المعصوم و الإمام المنصوص من قِبله سبحانه فهو خال عن الفساد، بل هو في منزلة الكلة إليه سبحانه؛ لأنّه منصوب من جهة اللّٰه تعالىٰ ؛ فتدبَّر</w:t>
      </w:r>
      <w:r>
        <w:rPr>
          <w:rFonts w:eastAsia="Amiri" w:cs="Amiri" w:ascii="Amiri" w:hAnsi="Amiri"/>
          <w:color w:val="111111"/>
          <w:sz w:val="28"/>
          <w:szCs w:val="28"/>
          <w:rtl w:val="true"/>
          <w:lang w:bidi="ar-SA"/>
        </w:rPr>
        <w:t xml:space="preserve">». </w:t>
      </w:r>
      <w:bookmarkStart w:id="591" w:name="pg20044_770986"/>
    </w:p>
    <w:p>
      <w:pPr>
        <w:pStyle w:val="BookText"/>
        <w:rPr/>
      </w:pPr>
      <w:bookmarkEnd w:id="591"/>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حالُ الكُلِّ سَواءً ، فمِن أينَ أنّه لُطفٌ في البَعضِ دونَ بَعضٍ؟</w:t>
      </w:r>
      <w:r>
        <w:rPr>
          <w:rStyle w:val="FootnoteAnchor"/>
          <w:rtl w:val="true"/>
        </w:rPr>
        <w:footnoteReference w:id="1683"/>
      </w:r>
    </w:p>
    <w:p>
      <w:pPr>
        <w:pStyle w:val="Heading5"/>
        <w:numPr>
          <w:ilvl w:val="4"/>
          <w:numId w:val="1"/>
        </w:numPr>
        <w:rPr/>
      </w:pPr>
      <w:bookmarkStart w:id="592" w:name="__RefHeading___Toc828690_2320776876"/>
      <w:bookmarkStart w:id="593" w:name="_Toc210"/>
      <w:bookmarkEnd w:id="592"/>
      <w:r>
        <w:rPr>
          <w:rtl w:val="true"/>
        </w:rPr>
        <w:t>عدم وجوب كون الإمام لطفاً في كلّ تكليف</w:t>
      </w:r>
      <w:bookmarkEnd w:id="593"/>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ما تَقتَضي</w:t>
      </w:r>
      <w:r>
        <w:rPr>
          <w:rStyle w:val="FootnoteAnchor"/>
          <w:rtl w:val="true"/>
        </w:rPr>
        <w:footnoteReference w:id="1684"/>
      </w:r>
      <w:r>
        <w:rPr>
          <w:rFonts w:ascii="Amiri" w:hAnsi="Amiri" w:eastAsia="Amiri" w:cs="Amiri"/>
          <w:color w:val="111111"/>
          <w:sz w:val="28"/>
          <w:sz w:val="28"/>
          <w:szCs w:val="28"/>
          <w:rtl w:val="true"/>
          <w:lang w:bidi="ar-SA"/>
        </w:rPr>
        <w:t xml:space="preserve">العاداتُ بكَونِ </w:t>
      </w:r>
      <w:r>
        <w:rPr>
          <w:rStyle w:val="FootnoteAnchor"/>
          <w:rtl w:val="true"/>
        </w:rPr>
        <w:footnoteReference w:id="1685"/>
      </w:r>
      <w:r>
        <w:rPr>
          <w:rFonts w:ascii="Amiri" w:hAnsi="Amiri" w:eastAsia="Amiri" w:cs="Amiri"/>
          <w:color w:val="111111"/>
          <w:sz w:val="28"/>
          <w:sz w:val="28"/>
          <w:szCs w:val="28"/>
          <w:rtl w:val="true"/>
          <w:lang w:bidi="ar-SA"/>
        </w:rPr>
        <w:t>الإمامِ لُطفاً فيه، و فَصَلنا بَينَه و بَينَ غيرِه بما لا يَجِبُ القطعُ علىٰ مِثلِ ذلكَ فيه، و قُلنا في الاعتقاداتِ و ما يَرجِعُ إلىٰ أفعالِ القلوبِ كالنظَرِ و غيرِه أنّه لَيسَ بواجبٍ أن يَكونَ الإمامُ لُطفاً في وقوعِه</w:t>
      </w:r>
      <w:r>
        <w:rPr>
          <w:rStyle w:val="FootnoteAnchor"/>
          <w:rtl w:val="true"/>
        </w:rPr>
        <w:footnoteReference w:id="1686"/>
      </w:r>
      <w:r>
        <w:rPr>
          <w:rFonts w:ascii="Amiri" w:hAnsi="Amiri" w:eastAsia="Amiri" w:cs="Amiri"/>
          <w:color w:val="111111"/>
          <w:sz w:val="28"/>
          <w:sz w:val="28"/>
          <w:szCs w:val="28"/>
          <w:rtl w:val="true"/>
          <w:lang w:bidi="ar-SA"/>
        </w:rPr>
        <w:t>لأنّه غيرُ ممتَنِعٍ أن يَعلَمَ اللّٰهُ تَعالىٰ مِن حالِ المكلَّفينَ أنّهم يؤدّونَ الواجبَ عَلَيهم فيما عَدَّدناه مع فَقدِ الإمامِ ، و يَقومُ مَقامَ تنبيهِه لهم تنبيهُ غيرِه مِن خاطرٍ أو غيرِ خاطرٍ</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قَولُكَ‌</w:t>
      </w:r>
      <w:r>
        <w:rPr>
          <w:rStyle w:val="FootnoteAnchor"/>
          <w:rtl w:val="true"/>
        </w:rPr>
        <w:footnoteReference w:id="16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حالَ الكُلِّ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كذلكَ؛ لأنّ كُلَّ عاقلٍ يَعلَمُ ضَرورةً ما بَينَ‌</w:t>
      </w:r>
      <w:r>
        <w:rPr>
          <w:rStyle w:val="FootnoteAnchor"/>
          <w:rtl w:val="true"/>
        </w:rPr>
        <w:footnoteReference w:id="1689"/>
      </w:r>
      <w:r>
        <w:rPr>
          <w:rFonts w:ascii="Amiri" w:hAnsi="Amiri" w:eastAsia="Amiri" w:cs="Amiri"/>
          <w:color w:val="111111"/>
          <w:sz w:val="28"/>
          <w:sz w:val="28"/>
          <w:szCs w:val="28"/>
          <w:rtl w:val="true"/>
          <w:lang w:bidi="ar-SA"/>
        </w:rPr>
        <w:t>حالِ الرؤَساءِ و الأئمّةِ ؛ مِن</w:t>
      </w:r>
      <w:r>
        <w:rPr>
          <w:rStyle w:val="FootnoteAnchor"/>
          <w:rtl w:val="true"/>
        </w:rPr>
        <w:footnoteReference w:id="1690"/>
      </w:r>
      <w:r>
        <w:rPr>
          <w:rFonts w:ascii="Amiri" w:hAnsi="Amiri" w:eastAsia="Amiri" w:cs="Amiri"/>
          <w:color w:val="111111"/>
          <w:sz w:val="28"/>
          <w:sz w:val="28"/>
          <w:szCs w:val="28"/>
          <w:rtl w:val="true"/>
          <w:lang w:bidi="ar-SA"/>
        </w:rPr>
        <w:t xml:space="preserve">لُزومِ السَّدادِ، و طريقةِ العَدلِ و الإنصافِ ، و مُفارَقةِ الظُّلمِ و البغيِ و كثيرٍ مِن ضُروبِ الفَسادِ، و لَيسَ بمعلومٍ مِثلُ ذلكَ في كُلِّ الواجباتِ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حضورُ الحُجّةِ في كُلِّ وقتٍ و إثباتُ حُجَجٍ ، فقَد مضىٰ ما فيه مكرَّراً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bookmarkStart w:id="594" w:name="pg20044_770987"/>
    </w:p>
    <w:p>
      <w:pPr>
        <w:pStyle w:val="Heading5"/>
        <w:numPr>
          <w:ilvl w:val="4"/>
          <w:numId w:val="1"/>
        </w:numPr>
        <w:rPr/>
      </w:pPr>
      <w:bookmarkStart w:id="595" w:name="__RefHeading___Toc828692_2320776876"/>
      <w:bookmarkStart w:id="596" w:name="_Toc211"/>
      <w:bookmarkEnd w:id="594"/>
      <w:bookmarkEnd w:id="595"/>
      <w:r>
        <w:rPr>
          <w:rtl w:val="true"/>
        </w:rPr>
        <w:t>الفرق بين وجوب كون الإمام لطفاً في كلّ تكليف و جواز ذلك</w:t>
      </w:r>
      <w:bookmarkEnd w:id="596"/>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لا تَقطَعونَ علىٰ أنّ الإمامَ لَيسَ بلُطفٍ في كُلِّ الواجباتِ ، بل</w:t>
      </w:r>
    </w:p>
    <w:p>
      <w:pPr>
        <w:pStyle w:val="BookText"/>
        <w:rPr/>
      </w:pPr>
      <w:r>
        <w:rPr>
          <w:rFonts w:ascii="Amiri" w:hAnsi="Amiri" w:eastAsia="Amiri" w:cs="Amiri"/>
          <w:color w:val="111111"/>
          <w:sz w:val="28"/>
          <w:sz w:val="28"/>
          <w:szCs w:val="28"/>
          <w:rtl w:val="true"/>
          <w:lang w:bidi="ar-SA"/>
        </w:rPr>
        <w:t>تُجوِّزونَ كَونَه لُطفاً في جميعِها، و إنّما امتَنَعتم مِن القَطعِ علىٰ وجوبِ كَونِه لُطفاً في الجميعِ ، فقَد جازَ علىٰ ما صَرَّحتم به أن يَكونَ لُطفاً في الكُلِّ ؛ فكَيفَ الجوابُ مع هذا التجويزِ عمّا ألزَمناكُموه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الجوازِ يخالِفُ حُكمَ الوجوبِ في هذا المَوضعِ ؛ لأنّ الوجوبَ يَقتَضي إثباتَ ما لا نِهايةَ له مِن الحُجَجِ ، و الجوازُ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بَينَ الجوازِ و الوجوبِ الفَرقَ الذي ذَكَرتُموه، غيرَ أنّه إذا كانَ جائزاً أن يَكونَ </w:t>
      </w:r>
      <w:r>
        <w:rPr>
          <w:rStyle w:val="FootnoteAnchor"/>
          <w:rtl w:val="true"/>
        </w:rPr>
        <w:footnoteReference w:id="1692"/>
      </w:r>
      <w:r>
        <w:rPr>
          <w:rFonts w:ascii="Amiri" w:hAnsi="Amiri" w:eastAsia="Amiri" w:cs="Amiri"/>
          <w:color w:val="111111"/>
          <w:sz w:val="28"/>
          <w:sz w:val="28"/>
          <w:szCs w:val="28"/>
          <w:rtl w:val="true"/>
          <w:lang w:bidi="ar-SA"/>
        </w:rPr>
        <w:t>الإمامةُ لُطفاً في كُلِّ واجبٍ و معرفةٍ بإمامٍ و غيرِه و علىٰ كُلِّ وجهٍ ، فلَو عَلِمَ اللّٰهُ تَعالىٰ هذا الجائزَ، ما الذي كانَ يَجِبُ علىٰ قَولِكم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ما ذَكَرتَه لَم يَحسُنْ تكليفُنا؛ لتَعلُّقِه بوجودِ ما لا نِهايةَ له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إذا كلَّفَنا فِعلَ‌</w:t>
      </w:r>
      <w:r>
        <w:rPr>
          <w:rStyle w:val="FootnoteAnchor"/>
          <w:rtl w:val="true"/>
        </w:rPr>
        <w:footnoteReference w:id="1693"/>
      </w:r>
      <w:r>
        <w:rPr>
          <w:rFonts w:ascii="Amiri" w:hAnsi="Amiri" w:eastAsia="Amiri" w:cs="Amiri"/>
          <w:color w:val="111111"/>
          <w:sz w:val="28"/>
          <w:sz w:val="28"/>
          <w:szCs w:val="28"/>
          <w:rtl w:val="true"/>
          <w:lang w:bidi="ar-SA"/>
        </w:rPr>
        <w:t>الواجباتِ و الامتناعَ عن المُقبَّحاتِ ، و كُنّا</w:t>
      </w:r>
      <w:r>
        <w:rPr>
          <w:rStyle w:val="FootnoteAnchor"/>
          <w:rtl w:val="true"/>
        </w:rPr>
        <w:footnoteReference w:id="1694"/>
      </w:r>
      <w:r>
        <w:rPr>
          <w:rFonts w:ascii="Amiri" w:hAnsi="Amiri" w:eastAsia="Amiri" w:cs="Amiri"/>
          <w:color w:val="111111"/>
          <w:sz w:val="28"/>
          <w:sz w:val="28"/>
          <w:szCs w:val="28"/>
          <w:rtl w:val="true"/>
          <w:lang w:bidi="ar-SA"/>
        </w:rPr>
        <w:t xml:space="preserve">عالِمينَ بأنّ الإمامةَ لُطفٌ في فِعلِ كثيرٍ ممّا وَجَبَ </w:t>
      </w:r>
      <w:r>
        <w:rPr>
          <w:rStyle w:val="FootnoteAnchor"/>
          <w:rtl w:val="true"/>
        </w:rPr>
        <w:footnoteReference w:id="1695"/>
      </w:r>
      <w:r>
        <w:rPr>
          <w:rFonts w:ascii="Amiri" w:hAnsi="Amiri" w:eastAsia="Amiri" w:cs="Amiri"/>
          <w:color w:val="111111"/>
          <w:sz w:val="28"/>
          <w:sz w:val="28"/>
          <w:szCs w:val="28"/>
          <w:rtl w:val="true"/>
          <w:lang w:bidi="ar-SA"/>
        </w:rPr>
        <w:t xml:space="preserve">عَلَينا و الامتناعِ مِن كثيرٍ ممّا كُرِهَ منّا، فلَو عَلِمَ تَعالىٰ أنّ معرفتَنا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إقامتِه</w:t>
      </w:r>
      <w:r>
        <w:rPr>
          <w:rStyle w:val="FootnoteAnchor"/>
          <w:rtl w:val="true"/>
        </w:rPr>
        <w:footnoteReference w:id="1696"/>
      </w:r>
      <w:r>
        <w:rPr>
          <w:rFonts w:ascii="Amiri" w:hAnsi="Amiri" w:eastAsia="Amiri" w:cs="Amiri"/>
          <w:color w:val="111111"/>
          <w:sz w:val="28"/>
          <w:sz w:val="28"/>
          <w:szCs w:val="28"/>
          <w:rtl w:val="true"/>
          <w:lang w:bidi="ar-SA"/>
        </w:rPr>
        <w:t xml:space="preserve">لُطفٌ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مَعنَى اللُّطفِ إلىٰ مِثلِ ما احتاجَت إليه الأفعالُ التي ذَكَرناها، حتّىٰ يكونَ وجودُ إمامٍ آخَرَ لُطفاً فيها كما كانَت هي لُطفاً في غيرِها، و كانَ </w:t>
      </w:r>
      <w:r>
        <w:rPr>
          <w:rStyle w:val="FootnoteAnchor"/>
          <w:rtl w:val="true"/>
        </w:rPr>
        <w:footnoteReference w:id="1697"/>
      </w:r>
      <w:r>
        <w:rPr>
          <w:rFonts w:ascii="Amiri" w:hAnsi="Amiri" w:eastAsia="Amiri" w:cs="Amiri"/>
          <w:color w:val="111111"/>
          <w:sz w:val="28"/>
          <w:sz w:val="28"/>
          <w:szCs w:val="28"/>
          <w:rtl w:val="true"/>
          <w:lang w:bidi="ar-SA"/>
        </w:rPr>
        <w:t xml:space="preserve">القَولُ </w:t>
      </w:r>
      <w:bookmarkStart w:id="597" w:name="pg20044_770988"/>
    </w:p>
    <w:p>
      <w:pPr>
        <w:pStyle w:val="BookText"/>
        <w:rPr/>
      </w:pPr>
      <w:bookmarkEnd w:id="597"/>
      <w:r>
        <w:rPr>
          <w:rFonts w:ascii="Amiri" w:hAnsi="Amiri" w:eastAsia="Amiri" w:cs="Amiri"/>
          <w:color w:val="111111"/>
          <w:sz w:val="28"/>
          <w:sz w:val="28"/>
          <w:szCs w:val="28"/>
          <w:rtl w:val="true"/>
          <w:lang w:bidi="ar-SA"/>
        </w:rPr>
        <w:t>في ذلكَ الإمامِ كالقَولِ في هذا، لَاتَّصَلَ لُطفُنا</w:t>
      </w:r>
      <w:r>
        <w:rPr>
          <w:rStyle w:val="FootnoteAnchor"/>
          <w:rtl w:val="true"/>
        </w:rPr>
        <w:footnoteReference w:id="1698"/>
      </w:r>
      <w:r>
        <w:rPr>
          <w:rFonts w:ascii="Amiri" w:hAnsi="Amiri" w:eastAsia="Amiri" w:cs="Amiri"/>
          <w:color w:val="111111"/>
          <w:sz w:val="28"/>
          <w:sz w:val="28"/>
          <w:szCs w:val="28"/>
          <w:rtl w:val="true"/>
          <w:lang w:bidi="ar-SA"/>
        </w:rPr>
        <w:t>بما لا نِهايةَ له، و لَو كانَ ما قَدَّرناه في المعلومِ‌</w:t>
      </w:r>
      <w:r>
        <w:rPr>
          <w:rStyle w:val="FootnoteAnchor"/>
          <w:rtl w:val="true"/>
        </w:rPr>
        <w:footnoteReference w:id="1699"/>
      </w:r>
      <w:r>
        <w:rPr>
          <w:rFonts w:ascii="Amiri" w:hAnsi="Amiri" w:eastAsia="Amiri" w:cs="Amiri"/>
          <w:color w:val="111111"/>
          <w:sz w:val="28"/>
          <w:sz w:val="28"/>
          <w:szCs w:val="28"/>
          <w:rtl w:val="true"/>
          <w:lang w:bidi="ar-SA"/>
        </w:rPr>
        <w:t>لَقَبُحَ تكليفُنا بما</w:t>
      </w:r>
      <w:r>
        <w:rPr>
          <w:rStyle w:val="FootnoteAnchor"/>
          <w:rtl w:val="true"/>
        </w:rPr>
        <w:footnoteReference w:id="1700"/>
      </w:r>
      <w:r>
        <w:rPr>
          <w:rFonts w:ascii="Amiri" w:hAnsi="Amiri" w:eastAsia="Amiri" w:cs="Amiri"/>
          <w:color w:val="111111"/>
          <w:sz w:val="28"/>
          <w:sz w:val="28"/>
          <w:szCs w:val="28"/>
          <w:rtl w:val="true"/>
          <w:lang w:bidi="ar-SA"/>
        </w:rPr>
        <w:t>وجودُ الإمامِ لُطفٌ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عِلمِنا بأنّنا مكلَّفونَ بذلكَ‌</w:t>
      </w:r>
      <w:r>
        <w:rPr>
          <w:rStyle w:val="FootnoteAnchor"/>
          <w:rtl w:val="true"/>
        </w:rPr>
        <w:footnoteReference w:id="1701"/>
      </w:r>
      <w:r>
        <w:rPr>
          <w:rFonts w:ascii="Amiri" w:hAnsi="Amiri" w:eastAsia="Amiri" w:cs="Amiri"/>
          <w:color w:val="111111"/>
          <w:sz w:val="28"/>
          <w:sz w:val="28"/>
          <w:szCs w:val="28"/>
          <w:rtl w:val="true"/>
          <w:lang w:bidi="ar-SA"/>
        </w:rPr>
        <w:t xml:space="preserve">دَلالةٌ علىٰ أنّ التقديرَ الذي قَدَّرناه لَيسَ في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العُمدةُ هي الفَصلُ بَينَ الوجوبِ و الجوازِ؛ لأنّ الوجوبَ مع ثُبوتِ التكليفِ يَقتَضي وجودَ ما لا نِهايةَ له، و الجوازَ لا يَقتَضي ذلكَ ؛ بل يكونُ ثبوتُ التكليفِ مُؤمِّناً مِن أن يَكونَ في المعلومِ ما يَقتَضي فِعلَ ما لا يَتَناهىٰ ، و ما كانَ مِنه يَنتَهي إلىٰ حَدٍّ فهو مجوَّزٌ؛ لأنّ ثبوتَ التكليفِ لا يُنافيه، و إنّما يُنافي ما لا يَتَناهىٰ </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828694_2320776876"/>
      <w:bookmarkStart w:id="599" w:name="_Toc212"/>
      <w:bookmarkEnd w:id="598"/>
      <w:r>
        <w:rPr>
          <w:rtl w:val="true"/>
        </w:rPr>
        <w:t>هل يوجِبُ اللُّطفُ في الإمامةِ كَونَ الناسِ مُلجَئينَ إلَى الطاعةِ؟</w:t>
      </w:r>
      <w:bookmarkEnd w:id="599"/>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ذَكَرتموه يوجِبُ أنّ الإمامَ لُطفٌ فيما يُخافُ فيه مِن أدبِه و عِقابِه، و هذا يوجِبُ أنّ الناسَ عندَ وجودِ الإمامِ كالمُلجَئينَ إلىٰ فِعلِ الواجبِ و الامتناعِ مِن القبيحِ ، فلا يَستَحِقّونَ ثَواباً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يَبلُغُ خَوفُ الناسِ مِن أَدَبِ‌</w:t>
      </w:r>
      <w:r>
        <w:rPr>
          <w:rStyle w:val="FootnoteAnchor"/>
          <w:rtl w:val="true"/>
        </w:rPr>
        <w:footnoteReference w:id="1702"/>
      </w:r>
      <w:r>
        <w:rPr>
          <w:rFonts w:ascii="Amiri" w:hAnsi="Amiri" w:eastAsia="Amiri" w:cs="Amiri"/>
          <w:color w:val="111111"/>
          <w:sz w:val="28"/>
          <w:sz w:val="28"/>
          <w:szCs w:val="28"/>
          <w:rtl w:val="true"/>
          <w:lang w:bidi="ar-SA"/>
        </w:rPr>
        <w:t>الإمامِ و رَهبَتُهم له إلىٰ حَدِّ الإلجاءِ ؛ لأنّا نَرىٰ بَعضَهم قد يواقِعُ القَبيحَ مع وجودِ الأئمّةِ و انبساطِ أيديهِم و قوّةِ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لأنّا نَجِدُ مَن يَمتَنِعُ مِنه</w:t>
      </w:r>
      <w:r>
        <w:rPr>
          <w:rStyle w:val="FootnoteAnchor"/>
          <w:rtl w:val="true"/>
        </w:rPr>
        <w:footnoteReference w:id="1703"/>
      </w:r>
      <w:r>
        <w:rPr>
          <w:rFonts w:ascii="Amiri" w:hAnsi="Amiri" w:eastAsia="Amiri" w:cs="Amiri"/>
          <w:color w:val="111111"/>
          <w:sz w:val="28"/>
          <w:sz w:val="28"/>
          <w:szCs w:val="28"/>
          <w:rtl w:val="true"/>
          <w:lang w:bidi="ar-SA"/>
        </w:rPr>
        <w:t xml:space="preserve">في حالِ وجودِ الأئمّةِ يَستَحِقُّ المَدحَ ، و لَيسَ يَجوزُ أن يُستَحَقَّ المَدحُ فيما الإنسانُ </w:t>
      </w:r>
      <w:r>
        <w:rPr>
          <w:rStyle w:val="FootnoteAnchor"/>
          <w:rtl w:val="true"/>
        </w:rPr>
        <w:footnoteReference w:id="1704"/>
      </w:r>
      <w:r>
        <w:rPr>
          <w:rFonts w:ascii="Amiri" w:hAnsi="Amiri" w:eastAsia="Amiri" w:cs="Amiri"/>
          <w:color w:val="111111"/>
          <w:sz w:val="28"/>
          <w:sz w:val="28"/>
          <w:szCs w:val="28"/>
          <w:rtl w:val="true"/>
          <w:lang w:bidi="ar-SA"/>
        </w:rPr>
        <w:t>مُلجأٌ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لَزِمَنا في هذا المَوضعِ أن يَكونَ المكلَّفونَ مُلجَئينَ إلىٰ فِعلِ الواجبِ لأجلِ الخوفِ مِن الإمامِ، لَلَزِمَكَ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المعرفةَ باستحقاقِ العقابِ لُطفٌ في التكليفِ ، و إنّ المكلَّفينَ لا بُدَّ أن يَكونوا عندَ هذه المعرفةِ أقرَبَ إلَى اجتنابِ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مُلجَئينَ و غيرَ مُستَحِقّينَ للثوابِ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يَمتَنِعُ أن يَترُكَ المكلَّفونَ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المعرفةِ باستحقاقِ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لقُبحِه، و يَكونَ </w:t>
      </w:r>
      <w:r>
        <w:rPr>
          <w:rStyle w:val="FootnoteAnchor"/>
          <w:rtl w:val="true"/>
        </w:rPr>
        <w:footnoteReference w:id="1706"/>
      </w:r>
      <w:r>
        <w:rPr>
          <w:rFonts w:ascii="Amiri" w:hAnsi="Amiri" w:eastAsia="Amiri" w:cs="Amiri"/>
          <w:color w:val="111111"/>
          <w:sz w:val="28"/>
          <w:sz w:val="28"/>
          <w:szCs w:val="28"/>
          <w:rtl w:val="true"/>
          <w:lang w:bidi="ar-SA"/>
        </w:rPr>
        <w:t xml:space="preserve">هذه المعرفةُ داعيةً لهم إلىٰ ذلكَ </w:t>
      </w:r>
      <w:r>
        <w:rPr>
          <w:rFonts w:eastAsia="Amiri" w:cs="Amiri" w:ascii="Amiri" w:hAnsi="Amiri"/>
          <w:color w:val="111111"/>
          <w:sz w:val="28"/>
          <w:szCs w:val="28"/>
          <w:rtl w:val="true"/>
          <w:lang w:bidi="ar-SA"/>
        </w:rPr>
        <w:t>.</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لَيسَ يَمتَنِعُ أن يَترُكَ الناسُ القَبائحَ </w:t>
      </w:r>
      <w:r>
        <w:rPr>
          <w:rStyle w:val="FootnoteAnchor"/>
          <w:rtl w:val="true"/>
        </w:rPr>
        <w:footnoteReference w:id="1708"/>
      </w:r>
      <w:r>
        <w:rPr>
          <w:rFonts w:ascii="Amiri" w:hAnsi="Amiri" w:eastAsia="Amiri" w:cs="Amiri"/>
          <w:color w:val="111111"/>
          <w:sz w:val="28"/>
          <w:sz w:val="28"/>
          <w:szCs w:val="28"/>
          <w:rtl w:val="true"/>
          <w:lang w:bidi="ar-SA"/>
        </w:rPr>
        <w:t>عندَ وجودِ الأئمّةِ و انبساطِ أيديهِم</w:t>
      </w:r>
      <w:r>
        <w:rPr>
          <w:rStyle w:val="FootnoteAnchor"/>
          <w:rtl w:val="true"/>
        </w:rPr>
        <w:footnoteReference w:id="1709"/>
      </w:r>
      <w:r>
        <w:rPr>
          <w:rFonts w:ascii="Amiri" w:hAnsi="Amiri" w:eastAsia="Amiri" w:cs="Amiri"/>
          <w:color w:val="111111"/>
          <w:sz w:val="28"/>
          <w:sz w:val="28"/>
          <w:szCs w:val="28"/>
          <w:rtl w:val="true"/>
          <w:lang w:bidi="ar-SA"/>
        </w:rPr>
        <w:t>للوجهِ الذي وَجَبَ عَلَيهم تَركُها مِنه، و يَكونَ وجودُ الأئمّةِ داعياً و مُسهِّلاً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ذلكَ </w:t>
      </w:r>
      <w:r>
        <w:rPr>
          <w:rStyle w:val="FootnoteAnchor"/>
          <w:rtl w:val="true"/>
        </w:rPr>
        <w:footnoteReference w:id="1710"/>
      </w:r>
      <w:r>
        <w:rPr>
          <w:rFonts w:ascii="Amiri" w:hAnsi="Amiri" w:eastAsia="Amiri" w:cs="Amiri"/>
          <w:color w:val="111111"/>
          <w:sz w:val="28"/>
          <w:sz w:val="28"/>
          <w:szCs w:val="28"/>
          <w:rtl w:val="true"/>
          <w:lang w:bidi="ar-SA"/>
        </w:rPr>
        <w:t xml:space="preserve">يوجِبُ جوازَ أن لا يَكونَ لُطفاً في البَعضِ الذي ذَكَروه، و في ذلكَ الاستغناءُ عن الحُجّةِ في بعضِ المكلَّفينَ و في بعضِ الأعصارِ،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أوجَبَ ذلكَ أوجَبَ جوازَ الاستغناءِ عنه في كُلِّ زمانٍ </w:t>
      </w:r>
      <w:r>
        <w:rPr>
          <w:rFonts w:eastAsia="Amiri" w:cs="Amiri" w:ascii="Amiri" w:hAnsi="Amiri"/>
          <w:color w:val="111111"/>
          <w:sz w:val="28"/>
          <w:szCs w:val="28"/>
          <w:rtl w:val="true"/>
          <w:lang w:bidi="ar-SA"/>
        </w:rPr>
        <w:t>].</w:t>
      </w:r>
      <w:r>
        <w:rPr>
          <w:rStyle w:val="FootnoteAnchor"/>
          <w:rtl w:val="true"/>
        </w:rPr>
        <w:footnoteReference w:id="171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يُبطِلُ قَولَكَ ما قَدَّمناه مِن الدلالةِ علىٰ كَونِ الإمامِ لُطفاً في أحَدِ </w:t>
      </w:r>
      <w:bookmarkStart w:id="600" w:name="pg20044_770990"/>
    </w:p>
    <w:p>
      <w:pPr>
        <w:pStyle w:val="BookText"/>
        <w:rPr/>
      </w:pPr>
      <w:bookmarkEnd w:id="600"/>
      <w:r>
        <w:rPr>
          <w:rFonts w:ascii="Amiri" w:hAnsi="Amiri" w:eastAsia="Amiri" w:cs="Amiri"/>
          <w:color w:val="111111"/>
          <w:sz w:val="28"/>
          <w:sz w:val="28"/>
          <w:szCs w:val="28"/>
          <w:rtl w:val="true"/>
          <w:lang w:bidi="ar-SA"/>
        </w:rPr>
        <w:t>الأمرَينِ‌</w:t>
      </w:r>
      <w:r>
        <w:rPr>
          <w:rStyle w:val="FootnoteAnchor"/>
          <w:rtl w:val="true"/>
        </w:rPr>
        <w:footnoteReference w:id="1712"/>
      </w:r>
      <w:r>
        <w:rPr>
          <w:rFonts w:ascii="Amiri" w:hAnsi="Amiri" w:eastAsia="Amiri" w:cs="Amiri"/>
          <w:color w:val="111111"/>
          <w:sz w:val="28"/>
          <w:sz w:val="28"/>
          <w:szCs w:val="28"/>
          <w:rtl w:val="true"/>
          <w:lang w:bidi="ar-SA"/>
        </w:rPr>
        <w:t>، و أنّه لا وَجهَ يُقطَعُ مِنه علىٰ‌</w:t>
      </w:r>
      <w:r>
        <w:rPr>
          <w:rStyle w:val="FootnoteAnchor"/>
          <w:rtl w:val="true"/>
        </w:rPr>
        <w:footnoteReference w:id="1713"/>
      </w:r>
      <w:r>
        <w:rPr>
          <w:rFonts w:ascii="Amiri" w:hAnsi="Amiri" w:eastAsia="Amiri" w:cs="Amiri"/>
          <w:color w:val="111111"/>
          <w:sz w:val="28"/>
          <w:sz w:val="28"/>
          <w:szCs w:val="28"/>
          <w:rtl w:val="true"/>
          <w:lang w:bidi="ar-SA"/>
        </w:rPr>
        <w:t>كَونِه لُطفاً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إذا لَم يَكُن لُطفاً في شيءٍ أن لا يَكونَ لُطفاً في غيرِه</w:t>
      </w:r>
      <w:r>
        <w:rPr>
          <w:rStyle w:val="FootnoteAnchor"/>
          <w:rtl w:val="true"/>
        </w:rPr>
        <w:footnoteReference w:id="1714"/>
      </w:r>
      <w:r>
        <w:rPr>
          <w:rFonts w:ascii="Amiri" w:hAnsi="Amiri" w:eastAsia="Amiri" w:cs="Amiri"/>
          <w:color w:val="111111"/>
          <w:sz w:val="28"/>
          <w:sz w:val="28"/>
          <w:szCs w:val="28"/>
          <w:rtl w:val="true"/>
          <w:lang w:bidi="ar-SA"/>
        </w:rPr>
        <w:t>لأنّ هذا لَو وَجَبَ لَلَزِمَكَ إخراجُ كثيرٍ مِن الألطافِ عن كَونِها لُطفاً؛</w:t>
      </w:r>
      <w:r>
        <w:rPr>
          <w:rStyle w:val="FootnoteAnchor"/>
          <w:rtl w:val="true"/>
        </w:rPr>
        <w:footnoteReference w:id="1715"/>
      </w:r>
      <w:r>
        <w:rPr>
          <w:rFonts w:ascii="Amiri" w:hAnsi="Amiri" w:eastAsia="Amiri" w:cs="Amiri"/>
          <w:color w:val="111111"/>
          <w:sz w:val="28"/>
          <w:sz w:val="28"/>
          <w:szCs w:val="28"/>
          <w:rtl w:val="true"/>
          <w:lang w:bidi="ar-SA"/>
        </w:rPr>
        <w:t>لأنّه لَو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أتَقطَعُ علىٰ أنّ الصلاةَ لُطفٌ في كُلِّ تكليفٍ؟ لَم يُمكِنكَ ادّعاءُ ذلكَ فيها؛ لأنّكَ إنِ ادَّعَيتَه طولِبتَ بالبُرهانِ، و لا بُرهانَ يُقطَعُ به علىٰ عمومِ كَونِها لُطفاً في جميعِ‌</w:t>
      </w:r>
      <w:r>
        <w:rPr>
          <w:rStyle w:val="FootnoteAnchor"/>
          <w:rtl w:val="true"/>
        </w:rPr>
        <w:footnoteReference w:id="1716"/>
      </w:r>
      <w:r>
        <w:rPr>
          <w:rFonts w:ascii="Amiri" w:hAnsi="Amiri" w:eastAsia="Amiri" w:cs="Amiri"/>
          <w:color w:val="111111"/>
          <w:sz w:val="28"/>
          <w:sz w:val="28"/>
          <w:szCs w:val="28"/>
          <w:rtl w:val="true"/>
          <w:lang w:bidi="ar-SA"/>
        </w:rPr>
        <w:t>التكاليفِ، و إذا جوَّزتَ اختصاصَها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أن يَكونَ جوازُ أن لا يَكونَ‌</w:t>
      </w:r>
      <w:r>
        <w:rPr>
          <w:rStyle w:val="FootnoteAnchor"/>
          <w:rtl w:val="true"/>
        </w:rPr>
        <w:footnoteReference w:id="1717"/>
      </w:r>
      <w:r>
        <w:rPr>
          <w:rFonts w:ascii="Amiri" w:hAnsi="Amiri" w:eastAsia="Amiri" w:cs="Amiri"/>
          <w:color w:val="111111"/>
          <w:sz w:val="28"/>
          <w:sz w:val="28"/>
          <w:szCs w:val="28"/>
          <w:rtl w:val="true"/>
          <w:lang w:bidi="ar-SA"/>
        </w:rPr>
        <w:t xml:space="preserve">لُطفاً في بعضِ التكاليفِ كجوازِ ذلكَ في الكُلِّ؟ فوَجَبَ </w:t>
      </w:r>
      <w:r>
        <w:rPr>
          <w:rStyle w:val="FootnoteAnchor"/>
          <w:rtl w:val="true"/>
        </w:rPr>
        <w:footnoteReference w:id="1718"/>
      </w:r>
      <w:r>
        <w:rPr>
          <w:rFonts w:ascii="Amiri" w:hAnsi="Amiri" w:eastAsia="Amiri" w:cs="Amiri"/>
          <w:color w:val="111111"/>
          <w:sz w:val="28"/>
          <w:sz w:val="28"/>
          <w:szCs w:val="28"/>
          <w:rtl w:val="true"/>
          <w:lang w:bidi="ar-SA"/>
        </w:rPr>
        <w:t>أن تُخرِجَها</w:t>
      </w:r>
      <w:r>
        <w:rPr>
          <w:rStyle w:val="FootnoteAnchor"/>
          <w:rtl w:val="true"/>
        </w:rPr>
        <w:footnoteReference w:id="1719"/>
      </w:r>
      <w:r>
        <w:rPr>
          <w:rFonts w:ascii="Amiri" w:hAnsi="Amiri" w:eastAsia="Amiri" w:cs="Amiri"/>
          <w:color w:val="111111"/>
          <w:sz w:val="28"/>
          <w:sz w:val="28"/>
          <w:szCs w:val="28"/>
          <w:rtl w:val="true"/>
          <w:lang w:bidi="ar-SA"/>
        </w:rPr>
        <w:t>مِن أن تَكونَ لُطفاً جُملةً ، و هذا إذا أُلزِمتَه</w:t>
      </w:r>
      <w:r>
        <w:rPr>
          <w:rStyle w:val="FootnoteAnchor"/>
          <w:rtl w:val="true"/>
        </w:rPr>
        <w:footnoteReference w:id="1720"/>
      </w:r>
      <w:r>
        <w:rPr>
          <w:rFonts w:ascii="Amiri" w:hAnsi="Amiri" w:eastAsia="Amiri" w:cs="Amiri"/>
          <w:color w:val="111111"/>
          <w:sz w:val="28"/>
          <w:sz w:val="28"/>
          <w:szCs w:val="28"/>
          <w:rtl w:val="true"/>
          <w:lang w:bidi="ar-SA"/>
        </w:rPr>
        <w:t xml:space="preserve">لَم يَكُن جوابُكَ عنه إلّامِثلَ </w:t>
      </w:r>
      <w:r>
        <w:rPr>
          <w:rStyle w:val="FootnoteAnchor"/>
          <w:rtl w:val="true"/>
        </w:rPr>
        <w:footnoteReference w:id="1721"/>
      </w:r>
      <w:r>
        <w:rPr>
          <w:rFonts w:ascii="Amiri" w:hAnsi="Amiri" w:eastAsia="Amiri" w:cs="Amiri"/>
          <w:color w:val="111111"/>
          <w:sz w:val="28"/>
          <w:sz w:val="28"/>
          <w:szCs w:val="28"/>
          <w:rtl w:val="true"/>
          <w:lang w:bidi="ar-SA"/>
        </w:rPr>
        <w:t>جوابِنا لكَ ؛ فتأمَّلْه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828696_2320776876"/>
      <w:bookmarkStart w:id="602" w:name="_Toc213"/>
      <w:bookmarkEnd w:id="601"/>
      <w:r>
        <w:rPr>
          <w:rtl w:val="true"/>
        </w:rPr>
        <w:t>عدم قيام غير الإمام مقامه فيما هو لطف فيه</w:t>
      </w:r>
      <w:bookmarkEnd w:id="60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اللُّطفَ في ذلكَ لا يَجوزُ أن يَكونَ وجودَ عَينِ </w:t>
      </w:r>
      <w:r>
        <w:rPr>
          <w:rStyle w:val="FootnoteAnchor"/>
          <w:rtl w:val="true"/>
        </w:rPr>
        <w:footnoteReference w:id="1722"/>
      </w:r>
      <w:r>
        <w:rPr>
          <w:rFonts w:ascii="Amiri" w:hAnsi="Amiri" w:eastAsia="Amiri" w:cs="Amiri"/>
          <w:color w:val="111111"/>
          <w:sz w:val="28"/>
          <w:sz w:val="28"/>
          <w:szCs w:val="28"/>
          <w:rtl w:val="true"/>
          <w:lang w:bidi="ar-SA"/>
        </w:rPr>
        <w:t xml:space="preserve">الإمامِ ، </w:t>
      </w:r>
      <w:bookmarkStart w:id="603" w:name="pg20044_770991"/>
    </w:p>
    <w:p>
      <w:pPr>
        <w:pStyle w:val="BookText"/>
        <w:rPr/>
      </w:pPr>
      <w:bookmarkEnd w:id="603"/>
      <w:r>
        <w:rPr>
          <w:rFonts w:ascii="Amiri" w:hAnsi="Amiri" w:eastAsia="Amiri" w:cs="Amiri"/>
          <w:color w:val="111111"/>
          <w:sz w:val="28"/>
          <w:sz w:val="28"/>
          <w:szCs w:val="28"/>
          <w:rtl w:val="true"/>
          <w:lang w:bidi="ar-SA"/>
        </w:rPr>
        <w:t>و إنّما هو بيانُه و ما يَكونُ مِن قِبَلِه، فيَجِبُ أن يَقومَ بيانُ غيرِه مَقامَ بيانِه، و تنبيهُ العلماءِ يَقومُ مَقامَ تنبيهِه</w:t>
      </w:r>
      <w:r>
        <w:rPr>
          <w:rFonts w:eastAsia="Amiri" w:cs="Amiri" w:ascii="Amiri" w:hAnsi="Amiri"/>
          <w:color w:val="111111"/>
          <w:sz w:val="28"/>
          <w:szCs w:val="28"/>
          <w:rtl w:val="true"/>
          <w:lang w:bidi="ar-SA"/>
        </w:rPr>
        <w:t>....</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بيانَ غيرِه مِن العلماءِ و تنبيهَه يَقومُ مَقامَ بيانِ الإمامِ و تنبيهِه فيما دَلَّلنا علىٰ أنّ وجودَ الإمامِ لُطفٌ فيه مِن الأفعالِ ، فلا؛ لأنّ العقلاءَ يَعلَمونَ أنّ غيرَ الرؤَساءِ و الأئمّةِ لا يَقومونَ في هذا الوجهِ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به</w:t>
      </w:r>
      <w:r>
        <w:rPr>
          <w:rStyle w:val="FootnoteAnchor"/>
          <w:rtl w:val="true"/>
        </w:rPr>
        <w:footnoteReference w:id="1724"/>
      </w:r>
      <w:r>
        <w:rPr>
          <w:rFonts w:ascii="Amiri" w:hAnsi="Amiri" w:eastAsia="Amiri" w:cs="Amiri"/>
          <w:color w:val="111111"/>
          <w:sz w:val="28"/>
          <w:sz w:val="28"/>
          <w:szCs w:val="28"/>
          <w:rtl w:val="true"/>
          <w:lang w:bidi="ar-SA"/>
        </w:rPr>
        <w:t>غيرَ ذلكَ مِن الاعتقاداتِ و التنبيهِ علَى النظَرِ و الاستدلالِ ، فما</w:t>
      </w:r>
      <w:r>
        <w:rPr>
          <w:rStyle w:val="FootnoteAnchor"/>
          <w:rtl w:val="true"/>
        </w:rPr>
        <w:footnoteReference w:id="1725"/>
      </w:r>
      <w:r>
        <w:rPr>
          <w:rFonts w:ascii="Amiri" w:hAnsi="Amiri" w:eastAsia="Amiri" w:cs="Amiri"/>
          <w:color w:val="111111"/>
          <w:sz w:val="28"/>
          <w:sz w:val="28"/>
          <w:szCs w:val="28"/>
          <w:rtl w:val="true"/>
          <w:lang w:bidi="ar-SA"/>
        </w:rPr>
        <w:t>ذَكَرتَه جائزٌ، إلّاأنّه لَيسَ بقادحٍ في طريقتِنا</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828698_2320776876"/>
      <w:bookmarkStart w:id="605" w:name="_Toc214"/>
      <w:bookmarkEnd w:id="604"/>
      <w:r>
        <w:rPr>
          <w:rtl w:val="true"/>
        </w:rPr>
        <w:t>عدم استغناء المكلّفين عن الإمام فيما هو لطف فيه</w:t>
      </w:r>
      <w:bookmarkEnd w:id="60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الحُجّةِ إذا استَغنىٰ في قيامِه بما كُلِّفَ عن</w:t>
      </w:r>
      <w:r>
        <w:rPr>
          <w:rStyle w:val="FootnoteAnchor"/>
          <w:rtl w:val="true"/>
        </w:rPr>
        <w:footnoteReference w:id="1726"/>
      </w:r>
      <w:r>
        <w:rPr>
          <w:rFonts w:ascii="Amiri" w:hAnsi="Amiri" w:eastAsia="Amiri" w:cs="Amiri"/>
          <w:color w:val="111111"/>
          <w:sz w:val="28"/>
          <w:sz w:val="28"/>
          <w:szCs w:val="28"/>
          <w:rtl w:val="true"/>
          <w:lang w:bidi="ar-SA"/>
        </w:rPr>
        <w:t>حُجّةٍ</w:t>
      </w:r>
    </w:p>
    <w:p>
      <w:pPr>
        <w:pStyle w:val="BookText"/>
        <w:rPr/>
      </w:pPr>
      <w:r>
        <w:rPr>
          <w:rFonts w:ascii="Amiri" w:hAnsi="Amiri" w:eastAsia="Amiri" w:cs="Amiri"/>
          <w:color w:val="111111"/>
          <w:sz w:val="28"/>
          <w:sz w:val="28"/>
          <w:szCs w:val="28"/>
          <w:rtl w:val="true"/>
          <w:lang w:bidi="ar-SA"/>
        </w:rPr>
        <w:t>أُخرىٰ ،</w:t>
      </w:r>
      <w:r>
        <w:rPr>
          <w:rStyle w:val="FootnoteAnchor"/>
          <w:rtl w:val="true"/>
        </w:rPr>
        <w:footnoteReference w:id="1727"/>
      </w:r>
      <w:r>
        <w:rPr>
          <w:rFonts w:ascii="Amiri" w:hAnsi="Amiri" w:eastAsia="Amiri" w:cs="Amiri"/>
          <w:color w:val="111111"/>
          <w:sz w:val="28"/>
          <w:sz w:val="28"/>
          <w:szCs w:val="28"/>
          <w:rtl w:val="true"/>
          <w:lang w:bidi="ar-SA"/>
        </w:rPr>
        <w:t>فما الذي يَمنَعُ مِن مِثلِه في المكلَّفينَ؟</w:t>
      </w:r>
      <w:r>
        <w:rPr>
          <w:rFonts w:eastAsia="Amiri" w:cs="Amiri" w:ascii="Amiri" w:hAnsi="Amiri"/>
          <w:color w:val="111111"/>
          <w:sz w:val="28"/>
          <w:szCs w:val="28"/>
          <w:rtl w:val="true"/>
          <w:lang w:bidi="ar-SA"/>
        </w:rPr>
        <w:t>....</w:t>
      </w:r>
      <w:r>
        <w:rPr>
          <w:rStyle w:val="FootnoteAnchor"/>
          <w:rtl w:val="true"/>
        </w:rPr>
        <w:footnoteReference w:id="172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في الحُجّةِ الاستغناءُ عن حُجّةٍ آخَرَ</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لُطفاً له </w:t>
      </w:r>
    </w:p>
    <w:p>
      <w:pPr>
        <w:pStyle w:val="BookText"/>
        <w:rPr/>
      </w:pPr>
      <w:r>
        <w:rPr>
          <w:rFonts w:ascii="Amiri" w:hAnsi="Amiri" w:eastAsia="Amiri" w:cs="Amiri"/>
          <w:color w:val="111111"/>
          <w:sz w:val="28"/>
          <w:sz w:val="28"/>
          <w:szCs w:val="28"/>
          <w:rtl w:val="true"/>
          <w:lang w:bidi="ar-SA"/>
        </w:rPr>
        <w:t xml:space="preserve">في الامتناعِ مِن القَبيحِ و أداءِ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لعِصمتِه و كَمالِه، و ما وَجَدنا</w:t>
      </w:r>
      <w:r>
        <w:rPr>
          <w:rStyle w:val="FootnoteAnchor"/>
          <w:rtl w:val="true"/>
        </w:rPr>
        <w:footnoteReference w:id="1730"/>
      </w:r>
      <w:r>
        <w:rPr>
          <w:rFonts w:ascii="Amiri" w:hAnsi="Amiri" w:eastAsia="Amiri" w:cs="Amiri"/>
          <w:color w:val="111111"/>
          <w:sz w:val="28"/>
          <w:sz w:val="28"/>
          <w:szCs w:val="28"/>
          <w:rtl w:val="true"/>
          <w:lang w:bidi="ar-SA"/>
        </w:rPr>
        <w:t>في غيرِه ذلكَ ؛ لأنّه لَو كانَت</w:t>
      </w:r>
      <w:r>
        <w:rPr>
          <w:rStyle w:val="FootnoteAnchor"/>
          <w:rtl w:val="true"/>
        </w:rPr>
        <w:footnoteReference w:id="1731"/>
      </w:r>
      <w:r>
        <w:rPr>
          <w:rFonts w:ascii="Amiri" w:hAnsi="Amiri" w:eastAsia="Amiri" w:cs="Amiri"/>
          <w:color w:val="111111"/>
          <w:sz w:val="28"/>
          <w:sz w:val="28"/>
          <w:szCs w:val="28"/>
          <w:rtl w:val="true"/>
          <w:lang w:bidi="ar-SA"/>
        </w:rPr>
        <w:t xml:space="preserve">حالُ غيرِه مِن المكلَّفينَ كحالِه لَاستَغنىٰ عن إمامٍ </w:t>
      </w:r>
      <w:r>
        <w:rPr>
          <w:rStyle w:val="FootnoteAnchor"/>
          <w:rtl w:val="true"/>
        </w:rPr>
        <w:footnoteReference w:id="1732"/>
      </w:r>
      <w:r>
        <w:rPr>
          <w:rFonts w:ascii="Amiri" w:hAnsi="Amiri" w:eastAsia="Amiri" w:cs="Amiri"/>
          <w:color w:val="111111"/>
          <w:sz w:val="28"/>
          <w:sz w:val="28"/>
          <w:szCs w:val="28"/>
          <w:rtl w:val="true"/>
          <w:lang w:bidi="ar-SA"/>
        </w:rPr>
        <w:t>كما استَغنىٰ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أن يَقومَ في الحُجَجِ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اللُّطفِ و الامتناعِ مِن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الإمامِ </w:t>
      </w:r>
      <w:r>
        <w:rPr>
          <w:rStyle w:val="FootnoteAnchor"/>
          <w:rtl w:val="true"/>
        </w:rPr>
        <w:footnoteReference w:id="1733"/>
      </w:r>
      <w:r>
        <w:rPr>
          <w:rFonts w:ascii="Amiri" w:hAnsi="Amiri" w:eastAsia="Amiri" w:cs="Amiri"/>
          <w:color w:val="111111"/>
          <w:sz w:val="28"/>
          <w:sz w:val="28"/>
          <w:szCs w:val="28"/>
          <w:rtl w:val="true"/>
          <w:lang w:bidi="ar-SA"/>
        </w:rPr>
        <w:t>مَقامَ الإمامِ ، فلِمَ لا يَجوزُ مِثلُ ذلكَ في غيرِ الحُجَجِ و الأئمّةِ؟ و ألّا جازَ أن يَعلَمَ اللّٰهُ تَعالىٰ ذلكَ في سائرِ المكلَّفينَ أو أكثَرِهم، فيَستَغنوا عن الأئمّةِ كما استَغنَت الأئمّةُ؟</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يَمتَنِعُ أن يَعلَمَ اللّٰهُ تَعالىٰ مِن حالِ بعضِ المكلَّفينَ مِمَّن لَيسَ بإمامٍ أنّه لا يَختارُ شَيئاً مِن القَبيحِ عندَ بعضِ الألطافِ التي لَيسَت بإمامةٍ ، فيَفعَلَ به</w:t>
      </w:r>
      <w:r>
        <w:rPr>
          <w:rStyle w:val="FootnoteAnchor"/>
          <w:rtl w:val="true"/>
        </w:rPr>
        <w:footnoteReference w:id="1734"/>
      </w:r>
      <w:r>
        <w:rPr>
          <w:rFonts w:ascii="Amiri" w:hAnsi="Amiri" w:eastAsia="Amiri" w:cs="Amiri"/>
          <w:color w:val="111111"/>
          <w:sz w:val="28"/>
          <w:sz w:val="28"/>
          <w:szCs w:val="28"/>
          <w:rtl w:val="true"/>
          <w:lang w:bidi="ar-SA"/>
        </w:rPr>
        <w:t xml:space="preserve">ذلكَ ، و يَكونَ معصوماً لا يَحتاجُ إلىٰ إمامٍ مِن هذا الوجهِ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الذي لا نُجوِّزُه هو أن يَكونَ في المعلومِ أنّ غيرَ وجودِ الأئمّةِ و الرؤَساءِ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لُطفِ مَن</w:t>
      </w:r>
      <w:r>
        <w:rPr>
          <w:rStyle w:val="FootnoteAnchor"/>
          <w:rtl w:val="true"/>
        </w:rPr>
        <w:footnoteReference w:id="1735"/>
      </w:r>
      <w:r>
        <w:rPr>
          <w:rFonts w:ascii="Amiri" w:hAnsi="Amiri" w:eastAsia="Amiri" w:cs="Amiri"/>
          <w:color w:val="111111"/>
          <w:sz w:val="28"/>
          <w:sz w:val="28"/>
          <w:szCs w:val="28"/>
          <w:rtl w:val="true"/>
          <w:lang w:bidi="ar-SA"/>
        </w:rPr>
        <w:t xml:space="preserve">جازَ عليه مِن المكلَّفينَ فِعلُ القبيحِ و لَم يؤمَنْ مِنه الفَسادُ و الافتتانُ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وجودِهم؛ حتّىٰ يَكونوا عندَه</w:t>
      </w:r>
      <w:r>
        <w:rPr>
          <w:rStyle w:val="FootnoteAnchor"/>
          <w:rtl w:val="true"/>
        </w:rPr>
        <w:footnoteReference w:id="1737"/>
      </w:r>
      <w:r>
        <w:rPr>
          <w:rFonts w:ascii="Amiri" w:hAnsi="Amiri" w:eastAsia="Amiri" w:cs="Amiri"/>
          <w:color w:val="111111"/>
          <w:sz w:val="28"/>
          <w:sz w:val="28"/>
          <w:szCs w:val="28"/>
          <w:rtl w:val="true"/>
          <w:lang w:bidi="ar-SA"/>
        </w:rPr>
        <w:t xml:space="preserve">أقرَبَ إلىٰ فِعلِ الواجبِ و أبعَدَ مِن </w:t>
      </w:r>
    </w:p>
    <w:p>
      <w:pPr>
        <w:pStyle w:val="BookText"/>
        <w:rPr/>
      </w:pPr>
      <w:r>
        <w:rPr>
          <w:rFonts w:ascii="Amiri" w:hAnsi="Amiri" w:eastAsia="Amiri" w:cs="Amiri"/>
          <w:color w:val="111111"/>
          <w:sz w:val="28"/>
          <w:sz w:val="28"/>
          <w:szCs w:val="28"/>
          <w:rtl w:val="true"/>
          <w:lang w:bidi="ar-SA"/>
        </w:rPr>
        <w:t>فِعلِ القبيحِ، كما يَكونونَ‌</w:t>
      </w:r>
      <w:r>
        <w:rPr>
          <w:rStyle w:val="FootnoteAnchor"/>
          <w:rtl w:val="true"/>
        </w:rPr>
        <w:footnoteReference w:id="1738"/>
      </w:r>
      <w:r>
        <w:rPr>
          <w:rFonts w:ascii="Amiri" w:hAnsi="Amiri" w:eastAsia="Amiri" w:cs="Amiri"/>
          <w:color w:val="111111"/>
          <w:sz w:val="28"/>
          <w:sz w:val="28"/>
          <w:szCs w:val="28"/>
          <w:rtl w:val="true"/>
          <w:lang w:bidi="ar-SA"/>
        </w:rPr>
        <w:t xml:space="preserve">كذلكَ عندَ وجودِ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يَمنَعُ مِن هذا</w:t>
      </w:r>
      <w:r>
        <w:rPr>
          <w:rStyle w:val="FootnoteAnchor"/>
          <w:rtl w:val="true"/>
        </w:rPr>
        <w:footnoteReference w:id="1739"/>
      </w:r>
      <w:r>
        <w:rPr>
          <w:rFonts w:ascii="Amiri" w:hAnsi="Amiri" w:eastAsia="Amiri" w:cs="Amiri"/>
          <w:color w:val="111111"/>
          <w:sz w:val="28"/>
          <w:sz w:val="28"/>
          <w:szCs w:val="28"/>
          <w:rtl w:val="true"/>
          <w:lang w:bidi="ar-SA"/>
        </w:rPr>
        <w:t xml:space="preserve">عِلمُنا بأنّ الناسَ علىٰ طريقةٍ واحدةٍ يَفسُدونَ و يُفتَنونَ عندَ فَقدِ الأئمّةِ و الرؤَساءِ </w:t>
      </w:r>
      <w:r>
        <w:rPr>
          <w:rStyle w:val="FootnoteAnchor"/>
          <w:rtl w:val="true"/>
        </w:rPr>
        <w:footnoteReference w:id="1740"/>
      </w:r>
      <w:r>
        <w:rPr>
          <w:rFonts w:ascii="Amiri" w:hAnsi="Amiri" w:eastAsia="Amiri" w:cs="Amiri"/>
          <w:color w:val="111111"/>
          <w:sz w:val="28"/>
          <w:sz w:val="28"/>
          <w:szCs w:val="28"/>
          <w:rtl w:val="true"/>
          <w:lang w:bidi="ar-SA"/>
        </w:rPr>
        <w:t>، و يَصلُحونَ و يَستَقيمونَ عندَ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ألزَمَناه جائزاً، لَم يَكُنِ العِلمُ الذي ذَكَرناه حاصلاً علَى الحَدِّ الذي</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عليه، بل كانَ يَجِبُ أن يَجوزَ</w:t>
      </w:r>
      <w:r>
        <w:rPr>
          <w:rStyle w:val="FootnoteAnchor"/>
          <w:rtl w:val="true"/>
        </w:rPr>
        <w:footnoteReference w:id="1741"/>
      </w:r>
      <w:r>
        <w:rPr>
          <w:rFonts w:ascii="Amiri" w:hAnsi="Amiri" w:eastAsia="Amiri" w:cs="Amiri"/>
          <w:color w:val="111111"/>
          <w:sz w:val="28"/>
          <w:sz w:val="28"/>
          <w:szCs w:val="28"/>
          <w:rtl w:val="true"/>
          <w:lang w:bidi="ar-SA"/>
        </w:rPr>
        <w:t xml:space="preserve">كَونُ الناسِ مع فَقدِ الأئمّةِ علىٰ حالِ السَّدادِ و الصَّلاحِ ، و مع وجودِهم علىٰ حالِ الفَسادِ و الاضطرابِ </w:t>
      </w:r>
      <w:r>
        <w:rPr>
          <w:rStyle w:val="FootnoteAnchor"/>
          <w:rtl w:val="true"/>
        </w:rPr>
        <w:footnoteReference w:id="1742"/>
      </w:r>
      <w:r>
        <w:rPr>
          <w:rFonts w:ascii="Amiri" w:hAnsi="Amiri" w:eastAsia="Amiri" w:cs="Amiri"/>
          <w:color w:val="111111"/>
          <w:sz w:val="28"/>
          <w:sz w:val="28"/>
          <w:szCs w:val="28"/>
          <w:rtl w:val="true"/>
          <w:lang w:bidi="ar-SA"/>
        </w:rPr>
        <w:t>، و في القَطعِ علىٰ بُطلانِ هذا دَلالةٌ علىٰ أنّه لَيسَ في الجائزِ أن يَقومَ مَقامَ الأئمّةِ فيما ذَكَرناه غيرُهم</w:t>
      </w:r>
      <w:r>
        <w:rPr>
          <w:rFonts w:eastAsia="Amiri" w:cs="Amiri" w:ascii="Amiri" w:hAnsi="Amiri"/>
          <w:color w:val="111111"/>
          <w:sz w:val="28"/>
          <w:szCs w:val="28"/>
          <w:rtl w:val="true"/>
          <w:lang w:bidi="ar-SA"/>
        </w:rPr>
        <w:t xml:space="preserve">. </w:t>
      </w:r>
      <w:bookmarkStart w:id="606" w:name="pg20044_770994"/>
    </w:p>
    <w:p>
      <w:pPr>
        <w:pStyle w:val="Heading4"/>
        <w:numPr>
          <w:ilvl w:val="3"/>
          <w:numId w:val="1"/>
        </w:numPr>
        <w:rPr/>
      </w:pPr>
      <w:bookmarkStart w:id="607" w:name="__RefHeading___Toc828700_2320776876"/>
      <w:bookmarkStart w:id="608" w:name="_Toc215"/>
      <w:bookmarkEnd w:id="606"/>
      <w:bookmarkEnd w:id="607"/>
      <w:r>
        <w:rPr>
          <w:rtl w:val="true"/>
        </w:rPr>
        <w:t>الدليل الثالث قطع الاختلاف في المذاهب</w:t>
      </w:r>
      <w:bookmarkEnd w:id="608"/>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مِن حالِ المكلَّفينَ أنّهم يَجوزُ عَلَيهم الاختلافُ فيما كُلِّفوا عِلمَه مِن المَذاهبِ، فكما يَجوزُ عَلَيهم ذلكَ فجائزٌ عَلَيهم الاختلافُ في الأدلّةِ ، و الاختلافُ في كيفيّةِ الاستدلالِ بها و النظرِ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كلُّ ذلكَ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قاطعٍ للخِلافِ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يُفارِقُ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الخطأَ مأمونٌ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و هو الحجّةُ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وجوبُ الحاجةِ إليه في كُلِّ عصرٍ</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ثُمّ تَكلَّمَ في رَدِّ ذلكَ بكلامٍ طويلٍ </w:t>
      </w:r>
      <w:r>
        <w:rPr>
          <w:rStyle w:val="FootnoteAnchor"/>
          <w:rtl w:val="true"/>
        </w:rPr>
        <w:footnoteReference w:id="1745"/>
      </w:r>
      <w:r>
        <w:rPr>
          <w:rFonts w:ascii="Amiri" w:hAnsi="Amiri" w:eastAsia="Amiri" w:cs="Amiri"/>
          <w:color w:val="111111"/>
          <w:sz w:val="28"/>
          <w:sz w:val="28"/>
          <w:szCs w:val="28"/>
          <w:rtl w:val="true"/>
          <w:lang w:bidi="ar-SA"/>
        </w:rPr>
        <w:t>بعضُه صحيحٌ مُستَمِرٌّ</w:t>
      </w:r>
      <w:r>
        <w:rPr>
          <w:rStyle w:val="FootnoteAnchor"/>
          <w:rtl w:val="true"/>
        </w:rPr>
        <w:footnoteReference w:id="1746"/>
      </w:r>
      <w:r>
        <w:rPr>
          <w:rFonts w:ascii="Amiri" w:hAnsi="Amiri" w:eastAsia="Amiri" w:cs="Amiri"/>
          <w:color w:val="111111"/>
          <w:sz w:val="28"/>
          <w:sz w:val="28"/>
          <w:szCs w:val="28"/>
          <w:rtl w:val="true"/>
          <w:lang w:bidi="ar-SA"/>
        </w:rPr>
        <w:t xml:space="preserve">و بعضُه غيرُ صحيحٍ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الطريقةُ التي حَكاها</w:t>
      </w:r>
      <w:r>
        <w:rPr>
          <w:rStyle w:val="FootnoteAnchor"/>
          <w:rtl w:val="true"/>
        </w:rPr>
        <w:footnoteReference w:id="1747"/>
      </w:r>
      <w:r>
        <w:rPr>
          <w:rFonts w:ascii="Amiri" w:hAnsi="Amiri" w:eastAsia="Amiri" w:cs="Amiri"/>
          <w:color w:val="111111"/>
          <w:sz w:val="28"/>
          <w:sz w:val="28"/>
          <w:szCs w:val="28"/>
          <w:rtl w:val="true"/>
          <w:lang w:bidi="ar-SA"/>
        </w:rPr>
        <w:t xml:space="preserve">غيرُ مُعتمَدةٍ عندَنا، و لا اعتمَدَها أحَدٌ مِن أصحابِنا </w:t>
      </w:r>
    </w:p>
    <w:p>
      <w:pPr>
        <w:pStyle w:val="BookText"/>
        <w:rPr/>
      </w:pPr>
      <w:r>
        <w:rPr>
          <w:rFonts w:ascii="Amiri" w:hAnsi="Amiri" w:eastAsia="Amiri" w:cs="Amiri"/>
          <w:color w:val="111111"/>
          <w:sz w:val="28"/>
          <w:sz w:val="28"/>
          <w:szCs w:val="28"/>
          <w:rtl w:val="true"/>
          <w:lang w:bidi="ar-SA"/>
        </w:rPr>
        <w:t>المتقدِّمينَ و لا المتأخِّرينَ</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و الذي يَتَعلَّقونَ به في بابِ الاختلافِ في المَذاهبِ هو علىٰ خِلافِ هذا الوجهِ؛ لأنّهم يَذكُرونَ ذلكَ في بعضِ السمعيّاتِ‌</w:t>
      </w:r>
      <w:r>
        <w:rPr>
          <w:rStyle w:val="FootnoteAnchor"/>
          <w:rtl w:val="true"/>
        </w:rPr>
        <w:footnoteReference w:id="174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الشرعيّاتِ‌</w:t>
      </w:r>
      <w:r>
        <w:rPr>
          <w:rStyle w:val="FootnoteAnchor"/>
          <w:rtl w:val="true"/>
        </w:rPr>
        <w:footnoteReference w:id="1750"/>
      </w:r>
      <w:r>
        <w:rPr>
          <w:rFonts w:ascii="Amiri" w:hAnsi="Amiri" w:eastAsia="Amiri" w:cs="Amiri"/>
          <w:color w:val="111111"/>
          <w:sz w:val="28"/>
          <w:sz w:val="28"/>
          <w:szCs w:val="28"/>
          <w:rtl w:val="true"/>
          <w:lang w:bidi="ar-SA"/>
        </w:rPr>
        <w:t>ممّا</w:t>
      </w:r>
      <w:r>
        <w:rPr>
          <w:rStyle w:val="FootnoteAnchor"/>
          <w:rtl w:val="true"/>
        </w:rPr>
        <w:footnoteReference w:id="1751"/>
      </w:r>
      <w:r>
        <w:rPr>
          <w:rFonts w:ascii="Amiri" w:hAnsi="Amiri" w:eastAsia="Amiri" w:cs="Amiri"/>
          <w:color w:val="111111"/>
          <w:sz w:val="28"/>
          <w:sz w:val="28"/>
          <w:szCs w:val="28"/>
          <w:rtl w:val="true"/>
          <w:lang w:bidi="ar-SA"/>
        </w:rPr>
        <w:t>يَكونُ الحُجَجُ فيه</w:t>
      </w:r>
      <w:r>
        <w:rPr>
          <w:rStyle w:val="FootnoteAnchor"/>
          <w:rtl w:val="true"/>
        </w:rPr>
        <w:footnoteReference w:id="1752"/>
      </w:r>
      <w:r>
        <w:rPr>
          <w:rFonts w:ascii="Amiri" w:hAnsi="Amiri" w:eastAsia="Amiri" w:cs="Amiri"/>
          <w:color w:val="111111"/>
          <w:sz w:val="28"/>
          <w:sz w:val="28"/>
          <w:szCs w:val="28"/>
          <w:rtl w:val="true"/>
          <w:lang w:bidi="ar-SA"/>
        </w:rPr>
        <w:t>كالمتكافئةِ، و الأدلّةُ القاطعةُ مفقودةً، و سنَتَكلَّمُ في تصحيحِ هذه الطريقةِ، فقَد ذَكَرَها صاحبُ الكتابِ تاليةً لهذا الفصلِ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يَجِبُ عليه أن لا يورِدَ في الحكايةِ عنّا هذه الشُّبهةَ الضعيفةَ التي لا يَخفىٰ بُطلانُها علىٰ متكلِّمٍ ؛ اللّهمّ إلّاأن يَكونَ أصابَها في كتابٍ لنا مشهورٍ، أو سَمِعَها مِن متكلِّمٍ مِن أصحابِنا</w:t>
      </w:r>
      <w:r>
        <w:rPr>
          <w:rStyle w:val="FootnoteAnchor"/>
          <w:rtl w:val="true"/>
        </w:rPr>
        <w:footnoteReference w:id="1753"/>
      </w:r>
      <w:r>
        <w:rPr>
          <w:rFonts w:ascii="Amiri" w:hAnsi="Amiri" w:eastAsia="Amiri" w:cs="Amiri"/>
          <w:color w:val="111111"/>
          <w:sz w:val="28"/>
          <w:sz w:val="28"/>
          <w:szCs w:val="28"/>
          <w:rtl w:val="true"/>
          <w:lang w:bidi="ar-SA"/>
        </w:rPr>
        <w:t xml:space="preserve">حاذِقٍ ، فيُضيفَها إلَى الكتابِ أو المتكلِّمِ ، و إلّافقَد أقامَ نَفسَه مَقامَ المتَّهَمِ بإيرادِ ما يَسهُلُ </w:t>
      </w:r>
      <w:r>
        <w:rPr>
          <w:rStyle w:val="FootnoteAnchor"/>
          <w:rtl w:val="true"/>
        </w:rPr>
        <w:footnoteReference w:id="1754"/>
      </w:r>
      <w:r>
        <w:rPr>
          <w:rFonts w:ascii="Amiri" w:hAnsi="Amiri" w:eastAsia="Amiri" w:cs="Amiri"/>
          <w:color w:val="111111"/>
          <w:sz w:val="28"/>
          <w:sz w:val="28"/>
          <w:szCs w:val="28"/>
          <w:rtl w:val="true"/>
          <w:lang w:bidi="ar-SA"/>
        </w:rPr>
        <w:t>عليه نَقضُه، و يُمكِنُه دَفعُه</w:t>
      </w:r>
      <w:r>
        <w:rPr>
          <w:rFonts w:eastAsia="Amiri" w:cs="Amiri" w:ascii="Amiri" w:hAnsi="Amiri"/>
          <w:color w:val="111111"/>
          <w:sz w:val="28"/>
          <w:szCs w:val="28"/>
          <w:rtl w:val="true"/>
          <w:lang w:bidi="ar-SA"/>
        </w:rPr>
        <w:t xml:space="preserve">. </w:t>
      </w:r>
      <w:bookmarkStart w:id="609" w:name="pg20044_770996"/>
    </w:p>
    <w:p>
      <w:pPr>
        <w:pStyle w:val="Heading4"/>
        <w:numPr>
          <w:ilvl w:val="3"/>
          <w:numId w:val="1"/>
        </w:numPr>
        <w:rPr/>
      </w:pPr>
      <w:bookmarkStart w:id="610" w:name="__RefHeading___Toc828702_2320776876"/>
      <w:bookmarkStart w:id="611" w:name="_Toc216"/>
      <w:bookmarkEnd w:id="609"/>
      <w:bookmarkEnd w:id="610"/>
      <w:r>
        <w:rPr>
          <w:rtl w:val="true"/>
        </w:rPr>
        <w:t>الدليل الرابع قطع الاختلاف في الفقه و الاجتهاد</w:t>
      </w:r>
      <w:bookmarkEnd w:id="611"/>
    </w:p>
    <w:p>
      <w:pPr>
        <w:pStyle w:val="Heading5"/>
        <w:numPr>
          <w:ilvl w:val="4"/>
          <w:numId w:val="1"/>
        </w:numPr>
        <w:rPr/>
      </w:pPr>
      <w:bookmarkStart w:id="612" w:name="__RefHeading___Toc828704_2320776876"/>
      <w:bookmarkStart w:id="613" w:name="_Toc217"/>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لهم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تَعلَّقوا باختلافِ الأُمّةِ‌</w:t>
      </w:r>
      <w:r>
        <w:rPr>
          <w:rStyle w:val="FootnoteAnchor"/>
          <w:rtl w:val="true"/>
        </w:rPr>
        <w:footnoteReference w:id="1755"/>
      </w:r>
      <w:r>
        <w:rPr>
          <w:rFonts w:ascii="Amiri" w:hAnsi="Amiri" w:eastAsia="Amiri" w:cs="Amiri"/>
          <w:color w:val="111111"/>
          <w:sz w:val="28"/>
          <w:sz w:val="28"/>
          <w:szCs w:val="28"/>
          <w:rtl w:val="true"/>
          <w:lang w:bidi="ar-SA"/>
        </w:rPr>
        <w:t>في الفقهِ و الاجتهادِ</w:t>
      </w:r>
      <w:r>
        <w:rPr>
          <w:rStyle w:val="FootnoteAnchor"/>
          <w:rtl w:val="true"/>
        </w:rPr>
        <w:footnoteReference w:id="1756"/>
      </w:r>
      <w:r>
        <w:rPr>
          <w:rFonts w:ascii="IRNazanin" w:hAnsi="IRNazanin" w:eastAsia="IRNazanin"/>
          <w:color w:val="111111"/>
          <w:sz w:val="28"/>
          <w:sz w:val="28"/>
          <w:szCs w:val="28"/>
          <w:rtl w:val="true"/>
          <w:lang w:bidi="fa-IR"/>
        </w:rPr>
        <w:t>، و قالوا</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حُجّةٍ ليَقطَعَ‌</w:t>
      </w:r>
      <w:r>
        <w:rPr>
          <w:rStyle w:val="FootnoteAnchor"/>
          <w:rtl w:val="true"/>
        </w:rPr>
        <w:footnoteReference w:id="1758"/>
      </w:r>
      <w:r>
        <w:rPr>
          <w:rFonts w:ascii="Amiri" w:hAnsi="Amiri" w:eastAsia="Amiri" w:cs="Amiri"/>
          <w:color w:val="111111"/>
          <w:sz w:val="28"/>
          <w:sz w:val="28"/>
          <w:szCs w:val="28"/>
          <w:rtl w:val="true"/>
          <w:lang w:bidi="ar-SA"/>
        </w:rPr>
        <w:t xml:space="preserve">هذا الخِلافَ؛ لأنّه لا يُمكِنُ </w:t>
      </w:r>
      <w:r>
        <w:rPr>
          <w:rStyle w:val="FootnoteAnchor"/>
          <w:rtl w:val="true"/>
        </w:rPr>
        <w:footnoteReference w:id="1759"/>
      </w:r>
      <w:r>
        <w:rPr>
          <w:rFonts w:ascii="Amiri" w:hAnsi="Amiri" w:eastAsia="Amiri" w:cs="Amiri"/>
          <w:color w:val="111111"/>
          <w:sz w:val="28"/>
          <w:sz w:val="28"/>
          <w:szCs w:val="28"/>
          <w:rtl w:val="true"/>
          <w:lang w:bidi="ar-SA"/>
        </w:rPr>
        <w:t xml:space="preserve">إثباتُ حُجّةٍ قاطعةٍ في الكتابِ و السُّنّةِ ، و لا بُدَّ مِن أن يَكونَ عِلمُ ذلكَ مُستَودَعاً في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يَبطُلُ بما دَلَّلنا عليه مِن إثباتِ الاجتهادِ</w:t>
      </w:r>
      <w:r>
        <w:rPr>
          <w:rFonts w:eastAsia="Amiri" w:cs="Amiri" w:ascii="Amiri" w:hAnsi="Amiri"/>
          <w:color w:val="111111"/>
          <w:sz w:val="28"/>
          <w:szCs w:val="28"/>
          <w:rtl w:val="true"/>
          <w:lang w:bidi="ar-SA"/>
        </w:rPr>
        <w:t>....</w:t>
      </w:r>
      <w:r>
        <w:rPr>
          <w:rStyle w:val="FootnoteAnchor"/>
          <w:rtl w:val="true"/>
        </w:rPr>
        <w:footnoteReference w:id="176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أكثرُ أصحابِنا بهذه الطريقةِ و اعتَمَدوها في الحاجةِ إلىٰ إمامٍ </w:t>
      </w:r>
      <w:r>
        <w:rPr>
          <w:rStyle w:val="FootnoteAnchor"/>
          <w:rtl w:val="true"/>
        </w:rPr>
        <w:footnoteReference w:id="1761"/>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حَكَيتَه مِن نَفيِ حُجّةٍ قاطعةٍ في الكتابِ و السُّنّةِ باطلٌ لا يُطلِقُه </w:t>
      </w:r>
      <w:bookmarkStart w:id="614" w:name="pg20044_770997"/>
    </w:p>
    <w:p>
      <w:pPr>
        <w:pStyle w:val="BookText"/>
        <w:rPr/>
      </w:pPr>
      <w:bookmarkEnd w:id="614"/>
      <w:r>
        <w:rPr>
          <w:rFonts w:ascii="Amiri" w:hAnsi="Amiri" w:eastAsia="Amiri" w:cs="Amiri"/>
          <w:color w:val="111111"/>
          <w:sz w:val="28"/>
          <w:sz w:val="28"/>
          <w:szCs w:val="28"/>
          <w:rtl w:val="true"/>
          <w:lang w:bidi="ar-SA"/>
        </w:rPr>
        <w:t>القومُ المُستَدِلّونَ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ترتيبِ الاستدلالِ 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أنّه لَيسَ كُلُّ ما تَمَسُّ‌</w:t>
      </w:r>
      <w:r>
        <w:rPr>
          <w:rStyle w:val="FootnoteAnchor"/>
          <w:rtl w:val="true"/>
        </w:rPr>
        <w:footnoteReference w:id="1762"/>
      </w:r>
      <w:r>
        <w:rPr>
          <w:rFonts w:ascii="Amiri" w:hAnsi="Amiri" w:eastAsia="Amiri" w:cs="Amiri"/>
          <w:color w:val="111111"/>
          <w:sz w:val="28"/>
          <w:sz w:val="28"/>
          <w:szCs w:val="28"/>
          <w:rtl w:val="true"/>
          <w:lang w:bidi="ar-SA"/>
        </w:rPr>
        <w:t>الحاجةُ إليه مِن الشريعةِ، عليه حُجّةٌ قاطعةٌ مِن كتابٍ، أو تواتُرٍ، أو إجماعٍ ، أو ما جَرىٰ مَجرىٰ ذلكَ ؛</w:t>
      </w:r>
      <w:r>
        <w:rPr>
          <w:rStyle w:val="FootnoteAnchor"/>
          <w:rtl w:val="true"/>
        </w:rPr>
        <w:footnoteReference w:id="1763"/>
      </w:r>
      <w:r>
        <w:rPr>
          <w:rFonts w:ascii="Amiri" w:hAnsi="Amiri" w:eastAsia="Amiri" w:cs="Amiri"/>
          <w:color w:val="111111"/>
          <w:sz w:val="28"/>
          <w:sz w:val="28"/>
          <w:szCs w:val="28"/>
          <w:rtl w:val="true"/>
          <w:lang w:bidi="ar-SA"/>
        </w:rPr>
        <w:t>بل الأدلّةُ في كثيرٍ مِن ذلكَ كالمتكافئةِ ، أو هي متكافئةٌ ، و لَولا ما</w:t>
      </w:r>
    </w:p>
    <w:p>
      <w:pPr>
        <w:pStyle w:val="BookText"/>
        <w:rPr/>
      </w:pPr>
      <w:r>
        <w:rPr>
          <w:rFonts w:ascii="Amiri" w:hAnsi="Amiri" w:eastAsia="Amiri" w:cs="Amiri"/>
          <w:color w:val="111111"/>
          <w:sz w:val="28"/>
          <w:sz w:val="28"/>
          <w:szCs w:val="28"/>
          <w:rtl w:val="true"/>
          <w:lang w:bidi="ar-SA"/>
        </w:rPr>
        <w:t>ذَكَرناه ما فَزِعَ خُصومُنا إلىٰ غلبةِ الظَّنِّ و الاستحسانِ و غيرِهما ممّا يُسَمّونَه 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ذلكَ و كُنّا مكلَّفينَ للعِلمِ بالشريعةِ و العملِ بها، وَجَبَ أن يكونَ لنا مَفزَعٌ نَصِلُ مِن جهتِه إلىٰ ما اختَلَفَت</w:t>
      </w:r>
      <w:r>
        <w:rPr>
          <w:rStyle w:val="FootnoteAnchor"/>
          <w:rtl w:val="true"/>
        </w:rPr>
        <w:footnoteReference w:id="1764"/>
      </w:r>
      <w:r>
        <w:rPr>
          <w:rFonts w:ascii="Amiri" w:hAnsi="Amiri" w:eastAsia="Amiri" w:cs="Amiri"/>
          <w:color w:val="111111"/>
          <w:sz w:val="28"/>
          <w:sz w:val="28"/>
          <w:szCs w:val="28"/>
          <w:rtl w:val="true"/>
          <w:lang w:bidi="ar-SA"/>
        </w:rPr>
        <w:t>أقوالُ الأُمّةِ فيه</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828706_2320776876"/>
      <w:bookmarkStart w:id="616" w:name="_Toc218"/>
      <w:bookmarkEnd w:id="615"/>
      <w:r>
        <w:rPr>
          <w:rtl w:val="true"/>
        </w:rPr>
        <w:t>إبطال صحّة الاجتهاد بمعنىٰ طلب غلبة الظنّ فيما لا دليل عليه</w:t>
      </w:r>
      <w:bookmarkEnd w:id="61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يَبطُلُ بما دَلَّلنا عليه مِن صحّةِ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الأدلّةُ الواضحةُ عندَنا على إبطالِ ما تُسمّيهِ اجتهاداً؛ و أحَدُ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في الشريعةِ عندَكم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غلبةِ الظَّنِّ فيما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الظَّنُّ مُحالٌ أن يَكونَ له مَجالٌ في الشريعةِ </w:t>
      </w:r>
      <w:r>
        <w:rPr>
          <w:rStyle w:val="FootnoteAnchor"/>
          <w:rtl w:val="true"/>
        </w:rPr>
        <w:footnoteReference w:id="1765"/>
      </w:r>
      <w:r>
        <w:rPr>
          <w:rFonts w:ascii="Amiri" w:hAnsi="Amiri" w:eastAsia="Amiri" w:cs="Amiri"/>
          <w:color w:val="111111"/>
          <w:sz w:val="28"/>
          <w:sz w:val="28"/>
          <w:szCs w:val="28"/>
          <w:rtl w:val="true"/>
          <w:lang w:bidi="ar-SA"/>
        </w:rPr>
        <w:t xml:space="preserve">، و لا يَصِحُّ أن يَغلِبَ الظَّنُّ في تَحريمِ </w:t>
      </w:r>
      <w:r>
        <w:rPr>
          <w:rStyle w:val="FootnoteAnchor"/>
          <w:rtl w:val="true"/>
        </w:rPr>
        <w:footnoteReference w:id="1766"/>
      </w:r>
      <w:r>
        <w:rPr>
          <w:rFonts w:ascii="Amiri" w:hAnsi="Amiri" w:eastAsia="Amiri" w:cs="Amiri"/>
          <w:color w:val="111111"/>
          <w:sz w:val="28"/>
          <w:sz w:val="28"/>
          <w:szCs w:val="28"/>
          <w:rtl w:val="true"/>
          <w:lang w:bidi="ar-SA"/>
        </w:rPr>
        <w:t>شيءٍ منها أو تحليلِه؛</w:t>
      </w:r>
      <w:r>
        <w:rPr>
          <w:rStyle w:val="FootnoteAnchor"/>
          <w:rtl w:val="true"/>
        </w:rPr>
        <w:footnoteReference w:id="1767"/>
      </w:r>
      <w:r>
        <w:rPr>
          <w:rFonts w:ascii="Amiri" w:hAnsi="Amiri" w:eastAsia="Amiri" w:cs="Amiri"/>
          <w:color w:val="111111"/>
          <w:sz w:val="28"/>
          <w:sz w:val="28"/>
          <w:szCs w:val="28"/>
          <w:rtl w:val="true"/>
          <w:lang w:bidi="ar-SA"/>
        </w:rPr>
        <w:t>لأنّ الشريعةَ مَبنيّةٌ علىٰ ما يَعلَمُه اللّٰهُ تَعالىٰ مِن مَصالحِنا</w:t>
      </w:r>
      <w:r>
        <w:rPr>
          <w:rStyle w:val="FootnoteAnchor"/>
          <w:rtl w:val="true"/>
        </w:rPr>
        <w:footnoteReference w:id="1768"/>
      </w:r>
      <w:r>
        <w:rPr>
          <w:rFonts w:ascii="Amiri" w:hAnsi="Amiri" w:eastAsia="Amiri" w:cs="Amiri"/>
          <w:color w:val="111111"/>
          <w:sz w:val="28"/>
          <w:sz w:val="28"/>
          <w:szCs w:val="28"/>
          <w:rtl w:val="true"/>
          <w:lang w:bidi="ar-SA"/>
        </w:rPr>
        <w:t xml:space="preserve">التي لا عَهدَ لنا فيها و لا عادةَ و لا تَجرِبةَ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أنّه تَعالىٰ قد حَرَّمَ شَيئاً و أباحَ مِثلَه و ما هو مِن جنسِه، و أباحَ شَيئاً و حَظَرَ مِثلَه و ما صفاتُه كصفاتِه؛ فكَيفَ يُمكِنُ أن يُستَدرَكَ بالظَّنِّ الحلالُ و الحرامُ مِن هذه الشريعةِ، و ما يوجِبُ الظَّنَّ و يَقتَضيهِ مفقودٌ فيها؟</w:t>
      </w:r>
    </w:p>
    <w:p>
      <w:pPr>
        <w:pStyle w:val="BookText"/>
        <w:rPr/>
      </w:pPr>
      <w:r>
        <w:rPr>
          <w:rFonts w:ascii="Amiri" w:hAnsi="Amiri" w:eastAsia="Amiri" w:cs="Amiri"/>
          <w:color w:val="111111"/>
          <w:sz w:val="28"/>
          <w:sz w:val="28"/>
          <w:szCs w:val="28"/>
          <w:rtl w:val="true"/>
          <w:lang w:bidi="ar-SA"/>
        </w:rPr>
        <w:t>و ما يَذكُرُه خُصومُنا عندَ ورودِ هذا الكلامِ عَلَيهم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يَغلِبُ في الشريعةِ و إن لَم يَكُن له طريقٌ مَعلومٌ مقطوعٌ عليه</w:t>
      </w:r>
      <w:r>
        <w:rPr>
          <w:rStyle w:val="FootnoteAnchor"/>
          <w:rtl w:val="true"/>
        </w:rPr>
        <w:footnoteReference w:id="1769"/>
      </w:r>
      <w:r>
        <w:rPr>
          <w:rFonts w:ascii="Amiri" w:hAnsi="Amiri" w:eastAsia="Amiri" w:cs="Amiri"/>
          <w:color w:val="111111"/>
          <w:sz w:val="28"/>
          <w:sz w:val="28"/>
          <w:szCs w:val="28"/>
          <w:rtl w:val="true"/>
          <w:lang w:bidi="ar-SA"/>
        </w:rPr>
        <w:t>، كما يَغلِبُ ظَنُّ أحَدِنا أنّه إذا أرادَ التجارةَ خَسِرَ أو رَبِحَ، و إذا سَلَكَ بعضَ الطريقِ‌</w:t>
      </w:r>
      <w:r>
        <w:rPr>
          <w:rStyle w:val="FootnoteAnchor"/>
          <w:rtl w:val="true"/>
        </w:rPr>
        <w:footnoteReference w:id="1770"/>
      </w:r>
      <w:r>
        <w:rPr>
          <w:rFonts w:ascii="Amiri" w:hAnsi="Amiri" w:eastAsia="Amiri" w:cs="Amiri"/>
          <w:color w:val="111111"/>
          <w:sz w:val="28"/>
          <w:sz w:val="28"/>
          <w:szCs w:val="28"/>
          <w:rtl w:val="true"/>
          <w:lang w:bidi="ar-SA"/>
        </w:rPr>
        <w:t>عَطِبَ‌</w:t>
      </w:r>
      <w:r>
        <w:rPr>
          <w:rStyle w:val="FootnoteAnchor"/>
          <w:rtl w:val="true"/>
        </w:rPr>
        <w:footnoteReference w:id="1771"/>
      </w:r>
      <w:r>
        <w:rPr>
          <w:rFonts w:ascii="Amiri" w:hAnsi="Amiri" w:eastAsia="Amiri" w:cs="Amiri"/>
          <w:color w:val="111111"/>
          <w:sz w:val="28"/>
          <w:sz w:val="28"/>
          <w:szCs w:val="28"/>
          <w:rtl w:val="true"/>
          <w:lang w:bidi="ar-SA"/>
        </w:rPr>
        <w:t>أو سَلِمَ، إلىٰ غيرِ ما ذَكَرناه ممّا يَغلِبُ ظَنُّ بعضِ‌</w:t>
      </w:r>
      <w:r>
        <w:rPr>
          <w:rStyle w:val="FootnoteAnchor"/>
          <w:rtl w:val="true"/>
        </w:rPr>
        <w:footnoteReference w:id="1772"/>
      </w:r>
      <w:r>
        <w:rPr>
          <w:rFonts w:ascii="Amiri" w:hAnsi="Amiri" w:eastAsia="Amiri" w:cs="Amiri"/>
          <w:color w:val="111111"/>
          <w:sz w:val="28"/>
          <w:sz w:val="28"/>
          <w:szCs w:val="28"/>
          <w:rtl w:val="true"/>
          <w:lang w:bidi="ar-SA"/>
        </w:rPr>
        <w:t>العقلاءِ فيه، و إن لَم يُمكِنِ الاشارةُ إلىٰ ما اقتَضَى الظَّنَّ بعَينِه؛ فكذلكَ لا يُنكَرُ</w:t>
      </w:r>
      <w:r>
        <w:rPr>
          <w:rStyle w:val="FootnoteAnchor"/>
          <w:rtl w:val="true"/>
        </w:rPr>
        <w:footnoteReference w:id="1773"/>
      </w:r>
      <w:r>
        <w:rPr>
          <w:rFonts w:ascii="Amiri" w:hAnsi="Amiri" w:eastAsia="Amiri" w:cs="Amiri"/>
          <w:color w:val="111111"/>
          <w:sz w:val="28"/>
          <w:sz w:val="28"/>
          <w:szCs w:val="28"/>
          <w:rtl w:val="true"/>
          <w:lang w:bidi="ar-SA"/>
        </w:rPr>
        <w:t>أن يَغلِبَ ظَنُّ العلماءِ في الشريعةِ بما يوجِبُ إلحاقَ المحرَّمِ بالمحرَّمِ و المحلَّلِ بالمحلَّلِ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عنهم في دَفعِ كلامِنا شيئاً؛ لأنّ سائرَ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يَذكُرونه إنّما يَغلِبُ ظَنُّ العقلاءِ فيه لتقَدُّمِ عادةٍ لهم في أمثالِه، أو تَجرِبةٍ، أو سَماعِ خبرِ مَن</w:t>
      </w:r>
      <w:r>
        <w:rPr>
          <w:rStyle w:val="FootnoteAnchor"/>
          <w:rtl w:val="true"/>
        </w:rPr>
        <w:footnoteReference w:id="1774"/>
      </w:r>
      <w:r>
        <w:rPr>
          <w:rFonts w:ascii="Amiri" w:hAnsi="Amiri" w:eastAsia="Amiri" w:cs="Amiri"/>
          <w:color w:val="111111"/>
          <w:sz w:val="28"/>
          <w:sz w:val="28"/>
          <w:szCs w:val="28"/>
          <w:rtl w:val="true"/>
          <w:lang w:bidi="ar-SA"/>
        </w:rPr>
        <w:t>له فيه عادةٌ أو تجرِبةٌ‌</w:t>
      </w:r>
      <w:r>
        <w:rPr>
          <w:rStyle w:val="FootnoteAnchor"/>
          <w:rtl w:val="true"/>
        </w:rPr>
        <w:footnoteReference w:id="1775"/>
      </w:r>
      <w:r>
        <w:rPr>
          <w:rFonts w:ascii="Amiri" w:hAnsi="Amiri" w:eastAsia="Amiri" w:cs="Amiri"/>
          <w:color w:val="111111"/>
          <w:sz w:val="28"/>
          <w:sz w:val="28"/>
          <w:szCs w:val="28"/>
          <w:rtl w:val="true"/>
          <w:lang w:bidi="ar-SA"/>
        </w:rPr>
        <w:t>، و لَو عَرُوا مِن</w:t>
      </w:r>
      <w:r>
        <w:rPr>
          <w:rStyle w:val="FootnoteAnchor"/>
          <w:rtl w:val="true"/>
        </w:rPr>
        <w:footnoteReference w:id="1776"/>
      </w:r>
      <w:r>
        <w:rPr>
          <w:rFonts w:ascii="Amiri" w:hAnsi="Amiri" w:eastAsia="Amiri" w:cs="Amiri"/>
          <w:color w:val="111111"/>
          <w:sz w:val="28"/>
          <w:sz w:val="28"/>
          <w:szCs w:val="28"/>
          <w:rtl w:val="true"/>
          <w:lang w:bidi="ar-SA"/>
        </w:rPr>
        <w:t>جميعِ ذلكَ لَم يَجُز أن يَغلِبَ ظُنونُهم في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w:t>
      </w:r>
      <w:r>
        <w:rPr>
          <w:rStyle w:val="FootnoteAnchor"/>
          <w:rtl w:val="true"/>
        </w:rPr>
        <w:footnoteReference w:id="1777"/>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يُسافِرْ قَطُّ، و لَم يَسلُكْ طريقاً مِن الطُّرُقِ ، و لا سَمِعَ بأخبارِ المسافِرينَ و أحوالِ الطُّرُقِ المسلوكةِ ، لا يَجوزُ</w:t>
      </w:r>
      <w:r>
        <w:rPr>
          <w:rStyle w:val="FootnoteAnchor"/>
          <w:rtl w:val="true"/>
        </w:rPr>
        <w:footnoteReference w:id="1778"/>
      </w:r>
      <w:r>
        <w:rPr>
          <w:rFonts w:ascii="Amiri" w:hAnsi="Amiri" w:eastAsia="Amiri" w:cs="Amiri"/>
          <w:color w:val="111111"/>
          <w:sz w:val="28"/>
          <w:sz w:val="28"/>
          <w:szCs w:val="28"/>
          <w:rtl w:val="true"/>
          <w:lang w:bidi="ar-SA"/>
        </w:rPr>
        <w:t xml:space="preserve">أن يَظُنَّ </w:t>
      </w:r>
    </w:p>
    <w:p>
      <w:pPr>
        <w:pStyle w:val="BookText"/>
        <w:rPr/>
      </w:pPr>
      <w:r>
        <w:rPr>
          <w:rFonts w:ascii="Amiri" w:hAnsi="Amiri" w:eastAsia="Amiri" w:cs="Amiri"/>
          <w:color w:val="111111"/>
          <w:sz w:val="28"/>
          <w:sz w:val="28"/>
          <w:szCs w:val="28"/>
          <w:rtl w:val="true"/>
          <w:lang w:bidi="ar-SA"/>
        </w:rPr>
        <w:t>العَطَبَ أو النجاةَ في بعض الأسفارِ، و</w:t>
      </w:r>
      <w:r>
        <w:rPr>
          <w:rStyle w:val="FootnoteAnchor"/>
          <w:rtl w:val="true"/>
        </w:rPr>
        <w:footnoteReference w:id="1779"/>
      </w:r>
      <w:r>
        <w:rPr>
          <w:rFonts w:ascii="Amiri" w:hAnsi="Amiri" w:eastAsia="Amiri" w:cs="Amiri"/>
          <w:color w:val="111111"/>
          <w:sz w:val="28"/>
          <w:sz w:val="28"/>
          <w:szCs w:val="28"/>
          <w:rtl w:val="true"/>
          <w:lang w:bidi="ar-SA"/>
        </w:rPr>
        <w:t>في سُلوكِ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لَم يَتَّجِرْ قَطُّ، و لا اتَّصَلَ به خبرُ التجاراتِ‌</w:t>
      </w:r>
      <w:r>
        <w:rPr>
          <w:rStyle w:val="FootnoteAnchor"/>
          <w:rtl w:val="true"/>
        </w:rPr>
        <w:footnoteReference w:id="1780"/>
      </w:r>
      <w:r>
        <w:rPr>
          <w:rFonts w:ascii="Amiri" w:hAnsi="Amiri" w:eastAsia="Amiri" w:cs="Amiri"/>
          <w:color w:val="111111"/>
          <w:sz w:val="28"/>
          <w:sz w:val="28"/>
          <w:szCs w:val="28"/>
          <w:rtl w:val="true"/>
          <w:lang w:bidi="ar-SA"/>
        </w:rPr>
        <w:t xml:space="preserve">و أحوالُ التجارةِ </w:t>
      </w:r>
      <w:r>
        <w:rPr>
          <w:rStyle w:val="FootnoteAnchor"/>
          <w:rtl w:val="true"/>
        </w:rPr>
        <w:footnoteReference w:id="1781"/>
      </w:r>
      <w:r>
        <w:rPr>
          <w:rFonts w:ascii="Amiri" w:hAnsi="Amiri" w:eastAsia="Amiri" w:cs="Amiri"/>
          <w:color w:val="111111"/>
          <w:sz w:val="28"/>
          <w:sz w:val="28"/>
          <w:szCs w:val="28"/>
          <w:rtl w:val="true"/>
          <w:lang w:bidi="ar-SA"/>
        </w:rPr>
        <w:t>، لا يَجوزُ أن يَظُنَّ في شيءٍ مِنها رِبحاً و لا خُسراناً</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صَحَّ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الظُّنونُ التي تَعلَّقَ بها مُخالِفونا إنّما غَلَبَت لاستنادِها إلىٰ طُرُقٍ معلومةٍ ، و لو قَدَّرنا زوالَها لَم تَحصُلْ تِلكَ الظُّنونُ ، و كانَت جميعُ الطُّرُقِ التي تَغلِبُ </w:t>
      </w:r>
      <w:r>
        <w:rPr>
          <w:rStyle w:val="FootnoteAnchor"/>
          <w:rtl w:val="true"/>
        </w:rPr>
        <w:footnoteReference w:id="1783"/>
      </w:r>
      <w:r>
        <w:rPr>
          <w:rFonts w:ascii="Amiri" w:hAnsi="Amiri" w:eastAsia="Amiri" w:cs="Amiri"/>
          <w:color w:val="111111"/>
          <w:sz w:val="28"/>
          <w:sz w:val="28"/>
          <w:szCs w:val="28"/>
          <w:rtl w:val="true"/>
          <w:lang w:bidi="ar-SA"/>
        </w:rPr>
        <w:t>فيها</w:t>
      </w:r>
      <w:r>
        <w:rPr>
          <w:rStyle w:val="FootnoteAnchor"/>
          <w:rtl w:val="true"/>
        </w:rPr>
        <w:footnoteReference w:id="1784"/>
      </w:r>
      <w:r>
        <w:rPr>
          <w:rFonts w:ascii="Amiri" w:hAnsi="Amiri" w:eastAsia="Amiri" w:cs="Amiri"/>
          <w:color w:val="111111"/>
          <w:sz w:val="28"/>
          <w:sz w:val="28"/>
          <w:szCs w:val="28"/>
          <w:rtl w:val="true"/>
          <w:lang w:bidi="ar-SA"/>
        </w:rPr>
        <w:t xml:space="preserve">الظُّنونُ مفقودةً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دخولُ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يؤدّي إلىٰ أنّ جميعَ المصحِّحينَ للاجتهادِ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كاذبونَ فيما يُخبِرونَ به مِن غلبةِ ظُنونِهم في الشريعةِ ، و مِثلُ ذلكَ لا يَجوزُ عَلَيهم مع كَثرتِهم و تديُّنِهم بمَذاهبِهم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القومُ الذينَ ذَكَرتَهم كاذبينَ في وِجدانِهم أنفسَهم</w:t>
      </w:r>
      <w:r>
        <w:rPr>
          <w:rStyle w:val="FootnoteAnchor"/>
          <w:rtl w:val="true"/>
        </w:rPr>
        <w:footnoteReference w:id="1785"/>
      </w:r>
      <w:r>
        <w:rPr>
          <w:rFonts w:ascii="Amiri" w:hAnsi="Amiri" w:eastAsia="Amiri" w:cs="Amiri"/>
          <w:color w:val="111111"/>
          <w:sz w:val="28"/>
          <w:sz w:val="28"/>
          <w:szCs w:val="28"/>
          <w:rtl w:val="true"/>
          <w:lang w:bidi="ar-SA"/>
        </w:rPr>
        <w:t>علَى اعتقادٍ ما</w:t>
      </w:r>
      <w:r>
        <w:rPr>
          <w:rStyle w:val="FootnoteAnchor"/>
          <w:rtl w:val="true"/>
        </w:rPr>
        <w:footnoteReference w:id="1786"/>
      </w:r>
      <w:r>
        <w:rPr>
          <w:rFonts w:ascii="Amiri" w:hAnsi="Amiri" w:eastAsia="Amiri" w:cs="Amiri"/>
          <w:color w:val="111111"/>
          <w:sz w:val="28"/>
          <w:sz w:val="28"/>
          <w:szCs w:val="28"/>
          <w:rtl w:val="true"/>
          <w:lang w:bidi="ar-SA"/>
        </w:rPr>
        <w:t xml:space="preserve">، و إنّما هم مبطِلونَ </w:t>
      </w:r>
      <w:r>
        <w:rPr>
          <w:rStyle w:val="FootnoteAnchor"/>
          <w:rtl w:val="true"/>
        </w:rPr>
        <w:footnoteReference w:id="1787"/>
      </w:r>
      <w:r>
        <w:rPr>
          <w:rFonts w:ascii="Amiri" w:hAnsi="Amiri" w:eastAsia="Amiri" w:cs="Amiri"/>
          <w:color w:val="111111"/>
          <w:sz w:val="28"/>
          <w:sz w:val="28"/>
          <w:szCs w:val="28"/>
          <w:rtl w:val="true"/>
          <w:lang w:bidi="ar-SA"/>
        </w:rPr>
        <w:t xml:space="preserve">في إخبارِهم بأنّه غلبةُ ظَنٍّ ، و العِلمُ بالفَرقِ بَينَ الاعتقادِ المبتَدَإ و الظَّنِّ </w:t>
      </w:r>
      <w:r>
        <w:rPr>
          <w:rStyle w:val="FootnoteAnchor"/>
          <w:rtl w:val="true"/>
        </w:rPr>
        <w:footnoteReference w:id="1788"/>
      </w:r>
      <w:r>
        <w:rPr>
          <w:rFonts w:ascii="Amiri" w:hAnsi="Amiri" w:eastAsia="Amiri" w:cs="Amiri"/>
          <w:color w:val="111111"/>
          <w:sz w:val="28"/>
          <w:sz w:val="28"/>
          <w:szCs w:val="28"/>
          <w:rtl w:val="true"/>
          <w:lang w:bidi="ar-SA"/>
        </w:rPr>
        <w:t>و العِلمِ لَيسَ بضَروريٍّ ، و لا ممّا يَجِبُ أن يَعرِفَه كُلُّ أحَدٍ مِن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الفقهاءَ و غيرَهم مِن أصحابِ الاجتهادِ غيرُ ظانّينَ في الشريعةِ علَى الوجهِ الذي يَدَّعونَه</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بأعجَبَ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مَن</w:t>
      </w:r>
    </w:p>
    <w:p>
      <w:pPr>
        <w:pStyle w:val="BookText"/>
        <w:rPr/>
      </w:pPr>
      <w:r>
        <w:rPr>
          <w:rFonts w:ascii="Amiri" w:hAnsi="Amiri" w:eastAsia="Amiri" w:cs="Amiri"/>
          <w:color w:val="111111"/>
          <w:sz w:val="28"/>
          <w:sz w:val="28"/>
          <w:szCs w:val="28"/>
          <w:rtl w:val="true"/>
          <w:lang w:bidi="ar-SA"/>
        </w:rPr>
        <w:t>خالَفَكَ ممّن يَرىٰ أنّ الحقَّ في واحدٍ</w:t>
      </w:r>
      <w:r>
        <w:rPr>
          <w:rStyle w:val="FootnoteAnchor"/>
          <w:rtl w:val="true"/>
        </w:rPr>
        <w:footnoteReference w:id="1790"/>
      </w:r>
      <w:r>
        <w:rPr>
          <w:rFonts w:ascii="Amiri" w:hAnsi="Amiri" w:eastAsia="Amiri" w:cs="Amiri"/>
          <w:color w:val="111111"/>
          <w:sz w:val="28"/>
          <w:sz w:val="28"/>
          <w:szCs w:val="28"/>
          <w:rtl w:val="true"/>
          <w:lang w:bidi="ar-SA"/>
        </w:rPr>
        <w:t>مِن أهلِ الاجتهادِ غيرُ عالِمٍ في الحقيقةِ بما يَدَّعي أنّه عالِمٌ به، و أنّهم جميعاً كاذبونَ في قولِهم بأنّهم</w:t>
      </w:r>
      <w:r>
        <w:rPr>
          <w:rStyle w:val="FootnoteAnchor"/>
          <w:rtl w:val="true"/>
        </w:rPr>
        <w:footnoteReference w:id="1791"/>
      </w:r>
      <w:r>
        <w:rPr>
          <w:rFonts w:ascii="Amiri" w:hAnsi="Amiri" w:eastAsia="Amiri" w:cs="Amiri"/>
          <w:color w:val="111111"/>
          <w:sz w:val="28"/>
          <w:sz w:val="28"/>
          <w:szCs w:val="28"/>
          <w:rtl w:val="true"/>
          <w:lang w:bidi="ar-SA"/>
        </w:rPr>
        <w:t xml:space="preserve">عالِمونَ ؛ و قولِكَ </w:t>
      </w:r>
      <w:r>
        <w:rPr>
          <w:rStyle w:val="FootnoteAnchor"/>
          <w:rtl w:val="true"/>
        </w:rPr>
        <w:footnoteReference w:id="179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مُخالِفيكَ في أُصولِ الدياناتِ التي طريقُها الأدلّةُ و العِلمُ كاذبونَ فيما يَدَّعونَه مِن العِلمِ بمَذاهبِهم</w:t>
      </w:r>
      <w:r>
        <w:rPr>
          <w:rStyle w:val="FootnoteAnchor"/>
          <w:rtl w:val="true"/>
        </w:rPr>
        <w:footnoteReference w:id="1793"/>
      </w:r>
      <w:r>
        <w:rPr>
          <w:rFonts w:ascii="Amiri" w:hAnsi="Amiri" w:eastAsia="Amiri" w:cs="Amiri"/>
          <w:color w:val="111111"/>
          <w:sz w:val="28"/>
          <w:sz w:val="28"/>
          <w:szCs w:val="28"/>
          <w:rtl w:val="true"/>
          <w:lang w:bidi="ar-SA"/>
        </w:rPr>
        <w:t>التي يُخالِفونَكَ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يَكذِبوا فيما يَجِدونَ أنفُسَهم عليه مِن الاعتقادِ، و إنّما غَلِطوا في ادِّعاءِ كَونِه عِلماً، و لَيسَ كَونُ العِلمِ عِلماً ممّا</w:t>
      </w:r>
      <w:r>
        <w:rPr>
          <w:rStyle w:val="FootnoteAnchor"/>
          <w:rtl w:val="true"/>
        </w:rPr>
        <w:footnoteReference w:id="1794"/>
      </w:r>
      <w:r>
        <w:rPr>
          <w:rFonts w:ascii="Amiri" w:hAnsi="Amiri" w:eastAsia="Amiri" w:cs="Amiri"/>
          <w:color w:val="111111"/>
          <w:sz w:val="28"/>
          <w:sz w:val="28"/>
          <w:szCs w:val="28"/>
          <w:rtl w:val="true"/>
          <w:lang w:bidi="ar-SA"/>
        </w:rPr>
        <w:t xml:space="preserve">يَجِدُه الإنسانُ مِن نَفسِه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الفقهاءُ أيضاً لَم يَكذِبوا في أنّهم يَجِدونَ أنفسَهم علىٰ </w:t>
      </w:r>
      <w:r>
        <w:rPr>
          <w:rStyle w:val="FootnoteAnchor"/>
          <w:rtl w:val="true"/>
        </w:rPr>
        <w:footnoteReference w:id="1795"/>
      </w:r>
      <w:r>
        <w:rPr>
          <w:rFonts w:ascii="Amiri" w:hAnsi="Amiri" w:eastAsia="Amiri" w:cs="Amiri"/>
          <w:color w:val="111111"/>
          <w:sz w:val="28"/>
          <w:sz w:val="28"/>
          <w:szCs w:val="28"/>
          <w:rtl w:val="true"/>
          <w:lang w:bidi="ar-SA"/>
        </w:rPr>
        <w:t>أمرٍ ما، و إنّما غَلِطوا في تسميَتِه بأنّه غلبةُ ظَنٍّ ، و هو</w:t>
      </w:r>
      <w:r>
        <w:rPr>
          <w:rStyle w:val="FootnoteAnchor"/>
          <w:rtl w:val="true"/>
        </w:rPr>
        <w:footnoteReference w:id="1796"/>
      </w:r>
      <w:r>
        <w:rPr>
          <w:rFonts w:ascii="Amiri" w:hAnsi="Amiri" w:eastAsia="Amiri" w:cs="Amiri"/>
          <w:color w:val="111111"/>
          <w:sz w:val="28"/>
          <w:sz w:val="28"/>
          <w:szCs w:val="28"/>
          <w:rtl w:val="true"/>
          <w:lang w:bidi="ar-SA"/>
        </w:rPr>
        <w:t>في الحقيقةِ اعتقادٌ مبتَدَأٌ لا تأثيرَ 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يكون للتخيّل بالميّت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إلىٰ ما يقتضيه، كتجربة و عادة و نحوهما؛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17" w:name="pg20044_771001"/>
    </w:p>
    <w:p>
      <w:pPr>
        <w:pStyle w:val="Heading5"/>
        <w:numPr>
          <w:ilvl w:val="4"/>
          <w:numId w:val="1"/>
        </w:numPr>
        <w:rPr/>
      </w:pPr>
      <w:bookmarkStart w:id="618" w:name="__RefHeading___Toc828708_2320776876"/>
      <w:bookmarkStart w:id="619" w:name="_Toc219"/>
      <w:bookmarkEnd w:id="617"/>
      <w:bookmarkEnd w:id="618"/>
      <w:r>
        <w:rPr>
          <w:rtl w:val="true"/>
        </w:rPr>
        <w:t>عدم وجود أدلّة قاطعة علىٰ كلّ الشريعة</w:t>
      </w:r>
      <w:bookmarkEnd w:id="619"/>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كانَ الحقُّ في واحدٍ لَكانَ لا بُدَّ مِن أن يَكونَ عليه دليلٌ، كالمَذاهبِ في 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يُستَغنىٰ عن الإمامِ فيهما لِما</w:t>
      </w:r>
      <w:r>
        <w:rPr>
          <w:rStyle w:val="FootnoteAnchor"/>
          <w:rtl w:val="true"/>
        </w:rPr>
        <w:footnoteReference w:id="1797"/>
      </w:r>
      <w:r>
        <w:rPr>
          <w:rFonts w:ascii="Amiri" w:hAnsi="Amiri" w:eastAsia="Amiri" w:cs="Amiri"/>
          <w:color w:val="111111"/>
          <w:sz w:val="28"/>
          <w:sz w:val="28"/>
          <w:szCs w:val="28"/>
          <w:rtl w:val="true"/>
          <w:lang w:bidi="ar-SA"/>
        </w:rPr>
        <w:t>قَدَّمناه مِن قَبلُ‌</w:t>
      </w:r>
      <w:r>
        <w:rPr>
          <w:rStyle w:val="FootnoteAnchor"/>
          <w:rtl w:val="true"/>
        </w:rPr>
        <w:footnoteReference w:id="1798"/>
      </w:r>
      <w:r>
        <w:rPr>
          <w:rFonts w:ascii="Amiri" w:hAnsi="Amiri" w:eastAsia="Amiri" w:cs="Amiri"/>
          <w:color w:val="111111"/>
          <w:sz w:val="28"/>
          <w:sz w:val="28"/>
          <w:szCs w:val="28"/>
          <w:rtl w:val="true"/>
          <w:lang w:bidi="ar-SA"/>
        </w:rPr>
        <w:t>، فكذلكَ كانَ يَجِبُ الاستغناءُ عنه في هذه المَسائلِ‌</w:t>
      </w:r>
      <w:r>
        <w:rPr>
          <w:rStyle w:val="FootnoteAnchor"/>
          <w:rtl w:val="true"/>
        </w:rPr>
        <w:footnoteReference w:id="1799"/>
      </w:r>
      <w:r>
        <w:rPr>
          <w:rFonts w:ascii="Amiri" w:hAnsi="Amiri" w:eastAsia="Amiri" w:cs="Amiri"/>
          <w:color w:val="111111"/>
          <w:sz w:val="28"/>
          <w:sz w:val="28"/>
          <w:szCs w:val="28"/>
          <w:rtl w:val="true"/>
          <w:lang w:bidi="ar-SA"/>
        </w:rPr>
        <w:t>،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خالَفَ الحقَّ إنّما أُتِيَ </w:t>
      </w:r>
      <w:r>
        <w:rPr>
          <w:rStyle w:val="FootnoteAnchor"/>
          <w:rtl w:val="true"/>
        </w:rPr>
        <w:footnoteReference w:id="1800"/>
      </w:r>
      <w:r>
        <w:rPr>
          <w:rFonts w:ascii="Amiri" w:hAnsi="Amiri" w:eastAsia="Amiri" w:cs="Amiri"/>
          <w:color w:val="111111"/>
          <w:sz w:val="28"/>
          <w:sz w:val="28"/>
          <w:szCs w:val="28"/>
          <w:rtl w:val="true"/>
          <w:lang w:bidi="ar-SA"/>
        </w:rPr>
        <w:t xml:space="preserve">مِن قِبَلِ نَفسِه بأن قَصَّرَ في النظَرِ و الاستدلالِ </w:t>
      </w:r>
      <w:r>
        <w:rPr>
          <w:rStyle w:val="FootnoteAnchor"/>
          <w:rtl w:val="true"/>
        </w:rPr>
        <w:footnoteReference w:id="1801"/>
      </w:r>
      <w:r>
        <w:rPr>
          <w:rFonts w:ascii="Amiri" w:hAnsi="Amiri" w:eastAsia="Amiri" w:cs="Amiri"/>
          <w:color w:val="111111"/>
          <w:sz w:val="28"/>
          <w:sz w:val="28"/>
          <w:szCs w:val="28"/>
          <w:rtl w:val="true"/>
          <w:lang w:bidi="ar-SA"/>
        </w:rPr>
        <w:t>الذي يُمكِنُه أن يَفعَلَه علَى الوجهِ الذي لَزِما و وَجَبا</w:t>
      </w:r>
      <w:r>
        <w:rPr>
          <w:rStyle w:val="FootnoteAnchor"/>
          <w:rtl w:val="true"/>
        </w:rPr>
        <w:footnoteReference w:id="1802"/>
      </w:r>
      <w:r>
        <w:rPr>
          <w:rFonts w:ascii="Amiri" w:hAnsi="Amiri" w:eastAsia="Amiri" w:cs="Amiri"/>
          <w:color w:val="111111"/>
          <w:sz w:val="28"/>
          <w:sz w:val="28"/>
          <w:szCs w:val="28"/>
          <w:rtl w:val="true"/>
          <w:lang w:bidi="ar-SA"/>
        </w:rPr>
        <w:t>، و في ذلكَ أيضاً</w:t>
      </w:r>
      <w:r>
        <w:rPr>
          <w:rStyle w:val="FootnoteAnchor"/>
          <w:rtl w:val="true"/>
        </w:rPr>
        <w:footnoteReference w:id="1803"/>
      </w:r>
      <w:r>
        <w:rPr>
          <w:rFonts w:ascii="Amiri" w:hAnsi="Amiri" w:eastAsia="Amiri" w:cs="Amiri"/>
          <w:color w:val="111111"/>
          <w:sz w:val="28"/>
          <w:sz w:val="28"/>
          <w:szCs w:val="28"/>
          <w:rtl w:val="true"/>
          <w:lang w:bidi="ar-SA"/>
        </w:rPr>
        <w:t xml:space="preserve">الاستغناءُ </w:t>
      </w:r>
      <w:r>
        <w:rPr>
          <w:rStyle w:val="FootnoteAnchor"/>
          <w:rtl w:val="true"/>
        </w:rPr>
        <w:footnoteReference w:id="1804"/>
      </w:r>
      <w:r>
        <w:rPr>
          <w:rFonts w:ascii="Amiri" w:hAnsi="Amiri" w:eastAsia="Amiri" w:cs="Amiri"/>
          <w:color w:val="111111"/>
          <w:sz w:val="28"/>
          <w:sz w:val="28"/>
          <w:szCs w:val="28"/>
          <w:rtl w:val="true"/>
          <w:lang w:bidi="ar-SA"/>
        </w:rPr>
        <w:t xml:space="preserve">عن الإمامِ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ما ذَكَرتَه سائغاً لَو كانَ كُلُّ حقٍّ في</w:t>
      </w:r>
      <w:r>
        <w:rPr>
          <w:rStyle w:val="FootnoteAnchor"/>
          <w:rtl w:val="true"/>
        </w:rPr>
        <w:footnoteReference w:id="1806"/>
      </w:r>
      <w:r>
        <w:rPr>
          <w:rFonts w:ascii="Amiri" w:hAnsi="Amiri" w:eastAsia="Amiri" w:cs="Amiri"/>
          <w:color w:val="111111"/>
          <w:sz w:val="28"/>
          <w:sz w:val="28"/>
          <w:szCs w:val="28"/>
          <w:rtl w:val="true"/>
          <w:lang w:bidi="ar-SA"/>
        </w:rPr>
        <w:t xml:space="preserve">الشريعةِ عليه دليلٌ قائمٌ كأدلّةِ التوحيدِ و العَدلِ ، و قد عَلِمنا خِلافَ ذلكَ ضَرورةً ؛ لأنّه لَو كانَت الشريعةُ </w:t>
      </w:r>
    </w:p>
    <w:p>
      <w:pPr>
        <w:pStyle w:val="BookText"/>
        <w:rPr/>
      </w:pPr>
      <w:r>
        <w:rPr>
          <w:rFonts w:ascii="Amiri" w:hAnsi="Amiri" w:eastAsia="Amiri" w:cs="Amiri"/>
          <w:color w:val="111111"/>
          <w:sz w:val="28"/>
          <w:sz w:val="28"/>
          <w:szCs w:val="28"/>
          <w:rtl w:val="true"/>
          <w:lang w:bidi="ar-SA"/>
        </w:rPr>
        <w:t>بهذه الصِّفةِ لَما</w:t>
      </w:r>
      <w:r>
        <w:rPr>
          <w:rStyle w:val="FootnoteAnchor"/>
          <w:rtl w:val="true"/>
        </w:rPr>
        <w:footnoteReference w:id="1807"/>
      </w:r>
      <w:r>
        <w:rPr>
          <w:rFonts w:ascii="Amiri" w:hAnsi="Amiri" w:eastAsia="Amiri" w:cs="Amiri"/>
          <w:color w:val="111111"/>
          <w:sz w:val="28"/>
          <w:sz w:val="28"/>
          <w:szCs w:val="28"/>
          <w:rtl w:val="true"/>
          <w:lang w:bidi="ar-SA"/>
        </w:rPr>
        <w:t>تَكلَّفَ الناسُ في التوَصُّلِ‌</w:t>
      </w:r>
      <w:r>
        <w:rPr>
          <w:rStyle w:val="FootnoteAnchor"/>
          <w:rtl w:val="true"/>
        </w:rPr>
        <w:footnoteReference w:id="1808"/>
      </w:r>
      <w:r>
        <w:rPr>
          <w:rFonts w:ascii="Amiri" w:hAnsi="Amiri" w:eastAsia="Amiri" w:cs="Amiri"/>
          <w:color w:val="111111"/>
          <w:sz w:val="28"/>
          <w:sz w:val="28"/>
          <w:szCs w:val="28"/>
          <w:rtl w:val="true"/>
          <w:lang w:bidi="ar-SA"/>
        </w:rPr>
        <w:t>إليها طُرُقَ الاجتهادِ و الاستحسانِ،</w:t>
      </w:r>
      <w:r>
        <w:rPr>
          <w:rStyle w:val="FootnoteAnchor"/>
          <w:rtl w:val="true"/>
        </w:rPr>
        <w:footnoteReference w:id="1809"/>
      </w:r>
      <w:r>
        <w:rPr>
          <w:rFonts w:ascii="Amiri" w:hAnsi="Amiri" w:eastAsia="Amiri" w:cs="Amiri"/>
          <w:color w:val="111111"/>
          <w:sz w:val="28"/>
          <w:sz w:val="28"/>
          <w:szCs w:val="28"/>
          <w:rtl w:val="true"/>
          <w:lang w:bidi="ar-SA"/>
        </w:rPr>
        <w:t>كما لَم يَتكَلَّفوا مِثلَ هذا في 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فيما ذَكَرناه</w:t>
      </w:r>
      <w:r>
        <w:rPr>
          <w:rStyle w:val="FootnoteAnchor"/>
          <w:rtl w:val="true"/>
        </w:rPr>
        <w:footnoteReference w:id="1810"/>
      </w:r>
      <w:r>
        <w:rPr>
          <w:rFonts w:ascii="Amiri" w:hAnsi="Amiri" w:eastAsia="Amiri" w:cs="Amiri"/>
          <w:color w:val="111111"/>
          <w:sz w:val="28"/>
          <w:sz w:val="28"/>
          <w:szCs w:val="28"/>
          <w:rtl w:val="true"/>
          <w:lang w:bidi="ar-SA"/>
        </w:rPr>
        <w:t>أوضَحُ مِن أن يَخفىٰ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اعتَرَضَ </w:t>
      </w:r>
      <w:r>
        <w:rPr>
          <w:rStyle w:val="FootnoteAnchor"/>
          <w:rtl w:val="true"/>
        </w:rPr>
        <w:footnoteReference w:id="1811"/>
      </w:r>
      <w:r>
        <w:rPr>
          <w:rFonts w:ascii="Amiri" w:hAnsi="Amiri" w:eastAsia="Amiri" w:cs="Amiri"/>
          <w:color w:val="111111"/>
          <w:sz w:val="28"/>
          <w:sz w:val="28"/>
          <w:szCs w:val="28"/>
          <w:rtl w:val="true"/>
          <w:lang w:bidi="ar-SA"/>
        </w:rPr>
        <w:t xml:space="preserve">مَذاهِبَ مُخالِفينا في الفروعِ </w:t>
      </w:r>
      <w:r>
        <w:rPr>
          <w:rStyle w:val="FootnoteAnchor"/>
          <w:rtl w:val="true"/>
        </w:rPr>
        <w:footnoteReference w:id="1812"/>
      </w:r>
      <w:r>
        <w:rPr>
          <w:rFonts w:ascii="Amiri" w:hAnsi="Amiri" w:eastAsia="Amiri" w:cs="Amiri"/>
          <w:color w:val="111111"/>
          <w:sz w:val="28"/>
          <w:sz w:val="28"/>
          <w:szCs w:val="28"/>
          <w:rtl w:val="true"/>
          <w:lang w:bidi="ar-SA"/>
        </w:rPr>
        <w:t>لَم يُصِبْ علىٰ عُشرِها أدلّةً قاطعةً كأدلّةِ التوحيدِ و العَدلِ ، بل وَجَدَ المعوَّلَ في جميعِها أو أكثرِها علَى الاجتهادِ و الظَّنِّ و ما أشبَهَهما ممّا</w:t>
      </w:r>
      <w:r>
        <w:rPr>
          <w:rStyle w:val="FootnoteAnchor"/>
          <w:rtl w:val="true"/>
        </w:rPr>
        <w:footnoteReference w:id="1813"/>
      </w:r>
      <w:r>
        <w:rPr>
          <w:rFonts w:ascii="Amiri" w:hAnsi="Amiri" w:eastAsia="Amiri" w:cs="Amiri"/>
          <w:color w:val="111111"/>
          <w:sz w:val="28"/>
          <w:sz w:val="28"/>
          <w:szCs w:val="28"/>
          <w:rtl w:val="true"/>
          <w:lang w:bidi="ar-SA"/>
        </w:rPr>
        <w:t xml:space="preserve">هو خارجٌ عن طريقةِ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ذَكَرتموه يؤدّي إلَى الحَيرةِ ، و إلىٰ أنّ الناسَ قد كُلِّفوا إصابةَ الحقِّ مِن غيرِ دليلٍ يَصِلونَ إليه مِن جهتهِ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كَلَّفَ اللّٰهُ تَعالىٰ إلّاما مَكَّنَ </w:t>
      </w:r>
      <w:r>
        <w:rPr>
          <w:rStyle w:val="FootnoteAnchor"/>
          <w:rtl w:val="true"/>
        </w:rPr>
        <w:footnoteReference w:id="1814"/>
      </w:r>
      <w:r>
        <w:rPr>
          <w:rFonts w:ascii="Amiri" w:hAnsi="Amiri" w:eastAsia="Amiri" w:cs="Amiri"/>
          <w:color w:val="111111"/>
          <w:sz w:val="28"/>
          <w:sz w:val="28"/>
          <w:szCs w:val="28"/>
          <w:rtl w:val="true"/>
          <w:lang w:bidi="ar-SA"/>
        </w:rPr>
        <w:t xml:space="preserve">مِن الوصولِ إليهِ مِن شريعةٍ و غيرِها، فما نُقِلَ مِن الشريعةِ عن الرسولِ صلَّى اللّٰهُ عليه و آلِه و سَلَّمَ نَقلاً يَقطَعُ العُذرَ كُلِّفنا فيه الرجوعَ إلَى النَّقلِ ، و ما لَم يَكُن فيه نَقلٌ و لا ما يَقومُ مَقامَه مِن الحُجَجِ السَّمعيّةِ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الناسَ عَدَلوا عن نَقلِه، أو لأنّهم لَم يخاطَبوا به و عُوِّلَ بهم علىٰ قولِ الإمامِ القائمِ مَقامَ الرسولِ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كُلِّفنا فيه الرجوعَ إلىٰ أقوالِ الأئمّةِ عليهم السلام المُستَخلَفينَ بَعدَ الرسولِ ، و لهذا نَجِدُ الحُكمَ في جميعِ ما يُحتاجُ </w:t>
      </w:r>
      <w:bookmarkStart w:id="620" w:name="pg20044_771003"/>
    </w:p>
    <w:p>
      <w:pPr>
        <w:pStyle w:val="BookText"/>
        <w:rPr/>
      </w:pPr>
      <w:bookmarkEnd w:id="620"/>
      <w:r>
        <w:rPr>
          <w:rFonts w:ascii="Amiri" w:hAnsi="Amiri" w:eastAsia="Amiri" w:cs="Amiri"/>
          <w:color w:val="111111"/>
          <w:sz w:val="28"/>
          <w:sz w:val="28"/>
          <w:szCs w:val="28"/>
          <w:rtl w:val="true"/>
          <w:lang w:bidi="ar-SA"/>
        </w:rPr>
        <w:t>إليه في</w:t>
      </w:r>
      <w:r>
        <w:rPr>
          <w:rStyle w:val="FootnoteAnchor"/>
          <w:rtl w:val="true"/>
        </w:rPr>
        <w:footnoteReference w:id="1815"/>
      </w:r>
      <w:r>
        <w:rPr>
          <w:rFonts w:ascii="Amiri" w:hAnsi="Amiri" w:eastAsia="Amiri" w:cs="Amiri"/>
          <w:color w:val="111111"/>
          <w:sz w:val="28"/>
          <w:sz w:val="28"/>
          <w:szCs w:val="28"/>
          <w:rtl w:val="true"/>
          <w:lang w:bidi="ar-SA"/>
        </w:rPr>
        <w:t>الحوادثِ موجوداً فيما يَنقُلُه الشيعةُ عن أئمّتِهم</w:t>
      </w:r>
      <w:r>
        <w:rPr>
          <w:rStyle w:val="FootnoteAnchor"/>
          <w:rtl w:val="true"/>
        </w:rPr>
        <w:footnoteReference w:id="1816"/>
      </w:r>
      <w:r>
        <w:rPr>
          <w:rFonts w:ascii="Amiri" w:hAnsi="Amiri" w:eastAsia="Amiri" w:cs="Amiri"/>
          <w:color w:val="111111"/>
          <w:sz w:val="28"/>
          <w:sz w:val="28"/>
          <w:szCs w:val="28"/>
          <w:rtl w:val="true"/>
          <w:lang w:bidi="ar-SA"/>
        </w:rPr>
        <w:t>عليهم السلام، و كُلُّ ما تَكلَّفَ‌</w:t>
      </w:r>
      <w:r>
        <w:rPr>
          <w:rStyle w:val="FootnoteAnchor"/>
          <w:rtl w:val="true"/>
        </w:rPr>
        <w:footnoteReference w:id="1817"/>
      </w:r>
      <w:r>
        <w:rPr>
          <w:rFonts w:ascii="Amiri" w:hAnsi="Amiri" w:eastAsia="Amiri" w:cs="Amiri"/>
          <w:color w:val="111111"/>
          <w:sz w:val="28"/>
          <w:sz w:val="28"/>
          <w:szCs w:val="28"/>
          <w:rtl w:val="true"/>
          <w:lang w:bidi="ar-SA"/>
        </w:rPr>
        <w:t>خُصومُنا فيه</w:t>
      </w:r>
      <w:r>
        <w:rPr>
          <w:rStyle w:val="FootnoteAnchor"/>
          <w:rtl w:val="true"/>
        </w:rPr>
        <w:footnoteReference w:id="1818"/>
      </w:r>
      <w:r>
        <w:rPr>
          <w:rFonts w:ascii="Amiri" w:hAnsi="Amiri" w:eastAsia="Amiri" w:cs="Amiri"/>
          <w:color w:val="111111"/>
          <w:sz w:val="28"/>
          <w:sz w:val="28"/>
          <w:szCs w:val="28"/>
          <w:rtl w:val="true"/>
          <w:lang w:bidi="ar-SA"/>
        </w:rPr>
        <w:t xml:space="preserve">القياسَ و الاجتهادَ و طُرُقَ </w:t>
      </w:r>
      <w:r>
        <w:rPr>
          <w:rStyle w:val="FootnoteAnchor"/>
          <w:rtl w:val="true"/>
        </w:rPr>
        <w:footnoteReference w:id="1819"/>
      </w:r>
      <w:r>
        <w:rPr>
          <w:rFonts w:ascii="Amiri" w:hAnsi="Amiri" w:eastAsia="Amiri" w:cs="Amiri"/>
          <w:color w:val="111111"/>
          <w:sz w:val="28"/>
          <w:sz w:val="28"/>
          <w:szCs w:val="28"/>
          <w:rtl w:val="true"/>
          <w:lang w:bidi="ar-SA"/>
        </w:rPr>
        <w:t xml:space="preserve">الظَّنِّ ، عندَ الشيعةِ فيه نَصٌّ ؛ إمّا مُجمَلٌ أو مفصَّلٌ </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828710_2320776876"/>
      <w:bookmarkStart w:id="622" w:name="_Toc220"/>
      <w:bookmarkEnd w:id="621"/>
      <w:r>
        <w:rPr>
          <w:rtl w:val="true"/>
        </w:rPr>
        <w:t>عدم بطلان فتاوى الشيعة و عدم استغنائهم عن إمام يكون من ورائهم</w:t>
      </w:r>
      <w:bookmarkEnd w:id="62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يَلزَمُهم علىٰ هذه العِلّةِ‌</w:t>
      </w:r>
      <w:r>
        <w:rPr>
          <w:rStyle w:val="FootnoteAnchor"/>
          <w:rtl w:val="true"/>
        </w:rPr>
        <w:footnoteReference w:id="1820"/>
      </w:r>
      <w:r>
        <w:rPr>
          <w:rFonts w:ascii="Amiri" w:hAnsi="Amiri" w:eastAsia="Amiri" w:cs="Amiri"/>
          <w:color w:val="111111"/>
          <w:sz w:val="28"/>
          <w:sz w:val="28"/>
          <w:szCs w:val="28"/>
          <w:rtl w:val="true"/>
          <w:lang w:bidi="ar-SA"/>
        </w:rPr>
        <w:t>وجودُ الإمامِ و ظُهورهُ و التمَكُّنُ مِن مُلاقاتِه</w:t>
      </w:r>
    </w:p>
    <w:p>
      <w:pPr>
        <w:pStyle w:val="BookText"/>
        <w:rPr/>
      </w:pPr>
      <w:r>
        <w:rPr>
          <w:rFonts w:ascii="Amiri" w:hAnsi="Amiri" w:eastAsia="Amiri" w:cs="Amiri"/>
          <w:color w:val="111111"/>
          <w:sz w:val="28"/>
          <w:sz w:val="28"/>
          <w:szCs w:val="28"/>
          <w:rtl w:val="true"/>
          <w:lang w:bidi="ar-SA"/>
        </w:rPr>
        <w:t>لإزالةِ هذا الاختلافِ، و يَلزَمُهم وجودُ الحُجّةِ في كُلِّ بَلَدٍ و عندَ كُلِّ فَريقٍ ، و يَلزَمُهم إبطالُ الفَتاوىٰ مِن العلماءِ ؛ لجَوازِ الغَلَطِ عَلَيهم أو علىٰ كثيرٍ مِنهم، و أن يوجِبوا أن لا يُقيمَ الحدودَ</w:t>
      </w:r>
      <w:r>
        <w:rPr>
          <w:rStyle w:val="FootnoteAnchor"/>
          <w:rtl w:val="true"/>
        </w:rPr>
        <w:footnoteReference w:id="1821"/>
      </w:r>
      <w:r>
        <w:rPr>
          <w:rFonts w:ascii="Amiri" w:hAnsi="Amiri" w:eastAsia="Amiri" w:cs="Amiri"/>
          <w:color w:val="111111"/>
          <w:sz w:val="28"/>
          <w:sz w:val="28"/>
          <w:szCs w:val="28"/>
          <w:rtl w:val="true"/>
          <w:lang w:bidi="ar-SA"/>
        </w:rPr>
        <w:t>إلّاالإمامُ ، و لا يَحكمَ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خروجٌ عن</w:t>
      </w:r>
      <w:r>
        <w:rPr>
          <w:rStyle w:val="FootnoteAnchor"/>
          <w:rtl w:val="true"/>
        </w:rPr>
        <w:footnoteReference w:id="1822"/>
      </w:r>
      <w:r>
        <w:rPr>
          <w:rFonts w:ascii="Amiri" w:hAnsi="Amiri" w:eastAsia="Amiri" w:cs="Amiri"/>
          <w:color w:val="111111"/>
          <w:sz w:val="28"/>
          <w:sz w:val="28"/>
          <w:szCs w:val="28"/>
          <w:rtl w:val="true"/>
          <w:lang w:bidi="ar-SA"/>
        </w:rPr>
        <w:t xml:space="preserve">دينِ المُسلِمينَ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وجودُ الإمامِ و ظُهورُه في كُلِّ بَلَدٍ، فقَد مضَى الكلامُ فيه دُفعةً بَعدَ أُخرىٰ </w:t>
      </w:r>
      <w:r>
        <w:rPr>
          <w:rFonts w:eastAsia="Amiri" w:cs="Amiri" w:ascii="Amiri" w:hAnsi="Amiri"/>
          <w:color w:val="111111"/>
          <w:sz w:val="28"/>
          <w:szCs w:val="28"/>
          <w:rtl w:val="true"/>
          <w:lang w:bidi="ar-SA"/>
        </w:rPr>
        <w:t>.</w:t>
      </w:r>
      <w:r>
        <w:rPr>
          <w:rStyle w:val="FootnoteAnchor"/>
          <w:rtl w:val="true"/>
        </w:rPr>
        <w:footnoteReference w:id="182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الفَتاوىٰ فلا تَبطُلُ كما ادَّعَيتَ بَل يَتَوَلّاها مَن استُودِعَ حُكمَ الحَوادِثِ ، و هُم </w:t>
      </w:r>
    </w:p>
    <w:p>
      <w:pPr>
        <w:pStyle w:val="BookText"/>
        <w:rPr/>
      </w:pPr>
      <w:r>
        <w:rPr>
          <w:rFonts w:ascii="Amiri" w:hAnsi="Amiri" w:eastAsia="Amiri" w:cs="Amiri"/>
          <w:color w:val="111111"/>
          <w:sz w:val="28"/>
          <w:sz w:val="28"/>
          <w:szCs w:val="28"/>
          <w:rtl w:val="true"/>
          <w:lang w:bidi="ar-SA"/>
        </w:rPr>
        <w:t>الشيعةُ بما نَقَلوه عن</w:t>
      </w:r>
      <w:r>
        <w:rPr>
          <w:rStyle w:val="FootnoteAnchor"/>
          <w:rtl w:val="true"/>
        </w:rPr>
        <w:footnoteReference w:id="1825"/>
      </w:r>
      <w:r>
        <w:rPr>
          <w:rFonts w:ascii="Amiri" w:hAnsi="Amiri" w:eastAsia="Amiri" w:cs="Amiri"/>
          <w:color w:val="111111"/>
          <w:sz w:val="28"/>
          <w:sz w:val="28"/>
          <w:szCs w:val="28"/>
          <w:rtl w:val="true"/>
          <w:lang w:bidi="ar-SA"/>
        </w:rPr>
        <w:t xml:space="preserve">أئمّتِهم عليهم السلام، و مَن عَدَلَ عن هذا المَعدِنِ الذي بيّنّاه لَم يَكُن له أن يُفتيَ؛ لأنّه لا يُفتي في الأكثرِ إلّابما هو عاملٌ فيه على الظَّنِّ </w:t>
      </w:r>
      <w:r>
        <w:rPr>
          <w:rStyle w:val="FootnoteAnchor"/>
          <w:rtl w:val="true"/>
        </w:rPr>
        <w:footnoteReference w:id="1826"/>
      </w:r>
      <w:r>
        <w:rPr>
          <w:rFonts w:ascii="Amiri" w:hAnsi="Amiri" w:eastAsia="Amiri" w:cs="Amiri"/>
          <w:color w:val="111111"/>
          <w:sz w:val="28"/>
          <w:sz w:val="28"/>
          <w:szCs w:val="28"/>
          <w:rtl w:val="true"/>
          <w:lang w:bidi="ar-SA"/>
        </w:rPr>
        <w:t xml:space="preserve">و الترجيمِ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مِنكم باستغناءِ الشيعةِ بما عَلِمَته عن إمامِ الزمانِ عليه السلامُ ؛ لأنّها إذا كانَت قد استفادَت عِلمَ الحوادِثِ عمّن تَقدَّمَ ظُهورُه مِن الأئمّةِ عليهم السلام، فأيُّ حاجةٍ بها إلىٰ هذا الإمامِ؟</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w:t>
      </w:r>
      <w:r>
        <w:rPr>
          <w:rStyle w:val="FootnoteAnchor"/>
          <w:rtl w:val="true"/>
        </w:rPr>
        <w:footnoteReference w:id="1828"/>
      </w:r>
      <w:r>
        <w:rPr>
          <w:rFonts w:ascii="Amiri" w:hAnsi="Amiri" w:eastAsia="Amiri" w:cs="Amiri"/>
          <w:color w:val="111111"/>
          <w:sz w:val="28"/>
          <w:sz w:val="28"/>
          <w:szCs w:val="28"/>
          <w:rtl w:val="true"/>
          <w:lang w:bidi="ar-SA"/>
        </w:rPr>
        <w:t>يَجِبُ ما ظَنَنتَه لَو كانَ ما استفادَته</w:t>
      </w:r>
      <w:r>
        <w:rPr>
          <w:rStyle w:val="FootnoteAnchor"/>
          <w:rtl w:val="true"/>
        </w:rPr>
        <w:footnoteReference w:id="1829"/>
      </w:r>
      <w:r>
        <w:rPr>
          <w:rFonts w:ascii="Amiri" w:hAnsi="Amiri" w:eastAsia="Amiri" w:cs="Amiri"/>
          <w:color w:val="111111"/>
          <w:sz w:val="28"/>
          <w:sz w:val="28"/>
          <w:szCs w:val="28"/>
          <w:rtl w:val="true"/>
          <w:lang w:bidi="ar-SA"/>
        </w:rPr>
        <w:t xml:space="preserve">مِن هذه العلومِ و وَثِقَت به لا يَفتقِرُ إلىٰ كَونِ الإمامِ مِن ورائهم، و قد عَلِمنا خِلافَ ذلكَ ؛ لأنّه لَولا وجودُ الإمامِ مع جوازِ تَركِ النَّقلِ علَى الشيعةِ و العُدولِ </w:t>
      </w:r>
      <w:r>
        <w:rPr>
          <w:rStyle w:val="FootnoteAnchor"/>
          <w:rtl w:val="true"/>
        </w:rPr>
        <w:footnoteReference w:id="1830"/>
      </w:r>
      <w:r>
        <w:rPr>
          <w:rFonts w:ascii="Amiri" w:hAnsi="Amiri" w:eastAsia="Amiri" w:cs="Amiri"/>
          <w:color w:val="111111"/>
          <w:sz w:val="28"/>
          <w:sz w:val="28"/>
          <w:szCs w:val="28"/>
          <w:rtl w:val="true"/>
          <w:lang w:bidi="ar-SA"/>
        </w:rPr>
        <w:t xml:space="preserve">عنه، لَم نأمَنْ أن يَكونَ ما أدَّوه إلينا بعضَ ما سَمِعوه، و لَيسَ نأمَنُ وقوعَ </w:t>
      </w:r>
      <w:r>
        <w:rPr>
          <w:rStyle w:val="FootnoteAnchor"/>
          <w:rtl w:val="true"/>
        </w:rPr>
        <w:footnoteReference w:id="1831"/>
      </w:r>
      <w:r>
        <w:rPr>
          <w:rFonts w:ascii="Amiri" w:hAnsi="Amiri" w:eastAsia="Amiri" w:cs="Amiri"/>
          <w:color w:val="111111"/>
          <w:sz w:val="28"/>
          <w:sz w:val="28"/>
          <w:szCs w:val="28"/>
          <w:rtl w:val="true"/>
          <w:lang w:bidi="ar-SA"/>
        </w:rPr>
        <w:t>ما هو جائزٌ عَلَيهم ممّا أشَرنا إليه إلّابالقَطعِ علىٰ وجودِ معصومٍ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عَلِمنا أنّ مَن يَعتَرِفُ بالإمامِ </w:t>
      </w:r>
      <w:r>
        <w:rPr>
          <w:rStyle w:val="FootnoteAnchor"/>
          <w:rtl w:val="true"/>
        </w:rPr>
        <w:footnoteReference w:id="1832"/>
      </w:r>
      <w:r>
        <w:rPr>
          <w:rFonts w:ascii="Amiri" w:hAnsi="Amiri" w:eastAsia="Amiri" w:cs="Amiri"/>
          <w:color w:val="111111"/>
          <w:sz w:val="28"/>
          <w:sz w:val="28"/>
          <w:szCs w:val="28"/>
          <w:rtl w:val="true"/>
          <w:lang w:bidi="ar-SA"/>
        </w:rPr>
        <w:t>و الحُجّةِ قد</w:t>
      </w:r>
      <w:r>
        <w:rPr>
          <w:rStyle w:val="FootnoteAnchor"/>
          <w:rtl w:val="true"/>
        </w:rPr>
        <w:footnoteReference w:id="1833"/>
      </w:r>
      <w:r>
        <w:rPr>
          <w:rFonts w:ascii="Amiri" w:hAnsi="Amiri" w:eastAsia="Amiri" w:cs="Amiri"/>
          <w:color w:val="111111"/>
          <w:sz w:val="28"/>
          <w:sz w:val="28"/>
          <w:szCs w:val="28"/>
          <w:rtl w:val="true"/>
          <w:lang w:bidi="ar-SA"/>
        </w:rPr>
        <w:t xml:space="preserve">اختَلَفوا في </w:t>
      </w:r>
      <w:bookmarkStart w:id="623" w:name="pg20044_771005"/>
    </w:p>
    <w:p>
      <w:pPr>
        <w:pStyle w:val="BookText"/>
        <w:rPr/>
      </w:pPr>
      <w:bookmarkEnd w:id="623"/>
      <w:r>
        <w:rPr>
          <w:rFonts w:ascii="Amiri" w:hAnsi="Amiri" w:eastAsia="Amiri" w:cs="Amiri"/>
          <w:color w:val="111111"/>
          <w:sz w:val="28"/>
          <w:sz w:val="28"/>
          <w:szCs w:val="28"/>
          <w:rtl w:val="true"/>
          <w:lang w:bidi="ar-SA"/>
        </w:rPr>
        <w:t xml:space="preserve">مَذاهِبَ </w:t>
      </w:r>
      <w:r>
        <w:rPr>
          <w:rStyle w:val="FootnoteAnchor"/>
          <w:rtl w:val="true"/>
        </w:rPr>
        <w:footnoteReference w:id="1834"/>
      </w:r>
      <w:r>
        <w:rPr>
          <w:rFonts w:ascii="Amiri" w:hAnsi="Amiri" w:eastAsia="Amiri" w:cs="Amiri"/>
          <w:color w:val="111111"/>
          <w:sz w:val="28"/>
          <w:sz w:val="28"/>
          <w:szCs w:val="28"/>
          <w:rtl w:val="true"/>
          <w:lang w:bidi="ar-SA"/>
        </w:rPr>
        <w:t>، فيَلزَمُهم</w:t>
      </w:r>
      <w:r>
        <w:rPr>
          <w:rStyle w:val="FootnoteAnchor"/>
          <w:rtl w:val="true"/>
        </w:rPr>
        <w:footnoteReference w:id="1835"/>
      </w:r>
      <w:r>
        <w:rPr>
          <w:rFonts w:ascii="Amiri" w:hAnsi="Amiri" w:eastAsia="Amiri" w:cs="Amiri"/>
          <w:color w:val="111111"/>
          <w:sz w:val="28"/>
          <w:sz w:val="28"/>
          <w:szCs w:val="28"/>
          <w:rtl w:val="true"/>
          <w:lang w:bidi="ar-SA"/>
        </w:rPr>
        <w:t>الحاجةُ إلىٰ إمامٍ آخَرَ يَقطَعُ اختلافَهم، و ما يوجِبُ الغِنىٰ عن ذلكَ في اختلافِهم يَنقُضُ ما ذَكَروه مِن عِلّتِهم</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نُنكِرُ</w:t>
      </w:r>
      <w:r>
        <w:rPr>
          <w:rStyle w:val="FootnoteAnchor"/>
          <w:rtl w:val="true"/>
        </w:rPr>
        <w:footnoteReference w:id="1837"/>
      </w:r>
      <w:r>
        <w:rPr>
          <w:rFonts w:ascii="Amiri" w:hAnsi="Amiri" w:eastAsia="Amiri" w:cs="Amiri"/>
          <w:color w:val="111111"/>
          <w:sz w:val="28"/>
          <w:sz w:val="28"/>
          <w:szCs w:val="28"/>
          <w:rtl w:val="true"/>
          <w:lang w:bidi="ar-SA"/>
        </w:rPr>
        <w:t>اختلافَ مَن اعتَرَفَ بالحُجّةِ في مَذاهِبَ، إلّاأنّهم لَم يَختَلِفوا إلّافيما عليه دليلٌ ذَهَبَ عن طريقِه بعضٌ و وَصَلَ إليه بعضٌ ،</w:t>
      </w:r>
      <w:r>
        <w:rPr>
          <w:rStyle w:val="FootnoteAnchor"/>
          <w:rtl w:val="true"/>
        </w:rPr>
        <w:footnoteReference w:id="1838"/>
      </w:r>
      <w:r>
        <w:rPr>
          <w:rFonts w:ascii="Amiri" w:hAnsi="Amiri" w:eastAsia="Amiri" w:cs="Amiri"/>
          <w:color w:val="111111"/>
          <w:sz w:val="28"/>
          <w:sz w:val="28"/>
          <w:szCs w:val="28"/>
          <w:rtl w:val="true"/>
          <w:lang w:bidi="ar-SA"/>
        </w:rPr>
        <w:t xml:space="preserve">و لَيسَ كذلك اختلافُ مخالِفيهم فيما لا دليلَ عليه مِن الشرعيّاتِ ، و مَن شَكَّ فيما ذَكَرناه كانَت المِحنةُ </w:t>
      </w:r>
      <w:r>
        <w:rPr>
          <w:rStyle w:val="FootnoteAnchor"/>
          <w:rtl w:val="true"/>
        </w:rPr>
        <w:footnoteReference w:id="1839"/>
      </w:r>
      <w:r>
        <w:rPr>
          <w:rFonts w:ascii="Amiri" w:hAnsi="Amiri" w:eastAsia="Amiri" w:cs="Amiri"/>
          <w:color w:val="111111"/>
          <w:sz w:val="28"/>
          <w:sz w:val="28"/>
          <w:szCs w:val="28"/>
          <w:rtl w:val="true"/>
          <w:lang w:bidi="ar-SA"/>
        </w:rPr>
        <w:t xml:space="preserve">بَينَنا و بَينَه في ذلكَ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828712_2320776876"/>
      <w:bookmarkStart w:id="625" w:name="_Toc221"/>
      <w:bookmarkEnd w:id="624"/>
      <w:r>
        <w:rPr>
          <w:rtl w:val="true"/>
        </w:rPr>
        <w:t>منعُ أمير المؤمنين من الاجتهاد و الاختلاف</w:t>
      </w:r>
      <w:bookmarkEnd w:id="62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نَعرِفُه مِن حالِ مَن تَقدَّمَ مِن الأئمّةِ يَمنَعُ مِن هذا القولِ ؛ لأنّهم كانوا لا يَمنَعونَ مِن الاختلافِ و الاجتهادِ</w:t>
      </w:r>
      <w:r>
        <w:rPr>
          <w:rStyle w:val="FootnoteAnchor"/>
          <w:rtl w:val="true"/>
        </w:rPr>
        <w:footnoteReference w:id="1841"/>
      </w:r>
      <w:r>
        <w:rPr>
          <w:rFonts w:ascii="Amiri" w:hAnsi="Amiri" w:eastAsia="Amiri" w:cs="Amiri"/>
          <w:color w:val="111111"/>
          <w:sz w:val="28"/>
          <w:sz w:val="28"/>
          <w:szCs w:val="28"/>
          <w:rtl w:val="true"/>
          <w:lang w:bidi="ar-SA"/>
        </w:rPr>
        <w:t xml:space="preserve">، و الثابتُ </w:t>
      </w:r>
      <w:r>
        <w:rPr>
          <w:rStyle w:val="FootnoteAnchor"/>
          <w:rtl w:val="true"/>
        </w:rPr>
        <w:footnoteReference w:id="1842"/>
      </w:r>
      <w:r>
        <w:rPr>
          <w:rFonts w:ascii="Amiri" w:hAnsi="Amiri" w:eastAsia="Amiri" w:cs="Amiri"/>
          <w:color w:val="111111"/>
          <w:sz w:val="28"/>
          <w:sz w:val="28"/>
          <w:szCs w:val="28"/>
          <w:rtl w:val="true"/>
          <w:lang w:bidi="ar-SA"/>
        </w:rPr>
        <w:t xml:space="preserve">عن أميرِ </w:t>
      </w:r>
    </w:p>
    <w:p>
      <w:pPr>
        <w:pStyle w:val="BookText"/>
        <w:rPr/>
      </w:pPr>
      <w:r>
        <w:rPr>
          <w:rFonts w:ascii="Amiri" w:hAnsi="Amiri" w:eastAsia="Amiri" w:cs="Amiri"/>
          <w:color w:val="111111"/>
          <w:sz w:val="28"/>
          <w:sz w:val="28"/>
          <w:szCs w:val="28"/>
          <w:rtl w:val="true"/>
          <w:lang w:bidi="ar-SA"/>
        </w:rPr>
        <w:t>المؤمِنينَ عليه السلامُ أنّه كانَ لا يَمنَعُ مِن ذلكَ، بل كان يُجيزُ لِمَن يُخالِفُه في المَذاهبِ‌</w:t>
      </w:r>
      <w:r>
        <w:rPr>
          <w:rStyle w:val="FootnoteAnchor"/>
          <w:rtl w:val="true"/>
        </w:rPr>
        <w:footnoteReference w:id="1843"/>
      </w:r>
      <w:r>
        <w:rPr>
          <w:rFonts w:ascii="Amiri" w:hAnsi="Amiri" w:eastAsia="Amiri" w:cs="Amiri"/>
          <w:color w:val="111111"/>
          <w:sz w:val="28"/>
          <w:sz w:val="28"/>
          <w:szCs w:val="28"/>
          <w:rtl w:val="true"/>
          <w:lang w:bidi="ar-SA"/>
        </w:rPr>
        <w:t xml:space="preserve">أن يَحكُمَ و يُفتيَ ، و يولّيهِ الأُمورَ، و كان يَرجِعُ </w:t>
      </w:r>
      <w:r>
        <w:rPr>
          <w:rStyle w:val="FootnoteAnchor"/>
          <w:rtl w:val="true"/>
        </w:rPr>
        <w:footnoteReference w:id="1844"/>
      </w:r>
      <w:r>
        <w:rPr>
          <w:rFonts w:ascii="Amiri" w:hAnsi="Amiri" w:eastAsia="Amiri" w:cs="Amiri"/>
          <w:color w:val="111111"/>
          <w:sz w:val="28"/>
          <w:sz w:val="28"/>
          <w:szCs w:val="28"/>
          <w:rtl w:val="true"/>
          <w:lang w:bidi="ar-SA"/>
        </w:rPr>
        <w:t xml:space="preserve">مِن اجتهادٍ إلَى اجتهادٍ، و تَختَلِفُ </w:t>
      </w:r>
      <w:r>
        <w:rPr>
          <w:rStyle w:val="FootnoteAnchor"/>
          <w:rtl w:val="true"/>
        </w:rPr>
        <w:footnoteReference w:id="1845"/>
      </w:r>
      <w:r>
        <w:rPr>
          <w:rFonts w:ascii="Amiri" w:hAnsi="Amiri" w:eastAsia="Amiri" w:cs="Amiri"/>
          <w:color w:val="111111"/>
          <w:sz w:val="28"/>
          <w:sz w:val="28"/>
          <w:szCs w:val="28"/>
          <w:rtl w:val="true"/>
          <w:lang w:bidi="ar-SA"/>
        </w:rPr>
        <w:t xml:space="preserve">مَذاهبُه علىٰ ما ظَهَرَت الروايةُ به، و كُلُّ ذلك يبيِّنُ فَسادَ هذا الجنسِ مِن التعليلِ </w:t>
      </w:r>
      <w:r>
        <w:rPr>
          <w:rFonts w:eastAsia="Amiri" w:cs="Amiri" w:ascii="Amiri" w:hAnsi="Amiri"/>
          <w:color w:val="111111"/>
          <w:sz w:val="28"/>
          <w:szCs w:val="28"/>
          <w:rtl w:val="true"/>
          <w:lang w:bidi="ar-SA"/>
        </w:rPr>
        <w:t>.</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في نُصرةِ الاجتهادِ، و قد جَعَلنا لاستقصائه مَوضِعاً غيرَ هذا،</w:t>
      </w:r>
      <w:r>
        <w:rPr>
          <w:rStyle w:val="FootnoteAnchor"/>
          <w:rtl w:val="true"/>
        </w:rPr>
        <w:footnoteReference w:id="1847"/>
      </w:r>
      <w:r>
        <w:rPr>
          <w:rFonts w:ascii="Amiri" w:hAnsi="Amiri" w:eastAsia="Amiri" w:cs="Amiri"/>
          <w:color w:val="111111"/>
          <w:sz w:val="28"/>
          <w:sz w:val="28"/>
          <w:szCs w:val="28"/>
          <w:rtl w:val="true"/>
          <w:lang w:bidi="ar-SA"/>
        </w:rPr>
        <w:t>غيرَ أنّا لا نُخلي هذا المَوضعَ مِن كلامٍ فيه و ردٍّ لِما اعتَمَده</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أمّا قولُكَ أنّ‌</w:t>
      </w:r>
      <w:r>
        <w:rPr>
          <w:rStyle w:val="FootnoteAnchor"/>
          <w:rtl w:val="true"/>
        </w:rPr>
        <w:footnoteReference w:id="1849"/>
      </w:r>
      <w:r>
        <w:rPr>
          <w:rFonts w:ascii="Amiri" w:hAnsi="Amiri" w:eastAsia="Amiri" w:cs="Amiri"/>
          <w:color w:val="111111"/>
          <w:sz w:val="28"/>
          <w:sz w:val="28"/>
          <w:szCs w:val="28"/>
          <w:rtl w:val="true"/>
          <w:lang w:bidi="ar-SA"/>
        </w:rPr>
        <w:t>أميرَ المؤمِنينَ عليه السلامُ و غيرَه مِن الأئمّةِ عندَكَ كانوا لا يَمنَعونَ مِن الاجتهادِ و الاختلافِ‌</w:t>
      </w:r>
      <w:r>
        <w:rPr>
          <w:rStyle w:val="FootnoteAnchor"/>
          <w:rtl w:val="true"/>
        </w:rPr>
        <w:footnoteReference w:id="1850"/>
      </w:r>
      <w:r>
        <w:rPr>
          <w:rFonts w:ascii="Amiri" w:hAnsi="Amiri" w:eastAsia="Amiri" w:cs="Amiri"/>
          <w:color w:val="111111"/>
          <w:sz w:val="28"/>
          <w:sz w:val="28"/>
          <w:szCs w:val="28"/>
          <w:rtl w:val="true"/>
          <w:lang w:bidi="ar-SA"/>
        </w:rPr>
        <w:t>، فالمعلومُ مِن حالِهم خِلافُ ما ادَّعَيتَه؛ لأنّ الثابتَ عنهم و عن أميرِ المؤمِنينَ عليه السلامُ خاصّةً مناظَرةُ المخالِفينَ و مطالَبتُهم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بالرجوعِ إلَى الحقِّ، و لَيسَ يَجِبُ أن يُستَعمَلَ مِن المَنعِ أكثَرُ ممّا ذَكَرناه؛ لأنّ المَنعَ بالقَهرِ أو الضربِ و السَّبِّ‌</w:t>
      </w:r>
      <w:r>
        <w:rPr>
          <w:rStyle w:val="FootnoteAnchor"/>
          <w:rtl w:val="true"/>
        </w:rPr>
        <w:footnoteReference w:id="1851"/>
      </w:r>
      <w:r>
        <w:rPr>
          <w:rFonts w:ascii="Amiri" w:hAnsi="Amiri" w:eastAsia="Amiri" w:cs="Amiri"/>
          <w:color w:val="111111"/>
          <w:sz w:val="28"/>
          <w:sz w:val="28"/>
          <w:szCs w:val="28"/>
          <w:rtl w:val="true"/>
          <w:lang w:bidi="ar-SA"/>
        </w:rPr>
        <w:t xml:space="preserve">إذا كانَ ممّا لا يَحسُنُ استعمالُه مع المخالِفينَ في كثيرٍ مِن الأصولِ فأَولىٰ أن لا يُستَعمَلَ مع المخالِفِ في الفروعِ ، فمَن ادَّعىٰ أنّهم سوَّغوا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لَم يَظهَرْ مِنهم في المَنعِ مِنه</w:t>
      </w:r>
      <w:r>
        <w:rPr>
          <w:rStyle w:val="FootnoteAnchor"/>
          <w:rtl w:val="true"/>
        </w:rPr>
        <w:footnoteReference w:id="1852"/>
      </w:r>
      <w:r>
        <w:rPr>
          <w:rFonts w:ascii="Amiri" w:hAnsi="Amiri" w:eastAsia="Amiri" w:cs="Amiri"/>
          <w:color w:val="111111"/>
          <w:sz w:val="28"/>
          <w:sz w:val="28"/>
          <w:szCs w:val="28"/>
          <w:rtl w:val="true"/>
          <w:lang w:bidi="ar-SA"/>
        </w:rPr>
        <w:t xml:space="preserve">أكثَرُ مِن المناظَرةِ و المُحاجّةِ </w:t>
      </w:r>
    </w:p>
    <w:p>
      <w:pPr>
        <w:pStyle w:val="BookText"/>
        <w:rPr/>
      </w:pPr>
      <w:r>
        <w:rPr>
          <w:rFonts w:ascii="Amiri" w:hAnsi="Amiri" w:eastAsia="Amiri" w:cs="Amiri"/>
          <w:color w:val="111111"/>
          <w:sz w:val="28"/>
          <w:sz w:val="28"/>
          <w:szCs w:val="28"/>
          <w:rtl w:val="true"/>
          <w:lang w:bidi="ar-SA"/>
        </w:rPr>
        <w:t xml:space="preserve">و الدُّعاءِ و 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ادَّعىٰ أنّهم سوَّغوا الخِلافَ في الأُصولِ لأنّهم لَم يَتعَدَّوا في كثيرٍ مِنها هذه الطريقةَ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ما ذَكَرناه مِن إنكارِ القومِ علىٰ مَن خالَفَهم</w:t>
      </w:r>
      <w:r>
        <w:rPr>
          <w:rFonts w:eastAsia="Amiri" w:cs="Amiri" w:ascii="Amiri" w:hAnsi="Amiri"/>
          <w:color w:val="111111"/>
          <w:sz w:val="28"/>
          <w:szCs w:val="28"/>
          <w:rtl w:val="true"/>
          <w:lang w:bidi="ar-SA"/>
        </w:rPr>
        <w:t>:</w:t>
      </w:r>
      <w:r>
        <w:rPr>
          <w:rStyle w:val="FootnoteAnchor"/>
          <w:rtl w:val="true"/>
        </w:rPr>
        <w:footnoteReference w:id="1853"/>
      </w:r>
      <w:r>
        <w:rPr>
          <w:rFonts w:ascii="Amiri" w:hAnsi="Amiri" w:eastAsia="Amiri" w:cs="Amiri"/>
          <w:color w:val="111111"/>
          <w:sz w:val="28"/>
          <w:sz w:val="28"/>
          <w:szCs w:val="28"/>
          <w:rtl w:val="true"/>
          <w:lang w:bidi="ar-SA"/>
        </w:rPr>
        <w:t>ما تَظاهَرَت به الروايةُ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باهَلتُه</w:t>
      </w:r>
      <w:r>
        <w:rPr>
          <w:rStyle w:val="FootnoteAnchor"/>
          <w:rtl w:val="true"/>
        </w:rPr>
        <w:footnoteReference w:id="1854"/>
      </w:r>
      <w:r>
        <w:rPr>
          <w:rFonts w:ascii="Amiri" w:hAnsi="Amiri" w:eastAsia="Amiri" w:cs="Amiri"/>
          <w:color w:val="111111"/>
          <w:sz w:val="28"/>
          <w:sz w:val="28"/>
          <w:szCs w:val="28"/>
          <w:rtl w:val="true"/>
          <w:lang w:bidi="ar-SA"/>
        </w:rPr>
        <w:t xml:space="preserve">في بابِ العَولِ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يَتَّقي اللّهَ زيدُ بنُ ثابتٍ ؛ يَجعَلُ ابنَ الابنِ ابناً، و لا يَجعَلُ أبا الأبِ أباً</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لهذه الأخبارِ أمثالٌ كثيرةٌ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1859"/>
      </w:r>
      <w:r>
        <w:rPr>
          <w:rFonts w:ascii="Amiri" w:hAnsi="Amiri" w:eastAsia="Amiri" w:cs="Amiri"/>
          <w:color w:val="111111"/>
          <w:sz w:val="28"/>
          <w:sz w:val="28"/>
          <w:szCs w:val="28"/>
          <w:rtl w:val="true"/>
          <w:lang w:bidi="ar-SA"/>
        </w:rPr>
        <w:t>تَوليةُ أميرِ المؤمِنينَ عليه السلامُ المخالِفينَ له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نَعرِفُ مِن وُلاتِه مَن يُقطَعُ‌</w:t>
      </w:r>
      <w:r>
        <w:rPr>
          <w:rStyle w:val="FootnoteAnchor"/>
          <w:rtl w:val="true"/>
        </w:rPr>
        <w:footnoteReference w:id="1860"/>
      </w:r>
      <w:r>
        <w:rPr>
          <w:rFonts w:ascii="Amiri" w:hAnsi="Amiri" w:eastAsia="Amiri" w:cs="Amiri"/>
          <w:color w:val="111111"/>
          <w:sz w:val="28"/>
          <w:sz w:val="28"/>
          <w:szCs w:val="28"/>
          <w:rtl w:val="true"/>
          <w:lang w:bidi="ar-SA"/>
        </w:rPr>
        <w:t>علىٰ خِلافِه له، و لَو ثَبَتَ ذلكَ لَم يَمتَنِعْ‌</w:t>
      </w:r>
      <w:r>
        <w:rPr>
          <w:rStyle w:val="FootnoteAnchor"/>
          <w:rtl w:val="true"/>
        </w:rPr>
        <w:footnoteReference w:id="1861"/>
      </w:r>
      <w:r>
        <w:rPr>
          <w:rFonts w:ascii="Amiri" w:hAnsi="Amiri" w:eastAsia="Amiri" w:cs="Amiri"/>
          <w:color w:val="111111"/>
          <w:sz w:val="28"/>
          <w:sz w:val="28"/>
          <w:szCs w:val="28"/>
          <w:rtl w:val="true"/>
          <w:lang w:bidi="ar-SA"/>
        </w:rPr>
        <w:t>أن يَفعَلَه عليه السلامُ‌علىٰ وجهِ الاستصلاحِ و التآلُفِ؛ فالظاهرُ مِن أحوالِه عليه السلامُ أنّه في حالِ وِلايتِه الأمرَ لَم يَكُن متمَكِّناً مِن جميعِ مُراداتِه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في قولِه</w:t>
      </w:r>
      <w:r>
        <w:rPr>
          <w:rStyle w:val="FootnoteAnchor"/>
          <w:rtl w:val="true"/>
        </w:rPr>
        <w:footnoteReference w:id="1862"/>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لو ثُنِيَ </w:t>
      </w:r>
      <w:r>
        <w:rPr>
          <w:rStyle w:val="FootnoteAnchor"/>
          <w:rtl w:val="true"/>
        </w:rPr>
        <w:footnoteReference w:id="1863"/>
      </w:r>
      <w:r>
        <w:rPr>
          <w:rFonts w:ascii="Amiri" w:hAnsi="Amiri" w:eastAsia="Amiri" w:cs="Amiri"/>
          <w:color w:val="111111"/>
          <w:sz w:val="28"/>
          <w:sz w:val="28"/>
          <w:szCs w:val="28"/>
          <w:rtl w:val="true"/>
          <w:lang w:bidi="ar-SA"/>
        </w:rPr>
        <w:t>الوِسادةُ لي لَحَكَمتُ بَينَ أهلِ التَّوراةِ بتَوراتِهم، و بَينَ أهلِ الإنجيلِ بإنجيلِهم، و بَينَ أهلِ الزَّبورِ بزَبورِهم</w:t>
      </w:r>
      <w:r>
        <w:rPr>
          <w:rStyle w:val="FootnoteAnchor"/>
          <w:rtl w:val="true"/>
        </w:rPr>
        <w:footnoteReference w:id="18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أهلِ الفُرقانِ بفُرقانِهم</w:t>
      </w:r>
      <w:r>
        <w:rPr>
          <w:rStyle w:val="FootnoteAnchor"/>
          <w:rtl w:val="true"/>
        </w:rPr>
        <w:footnoteReference w:id="1865"/>
      </w:r>
      <w:r>
        <w:rPr>
          <w:rFonts w:ascii="Amiri" w:hAnsi="Amiri" w:eastAsia="Amiri" w:cs="Amiri"/>
          <w:color w:val="111111"/>
          <w:sz w:val="28"/>
          <w:sz w:val="28"/>
          <w:szCs w:val="28"/>
          <w:rtl w:val="true"/>
          <w:lang w:bidi="ar-SA"/>
        </w:rPr>
        <w:t>حتّىٰ يَزهَرَ</w:t>
      </w:r>
      <w:r>
        <w:rPr>
          <w:rStyle w:val="FootnoteAnchor"/>
          <w:rtl w:val="true"/>
        </w:rPr>
        <w:footnoteReference w:id="1866"/>
      </w:r>
      <w:r>
        <w:rPr>
          <w:rFonts w:ascii="Amiri" w:hAnsi="Amiri" w:eastAsia="Amiri" w:cs="Amiri"/>
          <w:color w:val="111111"/>
          <w:sz w:val="28"/>
          <w:sz w:val="28"/>
          <w:szCs w:val="28"/>
          <w:rtl w:val="true"/>
          <w:lang w:bidi="ar-SA"/>
        </w:rPr>
        <w:t xml:space="preserve">كُلُّ كتابٍ مِن هذه الكُتُبِ فيَقولَ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للمحقق الحلّي،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المبسوط للسرخسي، 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أُصول السرخسي،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المستصفى للغزالي،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بداية المجتهد لابن رشد،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التفسير الكبير للرازي،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المحصول للرازي،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المغني لابن قدامة،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شرح نهج البلاغة لابن أبي الحديد،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عليّاً قد قَضىٰ بقَضائكَ</w:t>
      </w:r>
      <w:r>
        <w:rPr>
          <w:rFonts w:eastAsia="Amiri" w:cs="Amiri" w:ascii="Amiri" w:hAnsi="Amiri"/>
          <w:color w:val="111111"/>
          <w:sz w:val="28"/>
          <w:szCs w:val="28"/>
          <w:rtl w:val="true"/>
          <w:lang w:bidi="ar-SA"/>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و قد سأله قُضاتُه عمّا يَقضونَ به، فقالَ‌</w:t>
      </w:r>
      <w:r>
        <w:rPr>
          <w:rStyle w:val="FootnoteAnchor"/>
          <w:rtl w:val="true"/>
        </w:rPr>
        <w:footnoteReference w:id="1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الناسُ جَماعةً، أو أموتَ كما ماتَ أصحابي</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يَعني مَن تَقدَّمَ مَوتُه لحالِ وِلايتِه مِن أوليائه و شيعتِه الذينَ قَبَضَهم اللّٰهُ تَعالىٰ إليه</w:t>
      </w:r>
      <w:r>
        <w:rPr>
          <w:rStyle w:val="FootnoteAnchor"/>
          <w:rtl w:val="true"/>
        </w:rPr>
        <w:footnoteReference w:id="1871"/>
      </w:r>
      <w:r>
        <w:rPr>
          <w:rFonts w:ascii="Amiri" w:hAnsi="Amiri" w:eastAsia="Amiri" w:cs="Amiri"/>
          <w:color w:val="111111"/>
          <w:sz w:val="28"/>
          <w:sz w:val="28"/>
          <w:szCs w:val="28"/>
          <w:rtl w:val="true"/>
          <w:lang w:bidi="ar-SA"/>
        </w:rPr>
        <w:t>و هُم</w:t>
      </w:r>
      <w:r>
        <w:rPr>
          <w:rStyle w:val="FootnoteAnchor"/>
          <w:rtl w:val="true"/>
        </w:rPr>
        <w:footnoteReference w:id="1872"/>
      </w:r>
      <w:r>
        <w:rPr>
          <w:rFonts w:ascii="Amiri" w:hAnsi="Amiri" w:eastAsia="Amiri" w:cs="Amiri"/>
          <w:color w:val="111111"/>
          <w:sz w:val="28"/>
          <w:sz w:val="28"/>
          <w:szCs w:val="28"/>
          <w:rtl w:val="true"/>
          <w:lang w:bidi="ar-SA"/>
        </w:rPr>
        <w:t>علىٰ حالةِ‌</w:t>
      </w:r>
      <w:r>
        <w:rPr>
          <w:rStyle w:val="FootnoteAnchor"/>
          <w:rtl w:val="true"/>
        </w:rPr>
        <w:footnoteReference w:id="1873"/>
      </w:r>
      <w:r>
        <w:rPr>
          <w:rFonts w:ascii="Amiri" w:hAnsi="Amiri" w:eastAsia="Amiri" w:cs="Amiri"/>
          <w:color w:val="111111"/>
          <w:sz w:val="28"/>
          <w:sz w:val="28"/>
          <w:szCs w:val="28"/>
          <w:rtl w:val="true"/>
          <w:lang w:bidi="ar-SA"/>
        </w:rPr>
        <w:t>التمسُّكِ بالتقيّةِ</w:t>
      </w:r>
      <w:r>
        <w:rPr>
          <w:rFonts w:eastAsia="Amiri" w:cs="Amiri" w:ascii="Amiri" w:hAnsi="Amiri"/>
          <w:color w:val="111111"/>
          <w:sz w:val="28"/>
          <w:szCs w:val="28"/>
          <w:rtl w:val="true"/>
          <w:lang w:bidi="ar-SA"/>
        </w:rPr>
        <w:t>.</w:t>
      </w:r>
      <w:r>
        <w:rPr>
          <w:rStyle w:val="FootnoteAnchor"/>
          <w:rtl w:val="true"/>
        </w:rPr>
        <w:footnoteReference w:id="187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الرجوعُ مِن اجتهادٍ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معلومٍ مِنه صلواتُ اللّٰه عليه،</w:t>
      </w:r>
      <w:r>
        <w:rPr>
          <w:rStyle w:val="FootnoteAnchor"/>
          <w:rtl w:val="true"/>
        </w:rPr>
        <w:footnoteReference w:id="1875"/>
      </w:r>
      <w:r>
        <w:rPr>
          <w:rFonts w:ascii="Amiri" w:hAnsi="Amiri" w:eastAsia="Amiri" w:cs="Amiri"/>
          <w:color w:val="111111"/>
          <w:sz w:val="28"/>
          <w:sz w:val="28"/>
          <w:szCs w:val="28"/>
          <w:rtl w:val="true"/>
          <w:lang w:bidi="ar-SA"/>
        </w:rPr>
        <w:t xml:space="preserve">و أكثرُ </w:t>
      </w:r>
    </w:p>
    <w:p>
      <w:pPr>
        <w:pStyle w:val="BookText"/>
        <w:rPr/>
      </w:pPr>
      <w:r>
        <w:rPr>
          <w:rFonts w:ascii="Amiri" w:hAnsi="Amiri" w:eastAsia="Amiri" w:cs="Amiri"/>
          <w:color w:val="111111"/>
          <w:sz w:val="28"/>
          <w:sz w:val="28"/>
          <w:szCs w:val="28"/>
          <w:rtl w:val="true"/>
          <w:lang w:bidi="ar-SA"/>
        </w:rPr>
        <w:t>ما يَدَّعيه المخالِفونَ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قولِ عبيدةَ‌</w:t>
      </w:r>
      <w:r>
        <w:rPr>
          <w:rStyle w:val="FootnoteAnchor"/>
          <w:rtl w:val="true"/>
        </w:rPr>
        <w:footnoteReference w:id="1876"/>
      </w:r>
      <w:r>
        <w:rPr>
          <w:rFonts w:ascii="Amiri" w:hAnsi="Amiri" w:eastAsia="Amiri" w:cs="Amiri"/>
          <w:color w:val="111111"/>
          <w:sz w:val="28"/>
          <w:sz w:val="28"/>
          <w:szCs w:val="28"/>
          <w:rtl w:val="true"/>
          <w:lang w:bidi="ar-SA"/>
        </w:rPr>
        <w:t>السَّلمانيِّ‌</w:t>
      </w:r>
      <w:r>
        <w:rPr>
          <w:rStyle w:val="FootnoteAnchor"/>
          <w:rtl w:val="true"/>
        </w:rPr>
        <w:footnoteReference w:id="1877"/>
      </w:r>
      <w:r>
        <w:rPr>
          <w:rFonts w:ascii="Amiri" w:hAnsi="Amiri" w:eastAsia="Amiri" w:cs="Amiri"/>
          <w:color w:val="111111"/>
          <w:sz w:val="28"/>
          <w:sz w:val="28"/>
          <w:szCs w:val="28"/>
          <w:rtl w:val="true"/>
          <w:lang w:bidi="ar-SA"/>
        </w:rPr>
        <w:t>و قد سأله عن بَيعِ أُمَّهاتِ الأولادِ،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رأيي و رأيُ عُمَرَ أن لا يُبَعنَ، و رأيي الآنَ أن يُبَعنَ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عبيدةَ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رأيُكَ في الجَماعةِ أحَبُّ إلينا مِن رأيِكَ في الفُرقةِ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9"/>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آله لا يرتكب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رسول اللّٰه إلى اليمن قاضياً بين أهله،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تبعث بي و أنا شابّ ، و لا علم لي بكثير من القضاء؟ فضرب بيده علىٰ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 ثَبِّتْ لسانه؛ فما شككتُ في قضاءٍ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يضادّ الحكاية عنه أنّه كان يقول بالرأي؛ لأنّ القول بالرأي يوجب الشكّ في الأحكام و قد نفىٰ عن نفسه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ثُني لي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شأنه لا تجوز عليه الأحكام المختلفة؛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المدينة فليأت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خبرُ واحدٍ، و قد رَدَّه أكثرُ الناسِ‌</w:t>
      </w:r>
      <w:r>
        <w:rPr>
          <w:rStyle w:val="FootnoteAnchor"/>
          <w:rtl w:val="true"/>
        </w:rPr>
        <w:footnoteReference w:id="1880"/>
      </w:r>
      <w:r>
        <w:rPr>
          <w:rFonts w:ascii="Amiri" w:hAnsi="Amiri" w:eastAsia="Amiri" w:cs="Amiri"/>
          <w:color w:val="111111"/>
          <w:sz w:val="28"/>
          <w:sz w:val="28"/>
          <w:szCs w:val="28"/>
          <w:rtl w:val="true"/>
          <w:lang w:bidi="ar-SA"/>
        </w:rPr>
        <w:t>، و طَعَنوا في طريقِه</w:t>
      </w:r>
      <w:r>
        <w:rPr>
          <w:rStyle w:val="FootnoteAnchor"/>
          <w:rtl w:val="true"/>
        </w:rPr>
        <w:footnoteReference w:id="1881"/>
      </w:r>
      <w:r>
        <w:rPr>
          <w:rFonts w:ascii="Amiri" w:hAnsi="Amiri" w:eastAsia="Amiri" w:cs="Amiri"/>
          <w:color w:val="111111"/>
          <w:sz w:val="28"/>
          <w:sz w:val="28"/>
          <w:szCs w:val="28"/>
          <w:rtl w:val="true"/>
          <w:lang w:bidi="ar-SA"/>
        </w:rPr>
        <w:t>، و لَو صَحَّ لَم يَكُن مصحِّحاً للاجتهادِ الذي يَدَّعيه المخالِفونَ ؛</w:t>
      </w:r>
      <w:r>
        <w:rPr>
          <w:rStyle w:val="FootnoteAnchor"/>
          <w:rtl w:val="true"/>
        </w:rPr>
        <w:footnoteReference w:id="1882"/>
      </w:r>
      <w:r>
        <w:rPr>
          <w:rFonts w:ascii="Amiri" w:hAnsi="Amiri" w:eastAsia="Amiri" w:cs="Amiri"/>
          <w:color w:val="111111"/>
          <w:sz w:val="28"/>
          <w:sz w:val="28"/>
          <w:szCs w:val="28"/>
          <w:rtl w:val="true"/>
          <w:lang w:bidi="ar-SA"/>
        </w:rPr>
        <w:t xml:space="preserve">لأنّه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مَذاهبِنا</w:t>
      </w:r>
      <w:r>
        <w:rPr>
          <w:rStyle w:val="FootnoteAnchor"/>
          <w:rtl w:val="true"/>
        </w:rPr>
        <w:footnoteReference w:id="1883"/>
      </w:r>
      <w:r>
        <w:rPr>
          <w:rFonts w:ascii="Amiri" w:hAnsi="Amiri" w:eastAsia="Amiri" w:cs="Amiri"/>
          <w:color w:val="111111"/>
          <w:sz w:val="28"/>
          <w:sz w:val="28"/>
          <w:szCs w:val="28"/>
          <w:rtl w:val="true"/>
          <w:lang w:bidi="ar-SA"/>
        </w:rPr>
        <w:t>في حُسنِ التقيّةِ ، بل</w:t>
      </w:r>
      <w:r>
        <w:rPr>
          <w:rStyle w:val="FootnoteAnchor"/>
          <w:rtl w:val="true"/>
        </w:rPr>
        <w:footnoteReference w:id="1884"/>
      </w:r>
      <w:r>
        <w:rPr>
          <w:rFonts w:ascii="Amiri" w:hAnsi="Amiri" w:eastAsia="Amiri" w:cs="Amiri"/>
          <w:color w:val="111111"/>
          <w:sz w:val="28"/>
          <w:sz w:val="28"/>
          <w:szCs w:val="28"/>
          <w:rtl w:val="true"/>
          <w:lang w:bidi="ar-SA"/>
        </w:rPr>
        <w:t xml:space="preserve">وجوبِها في بعضِ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عليه السلامُ أظهَرَ موافَقةَ عُمَرَ لِما عَلِمَه في ذلكَ مِن الاستصلاحِ </w:t>
      </w:r>
      <w:r>
        <w:rPr>
          <w:rStyle w:val="FootnoteAnchor"/>
          <w:rtl w:val="true"/>
        </w:rPr>
        <w:footnoteReference w:id="1885"/>
      </w:r>
      <w:r>
        <w:rPr>
          <w:rFonts w:ascii="Amiri" w:hAnsi="Amiri" w:eastAsia="Amiri" w:cs="Amiri"/>
          <w:color w:val="111111"/>
          <w:sz w:val="28"/>
          <w:sz w:val="28"/>
          <w:szCs w:val="28"/>
          <w:rtl w:val="true"/>
          <w:lang w:bidi="ar-SA"/>
        </w:rPr>
        <w:t xml:space="preserve">، و لمّا زالَ ما أَوجَبَ إظهارَ الموافَقةِ أظهَرَ المخالفةَ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Style w:val="FootnoteAnchor"/>
          <w:rtl w:val="true"/>
        </w:rPr>
        <w:footnoteReference w:id="1886"/>
      </w:r>
      <w:r>
        <w:rPr>
          <w:rFonts w:ascii="Amiri" w:hAnsi="Amiri" w:eastAsia="Amiri" w:cs="Amiri"/>
          <w:color w:val="111111"/>
          <w:sz w:val="28"/>
          <w:sz w:val="28"/>
          <w:szCs w:val="28"/>
          <w:rtl w:val="true"/>
          <w:lang w:bidi="ar-SA"/>
        </w:rPr>
        <w:t>كانَ يَجِبُ أن لا يُخالِفَ عُمَرَ في شيءٍ مِن مَذاهبِه، و قد رأيناه</w:t>
      </w:r>
      <w:r>
        <w:rPr>
          <w:rStyle w:val="FootnoteAnchor"/>
          <w:rtl w:val="true"/>
        </w:rPr>
        <w:footnoteReference w:id="1887"/>
      </w:r>
      <w:r>
        <w:rPr>
          <w:rFonts w:ascii="Amiri" w:hAnsi="Amiri" w:eastAsia="Amiri" w:cs="Amiri"/>
          <w:color w:val="111111"/>
          <w:sz w:val="28"/>
          <w:sz w:val="28"/>
          <w:szCs w:val="28"/>
          <w:rtl w:val="true"/>
          <w:lang w:bidi="ar-SA"/>
        </w:rPr>
        <w:t>خالَفَه في كثيرٍ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لا يَمتَنِعُ أن يَكونَ الخِلافُ في بعضِ المَذاهبِ يُثمِرُ مِن العَداوةِ و الفَسادِ ما</w:t>
      </w:r>
    </w:p>
    <w:p>
      <w:pPr>
        <w:pStyle w:val="BookText"/>
        <w:rPr/>
      </w:pPr>
      <w:r>
        <w:rPr>
          <w:rFonts w:ascii="Amiri" w:hAnsi="Amiri" w:eastAsia="Amiri" w:cs="Amiri"/>
          <w:color w:val="111111"/>
          <w:sz w:val="28"/>
          <w:sz w:val="28"/>
          <w:szCs w:val="28"/>
          <w:rtl w:val="true"/>
          <w:lang w:bidi="ar-SA"/>
        </w:rPr>
        <w:t>لا يُثمِرُه</w:t>
      </w:r>
      <w:r>
        <w:rPr>
          <w:rStyle w:val="FootnoteAnchor"/>
          <w:rtl w:val="true"/>
        </w:rPr>
        <w:footnoteReference w:id="1888"/>
      </w:r>
      <w:r>
        <w:rPr>
          <w:rFonts w:ascii="Amiri" w:hAnsi="Amiri" w:eastAsia="Amiri" w:cs="Amiri"/>
          <w:color w:val="111111"/>
          <w:sz w:val="28"/>
          <w:sz w:val="28"/>
          <w:szCs w:val="28"/>
          <w:rtl w:val="true"/>
          <w:lang w:bidi="ar-SA"/>
        </w:rPr>
        <w:t>غيرُه، و إن كانَ في الظاهرِ حالُه كحالِه</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و هذه أُمورٌ تَدُلُّ عليها الأحوالُ؛</w:t>
      </w:r>
      <w:r>
        <w:rPr>
          <w:rStyle w:val="FootnoteAnchor"/>
          <w:rtl w:val="true"/>
        </w:rPr>
        <w:footnoteReference w:id="1890"/>
      </w:r>
      <w:r>
        <w:rPr>
          <w:rFonts w:ascii="Amiri" w:hAnsi="Amiri" w:eastAsia="Amiri" w:cs="Amiri"/>
          <w:color w:val="111111"/>
          <w:sz w:val="28"/>
          <w:sz w:val="28"/>
          <w:szCs w:val="28"/>
          <w:rtl w:val="true"/>
          <w:lang w:bidi="ar-SA"/>
        </w:rPr>
        <w:t>فيَكونُ لبعضِها مَزيّةٌ علىٰ بعضٍ عندَ مَن شاهَدَ الحالَ، و إن كانَت عندَ غيرِه ممّن لَم يُشاهِدْها</w:t>
      </w:r>
      <w:r>
        <w:rPr>
          <w:rStyle w:val="FootnoteAnchor"/>
          <w:rtl w:val="true"/>
        </w:rPr>
        <w:footnoteReference w:id="1891"/>
      </w:r>
      <w:r>
        <w:rPr>
          <w:rFonts w:ascii="Amiri" w:hAnsi="Amiri" w:eastAsia="Amiri" w:cs="Amiri"/>
          <w:color w:val="111111"/>
          <w:sz w:val="28"/>
          <w:sz w:val="28"/>
          <w:szCs w:val="28"/>
          <w:rtl w:val="true"/>
          <w:lang w:bidi="ar-SA"/>
        </w:rPr>
        <w:t>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لَو عَدَلنا عن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w:t>
      </w:r>
      <w:r>
        <w:rPr>
          <w:rStyle w:val="FootnoteAnchor"/>
          <w:rtl w:val="true"/>
        </w:rPr>
        <w:footnoteReference w:id="1892"/>
      </w:r>
      <w:r>
        <w:rPr>
          <w:rFonts w:ascii="Amiri" w:hAnsi="Amiri" w:eastAsia="Amiri" w:cs="Amiri"/>
          <w:color w:val="111111"/>
          <w:sz w:val="28"/>
          <w:sz w:val="28"/>
          <w:szCs w:val="28"/>
          <w:rtl w:val="true"/>
          <w:lang w:bidi="ar-SA"/>
        </w:rPr>
        <w:t xml:space="preserve">الصحّةِ، و بَيِّنَ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فيما يُدَّعىٰ مِن الخبرِ دَلالةٌ علىٰ صحّةِ الاجتهادِ؛ لأنّه لا يُنكَرُ أن يَرجِعَ مِن قولٍ إلىٰ قولٍ بدليلٍ قاطعٍ‌</w:t>
      </w:r>
      <w:r>
        <w:rPr>
          <w:rStyle w:val="FootnoteAnchor"/>
          <w:rtl w:val="true"/>
        </w:rPr>
        <w:footnoteReference w:id="1893"/>
      </w:r>
      <w:r>
        <w:rPr>
          <w:rFonts w:ascii="Amiri" w:hAnsi="Amiri" w:eastAsia="Amiri" w:cs="Amiri"/>
          <w:color w:val="111111"/>
          <w:sz w:val="28"/>
          <w:sz w:val="28"/>
          <w:szCs w:val="28"/>
          <w:rtl w:val="true"/>
          <w:lang w:bidi="ar-SA"/>
        </w:rPr>
        <w:t xml:space="preserve">، و إنّما كانَ يكونُ </w:t>
      </w:r>
      <w:r>
        <w:rPr>
          <w:rStyle w:val="FootnoteAnchor"/>
          <w:rtl w:val="true"/>
        </w:rPr>
        <w:footnoteReference w:id="1894"/>
      </w:r>
      <w:r>
        <w:rPr>
          <w:rFonts w:ascii="Amiri" w:hAnsi="Amiri" w:eastAsia="Amiri" w:cs="Amiri"/>
          <w:color w:val="111111"/>
          <w:sz w:val="28"/>
          <w:sz w:val="28"/>
          <w:szCs w:val="28"/>
          <w:rtl w:val="true"/>
          <w:lang w:bidi="ar-SA"/>
        </w:rPr>
        <w:t>في الخبرِ متعَلَّقٌ لَو ثَبَتَ أنّه لا يُمكِنُ أن</w:t>
      </w:r>
      <w:r>
        <w:rPr>
          <w:rStyle w:val="FootnoteAnchor"/>
          <w:rtl w:val="true"/>
        </w:rPr>
        <w:footnoteReference w:id="1895"/>
      </w:r>
      <w:r>
        <w:rPr>
          <w:rFonts w:ascii="Amiri" w:hAnsi="Amiri" w:eastAsia="Amiri" w:cs="Amiri"/>
          <w:color w:val="111111"/>
          <w:sz w:val="28"/>
          <w:sz w:val="28"/>
          <w:szCs w:val="28"/>
          <w:rtl w:val="true"/>
          <w:lang w:bidi="ar-SA"/>
        </w:rPr>
        <w:t>يَرجِعَ مِن قولٍ إلىٰ قولٍ إلّابالاجتهادِ، فأمّا إذا كانَ مُمكِناً فلا فائدةَ في التعَلُّقِ به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الجوابُ و إن كانَ غيرَ صحيحٍ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أميرَ المؤمِنينَ عليه السلامُ لا يَجوزُ أن يَخفىٰ عليه الحقُّ المعلومُ بالدليلِ في وقتٍ ، حتّىٰ يَرجِعَ إليه في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w:t>
      </w:r>
      <w:r>
        <w:rPr>
          <w:rStyle w:val="FootnoteAnchor"/>
          <w:rtl w:val="true"/>
        </w:rPr>
        <w:footnoteReference w:id="1896"/>
      </w:r>
      <w:r>
        <w:rPr>
          <w:rFonts w:ascii="Amiri" w:hAnsi="Amiri" w:eastAsia="Amiri" w:cs="Amiri"/>
          <w:color w:val="111111"/>
          <w:sz w:val="28"/>
          <w:sz w:val="28"/>
          <w:szCs w:val="28"/>
          <w:rtl w:val="true"/>
          <w:lang w:bidi="ar-SA"/>
        </w:rPr>
        <w:t xml:space="preserve">ذَكَرناه لأنّ أُصولَ مَن تَعلَّقَ بهذا الخبرِ في صحّةِ الاجتهادِ لا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تُنافيه</w:t>
      </w:r>
      <w:r>
        <w:rPr>
          <w:rStyle w:val="FootnoteAnchor"/>
          <w:rtl w:val="true"/>
        </w:rPr>
        <w:footnoteReference w:id="1897"/>
      </w:r>
      <w:r>
        <w:rPr>
          <w:rFonts w:ascii="Amiri" w:hAnsi="Amiri" w:eastAsia="Amiri" w:cs="Amiri"/>
          <w:color w:val="111111"/>
          <w:sz w:val="28"/>
          <w:sz w:val="28"/>
          <w:szCs w:val="28"/>
          <w:rtl w:val="true"/>
          <w:lang w:bidi="ar-SA"/>
        </w:rPr>
        <w:t>، و إذا كانَت أُصولُهم تَقتَضي</w:t>
      </w:r>
      <w:r>
        <w:rPr>
          <w:rStyle w:val="FootnoteAnchor"/>
          <w:rtl w:val="true"/>
        </w:rPr>
        <w:footnoteReference w:id="1898"/>
      </w:r>
      <w:r>
        <w:rPr>
          <w:rFonts w:ascii="Amiri" w:hAnsi="Amiri" w:eastAsia="Amiri" w:cs="Amiri"/>
          <w:color w:val="111111"/>
          <w:sz w:val="28"/>
          <w:sz w:val="28"/>
          <w:szCs w:val="28"/>
          <w:rtl w:val="true"/>
          <w:lang w:bidi="ar-SA"/>
        </w:rPr>
        <w:t>جوازَ ما ذَكَرناه بَطَلَ تَعلُّقُهم به، و لَم يَكُن لهم أن يَستَدِلّوا بما أُصولُهم تَقتَضي أن لا دَلالةَ فيه</w:t>
      </w:r>
      <w:r>
        <w:rPr>
          <w:rFonts w:eastAsia="Amiri" w:cs="Amiri" w:ascii="Amiri" w:hAnsi="Amiri"/>
          <w:color w:val="111111"/>
          <w:sz w:val="28"/>
          <w:szCs w:val="28"/>
          <w:rtl w:val="true"/>
          <w:lang w:bidi="ar-SA"/>
        </w:rPr>
        <w:t xml:space="preserve">. </w:t>
      </w:r>
      <w:bookmarkStart w:id="626" w:name="pg20044_771014"/>
    </w:p>
    <w:p>
      <w:pPr>
        <w:pStyle w:val="Heading4"/>
        <w:numPr>
          <w:ilvl w:val="3"/>
          <w:numId w:val="1"/>
        </w:numPr>
        <w:rPr/>
      </w:pPr>
      <w:bookmarkStart w:id="627" w:name="__RefHeading___Toc828714_2320776876"/>
      <w:bookmarkStart w:id="628" w:name="_Toc222"/>
      <w:bookmarkEnd w:id="626"/>
      <w:bookmarkEnd w:id="627"/>
      <w:r>
        <w:rPr>
          <w:rtl w:val="true"/>
        </w:rPr>
        <w:t>الدليل الخامس معرفة ما يتّصل بمصالح أبدان المكلّفين و معايشهم</w:t>
      </w:r>
      <w:bookmarkEnd w:id="628"/>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صحّةِ ثَباتِ التكليفِ علَى المكلَّفينَ في كُلِّ زمانٍ </w:t>
      </w:r>
      <w:r>
        <w:rPr>
          <w:rStyle w:val="FootnoteAnchor"/>
          <w:rtl w:val="true"/>
        </w:rPr>
        <w:footnoteReference w:id="1899"/>
      </w:r>
      <w:r>
        <w:rPr>
          <w:rFonts w:ascii="Amiri" w:hAnsi="Amiri" w:eastAsia="Amiri" w:cs="Amiri"/>
          <w:color w:val="111111"/>
          <w:sz w:val="28"/>
          <w:sz w:val="28"/>
          <w:szCs w:val="28"/>
          <w:rtl w:val="true"/>
          <w:lang w:bidi="ar-SA"/>
        </w:rPr>
        <w:t>أن يَعرِفوا ما لا يَصِحُّ لهم غِنىً عن الأئمّةِ فيه ممّا يَتَّصِلُ بمَصالحِ أبدانِهم و مَعايشِهم</w:t>
      </w:r>
      <w:r>
        <w:rPr>
          <w:rStyle w:val="FootnoteAnchor"/>
          <w:rtl w:val="true"/>
        </w:rPr>
        <w:footnoteReference w:id="1900"/>
      </w:r>
      <w:r>
        <w:rPr>
          <w:rFonts w:ascii="Amiri" w:hAnsi="Amiri" w:eastAsia="Amiri" w:cs="Amiri"/>
          <w:color w:val="111111"/>
          <w:sz w:val="28"/>
          <w:sz w:val="28"/>
          <w:szCs w:val="28"/>
          <w:rtl w:val="true"/>
          <w:lang w:bidi="ar-SA"/>
        </w:rPr>
        <w:t>و مَكاسبِهم،</w:t>
      </w:r>
      <w:r>
        <w:rPr>
          <w:rStyle w:val="FootnoteAnchor"/>
          <w:rtl w:val="true"/>
        </w:rPr>
        <w:footnoteReference w:id="1901"/>
      </w:r>
      <w:r>
        <w:rPr>
          <w:rFonts w:ascii="Amiri" w:hAnsi="Amiri" w:eastAsia="Amiri" w:cs="Amiri"/>
          <w:color w:val="111111"/>
          <w:sz w:val="28"/>
          <w:sz w:val="28"/>
          <w:szCs w:val="28"/>
          <w:rtl w:val="true"/>
          <w:lang w:bidi="ar-SA"/>
        </w:rPr>
        <w:t>و الأُمورُ كُلُّها علَى الحَظْرِ</w:t>
      </w:r>
      <w:r>
        <w:rPr>
          <w:rStyle w:val="FootnoteAnchor"/>
          <w:rtl w:val="true"/>
        </w:rPr>
        <w:footnoteReference w:id="1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مِلكاً له تَعالىٰ ، فلا يُعلَمُ المباحُ مِنها إلّاسَمعاً؛ فلا بُدَّ مِن حُجّةٍ في كُلِّ زمانٍ يُعرِّفُ المكلَّفينَ ما يَحِلُّ لهم مِن هذه الأُمورِ، و لا بُدَّ مِن كَونِه معصوماً يؤمَنُ غَلَطُه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190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w:t>
      </w:r>
      <w:r>
        <w:rPr>
          <w:rStyle w:val="FootnoteAnchor"/>
          <w:rtl w:val="true"/>
        </w:rPr>
        <w:footnoteReference w:id="1905"/>
      </w:r>
      <w:r>
        <w:rPr>
          <w:rFonts w:ascii="Amiri" w:hAnsi="Amiri" w:eastAsia="Amiri" w:cs="Amiri"/>
          <w:color w:val="111111"/>
          <w:sz w:val="28"/>
          <w:sz w:val="28"/>
          <w:szCs w:val="28"/>
          <w:rtl w:val="true"/>
          <w:lang w:bidi="ar-SA"/>
        </w:rPr>
        <w:t>فيما تَقدَّمَ مِن كلامِنا أنّ هذه الطريقةَ غيرُ معتَمَدةٍ، و لا دالّةٍ‌</w:t>
      </w:r>
      <w:r>
        <w:rPr>
          <w:rStyle w:val="FootnoteAnchor"/>
          <w:rtl w:val="true"/>
        </w:rPr>
        <w:footnoteReference w:id="1906"/>
      </w:r>
      <w:r>
        <w:rPr>
          <w:rFonts w:ascii="Amiri" w:hAnsi="Amiri" w:eastAsia="Amiri" w:cs="Amiri"/>
          <w:color w:val="111111"/>
          <w:sz w:val="28"/>
          <w:sz w:val="28"/>
          <w:szCs w:val="28"/>
          <w:rtl w:val="true"/>
          <w:lang w:bidi="ar-SA"/>
        </w:rPr>
        <w:t>علىٰ وجوبِ الإمامةِ في كُلِّ زمانٍ،</w:t>
      </w:r>
      <w:r>
        <w:rPr>
          <w:rStyle w:val="FootnoteAnchor"/>
          <w:rtl w:val="true"/>
        </w:rPr>
        <w:footnoteReference w:id="1907"/>
      </w:r>
      <w:r>
        <w:rPr>
          <w:rFonts w:ascii="Amiri" w:hAnsi="Amiri" w:eastAsia="Amiri" w:cs="Amiri"/>
          <w:color w:val="111111"/>
          <w:sz w:val="28"/>
          <w:sz w:val="28"/>
          <w:szCs w:val="28"/>
          <w:rtl w:val="true"/>
          <w:lang w:bidi="ar-SA"/>
        </w:rPr>
        <w:t>و إن كانَ بعضُ أصحابِنا قد 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w:t>
      </w:r>
      <w:r>
        <w:rPr>
          <w:rStyle w:val="FootnoteAnchor"/>
          <w:rtl w:val="true"/>
        </w:rPr>
        <w:footnoteReference w:id="1908"/>
      </w:r>
      <w:r>
        <w:rPr>
          <w:rFonts w:ascii="Amiri" w:hAnsi="Amiri" w:eastAsia="Amiri" w:cs="Amiri"/>
          <w:color w:val="111111"/>
          <w:sz w:val="28"/>
          <w:sz w:val="28"/>
          <w:szCs w:val="28"/>
          <w:rtl w:val="true"/>
          <w:lang w:bidi="ar-SA"/>
        </w:rPr>
        <w:t>الافتقارُ في هذه الطريقةِ المذكورةِ إلَى السَّمعِ، لَما وَجَبَت الحاجةُ إلىٰ إمامٍ في كُلِّ زمانٍ، بل كان التواتُرُ بما بَيَّنَه الإمامُ المتقَدِّمُ يُغني عن وجودِ الإمامِ‌</w:t>
      </w:r>
      <w:r>
        <w:rPr>
          <w:rStyle w:val="FootnoteAnchor"/>
          <w:rtl w:val="true"/>
        </w:rPr>
        <w:footnoteReference w:id="1909"/>
      </w:r>
      <w:r>
        <w:rPr>
          <w:rFonts w:ascii="Amiri" w:hAnsi="Amiri" w:eastAsia="Amiri" w:cs="Amiri"/>
          <w:color w:val="111111"/>
          <w:sz w:val="28"/>
          <w:sz w:val="28"/>
          <w:szCs w:val="28"/>
          <w:rtl w:val="true"/>
          <w:lang w:bidi="ar-SA"/>
        </w:rPr>
        <w:t>في كُلِّ عصرٍ، و فَصَلنا بَينَ ما يَحتاجونَ إليه مِن الأغذيةِ و ما لا تَقومُ‌</w:t>
      </w:r>
      <w:r>
        <w:rPr>
          <w:rStyle w:val="FootnoteAnchor"/>
          <w:rtl w:val="true"/>
        </w:rPr>
        <w:footnoteReference w:id="1910"/>
      </w:r>
      <w:r>
        <w:rPr>
          <w:rFonts w:ascii="Amiri" w:hAnsi="Amiri" w:eastAsia="Amiri" w:cs="Amiri"/>
          <w:color w:val="111111"/>
          <w:sz w:val="28"/>
          <w:sz w:val="28"/>
          <w:szCs w:val="28"/>
          <w:rtl w:val="true"/>
          <w:lang w:bidi="ar-SA"/>
        </w:rPr>
        <w:t xml:space="preserve">أبدانُهم إلّابه و بَينَ العباداتِ في أنّ الأوّلَ لا يَجوزُ أن يَعدِلَ الناسُ عن نَقلِه، و الثانيَ جائزٌ عَلَيهم تَركُ نَقلِه لعِنادٍ أو شُبهةٍ، و أنّ دواعيَ العُدولِ عن النَّقلِ يَصِحُّ دخولُها في الثاني دونَ الأوّلِ ، و لا حاجةَ بنا إلىٰ إعادةِ ما مضىٰ </w:t>
      </w:r>
      <w:r>
        <w:rPr>
          <w:rFonts w:eastAsia="Amiri" w:cs="Amiri" w:ascii="Amiri" w:hAnsi="Amiri"/>
          <w:color w:val="111111"/>
          <w:sz w:val="28"/>
          <w:szCs w:val="28"/>
          <w:rtl w:val="true"/>
          <w:lang w:bidi="ar-SA"/>
        </w:rPr>
        <w:t xml:space="preserve">. </w:t>
      </w:r>
      <w:bookmarkStart w:id="629" w:name="pg20044_771016"/>
    </w:p>
    <w:p>
      <w:pPr>
        <w:pStyle w:val="Heading4"/>
        <w:numPr>
          <w:ilvl w:val="3"/>
          <w:numId w:val="1"/>
        </w:numPr>
        <w:rPr/>
      </w:pPr>
      <w:bookmarkStart w:id="630" w:name="__RefHeading___Toc828716_2320776876"/>
      <w:bookmarkStart w:id="631" w:name="_Toc223"/>
      <w:bookmarkEnd w:id="629"/>
      <w:bookmarkEnd w:id="630"/>
      <w:r>
        <w:rPr>
          <w:rtl w:val="true"/>
        </w:rPr>
        <w:t>الدليل السادس قيام الإمام مقام الرسول في حفظ الشريعة</w:t>
      </w:r>
      <w:bookmarkEnd w:id="631"/>
    </w:p>
    <w:p>
      <w:pPr>
        <w:pStyle w:val="Heading5"/>
        <w:numPr>
          <w:ilvl w:val="4"/>
          <w:numId w:val="1"/>
        </w:numPr>
        <w:rPr/>
      </w:pPr>
      <w:bookmarkStart w:id="632" w:name="__RefHeading___Toc828718_2320776876"/>
      <w:bookmarkStart w:id="633" w:name="_Toc224"/>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سألوا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الحاجةَ إلَى الرسولِ 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الشرائعِ و الدُّعاءِ إلَى الطاعةِ،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الحاجةَ إلىٰ مَن يَقومُ مَقامَه في حِفظِ شريعتِه، و يَسُدُّ مَسَدَّه؛ لأنّا قد عَلِمنا أنّه لا أحَدَ مِن أُمّتِه إلّاو قد يَجوزُ</w:t>
      </w:r>
      <w:r>
        <w:rPr>
          <w:rStyle w:val="FootnoteAnchor"/>
          <w:rtl w:val="true"/>
        </w:rPr>
        <w:footnoteReference w:id="1911"/>
      </w:r>
      <w:r>
        <w:rPr>
          <w:rFonts w:ascii="Amiri" w:hAnsi="Amiri" w:eastAsia="Amiri" w:cs="Amiri"/>
          <w:color w:val="111111"/>
          <w:sz w:val="28"/>
          <w:sz w:val="28"/>
          <w:szCs w:val="28"/>
          <w:rtl w:val="true"/>
          <w:lang w:bidi="ar-SA"/>
        </w:rPr>
        <w:t>أن لا يَحفَظَ البعضَ أو الكُلَّ، و حالُ جميعِهم كحالِ كُلِّ واحدٍ مِنهم، فلا بُدَّ ممّن يَقومُ بحِفظِ ذلكَ، و أن يَكونَ معصوماً يؤمَنُ مِنه</w:t>
      </w:r>
      <w:r>
        <w:rPr>
          <w:rStyle w:val="FootnoteAnchor"/>
          <w:rtl w:val="true"/>
        </w:rPr>
        <w:footnoteReference w:id="1912"/>
      </w:r>
      <w:r>
        <w:rPr>
          <w:rFonts w:ascii="Amiri" w:hAnsi="Amiri" w:eastAsia="Amiri" w:cs="Amiri"/>
          <w:color w:val="111111"/>
          <w:sz w:val="28"/>
          <w:sz w:val="28"/>
          <w:szCs w:val="28"/>
          <w:rtl w:val="true"/>
          <w:lang w:bidi="ar-SA"/>
        </w:rPr>
        <w:t xml:space="preserve">الغَلَطُ و السَّهوُ و الكِتمانُ؛ لأنّ تجويزَ ذلكَ عليه يَنقُضُ القولَ بأنّ الشريعةَ لا بُدَّ مِن أن تَكونَ </w:t>
      </w:r>
      <w:r>
        <w:rPr>
          <w:rStyle w:val="FootnoteAnchor"/>
          <w:rtl w:val="true"/>
        </w:rPr>
        <w:footnoteReference w:id="1913"/>
      </w:r>
      <w:r>
        <w:rPr>
          <w:rFonts w:ascii="Amiri" w:hAnsi="Amiri" w:eastAsia="Amiri" w:cs="Amiri"/>
          <w:color w:val="111111"/>
          <w:sz w:val="28"/>
          <w:sz w:val="28"/>
          <w:szCs w:val="28"/>
          <w:rtl w:val="true"/>
          <w:lang w:bidi="ar-SA"/>
        </w:rPr>
        <w:t xml:space="preserve">محفوظةً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إثباتُ الحاجةِ إلىٰ إمامٍ في كُلِّ زمانٍ ؛ إذ لا فَرقَ بَينَ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وجوبِ حِفظِ</w:t>
      </w:r>
      <w:r>
        <w:rPr>
          <w:rStyle w:val="FootnoteAnchor"/>
          <w:rtl w:val="true"/>
        </w:rPr>
        <w:footnoteReference w:id="1915"/>
      </w:r>
      <w:r>
        <w:rPr>
          <w:rFonts w:ascii="Amiri" w:hAnsi="Amiri" w:eastAsia="Amiri" w:cs="Amiri"/>
          <w:color w:val="111111"/>
          <w:sz w:val="28"/>
          <w:sz w:val="28"/>
          <w:szCs w:val="28"/>
          <w:rtl w:val="true"/>
          <w:lang w:bidi="ar-SA"/>
        </w:rPr>
        <w:t>الشريعةِ حتّىٰ لا تَندَرِسَ و بَينَ وجوبِ مَورِدِها</w:t>
      </w:r>
      <w:r>
        <w:rPr>
          <w:rStyle w:val="FootnoteAnchor"/>
          <w:rtl w:val="true"/>
        </w:rPr>
        <w:footnoteReference w:id="1916"/>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يَتِمَّ حِفظُ ذلك إلّابوجودِ إمامٍ معصومٍ، فلا بُدَّ مِن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التعَلُّقَ بذلكَ في أنّه لا بُدَّ مِن حُجّةٍ في كُلِّ زمانٍ لا يَصِحُّ؛</w:t>
      </w:r>
    </w:p>
    <w:p>
      <w:pPr>
        <w:pStyle w:val="BookText"/>
        <w:rPr/>
      </w:pPr>
      <w:r>
        <w:rPr>
          <w:rFonts w:ascii="Amiri" w:hAnsi="Amiri" w:eastAsia="Amiri" w:cs="Amiri"/>
          <w:color w:val="111111"/>
          <w:sz w:val="28"/>
          <w:sz w:val="28"/>
          <w:szCs w:val="28"/>
          <w:rtl w:val="true"/>
          <w:lang w:bidi="ar-SA"/>
        </w:rPr>
        <w:t>لأنّه قد يَجوزُ عندَنا أن يَخلُوَ التكليفُ‌</w:t>
      </w:r>
      <w:r>
        <w:rPr>
          <w:rStyle w:val="FootnoteAnchor"/>
          <w:rtl w:val="true"/>
        </w:rPr>
        <w:footnoteReference w:id="1917"/>
      </w:r>
      <w:r>
        <w:rPr>
          <w:rFonts w:ascii="Amiri" w:hAnsi="Amiri" w:eastAsia="Amiri" w:cs="Amiri"/>
          <w:color w:val="111111"/>
          <w:sz w:val="28"/>
          <w:sz w:val="28"/>
          <w:szCs w:val="28"/>
          <w:rtl w:val="true"/>
          <w:lang w:bidi="ar-SA"/>
        </w:rPr>
        <w:t>العقليُّ مِن الشرعيِّ علىٰ ما بيّنّاه مِن قَبلُ، فإذا لَم يَكُن شَرعٌ لَم تَجِبِ‌</w:t>
      </w:r>
      <w:r>
        <w:rPr>
          <w:rStyle w:val="FootnoteAnchor"/>
          <w:rtl w:val="true"/>
        </w:rPr>
        <w:footnoteReference w:id="1918"/>
      </w:r>
      <w:r>
        <w:rPr>
          <w:rFonts w:ascii="Amiri" w:hAnsi="Amiri" w:eastAsia="Amiri" w:cs="Amiri"/>
          <w:color w:val="111111"/>
          <w:sz w:val="28"/>
          <w:sz w:val="28"/>
          <w:szCs w:val="28"/>
          <w:rtl w:val="true"/>
          <w:lang w:bidi="ar-SA"/>
        </w:rPr>
        <w:t>الحاجةُ إلىٰ حُجّةٍ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يُمكِنُ التعَلُّقُ بذلكَ في أنّه لا بُدَّ مِن حُجّةٍ بَعدَ وجودِ الرُّسُلِ، و هذا أيضاً لا يَصِحُّ </w:t>
      </w:r>
      <w:r>
        <w:rPr>
          <w:rStyle w:val="FootnoteAnchor"/>
          <w:rtl w:val="true"/>
        </w:rPr>
        <w:footnoteReference w:id="1919"/>
      </w:r>
      <w:r>
        <w:rPr>
          <w:rFonts w:ascii="Amiri" w:hAnsi="Amiri" w:eastAsia="Amiri" w:cs="Amiri"/>
          <w:color w:val="111111"/>
          <w:sz w:val="28"/>
          <w:sz w:val="28"/>
          <w:szCs w:val="28"/>
          <w:rtl w:val="true"/>
          <w:lang w:bidi="ar-SA"/>
        </w:rPr>
        <w:t>لأنّ في الرُّسُلِ مَن يَجوزُ أن يُكلَّفَ أداءَ الشريعةِ إلىٰ مَن شاهَدَه</w:t>
      </w:r>
      <w:r>
        <w:rPr>
          <w:rStyle w:val="FootnoteAnchor"/>
          <w:rtl w:val="true"/>
        </w:rPr>
        <w:footnoteReference w:id="1920"/>
      </w:r>
      <w:r>
        <w:rPr>
          <w:rFonts w:ascii="Amiri" w:hAnsi="Amiri" w:eastAsia="Amiri" w:cs="Amiri"/>
          <w:color w:val="111111"/>
          <w:sz w:val="28"/>
          <w:sz w:val="28"/>
          <w:szCs w:val="28"/>
          <w:rtl w:val="true"/>
          <w:lang w:bidi="ar-SA"/>
        </w:rPr>
        <w:t xml:space="preserve">و لا تَكونَ </w:t>
      </w:r>
      <w:r>
        <w:rPr>
          <w:rStyle w:val="FootnoteAnchor"/>
          <w:rtl w:val="true"/>
        </w:rPr>
        <w:footnoteReference w:id="1921"/>
      </w:r>
      <w:r>
        <w:rPr>
          <w:rFonts w:ascii="Amiri" w:hAnsi="Amiri" w:eastAsia="Amiri" w:cs="Amiri"/>
          <w:color w:val="111111"/>
          <w:sz w:val="28"/>
          <w:sz w:val="28"/>
          <w:szCs w:val="28"/>
          <w:rtl w:val="true"/>
          <w:lang w:bidi="ar-SA"/>
        </w:rPr>
        <w:t xml:space="preserve">شريعتُه مؤبَّدةً ، بل تَكونَ </w:t>
      </w:r>
      <w:r>
        <w:rPr>
          <w:rStyle w:val="FootnoteAnchor"/>
          <w:rtl w:val="true"/>
        </w:rPr>
        <w:footnoteReference w:id="1922"/>
      </w:r>
      <w:r>
        <w:rPr>
          <w:rFonts w:ascii="Amiri" w:hAnsi="Amiri" w:eastAsia="Amiri" w:cs="Amiri"/>
          <w:color w:val="111111"/>
          <w:sz w:val="28"/>
          <w:sz w:val="28"/>
          <w:szCs w:val="28"/>
          <w:rtl w:val="true"/>
          <w:lang w:bidi="ar-SA"/>
        </w:rPr>
        <w:t xml:space="preserve">مخصوصةً بزمانِه 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بَعدَ الرُّسُلِ أنّه لا بُدَّ مِن إمامٍ 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192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نَراكَ تَخرُجُ فيما تَحكيهِ مِن طُرُقِنا و أدلّتِنا عن إيرادِ ما لا نَعتَمِدُه جُملةً و لا نَرتَضيهِ دَلالةً و طريقةً ، أو إيرادِ</w:t>
      </w:r>
      <w:r>
        <w:rPr>
          <w:rStyle w:val="FootnoteAnchor"/>
          <w:rtl w:val="true"/>
        </w:rPr>
        <w:footnoteReference w:id="1924"/>
      </w:r>
      <w:r>
        <w:rPr>
          <w:rFonts w:ascii="Amiri" w:hAnsi="Amiri" w:eastAsia="Amiri" w:cs="Amiri"/>
          <w:color w:val="111111"/>
          <w:sz w:val="28"/>
          <w:sz w:val="28"/>
          <w:szCs w:val="28"/>
          <w:rtl w:val="true"/>
          <w:lang w:bidi="ar-SA"/>
        </w:rPr>
        <w:t xml:space="preserve">ما يَتعَلَّقُ به بعضُنا و لا </w:t>
      </w:r>
      <w:bookmarkStart w:id="634" w:name="pg20044_771018"/>
    </w:p>
    <w:p>
      <w:pPr>
        <w:pStyle w:val="BookText"/>
        <w:rPr/>
      </w:pPr>
      <w:bookmarkEnd w:id="634"/>
      <w:r>
        <w:rPr>
          <w:rFonts w:ascii="Amiri" w:hAnsi="Amiri" w:eastAsia="Amiri" w:cs="Amiri"/>
          <w:color w:val="111111"/>
          <w:sz w:val="28"/>
          <w:sz w:val="28"/>
          <w:szCs w:val="28"/>
          <w:rtl w:val="true"/>
          <w:lang w:bidi="ar-SA"/>
        </w:rPr>
        <w:t xml:space="preserve">يَرتَضيهِ </w:t>
      </w:r>
      <w:r>
        <w:rPr>
          <w:rStyle w:val="FootnoteAnchor"/>
          <w:rtl w:val="true"/>
        </w:rPr>
        <w:footnoteReference w:id="1925"/>
      </w:r>
      <w:r>
        <w:rPr>
          <w:rFonts w:ascii="Amiri" w:hAnsi="Amiri" w:eastAsia="Amiri" w:cs="Amiri"/>
          <w:color w:val="111111"/>
          <w:sz w:val="28"/>
          <w:sz w:val="28"/>
          <w:szCs w:val="28"/>
          <w:rtl w:val="true"/>
          <w:lang w:bidi="ar-SA"/>
        </w:rPr>
        <w:t>أكثَرُنا و لا</w:t>
      </w:r>
      <w:r>
        <w:rPr>
          <w:rStyle w:val="FootnoteAnchor"/>
          <w:rtl w:val="true"/>
        </w:rPr>
        <w:footnoteReference w:id="1926"/>
      </w:r>
      <w:r>
        <w:rPr>
          <w:rFonts w:ascii="Amiri" w:hAnsi="Amiri" w:eastAsia="Amiri" w:cs="Amiri"/>
          <w:color w:val="111111"/>
          <w:sz w:val="28"/>
          <w:sz w:val="28"/>
          <w:szCs w:val="28"/>
          <w:rtl w:val="true"/>
          <w:lang w:bidi="ar-SA"/>
        </w:rPr>
        <w:t>المحقِّقونَ مِنّا، أو تحريفِ المعتَمَدِ</w:t>
      </w:r>
      <w:r>
        <w:rPr>
          <w:rStyle w:val="FootnoteAnchor"/>
          <w:rtl w:val="true"/>
        </w:rPr>
        <w:footnoteReference w:id="1927"/>
      </w:r>
      <w:r>
        <w:rPr>
          <w:rFonts w:ascii="Amiri" w:hAnsi="Amiri" w:eastAsia="Amiri" w:cs="Amiri"/>
          <w:color w:val="111111"/>
          <w:sz w:val="28"/>
          <w:sz w:val="28"/>
          <w:szCs w:val="28"/>
          <w:rtl w:val="true"/>
          <w:lang w:bidi="ar-SA"/>
        </w:rPr>
        <w:t xml:space="preserve">و تَنحيَتِه و إزالتِه عن نَظمِه و ترتيبِه، أو حكايةِ لفظٍ رُبَّما عَبَّرَ به بعضُ أصحابِنا و تفسيرِه علىٰ خِلافِ المُرادِ و ضِدِّ الغَرَضِ </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828720_2320776876"/>
      <w:bookmarkStart w:id="636" w:name="_Toc225"/>
      <w:bookmarkEnd w:id="635"/>
      <w:r>
        <w:rPr>
          <w:rtl w:val="true"/>
        </w:rPr>
        <w:t>تقرير المصنّف للدليل السادس على الإمامة</w:t>
      </w:r>
      <w:bookmarkEnd w:id="636"/>
    </w:p>
    <w:p>
      <w:pPr>
        <w:pStyle w:val="BookText"/>
        <w:rPr/>
      </w:pPr>
      <w:r>
        <w:rPr>
          <w:rFonts w:ascii="Amiri" w:hAnsi="Amiri" w:eastAsia="Amiri" w:cs="Amiri"/>
          <w:color w:val="111111"/>
          <w:sz w:val="28"/>
          <w:sz w:val="28"/>
          <w:szCs w:val="28"/>
          <w:rtl w:val="true"/>
          <w:lang w:bidi="ar-SA"/>
        </w:rPr>
        <w:t>فأمّا هذه الطريقةُ التي حَكَيتَها آنِفاً، فترتيبُ الاستدلالِ بها علىٰ خِلافِ ما رَتَّبتَه؛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شريعةَ نبيِّنا عليه السلامُ‌</w:t>
      </w:r>
      <w:r>
        <w:rPr>
          <w:rStyle w:val="FootnoteAnchor"/>
          <w:rtl w:val="true"/>
        </w:rPr>
        <w:footnoteReference w:id="1928"/>
      </w:r>
      <w:r>
        <w:rPr>
          <w:rFonts w:ascii="Amiri" w:hAnsi="Amiri" w:eastAsia="Amiri" w:cs="Amiri"/>
          <w:color w:val="111111"/>
          <w:sz w:val="28"/>
          <w:sz w:val="28"/>
          <w:szCs w:val="28"/>
          <w:rtl w:val="true"/>
          <w:lang w:bidi="ar-SA"/>
        </w:rPr>
        <w:t>مؤبَّدةٌ غيرُ منسوخةٍ، و مستمِرّةٌ غيرُ منقَطِعةٍ، و أنّ‌</w:t>
      </w:r>
      <w:r>
        <w:rPr>
          <w:rStyle w:val="FootnoteAnchor"/>
          <w:rtl w:val="true"/>
        </w:rPr>
        <w:footnoteReference w:id="1929"/>
      </w:r>
      <w:r>
        <w:rPr>
          <w:rFonts w:ascii="Amiri" w:hAnsi="Amiri" w:eastAsia="Amiri" w:cs="Amiri"/>
          <w:color w:val="111111"/>
          <w:sz w:val="28"/>
          <w:sz w:val="28"/>
          <w:szCs w:val="28"/>
          <w:rtl w:val="true"/>
          <w:lang w:bidi="ar-SA"/>
        </w:rPr>
        <w:t>التعبُّدَ بها غيرُ منقَطِعٍ‌</w:t>
      </w:r>
      <w:r>
        <w:rPr>
          <w:rStyle w:val="FootnoteAnchor"/>
          <w:rtl w:val="true"/>
        </w:rPr>
        <w:footnoteReference w:id="1930"/>
      </w:r>
      <w:r>
        <w:rPr>
          <w:rFonts w:ascii="Amiri" w:hAnsi="Amiri" w:eastAsia="Amiri" w:cs="Amiri"/>
          <w:color w:val="111111"/>
          <w:sz w:val="28"/>
          <w:sz w:val="28"/>
          <w:szCs w:val="28"/>
          <w:rtl w:val="true"/>
          <w:lang w:bidi="ar-SA"/>
        </w:rPr>
        <w:t>لازمٌ للمكلَّفينَ إلىٰ أوانِ قيامِ الساعةِ، و لا بُدَّ لها مِن حافظٍ؛ لأنّ تَركَها بغيرِ حافظٍ إهمالٌ لأمرِها، و تكليفٌ لِمَن تُعُبِّدَ بها ما لا يُطيقُ‌</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w:t>
      </w:r>
      <w:r>
        <w:rPr>
          <w:rStyle w:val="FootnoteAnchor"/>
          <w:rtl w:val="true"/>
        </w:rPr>
        <w:footnoteReference w:id="1932"/>
      </w:r>
      <w:r>
        <w:rPr>
          <w:rFonts w:ascii="Amiri" w:hAnsi="Amiri" w:eastAsia="Amiri" w:cs="Amiri"/>
          <w:color w:val="111111"/>
          <w:sz w:val="28"/>
          <w:sz w:val="28"/>
          <w:szCs w:val="28"/>
          <w:rtl w:val="true"/>
          <w:lang w:bidi="ar-SA"/>
        </w:rPr>
        <w:t xml:space="preserve">يَخلو أن يَكونَ الحافظُ معصوماً، أو غيرَ معصومٍ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معصوماً لَم يؤمَنْ </w:t>
      </w:r>
      <w:r>
        <w:rPr>
          <w:rStyle w:val="FootnoteAnchor"/>
          <w:rtl w:val="true"/>
        </w:rPr>
        <w:footnoteReference w:id="1934"/>
      </w:r>
      <w:r>
        <w:rPr>
          <w:rFonts w:ascii="Amiri" w:hAnsi="Amiri" w:eastAsia="Amiri" w:cs="Amiri"/>
          <w:color w:val="111111"/>
          <w:sz w:val="28"/>
          <w:sz w:val="28"/>
          <w:szCs w:val="28"/>
          <w:rtl w:val="true"/>
          <w:lang w:bidi="ar-SA"/>
        </w:rPr>
        <w:t>تغييرُه</w:t>
      </w:r>
      <w:r>
        <w:rPr>
          <w:rStyle w:val="FootnoteAnchor"/>
          <w:rtl w:val="true"/>
        </w:rPr>
        <w:footnoteReference w:id="1935"/>
      </w:r>
      <w:r>
        <w:rPr>
          <w:rFonts w:ascii="Amiri" w:hAnsi="Amiri" w:eastAsia="Amiri" w:cs="Amiri"/>
          <w:color w:val="111111"/>
          <w:sz w:val="28"/>
          <w:sz w:val="28"/>
          <w:szCs w:val="28"/>
          <w:rtl w:val="true"/>
          <w:lang w:bidi="ar-SA"/>
        </w:rPr>
        <w:t>و تبديلُه</w:t>
      </w:r>
      <w:r>
        <w:rPr>
          <w:rStyle w:val="FootnoteAnchor"/>
          <w:rtl w:val="true"/>
        </w:rPr>
        <w:footnoteReference w:id="1936"/>
      </w:r>
      <w:r>
        <w:rPr>
          <w:rFonts w:ascii="Amiri" w:hAnsi="Amiri" w:eastAsia="Amiri" w:cs="Amiri"/>
          <w:color w:val="111111"/>
          <w:sz w:val="28"/>
          <w:sz w:val="28"/>
          <w:szCs w:val="28"/>
          <w:rtl w:val="true"/>
          <w:lang w:bidi="ar-SA"/>
        </w:rPr>
        <w:t xml:space="preserve">، و في جوازِ ذلكَ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الحافظُ لها</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أنّها غيرُ محفوظةٍ في الحقيقةِ؛ لأنّه لا فَرقَ بَينَ أن تُحفَظَ</w:t>
      </w:r>
      <w:r>
        <w:rPr>
          <w:rStyle w:val="FootnoteAnchor"/>
          <w:rtl w:val="true"/>
        </w:rPr>
        <w:footnoteReference w:id="1938"/>
      </w:r>
      <w:r>
        <w:rPr>
          <w:rFonts w:ascii="Amiri" w:hAnsi="Amiri" w:eastAsia="Amiri" w:cs="Amiri"/>
          <w:color w:val="111111"/>
          <w:sz w:val="28"/>
          <w:sz w:val="28"/>
          <w:szCs w:val="28"/>
          <w:rtl w:val="true"/>
          <w:lang w:bidi="ar-SA"/>
        </w:rPr>
        <w:t>بمَن جائزٌ</w:t>
      </w:r>
      <w:r>
        <w:rPr>
          <w:rStyle w:val="FootnoteAnchor"/>
          <w:rtl w:val="true"/>
        </w:rPr>
        <w:footnoteReference w:id="1939"/>
      </w:r>
      <w:r>
        <w:rPr>
          <w:rFonts w:ascii="Amiri" w:hAnsi="Amiri" w:eastAsia="Amiri" w:cs="Amiri"/>
          <w:color w:val="111111"/>
          <w:sz w:val="28"/>
          <w:sz w:val="28"/>
          <w:szCs w:val="28"/>
          <w:rtl w:val="true"/>
          <w:lang w:bidi="ar-SA"/>
        </w:rPr>
        <w:t>عليه التغييرُ و التبديلُ و الزلَلُ و الخطأُ، و بَينَ أن لا تُحفَظَ</w:t>
      </w:r>
      <w:r>
        <w:rPr>
          <w:rStyle w:val="FootnoteAnchor"/>
          <w:rtl w:val="true"/>
        </w:rPr>
        <w:footnoteReference w:id="1940"/>
      </w:r>
      <w:r>
        <w:rPr>
          <w:rFonts w:ascii="Amiri" w:hAnsi="Amiri" w:eastAsia="Amiri" w:cs="Amiri"/>
          <w:color w:val="111111"/>
          <w:sz w:val="28"/>
          <w:sz w:val="28"/>
          <w:szCs w:val="28"/>
          <w:rtl w:val="true"/>
          <w:lang w:bidi="ar-SA"/>
        </w:rPr>
        <w:t>جُملةً إذا كان ما يؤدّي إليه القولُ بتجويزِ تَركِ حِفظِها يؤدّي إليه حِفظُها بمَن لَيسَ بمعصومٍ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 الحافظَ لا بُدَّ أن يَكونَ معصوماً، استَحالَ أن تَكونَ‌</w:t>
      </w:r>
      <w:r>
        <w:rPr>
          <w:rStyle w:val="FootnoteAnchor"/>
          <w:rtl w:val="true"/>
        </w:rPr>
        <w:footnoteReference w:id="1941"/>
      </w:r>
      <w:r>
        <w:rPr>
          <w:rFonts w:ascii="Amiri" w:hAnsi="Amiri" w:eastAsia="Amiri" w:cs="Amiri"/>
          <w:color w:val="111111"/>
          <w:sz w:val="28"/>
          <w:sz w:val="28"/>
          <w:szCs w:val="28"/>
          <w:rtl w:val="true"/>
          <w:lang w:bidi="ar-SA"/>
        </w:rPr>
        <w:t>محفوظةً بالأُمّةِ و هي غيرُ معصومةٍ، و الخطأُ جائزٌ علىٰ آحادِها و جَماعَتِها</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أن يَكونَ الحافظُ هو الأُمّةَ ، فلا بُدَّ مِن إمامٍ معصومٍ حافظٍ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علىٰ </w:t>
      </w:r>
      <w:r>
        <w:rPr>
          <w:rStyle w:val="FootnoteAnchor"/>
          <w:rtl w:val="true"/>
        </w:rPr>
        <w:footnoteReference w:id="1943"/>
      </w:r>
      <w:r>
        <w:rPr>
          <w:rFonts w:ascii="Amiri" w:hAnsi="Amiri" w:eastAsia="Amiri" w:cs="Amiri"/>
          <w:color w:val="111111"/>
          <w:sz w:val="28"/>
          <w:sz w:val="28"/>
          <w:szCs w:val="28"/>
          <w:rtl w:val="true"/>
          <w:lang w:bidi="ar-SA"/>
        </w:rPr>
        <w:t xml:space="preserve">خِلافِ ما ظَنَّه صاحبُ الكتابِ ؛ لأنّ مَن أحسَنَ الظَّنَّ بأصحابِنا لا يَجوزُ أن يَتوَهَّمَ عَلَيهم الاستدلالَ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تصريحِهم في إثباتِها بما يوجِبُ الاختصاصَ بشريعتِنا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الإمامةِ في كُلِّ عصرٍ و أوانٍ و قَبلَ ورودِ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فائدةٍ في الاستدلالِ على وجوبِ الإمامةِ بَعدَ نبيِّنا صلَّى اللّٰهُ عليه و آلِه و سَلَّمَ و نَحنُ متَّفِقونَ علىٰ وجوبِها بَعدَه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الاتّفاقُ بَينَنا و بَينَكَ يوجِبُ رَفعَ </w:t>
      </w:r>
      <w:r>
        <w:rPr>
          <w:rStyle w:val="FootnoteAnchor"/>
          <w:rtl w:val="true"/>
        </w:rPr>
        <w:footnoteReference w:id="1944"/>
      </w:r>
      <w:r>
        <w:rPr>
          <w:rFonts w:ascii="Amiri" w:hAnsi="Amiri" w:eastAsia="Amiri" w:cs="Amiri"/>
          <w:color w:val="111111"/>
          <w:sz w:val="28"/>
          <w:sz w:val="28"/>
          <w:szCs w:val="28"/>
          <w:rtl w:val="true"/>
          <w:lang w:bidi="ar-SA"/>
        </w:rPr>
        <w:t xml:space="preserve">الخِلافِ مِن جميعِ فِرَقِ الأُمّةِ ، و </w:t>
      </w:r>
    </w:p>
    <w:p>
      <w:pPr>
        <w:pStyle w:val="BookText"/>
        <w:rPr/>
      </w:pPr>
      <w:r>
        <w:rPr>
          <w:rFonts w:ascii="Amiri" w:hAnsi="Amiri" w:eastAsia="Amiri" w:cs="Amiri"/>
          <w:color w:val="111111"/>
          <w:sz w:val="28"/>
          <w:sz w:val="28"/>
          <w:szCs w:val="28"/>
          <w:rtl w:val="true"/>
          <w:lang w:bidi="ar-SA"/>
        </w:rPr>
        <w:t>قد عَلِمنا أنّ في الأُمّةِ مَن يُخالِفُ في وجوبِ الإمامةِ بَعدَ النبيِّ صَلَّى اللّٰهُ عليه و آلِه</w:t>
      </w:r>
      <w:r>
        <w:rPr>
          <w:rStyle w:val="FootnoteAnchor"/>
          <w:rtl w:val="true"/>
        </w:rPr>
        <w:footnoteReference w:id="1945"/>
      </w:r>
      <w:r>
        <w:rPr>
          <w:rFonts w:ascii="Amiri" w:hAnsi="Amiri" w:eastAsia="Amiri" w:cs="Amiri"/>
          <w:color w:val="111111"/>
          <w:sz w:val="28"/>
          <w:sz w:val="28"/>
          <w:szCs w:val="28"/>
          <w:rtl w:val="true"/>
          <w:lang w:bidi="ar-SA"/>
        </w:rPr>
        <w:t>فلَيسَ يَمتَنِعُ أن نُحاجَّه</w:t>
      </w:r>
      <w:r>
        <w:rPr>
          <w:rStyle w:val="FootnoteAnchor"/>
          <w:rtl w:val="true"/>
        </w:rPr>
        <w:footnoteReference w:id="1946"/>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فلَو كانَ الوِفاقُ مِن</w:t>
      </w:r>
      <w:r>
        <w:rPr>
          <w:rStyle w:val="FootnoteAnchor"/>
          <w:rtl w:val="true"/>
        </w:rPr>
        <w:footnoteReference w:id="1947"/>
      </w:r>
      <w:r>
        <w:rPr>
          <w:rFonts w:ascii="Amiri" w:hAnsi="Amiri" w:eastAsia="Amiri" w:cs="Amiri"/>
          <w:color w:val="111111"/>
          <w:sz w:val="28"/>
          <w:sz w:val="28"/>
          <w:szCs w:val="28"/>
          <w:rtl w:val="true"/>
          <w:lang w:bidi="ar-SA"/>
        </w:rPr>
        <w:t>جميعِ الأُمّةِ ثابتاً في وجوبِ الإمامةِ ، لَم يَكُن وِفاقاً</w:t>
      </w:r>
      <w:r>
        <w:rPr>
          <w:rStyle w:val="FootnoteAnchor"/>
          <w:rtl w:val="true"/>
        </w:rPr>
        <w:footnoteReference w:id="1948"/>
      </w:r>
      <w:r>
        <w:rPr>
          <w:rFonts w:ascii="Amiri" w:hAnsi="Amiri" w:eastAsia="Amiri" w:cs="Amiri"/>
          <w:color w:val="111111"/>
          <w:sz w:val="28"/>
          <w:sz w:val="28"/>
          <w:szCs w:val="28"/>
          <w:rtl w:val="true"/>
          <w:lang w:bidi="ar-SA"/>
        </w:rPr>
        <w:t xml:space="preserve">علىٰ طريقتِنا التي ذَكَرناها؛ لأنّا نوجِبُ الإمامةَ بهذه الطريقةِ مِن جهةِ حِفظِ الشريعةِ ، و هذا يُخالِفُنا فيه الكُلُّ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شريعةَ النبيِّ </w:t>
      </w:r>
      <w:r>
        <w:rPr>
          <w:rStyle w:val="FootnoteAnchor"/>
          <w:rtl w:val="true"/>
        </w:rPr>
        <w:footnoteReference w:id="1950"/>
      </w:r>
      <w:r>
        <w:rPr>
          <w:rFonts w:ascii="Amiri" w:hAnsi="Amiri" w:eastAsia="Amiri" w:cs="Amiri"/>
          <w:color w:val="111111"/>
          <w:sz w:val="28"/>
          <w:sz w:val="28"/>
          <w:szCs w:val="28"/>
          <w:rtl w:val="true"/>
          <w:lang w:bidi="ar-SA"/>
        </w:rPr>
        <w:t>صلّى اللّٰهُ عليه</w:t>
      </w:r>
      <w:r>
        <w:rPr>
          <w:rStyle w:val="FootnoteAnchor"/>
          <w:rtl w:val="true"/>
        </w:rPr>
        <w:footnoteReference w:id="1951"/>
      </w:r>
      <w:r>
        <w:rPr>
          <w:rFonts w:ascii="Amiri" w:hAnsi="Amiri" w:eastAsia="Amiri" w:cs="Amiri"/>
          <w:color w:val="111111"/>
          <w:sz w:val="28"/>
          <w:sz w:val="28"/>
          <w:szCs w:val="28"/>
          <w:rtl w:val="true"/>
          <w:lang w:bidi="ar-SA"/>
        </w:rPr>
        <w:t>و سلّم و إن كانَ</w:t>
      </w:r>
    </w:p>
    <w:p>
      <w:pPr>
        <w:pStyle w:val="BookText"/>
        <w:rPr/>
      </w:pPr>
      <w:r>
        <w:rPr>
          <w:rFonts w:ascii="Amiri" w:hAnsi="Amiri" w:eastAsia="Amiri" w:cs="Amiri"/>
          <w:color w:val="111111"/>
          <w:sz w:val="28"/>
          <w:sz w:val="28"/>
          <w:szCs w:val="28"/>
          <w:rtl w:val="true"/>
          <w:lang w:bidi="ar-SA"/>
        </w:rPr>
        <w:t>لا بُدَّ مِن أن تَكونَ محفوظةً ؛ فِمن أَينَ أنّها لا تَحصُلُ محفوظةً إلّا بالإمامِ المعصومِ؟ و هَل عَوَّلتم في ذلكَ إلّاعلىٰ دَعوىً فيها تُخالَفونَ؟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r>
        <w:rPr>
          <w:rStyle w:val="FootnoteAnchor"/>
          <w:rtl w:val="true"/>
        </w:rPr>
        <w:footnoteReference w:id="1952"/>
      </w:r>
      <w:r>
        <w:rPr>
          <w:rFonts w:ascii="Amiri" w:hAnsi="Amiri" w:eastAsia="Amiri" w:cs="Amiri"/>
          <w:color w:val="111111"/>
          <w:sz w:val="28"/>
          <w:sz w:val="28"/>
          <w:szCs w:val="28"/>
          <w:rtl w:val="true"/>
          <w:lang w:bidi="ar-SA"/>
        </w:rPr>
        <w:t xml:space="preserve">جَوَّزتم أن تَصيرَ محفوظةً بالتواتُرِ، كما صارَت واصلةً </w:t>
      </w:r>
      <w:r>
        <w:rPr>
          <w:rStyle w:val="FootnoteAnchor"/>
          <w:rtl w:val="true"/>
        </w:rPr>
        <w:footnoteReference w:id="1953"/>
      </w:r>
      <w:r>
        <w:rPr>
          <w:rFonts w:ascii="Amiri" w:hAnsi="Amiri" w:eastAsia="Amiri" w:cs="Amiri"/>
          <w:color w:val="111111"/>
          <w:sz w:val="28"/>
          <w:sz w:val="28"/>
          <w:szCs w:val="28"/>
          <w:rtl w:val="true"/>
          <w:lang w:bidi="ar-SA"/>
        </w:rPr>
        <w:t xml:space="preserve">إلىٰ مَن غابَ عن الرسولِ في زَمَنِه بطريقِ التواتُرِ؟ فإن مَنَعوا </w:t>
      </w:r>
      <w:bookmarkStart w:id="637" w:name="pg20044_771021"/>
    </w:p>
    <w:p>
      <w:pPr>
        <w:pStyle w:val="BookText"/>
        <w:rPr/>
      </w:pPr>
      <w:bookmarkEnd w:id="637"/>
      <w:r>
        <w:rPr>
          <w:rFonts w:ascii="Amiri" w:hAnsi="Amiri" w:eastAsia="Amiri" w:cs="Amiri"/>
          <w:color w:val="111111"/>
          <w:sz w:val="28"/>
          <w:sz w:val="28"/>
          <w:szCs w:val="28"/>
          <w:rtl w:val="true"/>
          <w:lang w:bidi="ar-SA"/>
        </w:rPr>
        <w:t xml:space="preserve">مِن ذلكَ ، لَزِمَهم إثباتُ حُجّةٍ و هو عليه السلامُ حَيٌّ كما يَقولونَ بإثباتِه بَعدَ وفاتِه؛ إذ العِلّةٌ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قالوا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يَصِلُ </w:t>
      </w:r>
      <w:r>
        <w:rPr>
          <w:rStyle w:val="FootnoteAnchor"/>
          <w:rtl w:val="true"/>
        </w:rPr>
        <w:footnoteReference w:id="1954"/>
      </w:r>
      <w:r>
        <w:rPr>
          <w:rFonts w:ascii="Amiri" w:hAnsi="Amiri" w:eastAsia="Amiri" w:cs="Amiri"/>
          <w:color w:val="111111"/>
          <w:sz w:val="28"/>
          <w:sz w:val="28"/>
          <w:szCs w:val="28"/>
          <w:rtl w:val="true"/>
          <w:lang w:bidi="ar-SA"/>
        </w:rPr>
        <w:t>إلىٰ مَن غابَ عنه بالتواتُرِ، فكذلكَ مِن بَعدُ</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طَعَنوا في التواتُرِ، بَطَلَ عِلّتُهم في ذلكَ في الوجهَينِ </w:t>
      </w:r>
      <w:r>
        <w:rPr>
          <w:rFonts w:eastAsia="Amiri" w:cs="Amiri" w:ascii="Amiri" w:hAnsi="Amiri"/>
          <w:color w:val="111111"/>
          <w:sz w:val="28"/>
          <w:szCs w:val="28"/>
          <w:rtl w:val="true"/>
          <w:lang w:bidi="ar-SA"/>
        </w:rPr>
        <w:t>]</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عَوَّلتم إلّاعلىٰ دَعوىً فيها تُخالَفونَ؟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أنّ الحافظَ لَيسَ يَخلو مِن أن يَكونَ الأُمّةَ أو الإمامَ ، و أبطَلنا أن تَكونَ الأُمّةُ هي الحافظةَ </w:t>
      </w:r>
      <w:r>
        <w:rPr>
          <w:rStyle w:val="FootnoteAnchor"/>
          <w:rtl w:val="true"/>
        </w:rPr>
        <w:footnoteReference w:id="1957"/>
      </w:r>
      <w:r>
        <w:rPr>
          <w:rFonts w:ascii="Amiri" w:hAnsi="Amiri" w:eastAsia="Amiri" w:cs="Amiri"/>
          <w:color w:val="111111"/>
          <w:sz w:val="28"/>
          <w:sz w:val="28"/>
          <w:szCs w:val="28"/>
          <w:rtl w:val="true"/>
          <w:lang w:bidi="ar-SA"/>
        </w:rPr>
        <w:t>، فلا بُدَّ مِن ثُبوتِ الحِفظِ بالإمامِ ،</w:t>
      </w:r>
      <w:r>
        <w:rPr>
          <w:rStyle w:val="FootnoteAnchor"/>
          <w:rtl w:val="true"/>
        </w:rPr>
        <w:footnoteReference w:id="1958"/>
      </w:r>
      <w:r>
        <w:rPr>
          <w:rFonts w:ascii="Amiri" w:hAnsi="Amiri" w:eastAsia="Amiri" w:cs="Amiri"/>
          <w:color w:val="111111"/>
          <w:sz w:val="28"/>
          <w:sz w:val="28"/>
          <w:szCs w:val="28"/>
          <w:rtl w:val="true"/>
          <w:lang w:bidi="ar-SA"/>
        </w:rPr>
        <w:t xml:space="preserve">و إلّاوَجَبَ أن تَكونَ الشريعةُ مُهمَلةً </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828722_2320776876"/>
      <w:bookmarkStart w:id="639" w:name="_Toc226"/>
      <w:bookmarkEnd w:id="638"/>
      <w:r>
        <w:rPr>
          <w:rtl w:val="true"/>
        </w:rPr>
        <w:t>ضرورة وجود حجّةٍ يقف من وراء الناقلين</w:t>
      </w:r>
      <w:bookmarkEnd w:id="63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إلزامُكَ لنا</w:t>
      </w:r>
      <w:r>
        <w:rPr>
          <w:rStyle w:val="FootnoteAnchor"/>
          <w:rtl w:val="true"/>
        </w:rPr>
        <w:footnoteReference w:id="1959"/>
      </w:r>
      <w:r>
        <w:rPr>
          <w:rFonts w:ascii="Amiri" w:hAnsi="Amiri" w:eastAsia="Amiri" w:cs="Amiri"/>
          <w:color w:val="111111"/>
          <w:sz w:val="28"/>
          <w:sz w:val="28"/>
          <w:szCs w:val="28"/>
          <w:rtl w:val="true"/>
          <w:lang w:bidi="ar-SA"/>
        </w:rPr>
        <w:t>تجويزَ حِفظِها بالتواتُرِ، علىٰ حدِّ ما كانَت تَصِلُ الأخبارُ في حياةِ الرسولِ صَلَّى اللّٰهُ عليه و آلِه إلىٰ مَن غابَ عنه، فقَد رَضينا بذلكَ، و قَنِعنا بأن نوجِبَ في وصولِ الشريعةِ إلينا بَعدَ وفاةِ الرسولِ صَلَّى اللّٰهُ عليه و آلِه ما نوجِبُه في وصولِها</w:t>
      </w:r>
      <w:r>
        <w:rPr>
          <w:rStyle w:val="FootnoteAnchor"/>
          <w:rtl w:val="true"/>
        </w:rPr>
        <w:footnoteReference w:id="1960"/>
      </w:r>
      <w:r>
        <w:rPr>
          <w:rFonts w:ascii="Amiri" w:hAnsi="Amiri" w:eastAsia="Amiri" w:cs="Amiri"/>
          <w:color w:val="111111"/>
          <w:sz w:val="28"/>
          <w:sz w:val="28"/>
          <w:szCs w:val="28"/>
          <w:rtl w:val="true"/>
          <w:lang w:bidi="ar-SA"/>
        </w:rPr>
        <w:t>إلىٰ مَن غابَ عنه في</w:t>
      </w:r>
      <w:r>
        <w:rPr>
          <w:rStyle w:val="FootnoteAnchor"/>
          <w:rtl w:val="true"/>
        </w:rPr>
        <w:footnoteReference w:id="1961"/>
      </w:r>
      <w:r>
        <w:rPr>
          <w:rFonts w:ascii="Amiri" w:hAnsi="Amiri" w:eastAsia="Amiri" w:cs="Amiri"/>
          <w:color w:val="111111"/>
          <w:sz w:val="28"/>
          <w:sz w:val="28"/>
          <w:szCs w:val="28"/>
          <w:rtl w:val="true"/>
          <w:lang w:bidi="ar-SA"/>
        </w:rPr>
        <w:t>حياتِه؛ لأنّا نَعلَمُ أنّها كانَت تَصِلُ إلىٰ مَن بَعُدَ عنه صَلَواتُ اللّٰهِ عليه و آلِه بنَقلٍ هو</w:t>
      </w:r>
      <w:r>
        <w:rPr>
          <w:rStyle w:val="FootnoteAnchor"/>
          <w:rtl w:val="true"/>
        </w:rPr>
        <w:footnoteReference w:id="1962"/>
      </w:r>
      <w:r>
        <w:rPr>
          <w:rFonts w:ascii="Amiri" w:hAnsi="Amiri" w:eastAsia="Amiri" w:cs="Amiri"/>
          <w:color w:val="111111"/>
          <w:sz w:val="28"/>
          <w:sz w:val="28"/>
          <w:szCs w:val="28"/>
          <w:rtl w:val="true"/>
          <w:lang w:bidi="ar-SA"/>
        </w:rPr>
        <w:t xml:space="preserve">عليه السلامُ مِن وَرائه، و قائمٌ بمُراعاتِه، و تَلافي ما ثَلِمَ </w:t>
      </w:r>
      <w:r>
        <w:rPr>
          <w:rStyle w:val="FootnoteAnchor"/>
          <w:rtl w:val="true"/>
        </w:rPr>
        <w:footnoteReference w:id="1963"/>
      </w:r>
      <w:r>
        <w:rPr>
          <w:rFonts w:ascii="Amiri" w:hAnsi="Amiri" w:eastAsia="Amiri" w:cs="Amiri"/>
          <w:color w:val="111111"/>
          <w:sz w:val="28"/>
          <w:sz w:val="28"/>
          <w:szCs w:val="28"/>
          <w:rtl w:val="true"/>
          <w:lang w:bidi="ar-SA"/>
        </w:rPr>
        <w:t xml:space="preserve">فيه مِن </w:t>
      </w:r>
    </w:p>
    <w:p>
      <w:pPr>
        <w:pStyle w:val="BookText"/>
        <w:rPr/>
      </w:pPr>
      <w:r>
        <w:rPr>
          <w:rFonts w:ascii="Amiri" w:hAnsi="Amiri" w:eastAsia="Amiri" w:cs="Amiri"/>
          <w:color w:val="111111"/>
          <w:sz w:val="28"/>
          <w:sz w:val="28"/>
          <w:szCs w:val="28"/>
          <w:rtl w:val="true"/>
          <w:lang w:bidi="ar-SA"/>
        </w:rPr>
        <w:t>غَلَطٍ و زَلَلٍ و تَركِ الواجبِ‌</w:t>
      </w:r>
      <w:r>
        <w:rPr>
          <w:rStyle w:val="FootnoteAnchor"/>
          <w:rtl w:val="true"/>
        </w:rPr>
        <w:footnoteReference w:id="1964"/>
      </w:r>
      <w:r>
        <w:rPr>
          <w:rFonts w:ascii="Amiri" w:hAnsi="Amiri" w:eastAsia="Amiri" w:cs="Amiri"/>
          <w:color w:val="111111"/>
          <w:sz w:val="28"/>
          <w:sz w:val="28"/>
          <w:szCs w:val="28"/>
          <w:rtl w:val="true"/>
          <w:lang w:bidi="ar-SA"/>
        </w:rPr>
        <w:t>، فيَجِبُ أن يَكونَ مِن وَراءِ ما يُنقَلُ إلينا بَعدَ وفاتِه عليه السلامُ مِن شريعتِه معصومٌ يَتَلافىٰ ما يَجري في الشريعةِ مِن زَلَلٍ و تَركِ الواجبِ‌</w:t>
      </w:r>
      <w:r>
        <w:rPr>
          <w:rStyle w:val="FootnoteAnchor"/>
          <w:rtl w:val="true"/>
        </w:rPr>
        <w:footnoteReference w:id="19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كانَ ذلكَ في حياتِه، و إلّافقَد</w:t>
      </w:r>
      <w:r>
        <w:rPr>
          <w:rStyle w:val="FootnoteAnchor"/>
          <w:rtl w:val="true"/>
        </w:rPr>
        <w:footnoteReference w:id="1966"/>
      </w:r>
      <w:r>
        <w:rPr>
          <w:rFonts w:ascii="Amiri" w:hAnsi="Amiri" w:eastAsia="Amiri" w:cs="Amiri"/>
          <w:color w:val="111111"/>
          <w:sz w:val="28"/>
          <w:sz w:val="28"/>
          <w:szCs w:val="28"/>
          <w:rtl w:val="true"/>
          <w:lang w:bidi="ar-SA"/>
        </w:rPr>
        <w:t>اختلَفَت</w:t>
      </w:r>
      <w:r>
        <w:rPr>
          <w:rStyle w:val="FootnoteAnchor"/>
          <w:rtl w:val="true"/>
        </w:rPr>
        <w:footnoteReference w:id="1967"/>
      </w:r>
      <w:r>
        <w:rPr>
          <w:rFonts w:ascii="Amiri" w:hAnsi="Amiri" w:eastAsia="Amiri" w:cs="Amiri"/>
          <w:color w:val="111111"/>
          <w:sz w:val="28"/>
          <w:sz w:val="28"/>
          <w:szCs w:val="28"/>
          <w:rtl w:val="true"/>
          <w:lang w:bidi="ar-SA"/>
        </w:rPr>
        <w:t>الحالانِ‌</w:t>
      </w:r>
      <w:r>
        <w:rPr>
          <w:rStyle w:val="FootnoteAnchor"/>
          <w:rtl w:val="true"/>
        </w:rPr>
        <w:footnoteReference w:id="1968"/>
      </w:r>
      <w:r>
        <w:rPr>
          <w:rFonts w:ascii="Amiri" w:hAnsi="Amiri" w:eastAsia="Amiri" w:cs="Amiri"/>
          <w:color w:val="111111"/>
          <w:sz w:val="28"/>
          <w:sz w:val="28"/>
          <w:szCs w:val="28"/>
          <w:rtl w:val="true"/>
          <w:lang w:bidi="ar-SA"/>
        </w:rPr>
        <w:t>، و بَطَلَ حَملُكَ إحداهُما</w:t>
      </w:r>
      <w:r>
        <w:rPr>
          <w:rStyle w:val="FootnoteAnchor"/>
          <w:rtl w:val="true"/>
        </w:rPr>
        <w:footnoteReference w:id="1969"/>
      </w:r>
      <w:r>
        <w:rPr>
          <w:rFonts w:ascii="Amiri" w:hAnsi="Amiri" w:eastAsia="Amiri" w:cs="Amiri"/>
          <w:color w:val="111111"/>
          <w:sz w:val="28"/>
          <w:sz w:val="28"/>
          <w:szCs w:val="28"/>
          <w:rtl w:val="true"/>
          <w:lang w:bidi="ar-SA"/>
        </w:rPr>
        <w:t>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لَزِمَهم إثباتُ حُجّةٍ و هو عليه السلامُ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 و أيُّ حُجّةٍ هو أكبرُ مِن النبيِّ المعصومِ المؤيَّدِ بالمَلائكةِ و الوحيِ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تَظُنُّ </w:t>
      </w:r>
      <w:r>
        <w:rPr>
          <w:rStyle w:val="FootnoteAnchor"/>
          <w:rtl w:val="true"/>
        </w:rPr>
        <w:footnoteReference w:id="1970"/>
      </w:r>
      <w:r>
        <w:rPr>
          <w:rFonts w:ascii="Amiri" w:hAnsi="Amiri" w:eastAsia="Amiri" w:cs="Amiri"/>
          <w:color w:val="111111"/>
          <w:sz w:val="28"/>
          <w:sz w:val="28"/>
          <w:szCs w:val="28"/>
          <w:rtl w:val="true"/>
          <w:lang w:bidi="ar-SA"/>
        </w:rPr>
        <w:t>أنّا إذا</w:t>
      </w:r>
      <w:r>
        <w:rPr>
          <w:rStyle w:val="FootnoteAnchor"/>
          <w:rtl w:val="true"/>
        </w:rPr>
        <w:footnoteReference w:id="1971"/>
      </w:r>
      <w:r>
        <w:rPr>
          <w:rFonts w:ascii="Amiri" w:hAnsi="Amiri" w:eastAsia="Amiri" w:cs="Amiri"/>
          <w:color w:val="111111"/>
          <w:sz w:val="28"/>
          <w:sz w:val="28"/>
          <w:szCs w:val="28"/>
          <w:rtl w:val="true"/>
          <w:lang w:bidi="ar-SA"/>
        </w:rPr>
        <w:t>أَوجَبنا أن يَكونَ وَراءَ المتواتِرينَ حُجّةٌ ، أن</w:t>
      </w:r>
      <w:r>
        <w:rPr>
          <w:rStyle w:val="FootnoteAnchor"/>
          <w:rtl w:val="true"/>
        </w:rPr>
        <w:footnoteReference w:id="1972"/>
      </w:r>
      <w:r>
        <w:rPr>
          <w:rFonts w:ascii="Amiri" w:hAnsi="Amiri" w:eastAsia="Amiri" w:cs="Amiri"/>
          <w:color w:val="111111"/>
          <w:sz w:val="28"/>
          <w:sz w:val="28"/>
          <w:szCs w:val="28"/>
          <w:rtl w:val="true"/>
          <w:lang w:bidi="ar-SA"/>
        </w:rPr>
        <w:t>لا نَكتفيَ بالنبيّ صَلَّى اللّٰهُ عليه و آلِه و هو سيّدُ الحُجَجِ في ذلكَ؟</w:t>
      </w:r>
      <w:r>
        <w:rPr>
          <w:rFonts w:eastAsia="Amiri" w:cs="Amiri" w:ascii="Amiri" w:hAnsi="Amiri"/>
          <w:color w:val="111111"/>
          <w:sz w:val="28"/>
          <w:szCs w:val="28"/>
          <w:rtl w:val="true"/>
          <w:lang w:bidi="ar-SA"/>
        </w:rPr>
        <w:t>!</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خَبِّرونا عن الحُجّةِ و الإمامِ الذي يَحفَظُ الشرعَ ؛ أيؤدّيهِ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كُلَّه</w:t>
      </w:r>
      <w:r>
        <w:rPr>
          <w:rStyle w:val="FootnoteAnchor"/>
          <w:rtl w:val="true"/>
        </w:rPr>
        <w:footnoteReference w:id="1975"/>
      </w:r>
      <w:r>
        <w:rPr>
          <w:rFonts w:ascii="Amiri" w:hAnsi="Amiri" w:eastAsia="Amiri" w:cs="Amiri"/>
          <w:color w:val="111111"/>
          <w:sz w:val="28"/>
          <w:sz w:val="28"/>
          <w:szCs w:val="28"/>
          <w:rtl w:val="true"/>
          <w:lang w:bidi="ar-SA"/>
        </w:rPr>
        <w:t xml:space="preserve">إلَى الكُلِّ أو إلَى البعضِ؟ و لا يُمكِنُ أن يَلقاه الكُلُّ، فلا بُدَّ مِن أن يؤدّيَ إلَى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الشرعُ يَصِلُ إلَى الباقينَ </w:t>
      </w:r>
      <w:r>
        <w:rPr>
          <w:rStyle w:val="FootnoteAnchor"/>
          <w:rtl w:val="true"/>
        </w:rPr>
        <w:footnoteReference w:id="1976"/>
      </w:r>
      <w:r>
        <w:rPr>
          <w:rFonts w:ascii="Amiri" w:hAnsi="Amiri" w:eastAsia="Amiri" w:cs="Amiri"/>
          <w:color w:val="111111"/>
          <w:sz w:val="28"/>
          <w:sz w:val="28"/>
          <w:szCs w:val="28"/>
          <w:rtl w:val="true"/>
          <w:lang w:bidi="ar-SA"/>
        </w:rPr>
        <w:t xml:space="preserve">بالتواتُرِ؟ فهَلّا جَوَّزتم وصولَ شرعِه عليه السلامُ إلينا بمِثلِ هذه الطريقةِ ، و يُستَغنىٰ </w:t>
      </w:r>
      <w:r>
        <w:rPr>
          <w:rStyle w:val="FootnoteAnchor"/>
          <w:rtl w:val="true"/>
        </w:rPr>
        <w:footnoteReference w:id="1977"/>
      </w:r>
      <w:r>
        <w:rPr>
          <w:rFonts w:ascii="Amiri" w:hAnsi="Amiri" w:eastAsia="Amiri" w:cs="Amiri"/>
          <w:color w:val="111111"/>
          <w:sz w:val="28"/>
          <w:sz w:val="28"/>
          <w:szCs w:val="28"/>
          <w:rtl w:val="true"/>
          <w:lang w:bidi="ar-SA"/>
        </w:rPr>
        <w:t>عن الحُجّةِ كما يُستَغنىٰ عن حُجَجٍ يَنقُلونَ الشرعَ عن الحُجّةِ؟</w:t>
      </w:r>
      <w:r>
        <w:rPr>
          <w:rStyle w:val="FootnoteAnchor"/>
          <w:rtl w:val="true"/>
        </w:rPr>
        <w:footnoteReference w:id="197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عندَنا مؤدٍّ للشرعِ إلَى الكُلِّ؛ فبعضُه</w:t>
      </w:r>
      <w:r>
        <w:rPr>
          <w:rStyle w:val="FootnoteAnchor"/>
          <w:rtl w:val="true"/>
        </w:rPr>
        <w:footnoteReference w:id="1979"/>
      </w:r>
      <w:r>
        <w:rPr>
          <w:rFonts w:ascii="Amiri" w:hAnsi="Amiri" w:eastAsia="Amiri" w:cs="Amiri"/>
          <w:color w:val="111111"/>
          <w:sz w:val="28"/>
          <w:sz w:val="28"/>
          <w:szCs w:val="28"/>
          <w:rtl w:val="true"/>
          <w:lang w:bidi="ar-SA"/>
        </w:rPr>
        <w:t>مشافهةً، و بعضُه بالنقلِ الذي هو مِن ورائه، فمتىٰ لم يؤدَّ و وَقَعَ تفريطٌ فيه مِن الناقلينَ تَلافاه بنَفسِه أو بناقلٍ سِواهم، فإن أَلزَمتَ‌</w:t>
      </w:r>
      <w:r>
        <w:rPr>
          <w:rStyle w:val="FootnoteAnchor"/>
          <w:rtl w:val="true"/>
        </w:rPr>
        <w:footnoteReference w:id="1980"/>
      </w:r>
      <w:r>
        <w:rPr>
          <w:rFonts w:ascii="Amiri" w:hAnsi="Amiri" w:eastAsia="Amiri" w:cs="Amiri"/>
          <w:color w:val="111111"/>
          <w:sz w:val="28"/>
          <w:sz w:val="28"/>
          <w:szCs w:val="28"/>
          <w:rtl w:val="true"/>
          <w:lang w:bidi="ar-SA"/>
        </w:rPr>
        <w:t>في نقلِ الشريعةِ مِثلَ هذا فما نأباه، بل</w:t>
      </w:r>
      <w:r>
        <w:rPr>
          <w:rStyle w:val="FootnoteAnchor"/>
          <w:rtl w:val="true"/>
        </w:rPr>
        <w:footnoteReference w:id="1981"/>
      </w:r>
      <w:r>
        <w:rPr>
          <w:rFonts w:ascii="Amiri" w:hAnsi="Amiri" w:eastAsia="Amiri" w:cs="Amiri"/>
          <w:color w:val="111111"/>
          <w:sz w:val="28"/>
          <w:sz w:val="28"/>
          <w:szCs w:val="28"/>
          <w:rtl w:val="true"/>
          <w:lang w:bidi="ar-SA"/>
        </w:rPr>
        <w:t>هو الذي نَدعو</w:t>
      </w:r>
      <w:r>
        <w:rPr>
          <w:rStyle w:val="FootnoteAnchor"/>
          <w:rtl w:val="true"/>
        </w:rPr>
        <w:footnoteReference w:id="1982"/>
      </w:r>
      <w:r>
        <w:rPr>
          <w:rFonts w:ascii="Amiri" w:hAnsi="Amiri" w:eastAsia="Amiri" w:cs="Amiri"/>
          <w:color w:val="111111"/>
          <w:sz w:val="28"/>
          <w:sz w:val="28"/>
          <w:szCs w:val="28"/>
          <w:rtl w:val="true"/>
          <w:lang w:bidi="ar-SA"/>
        </w:rPr>
        <w:t>إليه و نَحدو</w:t>
      </w:r>
      <w:r>
        <w:rPr>
          <w:rStyle w:val="FootnoteAnchor"/>
          <w:rtl w:val="true"/>
        </w:rPr>
        <w:footnoteReference w:id="1983"/>
      </w:r>
      <w:r>
        <w:rPr>
          <w:rFonts w:ascii="Amiri" w:hAnsi="Amiri" w:eastAsia="Amiri" w:cs="Amiri"/>
          <w:color w:val="111111"/>
          <w:sz w:val="28"/>
          <w:sz w:val="28"/>
          <w:szCs w:val="28"/>
          <w:rtl w:val="true"/>
          <w:lang w:bidi="ar-SA"/>
        </w:rPr>
        <w:t xml:space="preserve">علَى اعتقادِه، و هو أن تَكونَ </w:t>
      </w:r>
      <w:r>
        <w:rPr>
          <w:rStyle w:val="FootnoteAnchor"/>
          <w:rtl w:val="true"/>
        </w:rPr>
        <w:footnoteReference w:id="1984"/>
      </w:r>
      <w:r>
        <w:rPr>
          <w:rFonts w:ascii="Amiri" w:hAnsi="Amiri" w:eastAsia="Amiri" w:cs="Amiri"/>
          <w:color w:val="111111"/>
          <w:sz w:val="28"/>
          <w:sz w:val="28"/>
          <w:szCs w:val="28"/>
          <w:rtl w:val="true"/>
          <w:lang w:bidi="ar-SA"/>
        </w:rPr>
        <w:t xml:space="preserve">الشريعةُ منقولةً ، و وَراءَ الناقلينَ </w:t>
      </w:r>
      <w:r>
        <w:rPr>
          <w:rStyle w:val="FootnoteAnchor"/>
          <w:rtl w:val="true"/>
        </w:rPr>
        <w:footnoteReference w:id="1985"/>
      </w:r>
      <w:r>
        <w:rPr>
          <w:rFonts w:ascii="Amiri" w:hAnsi="Amiri" w:eastAsia="Amiri" w:cs="Amiri"/>
          <w:color w:val="111111"/>
          <w:sz w:val="28"/>
          <w:sz w:val="28"/>
          <w:szCs w:val="28"/>
          <w:rtl w:val="true"/>
          <w:lang w:bidi="ar-SA"/>
        </w:rPr>
        <w:t>حافظٌ لها، و مُراعٍ لِما يَعرِضُ فيها، و مُتَلافٍ لِما يُفرِّطُ</w:t>
      </w:r>
      <w:r>
        <w:rPr>
          <w:rStyle w:val="FootnoteAnchor"/>
          <w:rtl w:val="true"/>
        </w:rPr>
        <w:footnoteReference w:id="1986"/>
      </w:r>
      <w:r>
        <w:rPr>
          <w:rFonts w:ascii="Amiri" w:hAnsi="Amiri" w:eastAsia="Amiri" w:cs="Amiri"/>
          <w:color w:val="111111"/>
          <w:sz w:val="28"/>
          <w:sz w:val="28"/>
          <w:szCs w:val="28"/>
          <w:rtl w:val="true"/>
          <w:lang w:bidi="ar-SA"/>
        </w:rPr>
        <w:t>فيه الناقلونَ و يَعدِلونَ عن الواجبِ عَلَيهم في</w:t>
      </w:r>
      <w:r>
        <w:rPr>
          <w:rStyle w:val="FootnoteAnchor"/>
          <w:rtl w:val="true"/>
        </w:rPr>
        <w:footnoteReference w:id="1987"/>
      </w:r>
      <w:r>
        <w:rPr>
          <w:rFonts w:ascii="IRNazanin" w:hAnsi="IRNazanin" w:eastAsia="IRNazanin"/>
          <w:color w:val="111111"/>
          <w:sz w:val="28"/>
          <w:sz w:val="28"/>
          <w:szCs w:val="28"/>
          <w:rtl w:val="true"/>
          <w:lang w:bidi="fa-IR"/>
        </w:rPr>
        <w:t>أدائه</w:t>
      </w:r>
      <w:r>
        <w:rPr>
          <w:rFonts w:eastAsia="IRNazanin" w:cs="IRNazanin"/>
          <w:color w:val="111111"/>
          <w:sz w:val="28"/>
          <w:szCs w:val="28"/>
          <w:rtl w:val="true"/>
          <w:lang w:bidi="fa-IR"/>
        </w:rPr>
        <w:t xml:space="preserve">. </w:t>
      </w:r>
      <w:bookmarkStart w:id="640" w:name="pg20044_771024"/>
    </w:p>
    <w:p>
      <w:pPr>
        <w:pStyle w:val="Heading5"/>
        <w:numPr>
          <w:ilvl w:val="4"/>
          <w:numId w:val="1"/>
        </w:numPr>
        <w:rPr/>
      </w:pPr>
      <w:bookmarkStart w:id="641" w:name="__RefHeading___Toc828724_2320776876"/>
      <w:bookmarkStart w:id="642" w:name="_Toc227"/>
      <w:bookmarkEnd w:id="640"/>
      <w:bookmarkEnd w:id="641"/>
      <w:r>
        <w:rPr>
          <w:rtl w:val="true"/>
        </w:rPr>
        <w:t>وجوب معرفة الإمام لأجل معرفة الشرع</w:t>
      </w:r>
      <w:bookmarkEnd w:id="64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يَلزَمُكم علىٰ هذه العِلّةِ فيمَن لا يَعرِفُ الإمامَ أن لا يَعلَمَ شيئاً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أن يَعرِفَ بالتواتُرِ أركانَ </w:t>
      </w:r>
      <w:r>
        <w:rPr>
          <w:rStyle w:val="FootnoteAnchor"/>
          <w:rtl w:val="true"/>
        </w:rPr>
        <w:footnoteReference w:id="1988"/>
      </w:r>
      <w:r>
        <w:rPr>
          <w:rFonts w:ascii="Amiri" w:hAnsi="Amiri" w:eastAsia="Amiri" w:cs="Amiri"/>
          <w:color w:val="111111"/>
          <w:sz w:val="28"/>
          <w:sz w:val="28"/>
          <w:szCs w:val="28"/>
          <w:rtl w:val="true"/>
          <w:lang w:bidi="ar-SA"/>
        </w:rPr>
        <w:t>الشرعِ كالصلاةِ و غيرِها، و يَستَغنيَ في ذلكَ عن الإمامِ ، فهَلّا جازَ مِثلُه في سائرِها؟</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لا يَعرِفُ الإمامَ في الحقيقةِ بَعدَ الرسولِ صَلَّى اللّٰهُ عليه و آلِه و مَن كانَ بَعدَه مِن أبنائه الأئمّةِ الراشدينَ عليهم السلام، و لَم يَرجِعْ في الشرعِ إلىٰ ما نُقِلَ عنهم و أُخِذَ مِن جهتِهم، فإنّه لا يَعرِفُ كثيراً مِن الشرعِ</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و لَم يَدُلَّ‌</w:t>
      </w:r>
      <w:r>
        <w:rPr>
          <w:rStyle w:val="FootnoteAnchor"/>
          <w:rtl w:val="true"/>
        </w:rPr>
        <w:footnoteReference w:id="1991"/>
      </w:r>
      <w:r>
        <w:rPr>
          <w:rFonts w:ascii="Amiri" w:hAnsi="Amiri" w:eastAsia="Amiri" w:cs="Amiri"/>
          <w:color w:val="111111"/>
          <w:sz w:val="28"/>
          <w:sz w:val="28"/>
          <w:szCs w:val="28"/>
          <w:rtl w:val="true"/>
          <w:lang w:bidi="ar-SA"/>
        </w:rPr>
        <w:t>علىٰ ذلكَ إلّا فَزَعُ خُصومِنا إلَى الظَّنِّ و الاستحسانِ في أكثر الشرائعِ و الحوادثِ، و قد بيّنّا أنّ ما فَزِعوا إليه لا يوجِبُ معرفةً، و لا يُثمِرُ عِلماً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أركانُ الشرعِ كالصلاةِ و غيرِها فلَيسَ يَمتَنِعُ أن يَعرِفَه</w:t>
      </w:r>
      <w:r>
        <w:rPr>
          <w:rStyle w:val="FootnoteAnchor"/>
          <w:rtl w:val="true"/>
        </w:rPr>
        <w:footnoteReference w:id="1992"/>
      </w:r>
      <w:r>
        <w:rPr>
          <w:rFonts w:ascii="Amiri" w:hAnsi="Amiri" w:eastAsia="Amiri" w:cs="Amiri"/>
          <w:color w:val="111111"/>
          <w:sz w:val="28"/>
          <w:sz w:val="28"/>
          <w:szCs w:val="28"/>
          <w:rtl w:val="true"/>
          <w:lang w:bidi="ar-SA"/>
        </w:rPr>
        <w:t>الخُصومُ بالتواتُرِ</w:t>
      </w:r>
      <w:r>
        <w:rPr>
          <w:rStyle w:val="FootnoteAnchor"/>
          <w:rtl w:val="true"/>
        </w:rPr>
        <w:footnoteReference w:id="1993"/>
      </w:r>
      <w:r>
        <w:rPr>
          <w:rFonts w:ascii="Amiri" w:hAnsi="Amiri" w:eastAsia="Amiri" w:cs="Amiri"/>
          <w:color w:val="111111"/>
          <w:sz w:val="28"/>
          <w:sz w:val="28"/>
          <w:szCs w:val="28"/>
          <w:rtl w:val="true"/>
          <w:lang w:bidi="ar-SA"/>
        </w:rPr>
        <w:t>، 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يُحتاجُ إليه لتُعرَفَ صحّةُ دَلالةِ التواتُرِ، بل لنَتيَقَّنَ </w:t>
      </w:r>
      <w:r>
        <w:rPr>
          <w:rStyle w:val="FootnoteAnchor"/>
          <w:rtl w:val="true"/>
        </w:rPr>
        <w:footnoteReference w:id="1994"/>
      </w:r>
      <w:r>
        <w:rPr>
          <w:rFonts w:ascii="Amiri" w:hAnsi="Amiri" w:eastAsia="Amiri" w:cs="Amiri"/>
          <w:color w:val="111111"/>
          <w:sz w:val="28"/>
          <w:sz w:val="28"/>
          <w:szCs w:val="28"/>
          <w:rtl w:val="true"/>
          <w:lang w:bidi="ar-SA"/>
        </w:rPr>
        <w:t>بأنّه لَم يَنكَتِمْ عنّا شيءٌ مِن أُمورِ الدِّينِ كُلِّها</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bookmarkStart w:id="643" w:name="pg20044_771025"/>
    </w:p>
    <w:p>
      <w:pPr>
        <w:pStyle w:val="Heading5"/>
        <w:numPr>
          <w:ilvl w:val="4"/>
          <w:numId w:val="1"/>
        </w:numPr>
        <w:rPr/>
      </w:pPr>
      <w:bookmarkStart w:id="644" w:name="__RefHeading___Toc828726_2320776876"/>
      <w:bookmarkStart w:id="645" w:name="_Toc228"/>
      <w:bookmarkEnd w:id="643"/>
      <w:bookmarkEnd w:id="644"/>
      <w:r>
        <w:rPr>
          <w:rtl w:val="true"/>
        </w:rPr>
        <w:t>بيان الطريق إلىٰ معرفة الإمام، و عدم الاستغناء بالتواتر عنه</w:t>
      </w:r>
      <w:bookmarkEnd w:id="64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الشريعةِ الإيمانُ بالإمامِ و المعرفةُ به و بأحوالِه، فلا بُدَّ مِن أن يُعلَمَ‌</w:t>
      </w:r>
      <w:r>
        <w:rPr>
          <w:rStyle w:val="FootnoteAnchor"/>
          <w:rtl w:val="true"/>
        </w:rPr>
        <w:footnoteReference w:id="1996"/>
      </w:r>
      <w:r>
        <w:rPr>
          <w:rFonts w:ascii="Amiri" w:hAnsi="Amiri" w:eastAsia="Amiri" w:cs="Amiri"/>
          <w:color w:val="111111"/>
          <w:sz w:val="28"/>
          <w:sz w:val="28"/>
          <w:szCs w:val="28"/>
          <w:rtl w:val="true"/>
          <w:lang w:bidi="ar-SA"/>
        </w:rPr>
        <w:t>لأنّه مِن أعظَمِ أمرِ الدِّينِ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Style w:val="FootnoteAnchor"/>
          <w:rtl w:val="true"/>
        </w:rPr>
        <w:footnoteReference w:id="1997"/>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أيُعلَمُ ذلك بالتواتُرِ، أم</w:t>
      </w:r>
      <w:r>
        <w:rPr>
          <w:rStyle w:val="FootnoteAnchor"/>
          <w:rtl w:val="true"/>
        </w:rPr>
        <w:footnoteReference w:id="1998"/>
      </w:r>
      <w:r>
        <w:rPr>
          <w:rFonts w:ascii="Amiri" w:hAnsi="Amiri" w:eastAsia="Amiri" w:cs="Amiri"/>
          <w:color w:val="111111"/>
          <w:sz w:val="28"/>
          <w:sz w:val="28"/>
          <w:szCs w:val="28"/>
          <w:rtl w:val="true"/>
          <w:lang w:bidi="ar-SA"/>
        </w:rPr>
        <w:t>مِن جهةِ الإمامِ؟</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1999"/>
      </w:r>
      <w:r>
        <w:rPr>
          <w:rFonts w:ascii="Amiri" w:hAnsi="Amiri" w:eastAsia="Amiri" w:cs="Amiri"/>
          <w:color w:val="111111"/>
          <w:sz w:val="28"/>
          <w:sz w:val="28"/>
          <w:szCs w:val="28"/>
          <w:rtl w:val="true"/>
          <w:lang w:bidi="ar-SA"/>
        </w:rPr>
        <w:t xml:space="preserve">يُعلَمُ </w:t>
      </w:r>
      <w:r>
        <w:rPr>
          <w:rStyle w:val="FootnoteAnchor"/>
          <w:rtl w:val="true"/>
        </w:rPr>
        <w:footnoteReference w:id="2000"/>
      </w:r>
      <w:r>
        <w:rPr>
          <w:rFonts w:ascii="Amiri" w:hAnsi="Amiri" w:eastAsia="Amiri" w:cs="Amiri"/>
          <w:color w:val="111111"/>
          <w:sz w:val="28"/>
          <w:sz w:val="28"/>
          <w:szCs w:val="28"/>
          <w:rtl w:val="true"/>
          <w:lang w:bidi="ar-SA"/>
        </w:rPr>
        <w:t xml:space="preserve">مِن جهتِه كَونُه إماماً، و إنّما يُعلَمُ </w:t>
      </w:r>
      <w:r>
        <w:rPr>
          <w:rStyle w:val="FootnoteAnchor"/>
          <w:rtl w:val="true"/>
        </w:rPr>
        <w:footnoteReference w:id="2001"/>
      </w:r>
      <w:r>
        <w:rPr>
          <w:rFonts w:ascii="Amiri" w:hAnsi="Amiri" w:eastAsia="Amiri" w:cs="Amiri"/>
          <w:color w:val="111111"/>
          <w:sz w:val="28"/>
          <w:sz w:val="28"/>
          <w:szCs w:val="28"/>
          <w:rtl w:val="true"/>
          <w:lang w:bidi="ar-SA"/>
        </w:rPr>
        <w:t>صِدقُه بَعدَ العِلمِ بأنّه إمامٌ؟ فلا بُدَّ مِن الرجوعِ إلىٰ أنّ ذلكَ يُعلَمُ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استُغنيَ به</w:t>
      </w:r>
      <w:r>
        <w:rPr>
          <w:rStyle w:val="FootnoteAnchor"/>
          <w:rtl w:val="true"/>
        </w:rPr>
        <w:footnoteReference w:id="2002"/>
      </w:r>
      <w:r>
        <w:rPr>
          <w:rFonts w:ascii="Amiri" w:hAnsi="Amiri" w:eastAsia="Amiri" w:cs="Amiri"/>
          <w:color w:val="111111"/>
          <w:sz w:val="28"/>
          <w:sz w:val="28"/>
          <w:szCs w:val="28"/>
          <w:rtl w:val="true"/>
          <w:lang w:bidi="ar-SA"/>
        </w:rPr>
        <w:t>عن الإمامِ في هذا مِن</w:t>
      </w:r>
      <w:r>
        <w:rPr>
          <w:rStyle w:val="FootnoteAnchor"/>
          <w:rtl w:val="true"/>
        </w:rPr>
        <w:footnoteReference w:id="2003"/>
      </w:r>
      <w:r>
        <w:rPr>
          <w:rFonts w:ascii="Amiri" w:hAnsi="Amiri" w:eastAsia="Amiri" w:cs="Amiri"/>
          <w:color w:val="111111"/>
          <w:sz w:val="28"/>
          <w:sz w:val="28"/>
          <w:szCs w:val="28"/>
          <w:rtl w:val="true"/>
          <w:lang w:bidi="ar-SA"/>
        </w:rPr>
        <w:t xml:space="preserve">الشريعةِ </w:t>
      </w:r>
      <w:r>
        <w:rPr>
          <w:rStyle w:val="FootnoteAnchor"/>
          <w:rtl w:val="true"/>
        </w:rPr>
        <w:footnoteReference w:id="2004"/>
      </w:r>
      <w:r>
        <w:rPr>
          <w:rFonts w:ascii="Amiri" w:hAnsi="Amiri" w:eastAsia="Amiri" w:cs="Amiri"/>
          <w:color w:val="111111"/>
          <w:sz w:val="28"/>
          <w:sz w:val="28"/>
          <w:szCs w:val="28"/>
          <w:rtl w:val="true"/>
          <w:lang w:bidi="ar-SA"/>
        </w:rPr>
        <w:t>، فهَلّا</w:t>
      </w:r>
      <w:r>
        <w:rPr>
          <w:rStyle w:val="FootnoteAnchor"/>
          <w:rtl w:val="true"/>
        </w:rPr>
        <w:footnoteReference w:id="2005"/>
      </w:r>
      <w:r>
        <w:rPr>
          <w:rFonts w:ascii="Amiri" w:hAnsi="Amiri" w:eastAsia="Amiri" w:cs="Amiri"/>
          <w:color w:val="111111"/>
          <w:sz w:val="28"/>
          <w:sz w:val="28"/>
          <w:szCs w:val="28"/>
          <w:rtl w:val="true"/>
          <w:lang w:bidi="ar-SA"/>
        </w:rPr>
        <w:t>جازَ أن يُستَغنىٰ به في سائرِها؟</w:t>
      </w:r>
      <w:r>
        <w:rPr>
          <w:rStyle w:val="FootnoteAnchor"/>
          <w:rtl w:val="true"/>
        </w:rPr>
        <w:footnoteReference w:id="2006"/>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المعرفةُ بوجودِ إمامٍ </w:t>
      </w:r>
      <w:r>
        <w:rPr>
          <w:rStyle w:val="FootnoteAnchor"/>
          <w:rtl w:val="true"/>
        </w:rPr>
        <w:footnoteReference w:id="2007"/>
      </w:r>
      <w:r>
        <w:rPr>
          <w:rFonts w:ascii="Amiri" w:hAnsi="Amiri" w:eastAsia="Amiri" w:cs="Amiri"/>
          <w:color w:val="111111"/>
          <w:sz w:val="28"/>
          <w:sz w:val="28"/>
          <w:szCs w:val="28"/>
          <w:rtl w:val="true"/>
          <w:lang w:bidi="ar-SA"/>
        </w:rPr>
        <w:t xml:space="preserve">في الجُملةِ و صفاتِه المخصوصةِ فطريقُنا </w:t>
      </w:r>
    </w:p>
    <w:p>
      <w:pPr>
        <w:pStyle w:val="BookText"/>
        <w:rPr/>
      </w:pPr>
      <w:r>
        <w:rPr>
          <w:rFonts w:ascii="Amiri" w:hAnsi="Amiri" w:eastAsia="Amiri" w:cs="Amiri"/>
          <w:color w:val="111111"/>
          <w:sz w:val="28"/>
          <w:sz w:val="28"/>
          <w:szCs w:val="28"/>
          <w:rtl w:val="true"/>
          <w:lang w:bidi="ar-SA"/>
        </w:rPr>
        <w:t>فيه</w:t>
      </w:r>
      <w:r>
        <w:rPr>
          <w:rStyle w:val="FootnoteAnchor"/>
          <w:rtl w:val="true"/>
        </w:rPr>
        <w:footnoteReference w:id="2008"/>
      </w:r>
      <w:r>
        <w:rPr>
          <w:rFonts w:ascii="Amiri" w:hAnsi="Amiri" w:eastAsia="Amiri" w:cs="Amiri"/>
          <w:color w:val="111111"/>
          <w:sz w:val="28"/>
          <w:sz w:val="28"/>
          <w:szCs w:val="28"/>
          <w:rtl w:val="true"/>
          <w:lang w:bidi="ar-SA"/>
        </w:rPr>
        <w:t>العقلُ، و لَيسَ يُفتَقَرُ</w:t>
      </w:r>
      <w:r>
        <w:rPr>
          <w:rStyle w:val="FootnoteAnchor"/>
          <w:rtl w:val="true"/>
        </w:rPr>
        <w:footnoteReference w:id="2009"/>
      </w:r>
      <w:r>
        <w:rPr>
          <w:rFonts w:ascii="Amiri" w:hAnsi="Amiri" w:eastAsia="Amiri" w:cs="Amiri"/>
          <w:color w:val="111111"/>
          <w:sz w:val="28"/>
          <w:sz w:val="28"/>
          <w:szCs w:val="28"/>
          <w:rtl w:val="true"/>
          <w:lang w:bidi="ar-SA"/>
        </w:rPr>
        <w:t>فيه إلىٰ تواتُرٍ،</w:t>
      </w:r>
      <w:r>
        <w:rPr>
          <w:rStyle w:val="FootnoteAnchor"/>
          <w:rtl w:val="true"/>
        </w:rPr>
        <w:footnoteReference w:id="2010"/>
      </w:r>
      <w:r>
        <w:rPr>
          <w:rFonts w:ascii="Amiri" w:hAnsi="Amiri" w:eastAsia="Amiri" w:cs="Amiri"/>
          <w:color w:val="111111"/>
          <w:sz w:val="28"/>
          <w:sz w:val="28"/>
          <w:szCs w:val="28"/>
          <w:rtl w:val="true"/>
          <w:lang w:bidi="ar-SA"/>
        </w:rPr>
        <w:t>و لا إلىٰ قولِ إمامٍ‌</w:t>
      </w:r>
      <w:r>
        <w:rPr>
          <w:rStyle w:val="FootnoteAnchor"/>
          <w:rtl w:val="true"/>
        </w:rPr>
        <w:footnoteReference w:id="2011"/>
      </w:r>
      <w:r>
        <w:rPr>
          <w:rFonts w:ascii="Amiri" w:hAnsi="Amiri" w:eastAsia="Amiri" w:cs="Amiri"/>
          <w:color w:val="111111"/>
          <w:sz w:val="28"/>
          <w:sz w:val="28"/>
          <w:szCs w:val="28"/>
          <w:rtl w:val="true"/>
          <w:lang w:bidi="ar-SA"/>
        </w:rPr>
        <w:t>، و قد مضىٰ طَرَفٌ مِن الدَّلالةِ علىٰ هذا</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و أمّا العِلمُ بأنّ الإمامَ فُلانٌ دونَ غيرِه فيَحصُلُ بالتواتُرِ، و بقولِ الإمامِ أيضاً مع المُعجِزِ؛ لأنّ المُعجِزَ إذا دَلَّ علىٰ صِدقِه، و أمَّنَ مِن كَذِبِه، و ادَّعىٰ‌</w:t>
      </w:r>
      <w:r>
        <w:rPr>
          <w:rStyle w:val="FootnoteAnchor"/>
          <w:rtl w:val="true"/>
        </w:rPr>
        <w:footnoteReference w:id="2013"/>
      </w:r>
      <w:r>
        <w:rPr>
          <w:rFonts w:ascii="Amiri" w:hAnsi="Amiri" w:eastAsia="Amiri" w:cs="Amiri"/>
          <w:color w:val="111111"/>
          <w:sz w:val="28"/>
          <w:sz w:val="28"/>
          <w:szCs w:val="28"/>
          <w:rtl w:val="true"/>
          <w:lang w:bidi="ar-SA"/>
        </w:rPr>
        <w:t>أنّه الإمامُ الذي احتَجَّ اللّٰهُ تَعالىٰ به علَى الخَلقِ ، وَجَبَ تصديقُه و التسليمُ لقولِه، كما أنّ المُعجِزَ إذا دَلَّ علىٰ صِدقِ النبيِّ صَلَّى اللّٰهُ عليه و آلِه وَجَبَ التسليمُ لِكُلِّ ما يَدَّعيهِ و يؤدّيهِ ، و القطعُ علىٰ صِدقِه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ما ظَنَنتَه مِن أنّ كَونَه إماماً لا يَصِحُّ أن يُعلَمَ </w:t>
      </w:r>
      <w:r>
        <w:rPr>
          <w:rStyle w:val="FootnoteAnchor"/>
          <w:rtl w:val="true"/>
        </w:rPr>
        <w:footnoteReference w:id="2014"/>
      </w:r>
      <w:r>
        <w:rPr>
          <w:rFonts w:ascii="Amiri" w:hAnsi="Amiri" w:eastAsia="Amiri" w:cs="Amiri"/>
          <w:color w:val="111111"/>
          <w:sz w:val="28"/>
          <w:sz w:val="28"/>
          <w:szCs w:val="28"/>
          <w:rtl w:val="true"/>
          <w:lang w:bidi="ar-SA"/>
        </w:rPr>
        <w:t>مِن جهتِه</w:t>
      </w:r>
      <w:r>
        <w:rPr>
          <w:rStyle w:val="FootnoteAnchor"/>
          <w:rtl w:val="true"/>
        </w:rPr>
        <w:footnoteReference w:id="2015"/>
      </w:r>
      <w:r>
        <w:rPr>
          <w:rFonts w:ascii="Amiri" w:hAnsi="Amiri" w:eastAsia="Amiri" w:cs="Amiri"/>
          <w:color w:val="111111"/>
          <w:sz w:val="28"/>
          <w:sz w:val="28"/>
          <w:szCs w:val="28"/>
          <w:rtl w:val="true"/>
          <w:lang w:bidi="ar-SA"/>
        </w:rPr>
        <w:t>مِن حَيثُ تَوهَّمتَ أنّ صِدقَه لا يَصِحُّ أن يَكونَ معلوماً قَبلَ إمامتِه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استُغنيَ به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تَعني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جازَ أن يُستَغنىٰ به في سائرِ الشريعةِ؟ فما استُغنيَ قَطُّ في التواتُرِ عن الإمام، بل وجهُ الحاجةِ فيه إليه</w:t>
      </w:r>
      <w:r>
        <w:rPr>
          <w:rStyle w:val="FootnoteAnchor"/>
          <w:rtl w:val="true"/>
        </w:rPr>
        <w:footnoteReference w:id="2016"/>
      </w:r>
      <w:r>
        <w:rPr>
          <w:rFonts w:ascii="Amiri" w:hAnsi="Amiri" w:eastAsia="Amiri" w:cs="Amiri"/>
          <w:color w:val="111111"/>
          <w:sz w:val="28"/>
          <w:sz w:val="28"/>
          <w:szCs w:val="28"/>
          <w:rtl w:val="true"/>
          <w:lang w:bidi="ar-SA"/>
        </w:rPr>
        <w:t>ظاهرٌ؛ لأنّا قد بيّنّا</w:t>
      </w:r>
      <w:r>
        <w:rPr>
          <w:rStyle w:val="FootnoteAnchor"/>
          <w:rtl w:val="true"/>
        </w:rPr>
        <w:footnoteReference w:id="2017"/>
      </w:r>
      <w:r>
        <w:rPr>
          <w:rFonts w:ascii="Amiri" w:hAnsi="Amiri" w:eastAsia="Amiri" w:cs="Amiri"/>
          <w:color w:val="111111"/>
          <w:sz w:val="28"/>
          <w:sz w:val="28"/>
          <w:szCs w:val="28"/>
          <w:rtl w:val="true"/>
          <w:lang w:bidi="ar-SA"/>
        </w:rPr>
        <w:t xml:space="preserve">أنّ المتواتِرينَ كانَ يَجوزُ أن </w:t>
      </w:r>
    </w:p>
    <w:p>
      <w:pPr>
        <w:pStyle w:val="BookText"/>
        <w:rPr/>
      </w:pPr>
      <w:r>
        <w:rPr>
          <w:rFonts w:ascii="Amiri" w:hAnsi="Amiri" w:eastAsia="Amiri" w:cs="Amiri"/>
          <w:color w:val="111111"/>
          <w:sz w:val="28"/>
          <w:sz w:val="28"/>
          <w:szCs w:val="28"/>
          <w:rtl w:val="true"/>
          <w:lang w:bidi="ar-SA"/>
        </w:rPr>
        <w:t>لا يَنقُلوا</w:t>
      </w:r>
      <w:r>
        <w:rPr>
          <w:rStyle w:val="FootnoteAnchor"/>
          <w:rtl w:val="true"/>
        </w:rPr>
        <w:footnoteReference w:id="2018"/>
      </w:r>
      <w:r>
        <w:rPr>
          <w:rFonts w:ascii="Amiri" w:hAnsi="Amiri" w:eastAsia="Amiri" w:cs="Amiri"/>
          <w:color w:val="111111"/>
          <w:sz w:val="28"/>
          <w:sz w:val="28"/>
          <w:szCs w:val="28"/>
          <w:rtl w:val="true"/>
          <w:lang w:bidi="ar-SA"/>
        </w:rPr>
        <w:t>ذلكَ، فلا نَعلَمَه</w:t>
      </w:r>
      <w:r>
        <w:rPr>
          <w:rStyle w:val="FootnoteAnchor"/>
          <w:rtl w:val="true"/>
        </w:rPr>
        <w:footnoteReference w:id="2019"/>
      </w:r>
      <w:r>
        <w:rPr>
          <w:rFonts w:ascii="Amiri" w:hAnsi="Amiri" w:eastAsia="Amiri" w:cs="Amiri"/>
          <w:color w:val="111111"/>
          <w:sz w:val="28"/>
          <w:sz w:val="28"/>
          <w:szCs w:val="28"/>
          <w:rtl w:val="true"/>
          <w:lang w:bidi="ar-SA"/>
        </w:rPr>
        <w:t>مِن جهةِ النقلِ، و بَعدَ أن نَقَلوه يَجوزُ أيضاً أن يَعدِلوا عن نَقلِه فتَسقُطَ</w:t>
      </w:r>
      <w:r>
        <w:rPr>
          <w:rStyle w:val="FootnoteAnchor"/>
          <w:rtl w:val="true"/>
        </w:rPr>
        <w:footnoteReference w:id="2020"/>
      </w:r>
      <w:r>
        <w:rPr>
          <w:rFonts w:ascii="Amiri" w:hAnsi="Amiri" w:eastAsia="Amiri" w:cs="Amiri"/>
          <w:color w:val="111111"/>
          <w:sz w:val="28"/>
          <w:sz w:val="28"/>
          <w:szCs w:val="28"/>
          <w:rtl w:val="true"/>
          <w:lang w:bidi="ar-SA"/>
        </w:rPr>
        <w:t>الحُجّةُ به</w:t>
      </w:r>
      <w:r>
        <w:rPr>
          <w:rStyle w:val="FootnoteAnchor"/>
          <w:rtl w:val="true"/>
        </w:rPr>
        <w:footnoteReference w:id="2021"/>
      </w:r>
      <w:r>
        <w:rPr>
          <w:rFonts w:ascii="Amiri" w:hAnsi="Amiri" w:eastAsia="Amiri" w:cs="Amiri"/>
          <w:color w:val="111111"/>
          <w:sz w:val="28"/>
          <w:sz w:val="28"/>
          <w:szCs w:val="28"/>
          <w:rtl w:val="true"/>
          <w:lang w:bidi="ar-SA"/>
        </w:rPr>
        <w:t>في المُستَقبَلِ؛ فكَيفَ تَوهَّمتَ الاستغناءَ عن الإمامِ فيما نُقِلَ‌</w:t>
      </w:r>
      <w:r>
        <w:rPr>
          <w:rStyle w:val="FootnoteAnchor"/>
          <w:rtl w:val="true"/>
        </w:rPr>
        <w:footnoteReference w:id="2022"/>
      </w:r>
      <w:r>
        <w:rPr>
          <w:rFonts w:ascii="IRNazanin" w:hAnsi="IRNazanin" w:eastAsia="IRNazanin"/>
          <w:color w:val="111111"/>
          <w:sz w:val="28"/>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سُلِّمَ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استظهاراً و إيجاباً لإقامةِ الحُجّةِ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التواتُرَ بالنَّصِّ علَى الإمامِ يُستَغنىٰ‌</w:t>
      </w:r>
      <w:r>
        <w:rPr>
          <w:rStyle w:val="FootnoteAnchor"/>
          <w:rtl w:val="true"/>
        </w:rPr>
        <w:footnoteReference w:id="2023"/>
      </w:r>
      <w:r>
        <w:rPr>
          <w:rFonts w:ascii="Amiri" w:hAnsi="Amiri" w:eastAsia="Amiri" w:cs="Amiri"/>
          <w:color w:val="111111"/>
          <w:sz w:val="28"/>
          <w:sz w:val="28"/>
          <w:szCs w:val="28"/>
          <w:rtl w:val="true"/>
          <w:lang w:bidi="ar-SA"/>
        </w:rPr>
        <w:t>عنه فيه، و كذلكَ‌</w:t>
      </w:r>
      <w:r>
        <w:rPr>
          <w:rStyle w:val="FootnoteAnchor"/>
          <w:rtl w:val="true"/>
        </w:rPr>
        <w:footnoteReference w:id="2024"/>
      </w:r>
      <w:r>
        <w:rPr>
          <w:rFonts w:ascii="Amiri" w:hAnsi="Amiri" w:eastAsia="Amiri" w:cs="Amiri"/>
          <w:color w:val="111111"/>
          <w:sz w:val="28"/>
          <w:sz w:val="28"/>
          <w:szCs w:val="28"/>
          <w:rtl w:val="true"/>
          <w:lang w:bidi="ar-SA"/>
        </w:rPr>
        <w:t>كُلُّ ما كان حُكمُه حُكمَ النَّصِّ عليه مِن الشريعةِ التي تَواتَرَ بها النقلُ و تَظاهَرَ، لَم يَكُن ما ذَكَرتَه قادحاً في الطريقةِ التي استَدلَلنا بها علىٰ وجوبِ وجودِ الإمامِ بَعدَ النبيِّ صَلَّى اللّٰهُ عليه و آلِه لحِفظِ شريعتِه؛ و ذلكَ أنّ جميعَ‌</w:t>
      </w:r>
      <w:r>
        <w:rPr>
          <w:rStyle w:val="FootnoteAnchor"/>
          <w:rtl w:val="true"/>
        </w:rPr>
        <w:footnoteReference w:id="2025"/>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كلامُنا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بمتَواتَرٍ به</w:t>
      </w:r>
      <w:r>
        <w:rPr>
          <w:rStyle w:val="FootnoteAnchor"/>
          <w:rtl w:val="true"/>
        </w:rPr>
        <w:footnoteReference w:id="2026"/>
      </w:r>
      <w:r>
        <w:rPr>
          <w:rFonts w:ascii="Amiri" w:hAnsi="Amiri" w:eastAsia="Amiri" w:cs="Amiri"/>
          <w:color w:val="111111"/>
          <w:sz w:val="28"/>
          <w:sz w:val="28"/>
          <w:szCs w:val="28"/>
          <w:rtl w:val="true"/>
          <w:lang w:bidi="ar-SA"/>
        </w:rPr>
        <w:t xml:space="preserve">، بل أكثرُها مفقودٌ فيه التواتُرُ عن صاحبِ الشريعةِ </w:t>
      </w:r>
      <w:r>
        <w:rPr>
          <w:rStyle w:val="FootnoteAnchor"/>
          <w:rtl w:val="true"/>
        </w:rPr>
        <w:footnoteReference w:id="2027"/>
      </w:r>
      <w:r>
        <w:rPr>
          <w:rFonts w:ascii="Amiri" w:hAnsi="Amiri" w:eastAsia="Amiri" w:cs="Amiri"/>
          <w:color w:val="111111"/>
          <w:sz w:val="28"/>
          <w:sz w:val="28"/>
          <w:szCs w:val="28"/>
          <w:rtl w:val="true"/>
          <w:lang w:bidi="ar-SA"/>
        </w:rPr>
        <w:t xml:space="preserve">صَلَّى اللّٰهُ عليه و آلِه، فالحاجةُ إلَى الإمامِ في الشريعةِ إذَن قائمةٌ مِن حَيثُ بيّنّا، و إن سُلِّمَ أنّ ما وَرَدَ به التواتُرُ منها يُستَغنىٰ </w:t>
      </w:r>
      <w:r>
        <w:rPr>
          <w:rStyle w:val="FootnoteAnchor"/>
          <w:rtl w:val="true"/>
        </w:rPr>
        <w:footnoteReference w:id="2028"/>
      </w:r>
      <w:bookmarkStart w:id="646" w:name="pg20044_771028"/>
    </w:p>
    <w:p>
      <w:pPr>
        <w:pStyle w:val="BookText"/>
        <w:rPr/>
      </w:pPr>
      <w:bookmarkEnd w:id="646"/>
      <w:r>
        <w:rPr>
          <w:rFonts w:ascii="Amiri" w:hAnsi="Amiri" w:eastAsia="Amiri" w:cs="Amiri"/>
          <w:color w:val="111111"/>
          <w:sz w:val="28"/>
          <w:sz w:val="28"/>
          <w:szCs w:val="28"/>
          <w:rtl w:val="true"/>
          <w:lang w:bidi="ar-SA"/>
        </w:rPr>
        <w:t xml:space="preserve">فيه عن الإمامِ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828728_2320776876"/>
      <w:bookmarkStart w:id="648" w:name="_Toc229"/>
      <w:bookmarkEnd w:id="647"/>
      <w:r>
        <w:rPr>
          <w:rtl w:val="true"/>
        </w:rPr>
        <w:t>عدم الاستغناء عن الإمام في معرفة الشريعة</w:t>
      </w:r>
      <w:bookmarkEnd w:id="648"/>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هذه العِلّةِ‌</w:t>
      </w:r>
      <w:r>
        <w:rPr>
          <w:rStyle w:val="FootnoteAnchor"/>
          <w:rtl w:val="true"/>
        </w:rPr>
        <w:footnoteReference w:id="2030"/>
      </w:r>
      <w:r>
        <w:rPr>
          <w:rFonts w:ascii="Amiri" w:hAnsi="Amiri" w:eastAsia="Amiri" w:cs="Amiri"/>
          <w:color w:val="111111"/>
          <w:sz w:val="28"/>
          <w:sz w:val="28"/>
          <w:szCs w:val="28"/>
          <w:rtl w:val="true"/>
          <w:lang w:bidi="ar-SA"/>
        </w:rPr>
        <w:t xml:space="preserve">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مفقودٌ أو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نَعرِفَ‌</w:t>
      </w:r>
      <w:r>
        <w:rPr>
          <w:rStyle w:val="FootnoteAnchor"/>
          <w:rtl w:val="true"/>
        </w:rPr>
        <w:footnoteReference w:id="2031"/>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يَخلُوَ حالُنا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نَكونَ مَعذورينَ و</w:t>
      </w:r>
      <w:r>
        <w:rPr>
          <w:rStyle w:val="FootnoteAnchor"/>
          <w:rtl w:val="true"/>
        </w:rPr>
        <w:footnoteReference w:id="2032"/>
      </w:r>
      <w:r>
        <w:rPr>
          <w:rFonts w:ascii="Amiri" w:hAnsi="Amiri" w:eastAsia="Amiri" w:cs="Amiri"/>
          <w:color w:val="111111"/>
          <w:sz w:val="28"/>
          <w:sz w:val="28"/>
          <w:szCs w:val="28"/>
          <w:rtl w:val="true"/>
          <w:lang w:bidi="ar-SA"/>
        </w:rPr>
        <w:t>غيرَ مكلَّفينَ لذلك، فإن جازَ ذلكَ فينا ليَجوزَنَّ‌</w:t>
      </w:r>
      <w:r>
        <w:rPr>
          <w:rStyle w:val="FootnoteAnchor"/>
          <w:rtl w:val="true"/>
        </w:rPr>
        <w:footnoteReference w:id="2033"/>
      </w:r>
      <w:r>
        <w:rPr>
          <w:rFonts w:ascii="Amiri" w:hAnsi="Amiri" w:eastAsia="Amiri" w:cs="Amiri"/>
          <w:color w:val="111111"/>
          <w:sz w:val="28"/>
          <w:sz w:val="28"/>
          <w:szCs w:val="28"/>
          <w:rtl w:val="true"/>
          <w:lang w:bidi="ar-SA"/>
        </w:rPr>
        <w:t xml:space="preserve">في كُلِّ عصرٍ بَعدَ الرسولِ صلَّى اللّٰهُ عليه و آلِه و سَلَّمَ، و ذلكَ يُغني عن الإمامِ و يُبطِلُ </w:t>
      </w:r>
      <w:r>
        <w:rPr>
          <w:rStyle w:val="FootnoteAnchor"/>
          <w:rtl w:val="true"/>
        </w:rPr>
        <w:footnoteReference w:id="2034"/>
      </w:r>
      <w:r>
        <w:rPr>
          <w:rFonts w:ascii="Amiri" w:hAnsi="Amiri" w:eastAsia="Amiri" w:cs="Amiri"/>
          <w:color w:val="111111"/>
          <w:sz w:val="28"/>
          <w:sz w:val="28"/>
          <w:szCs w:val="28"/>
          <w:rtl w:val="true"/>
          <w:lang w:bidi="ar-SA"/>
        </w:rPr>
        <w:t>عِلّتَهم</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نَعرِفُ الشريعةَ لا مِن قِبَلِ الإمامِ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وجهٍ يَصِحُّ أن نَعرِفَها</w:t>
      </w:r>
      <w:r>
        <w:rPr>
          <w:rStyle w:val="FootnoteAnchor"/>
          <w:rtl w:val="true"/>
        </w:rPr>
        <w:footnoteReference w:id="2036"/>
      </w:r>
      <w:r>
        <w:rPr>
          <w:rFonts w:ascii="Amiri" w:hAnsi="Amiri" w:eastAsia="Amiri" w:cs="Amiri"/>
          <w:color w:val="111111"/>
          <w:sz w:val="28"/>
          <w:sz w:val="28"/>
          <w:szCs w:val="28"/>
          <w:rtl w:val="true"/>
          <w:lang w:bidi="ar-SA"/>
        </w:rPr>
        <w:t xml:space="preserve">، يَجِبُ جوازُ مِثلِه في سائرِ الأعصارِ، و في ذلكَ الغِنىٰ عن الإمامِ في كُلِّ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يُمكِنُهم القولُ بأنّا لا نَعرِفُ الشرعَ و لا يُمكِنُنا معرفتُه و مع ذلكَ لا نُعذَرُ؛ لأنّ ذلكَ يَجري مَجرىٰ تكليفِ ما لا يُطاقُ </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الفِرقةَ المُحِقّةَ القائلةَ </w:t>
      </w:r>
      <w:r>
        <w:rPr>
          <w:rStyle w:val="FootnoteAnchor"/>
          <w:rtl w:val="true"/>
        </w:rPr>
        <w:footnoteReference w:id="2038"/>
      </w:r>
      <w:r>
        <w:rPr>
          <w:rFonts w:ascii="Amiri" w:hAnsi="Amiri" w:eastAsia="Amiri" w:cs="Amiri"/>
          <w:color w:val="111111"/>
          <w:sz w:val="28"/>
          <w:sz w:val="28"/>
          <w:szCs w:val="28"/>
          <w:rtl w:val="true"/>
          <w:lang w:bidi="ar-SA"/>
        </w:rPr>
        <w:t>بوجودِ الإمامِ الحافظِ</w:t>
      </w:r>
      <w:r>
        <w:rPr>
          <w:rStyle w:val="FootnoteAnchor"/>
          <w:rtl w:val="true"/>
        </w:rPr>
        <w:footnoteReference w:id="2039"/>
      </w:r>
      <w:r>
        <w:rPr>
          <w:rFonts w:ascii="Amiri" w:hAnsi="Amiri" w:eastAsia="Amiri" w:cs="Amiri"/>
          <w:color w:val="111111"/>
          <w:sz w:val="28"/>
          <w:sz w:val="28"/>
          <w:szCs w:val="28"/>
          <w:rtl w:val="true"/>
          <w:lang w:bidi="ar-SA"/>
        </w:rPr>
        <w:t>للشريعةِ هي عارفةٌ بما نُقِلَ مِن الشريعةِ عن النبيِّ صَلَّى اللّٰهُ عليه و آلِه و سلم، و ما لَم يُنقَلْ عنه</w:t>
      </w:r>
    </w:p>
    <w:p>
      <w:pPr>
        <w:pStyle w:val="BookText"/>
        <w:rPr/>
      </w:pPr>
      <w:r>
        <w:rPr>
          <w:rFonts w:ascii="Amiri" w:hAnsi="Amiri" w:eastAsia="Amiri" w:cs="Amiri"/>
          <w:color w:val="111111"/>
          <w:sz w:val="28"/>
          <w:sz w:val="28"/>
          <w:szCs w:val="28"/>
          <w:rtl w:val="true"/>
          <w:lang w:bidi="ar-SA"/>
        </w:rPr>
        <w:t xml:space="preserve">فبما نُقِلَ عن الأئمّةِ القائمينَ بالأمرِ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واثقةٌ بأنّ شيئاً مِن الشريعةِ يَجِبُ معرفتُه</w:t>
      </w:r>
      <w:r>
        <w:rPr>
          <w:rStyle w:val="FootnoteAnchor"/>
          <w:rtl w:val="true"/>
        </w:rPr>
        <w:footnoteReference w:id="2040"/>
      </w:r>
      <w:r>
        <w:rPr>
          <w:rFonts w:ascii="Amiri" w:hAnsi="Amiri" w:eastAsia="Amiri" w:cs="Amiri"/>
          <w:color w:val="111111"/>
          <w:sz w:val="28"/>
          <w:sz w:val="28"/>
          <w:szCs w:val="28"/>
          <w:rtl w:val="true"/>
          <w:lang w:bidi="ar-SA"/>
        </w:rPr>
        <w:t>لَم يُخَلَّ به؛ مِن أجلِ كَونِ الإمامِ مِن ورائها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 مَن خالَفَ الحقَّ و ضَلَّ عن دينِ اللّٰهِ تَعالَى الذي ارتَضاه لا يَعرِفُ أكثرَ الشريعةِ ؛ لعُدولِه</w:t>
      </w:r>
      <w:r>
        <w:rPr>
          <w:rStyle w:val="FootnoteAnchor"/>
          <w:rtl w:val="true"/>
        </w:rPr>
        <w:footnoteReference w:id="2041"/>
      </w:r>
      <w:r>
        <w:rPr>
          <w:rFonts w:ascii="Amiri" w:hAnsi="Amiri" w:eastAsia="Amiri" w:cs="Amiri"/>
          <w:color w:val="111111"/>
          <w:sz w:val="28"/>
          <w:sz w:val="28"/>
          <w:szCs w:val="28"/>
          <w:rtl w:val="true"/>
          <w:lang w:bidi="ar-SA"/>
        </w:rPr>
        <w:t xml:space="preserve">عن الطريقِ الذي يوصِلُ إلَى العِلمِ بها، و لا يَثِقُ بأنّ شيئاً ممّا يَلزَمُه معرفتُه لَم يَنطَوِ عنه و إن أظهَرَ الثِّقةَ مِن نَفسِه، و لا يَجِبُ أن يَكونَ مَن هذا حُكمُه معذوراً؛ لتمَكُّنِه مِن الرجوعِ إلَى الحقِّ </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نَعرِفُها لا مِن قِبَلِ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إمامَ زمانِنا، فقَد بيّنّا أنّا قد عَرَفنا أكثرَ الشريعةِ </w:t>
      </w:r>
      <w:r>
        <w:rPr>
          <w:rStyle w:val="FootnoteAnchor"/>
          <w:rtl w:val="true"/>
        </w:rPr>
        <w:footnoteReference w:id="2043"/>
      </w:r>
      <w:r>
        <w:rPr>
          <w:rFonts w:ascii="Amiri" w:hAnsi="Amiri" w:eastAsia="Amiri" w:cs="Amiri"/>
          <w:color w:val="111111"/>
          <w:sz w:val="28"/>
          <w:sz w:val="28"/>
          <w:szCs w:val="28"/>
          <w:rtl w:val="true"/>
          <w:lang w:bidi="ar-SA"/>
        </w:rPr>
        <w:t>ببَيانِ مَن تَقدَّمَ مِن آبائه عليهم السلام،</w:t>
      </w:r>
      <w:r>
        <w:rPr>
          <w:rStyle w:val="FootnoteAnchor"/>
          <w:rtl w:val="true"/>
        </w:rPr>
        <w:footnoteReference w:id="2044"/>
      </w:r>
      <w:r>
        <w:rPr>
          <w:rFonts w:ascii="Amiri" w:hAnsi="Amiri" w:eastAsia="Amiri" w:cs="Amiri"/>
          <w:color w:val="111111"/>
          <w:sz w:val="28"/>
          <w:sz w:val="28"/>
          <w:szCs w:val="28"/>
          <w:rtl w:val="true"/>
          <w:lang w:bidi="ar-SA"/>
        </w:rPr>
        <w:t>غيرَ أنّه لا يَقتَضي</w:t>
      </w:r>
      <w:r>
        <w:rPr>
          <w:rStyle w:val="FootnoteAnchor"/>
          <w:rtl w:val="true"/>
        </w:rPr>
        <w:footnoteReference w:id="2045"/>
      </w:r>
      <w:r>
        <w:rPr>
          <w:rFonts w:ascii="Amiri" w:hAnsi="Amiri" w:eastAsia="Amiri" w:cs="Amiri"/>
          <w:color w:val="111111"/>
          <w:sz w:val="28"/>
          <w:sz w:val="28"/>
          <w:szCs w:val="28"/>
          <w:rtl w:val="true"/>
          <w:lang w:bidi="ar-SA"/>
        </w:rPr>
        <w:t>الغِنىٰ عنه</w:t>
      </w:r>
      <w:r>
        <w:rPr>
          <w:rStyle w:val="FootnoteAnchor"/>
          <w:rtl w:val="true"/>
        </w:rPr>
        <w:footnoteReference w:id="2046"/>
      </w:r>
      <w:r>
        <w:rPr>
          <w:rFonts w:ascii="Amiri" w:hAnsi="Amiri" w:eastAsia="Amiri" w:cs="Amiri"/>
          <w:color w:val="111111"/>
          <w:sz w:val="28"/>
          <w:sz w:val="28"/>
          <w:szCs w:val="28"/>
          <w:rtl w:val="true"/>
          <w:lang w:bidi="ar-SA"/>
        </w:rPr>
        <w:t>في الشريعةِ مِن الوجهِ الذي قد</w:t>
      </w:r>
      <w:r>
        <w:rPr>
          <w:rStyle w:val="FootnoteAnchor"/>
          <w:rtl w:val="true"/>
        </w:rPr>
        <w:footnoteReference w:id="2047"/>
      </w:r>
      <w:r>
        <w:rPr>
          <w:rFonts w:ascii="Amiri" w:hAnsi="Amiri" w:eastAsia="Amiri" w:cs="Amiri"/>
          <w:color w:val="111111"/>
          <w:sz w:val="28"/>
          <w:sz w:val="28"/>
          <w:szCs w:val="28"/>
          <w:rtl w:val="true"/>
          <w:lang w:bidi="ar-SA"/>
        </w:rPr>
        <w:t>تَردَّدَ في كلامِنا مِراراً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 أنّا نَعرِفُ </w:t>
      </w:r>
      <w:r>
        <w:rPr>
          <w:rStyle w:val="FootnoteAnchor"/>
          <w:rtl w:val="true"/>
        </w:rPr>
        <w:footnoteReference w:id="2048"/>
      </w:r>
      <w:r>
        <w:rPr>
          <w:rFonts w:ascii="Amiri" w:hAnsi="Amiri" w:eastAsia="Amiri" w:cs="Amiri"/>
          <w:color w:val="111111"/>
          <w:sz w:val="28"/>
          <w:sz w:val="28"/>
          <w:szCs w:val="28"/>
          <w:rtl w:val="true"/>
          <w:lang w:bidi="ar-SA"/>
        </w:rPr>
        <w:t xml:space="preserve">الشريعةَ لا مِن قِبَلِ إمامٍ في الجُملةِ بَعدَ الرسولِ </w:t>
      </w:r>
    </w:p>
    <w:p>
      <w:pPr>
        <w:pStyle w:val="BookText"/>
        <w:rPr/>
      </w:pPr>
      <w:r>
        <w:rPr>
          <w:rFonts w:ascii="Amiri" w:hAnsi="Amiri" w:eastAsia="Amiri" w:cs="Amiri"/>
          <w:color w:val="111111"/>
          <w:sz w:val="28"/>
          <w:sz w:val="28"/>
          <w:szCs w:val="28"/>
          <w:rtl w:val="true"/>
          <w:lang w:bidi="ar-SA"/>
        </w:rPr>
        <w:t>صَلَّى اللّٰهُ عليه و آله و سلّم، فقَد دَلَّلنا علىٰ بُطلانِ ذلكَ، و تَقدَّمَ أنّ‌</w:t>
      </w:r>
      <w:r>
        <w:rPr>
          <w:rStyle w:val="FootnoteAnchor"/>
          <w:rtl w:val="true"/>
        </w:rPr>
        <w:footnoteReference w:id="2049"/>
      </w:r>
      <w:r>
        <w:rPr>
          <w:rFonts w:ascii="Amiri" w:hAnsi="Amiri" w:eastAsia="Amiri" w:cs="Amiri"/>
          <w:color w:val="111111"/>
          <w:sz w:val="28"/>
          <w:sz w:val="28"/>
          <w:szCs w:val="28"/>
          <w:rtl w:val="true"/>
          <w:lang w:bidi="ar-SA"/>
        </w:rPr>
        <w:t>أكثَرَ ما اختُلِفَ فيه مِن الشريعةِ لَولا ما نُقِلَ عن الأئمّةِ مِن آلِ الرسولِ صَلَواتُ اللّٰه عليه و عَلَيهم فيه مِن البيانِ لَما عُرِفَ الحقُّ مِنه</w:t>
      </w:r>
      <w:r>
        <w:rPr>
          <w:rStyle w:val="FootnoteAnchor"/>
          <w:rtl w:val="true"/>
        </w:rPr>
        <w:footnoteReference w:id="2050"/>
      </w:r>
      <w:r>
        <w:rPr>
          <w:rFonts w:ascii="Amiri" w:hAnsi="Amiri" w:eastAsia="Amiri" w:cs="Amiri"/>
          <w:color w:val="111111"/>
          <w:sz w:val="28"/>
          <w:sz w:val="28"/>
          <w:szCs w:val="28"/>
          <w:rtl w:val="true"/>
          <w:lang w:bidi="ar-SA"/>
        </w:rPr>
        <w:t>، و أنّ مَن عَوَّلَ في الشريعةِ علَى الظَّنِّ فقَد خَبَطَ</w:t>
      </w:r>
      <w:r>
        <w:rPr>
          <w:rStyle w:val="FootnoteAnchor"/>
          <w:rtl w:val="true"/>
        </w:rPr>
        <w:footnoteReference w:id="2051"/>
      </w:r>
      <w:r>
        <w:rPr>
          <w:rFonts w:ascii="Amiri" w:hAnsi="Amiri" w:eastAsia="Amiri" w:cs="Amiri"/>
          <w:color w:val="111111"/>
          <w:sz w:val="28"/>
          <w:sz w:val="28"/>
          <w:szCs w:val="28"/>
          <w:rtl w:val="true"/>
          <w:lang w:bidi="ar-SA"/>
        </w:rPr>
        <w:t>و ضَلَّ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أيضاً أنّ جميعَ الشريعةِ لَو كانَ منقولاً عن النبيِّ صلّى اللّٰه عليه و آلِه و سَلَّمَ و لَم يَقِفْ مِنها شيءٌ علىٰ بيانِ الأئمّةِ‌</w:t>
      </w:r>
      <w:r>
        <w:rPr>
          <w:rStyle w:val="FootnoteAnchor"/>
          <w:rtl w:val="true"/>
        </w:rPr>
        <w:footnoteReference w:id="2052"/>
      </w:r>
      <w:r>
        <w:rPr>
          <w:rFonts w:ascii="Amiri" w:hAnsi="Amiri" w:eastAsia="Amiri" w:cs="Amiri"/>
          <w:color w:val="111111"/>
          <w:sz w:val="28"/>
          <w:sz w:val="28"/>
          <w:szCs w:val="28"/>
          <w:rtl w:val="true"/>
          <w:lang w:bidi="ar-SA"/>
        </w:rPr>
        <w:t>عليهم السلام لغيرِه،</w:t>
      </w:r>
      <w:r>
        <w:rPr>
          <w:rStyle w:val="FootnoteAnchor"/>
          <w:rtl w:val="true"/>
        </w:rPr>
        <w:footnoteReference w:id="2053"/>
      </w:r>
      <w:r>
        <w:rPr>
          <w:rFonts w:ascii="Amiri" w:hAnsi="Amiri" w:eastAsia="Amiri" w:cs="Amiri"/>
          <w:color w:val="111111"/>
          <w:sz w:val="28"/>
          <w:sz w:val="28"/>
          <w:szCs w:val="28"/>
          <w:rtl w:val="true"/>
          <w:lang w:bidi="ar-SA"/>
        </w:rPr>
        <w:t>لَكانَت الحاجةُ إليهم فيها قائمةً؛ مِن حَيثُ كانَ يَجوزُ علىٰ مَن نَقَلَها فعَلِمناها أن لا يَنقُلَها، و بَعدَ أن نَقَلَها أن يَعدِلَ عن نَقلِها فلا يُعلَمَ‌</w:t>
      </w:r>
      <w:r>
        <w:rPr>
          <w:rStyle w:val="FootnoteAnchor"/>
          <w:rtl w:val="true"/>
        </w:rPr>
        <w:footnoteReference w:id="2054"/>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w:t>
      </w:r>
      <w:r>
        <w:rPr>
          <w:rStyle w:val="FootnoteAnchor"/>
          <w:rtl w:val="true"/>
        </w:rPr>
        <w:footnoteReference w:id="2055"/>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2056"/>
      </w:r>
      <w:r>
        <w:rPr>
          <w:rFonts w:ascii="Amiri" w:hAnsi="Amiri" w:eastAsia="Amiri" w:cs="Amiri"/>
          <w:color w:val="111111"/>
          <w:sz w:val="28"/>
          <w:sz w:val="28"/>
          <w:szCs w:val="28"/>
          <w:rtl w:val="true"/>
          <w:lang w:bidi="ar-SA"/>
        </w:rPr>
        <w:t>تَكرَّرَ هذا المَعنىٰ مِنّا</w:t>
      </w:r>
      <w:r>
        <w:rPr>
          <w:rStyle w:val="FootnoteAnchor"/>
          <w:rtl w:val="true"/>
        </w:rPr>
        <w:footnoteReference w:id="2057"/>
      </w:r>
      <w:r>
        <w:rPr>
          <w:rFonts w:ascii="Amiri" w:hAnsi="Amiri" w:eastAsia="Amiri" w:cs="Amiri"/>
          <w:color w:val="111111"/>
          <w:sz w:val="28"/>
          <w:sz w:val="28"/>
          <w:szCs w:val="28"/>
          <w:rtl w:val="true"/>
          <w:lang w:bidi="ar-SA"/>
        </w:rPr>
        <w:t>دُفعةً بَعدَ أُخرىٰ ،</w:t>
      </w:r>
      <w:r>
        <w:rPr>
          <w:rStyle w:val="FootnoteAnchor"/>
          <w:rtl w:val="true"/>
        </w:rPr>
        <w:footnoteReference w:id="2058"/>
      </w:r>
      <w:r>
        <w:rPr>
          <w:rFonts w:ascii="Amiri" w:hAnsi="Amiri" w:eastAsia="Amiri" w:cs="Amiri"/>
          <w:color w:val="111111"/>
          <w:sz w:val="28"/>
          <w:sz w:val="28"/>
          <w:szCs w:val="28"/>
          <w:rtl w:val="true"/>
          <w:lang w:bidi="ar-SA"/>
        </w:rPr>
        <w:t>و العُذرُ فيه لنا ما استَعمَلَه</w:t>
      </w:r>
      <w:r>
        <w:rPr>
          <w:rStyle w:val="FootnoteAnchor"/>
          <w:rtl w:val="true"/>
        </w:rPr>
        <w:footnoteReference w:id="2059"/>
      </w:r>
      <w:r>
        <w:rPr>
          <w:rFonts w:ascii="Amiri" w:hAnsi="Amiri" w:eastAsia="Amiri" w:cs="Amiri"/>
          <w:color w:val="111111"/>
          <w:sz w:val="28"/>
          <w:sz w:val="28"/>
          <w:szCs w:val="28"/>
          <w:rtl w:val="true"/>
          <w:lang w:bidi="ar-SA"/>
        </w:rPr>
        <w:t>صاحبُ الكتابِ مِن تَردادِ التعَلُّقِ بالشيءِ الواحدِ و تَكرارِه مِراراً</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 xml:space="preserve">. </w:t>
      </w:r>
      <w:bookmarkStart w:id="649" w:name="pg20044_771031"/>
    </w:p>
    <w:p>
      <w:pPr>
        <w:pStyle w:val="Heading5"/>
        <w:numPr>
          <w:ilvl w:val="4"/>
          <w:numId w:val="1"/>
        </w:numPr>
        <w:rPr/>
      </w:pPr>
      <w:bookmarkStart w:id="650" w:name="__RefHeading___Toc828730_2320776876"/>
      <w:bookmarkStart w:id="651" w:name="_Toc230"/>
      <w:bookmarkEnd w:id="649"/>
      <w:bookmarkEnd w:id="650"/>
      <w:r>
        <w:rPr>
          <w:rtl w:val="true"/>
        </w:rPr>
        <w:t>إبطال ما ادّعاه صاحب الكتاب من أدلّةٍ تُغني عن الإمام</w:t>
      </w:r>
      <w:bookmarkEnd w:id="651"/>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شَرَّعَه</w:t>
      </w:r>
      <w:r>
        <w:rPr>
          <w:rStyle w:val="FootnoteAnchor"/>
          <w:rtl w:val="true"/>
        </w:rPr>
        <w:footnoteReference w:id="2061"/>
      </w:r>
      <w:r>
        <w:rPr>
          <w:rFonts w:ascii="Amiri" w:hAnsi="Amiri" w:eastAsia="Amiri" w:cs="Amiri"/>
          <w:color w:val="111111"/>
          <w:sz w:val="28"/>
          <w:sz w:val="28"/>
          <w:szCs w:val="28"/>
          <w:rtl w:val="true"/>
          <w:lang w:bidi="ar-SA"/>
        </w:rPr>
        <w:t>النبيُّ صَلَّى اللّٰهُ عليه و آلِه و سَلَّمَ ثابتاً بالتواتُرِ، فكَيفَ يَصِحُّ ما تَعلَّقتم به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أرَدنا أن نبيِّنَ أنّ حِفظَ ذلكَ مُمكِنٌ بالتواتُرِ، و أنّ ذلكَ يُسقِطُ عِلّتَهم؛ لأنّ قولَهم بالحاجةِ إلَى الإمامِ إنّما يُمكِنُ متىٰ ثَبَتَ لهم أنّ حِفظَ الشريعةِ لا يُمكِنُ إلّابه، فإذا أرَيناهم أنّه يُمكِنُ بغيرِه فقَد بَطَلَت العِلّةُ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نَقولَ في جميعِ الشريعةِ‌</w:t>
      </w:r>
      <w:r>
        <w:rPr>
          <w:rStyle w:val="FootnoteAnchor"/>
          <w:rtl w:val="true"/>
        </w:rPr>
        <w:footnoteReference w:id="2063"/>
      </w:r>
      <w:r>
        <w:rPr>
          <w:rFonts w:ascii="Amiri" w:hAnsi="Amiri" w:eastAsia="Amiri" w:cs="Amiri"/>
          <w:color w:val="111111"/>
          <w:sz w:val="28"/>
          <w:sz w:val="28"/>
          <w:szCs w:val="28"/>
          <w:rtl w:val="true"/>
          <w:lang w:bidi="ar-SA"/>
        </w:rPr>
        <w:t>أنّه محفوظٌ بالتواتُرِ، فبعيدٌ</w:t>
      </w:r>
      <w:r>
        <w:rPr>
          <w:rStyle w:val="FootnoteAnchor"/>
          <w:rtl w:val="true"/>
        </w:rPr>
        <w:footnoteReference w:id="2064"/>
      </w:r>
      <w:r>
        <w:rPr>
          <w:rFonts w:ascii="Amiri" w:hAnsi="Amiri" w:eastAsia="Amiri" w:cs="Amiri"/>
          <w:color w:val="111111"/>
          <w:sz w:val="28"/>
          <w:sz w:val="28"/>
          <w:szCs w:val="28"/>
          <w:rtl w:val="true"/>
          <w:lang w:bidi="ar-SA"/>
        </w:rPr>
        <w:t>، بل فيها</w:t>
      </w:r>
      <w:r>
        <w:rPr>
          <w:rStyle w:val="FootnoteAnchor"/>
          <w:rtl w:val="true"/>
        </w:rPr>
        <w:footnoteReference w:id="2065"/>
      </w:r>
      <w:r>
        <w:rPr>
          <w:rFonts w:ascii="Amiri" w:hAnsi="Amiri" w:eastAsia="Amiri" w:cs="Amiri"/>
          <w:color w:val="111111"/>
          <w:sz w:val="28"/>
          <w:sz w:val="28"/>
          <w:szCs w:val="28"/>
          <w:rtl w:val="true"/>
          <w:lang w:bidi="ar-SA"/>
        </w:rPr>
        <w:t>ما نُقِلَ بالتواتُرِ، و فيها ما تَلقَّته الأُمّةُ بالقبولِ‌</w:t>
      </w:r>
      <w:r>
        <w:rPr>
          <w:rStyle w:val="FootnoteAnchor"/>
          <w:rtl w:val="true"/>
        </w:rPr>
        <w:footnoteReference w:id="2066"/>
      </w:r>
      <w:r>
        <w:rPr>
          <w:rFonts w:ascii="Amiri" w:hAnsi="Amiri" w:eastAsia="Amiri" w:cs="Amiri"/>
          <w:color w:val="111111"/>
          <w:sz w:val="28"/>
          <w:sz w:val="28"/>
          <w:szCs w:val="28"/>
          <w:rtl w:val="true"/>
          <w:lang w:bidi="ar-SA"/>
        </w:rPr>
        <w:t>و أجمَعَت عليه، و قد عَلِمنا بالدليلِ أنّهم لا يُجمِعون</w:t>
      </w:r>
      <w:r>
        <w:rPr>
          <w:rStyle w:val="FootnoteAnchor"/>
          <w:rtl w:val="true"/>
        </w:rPr>
        <w:footnoteReference w:id="2067"/>
      </w:r>
      <w:r>
        <w:rPr>
          <w:rFonts w:ascii="Amiri" w:hAnsi="Amiri" w:eastAsia="Amiri" w:cs="Amiri"/>
          <w:color w:val="111111"/>
          <w:sz w:val="28"/>
          <w:sz w:val="28"/>
          <w:szCs w:val="28"/>
          <w:rtl w:val="true"/>
          <w:lang w:bidi="ar-SA"/>
        </w:rPr>
        <w:t xml:space="preserve">علىٰ خَطَإٍ، و فيها ما يَثبُتُ </w:t>
      </w:r>
      <w:r>
        <w:rPr>
          <w:rStyle w:val="FootnoteAnchor"/>
          <w:rtl w:val="true"/>
        </w:rPr>
        <w:footnoteReference w:id="2068"/>
      </w:r>
      <w:r>
        <w:rPr>
          <w:rFonts w:ascii="Amiri" w:hAnsi="Amiri" w:eastAsia="Amiri" w:cs="Amiri"/>
          <w:color w:val="111111"/>
          <w:sz w:val="28"/>
          <w:sz w:val="28"/>
          <w:szCs w:val="28"/>
          <w:rtl w:val="true"/>
          <w:lang w:bidi="ar-SA"/>
        </w:rPr>
        <w:t xml:space="preserve">بالكتابِ المنقولِ بالتواتُرِ، و فيها ما يَثبُتُ بخبرٍ يُعلَمُ صحّتُه باستدلالٍ </w:t>
      </w:r>
      <w:r>
        <w:rPr>
          <w:rStyle w:val="FootnoteAnchor"/>
          <w:rtl w:val="true"/>
        </w:rPr>
        <w:footnoteReference w:id="2069"/>
      </w:r>
      <w:r>
        <w:rPr>
          <w:rFonts w:ascii="Amiri" w:hAnsi="Amiri" w:eastAsia="Amiri" w:cs="Amiri"/>
          <w:color w:val="111111"/>
          <w:sz w:val="28"/>
          <w:sz w:val="28"/>
          <w:szCs w:val="28"/>
          <w:rtl w:val="true"/>
          <w:lang w:bidi="ar-SA"/>
        </w:rPr>
        <w:t>علىٰ ما بيّنّاه</w:t>
      </w:r>
      <w:r>
        <w:rPr>
          <w:rStyle w:val="FootnoteAnchor"/>
          <w:rtl w:val="true"/>
        </w:rPr>
        <w:footnoteReference w:id="2070"/>
      </w:r>
      <w:r>
        <w:rPr>
          <w:rFonts w:ascii="Amiri" w:hAnsi="Amiri" w:eastAsia="Amiri" w:cs="Amiri"/>
          <w:color w:val="111111"/>
          <w:sz w:val="28"/>
          <w:sz w:val="28"/>
          <w:szCs w:val="28"/>
          <w:rtl w:val="true"/>
          <w:lang w:bidi="ar-SA"/>
        </w:rPr>
        <w:t xml:space="preserve">مِن قَبلُ ، و فيها ما يَثبُتُ بطريقةِ </w:t>
      </w:r>
      <w:r>
        <w:rPr>
          <w:rStyle w:val="FootnoteAnchor"/>
          <w:rtl w:val="true"/>
        </w:rPr>
        <w:footnoteReference w:id="2071"/>
      </w:r>
      <w:r>
        <w:rPr>
          <w:rFonts w:ascii="Amiri" w:hAnsi="Amiri" w:eastAsia="Amiri" w:cs="Amiri"/>
          <w:color w:val="111111"/>
          <w:sz w:val="28"/>
          <w:sz w:val="28"/>
          <w:szCs w:val="28"/>
          <w:rtl w:val="true"/>
          <w:lang w:bidi="ar-SA"/>
        </w:rPr>
        <w:t xml:space="preserve">الاجتهادِ مِن قياسٍ و خبرِ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ذلكَ يُستَغنىٰ فيه عن الإمامِ </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يَنفَعُكَ إمكانُ التواتُرِ بجميعِ الشريعةِ إذا أقرَرتَ بأنّ أكثرَها أو</w:t>
      </w:r>
      <w:r>
        <w:rPr>
          <w:rStyle w:val="FootnoteAnchor"/>
          <w:rtl w:val="true"/>
        </w:rPr>
        <w:footnoteReference w:id="2073"/>
      </w:r>
      <w:r>
        <w:rPr>
          <w:rFonts w:ascii="Amiri" w:hAnsi="Amiri" w:eastAsia="Amiri" w:cs="Amiri"/>
          <w:color w:val="111111"/>
          <w:sz w:val="28"/>
          <w:sz w:val="28"/>
          <w:szCs w:val="28"/>
          <w:rtl w:val="true"/>
          <w:lang w:bidi="ar-SA"/>
        </w:rPr>
        <w:t>بعضَها لا تواتُرَ فيه، و لا يَكونُ ذلكَ معتَرِضاً للطريقةِ التي نَحنُ في نُصرتِها و أنتَ في نَقضِها، و لا قادحاً في استمرارِها؛ لأنّا في الاستدلالِ بهذه الطريقةِ أَوجَبنا الحاجةَ إلَى الإمامِ في الشريعةِ لأمرٍ يَخُصُّها، و لأحوالٍ هي عَلَيها، تَقتَضي</w:t>
      </w:r>
      <w:r>
        <w:rPr>
          <w:rStyle w:val="FootnoteAnchor"/>
          <w:rtl w:val="true"/>
        </w:rPr>
        <w:footnoteReference w:id="2074"/>
      </w:r>
      <w:r>
        <w:rPr>
          <w:rFonts w:ascii="Amiri" w:hAnsi="Amiri" w:eastAsia="Amiri" w:cs="Amiri"/>
          <w:color w:val="111111"/>
          <w:sz w:val="28"/>
          <w:sz w:val="28"/>
          <w:szCs w:val="28"/>
          <w:rtl w:val="true"/>
          <w:lang w:bidi="ar-SA"/>
        </w:rPr>
        <w:t>الحاجةَ إليه فيها</w:t>
      </w:r>
      <w:r>
        <w:rPr>
          <w:rStyle w:val="FootnoteAnchor"/>
          <w:rtl w:val="true"/>
        </w:rPr>
        <w:footnoteReference w:id="2075"/>
      </w:r>
      <w:r>
        <w:rPr>
          <w:rFonts w:ascii="Amiri" w:hAnsi="Amiri" w:eastAsia="Amiri" w:cs="Amiri"/>
          <w:color w:val="111111"/>
          <w:sz w:val="28"/>
          <w:sz w:val="28"/>
          <w:szCs w:val="28"/>
          <w:rtl w:val="true"/>
          <w:lang w:bidi="ar-SA"/>
        </w:rPr>
        <w:t>، و إذا لَم يَكُن جميعُ ما يُحتاجُ إليه</w:t>
      </w:r>
      <w:r>
        <w:rPr>
          <w:rStyle w:val="FootnoteAnchor"/>
          <w:rtl w:val="true"/>
        </w:rPr>
        <w:footnoteReference w:id="2076"/>
      </w:r>
      <w:r>
        <w:rPr>
          <w:rFonts w:ascii="Amiri" w:hAnsi="Amiri" w:eastAsia="Amiri" w:cs="Amiri"/>
          <w:color w:val="111111"/>
          <w:sz w:val="28"/>
          <w:sz w:val="28"/>
          <w:szCs w:val="28"/>
          <w:rtl w:val="true"/>
          <w:lang w:bidi="ar-SA"/>
        </w:rPr>
        <w:t>مِنها متواتِراً فقَد ثَبَتَت</w:t>
      </w:r>
      <w:r>
        <w:rPr>
          <w:rStyle w:val="FootnoteAnchor"/>
          <w:rtl w:val="true"/>
        </w:rPr>
        <w:footnoteReference w:id="2077"/>
      </w:r>
      <w:r>
        <w:rPr>
          <w:rFonts w:ascii="Amiri" w:hAnsi="Amiri" w:eastAsia="Amiri" w:cs="Amiri"/>
          <w:color w:val="111111"/>
          <w:sz w:val="28"/>
          <w:sz w:val="28"/>
          <w:szCs w:val="28"/>
          <w:rtl w:val="true"/>
          <w:lang w:bidi="ar-SA"/>
        </w:rPr>
        <w:t>الحاجةُ إلىٰ</w:t>
      </w:r>
    </w:p>
    <w:p>
      <w:pPr>
        <w:pStyle w:val="BookText"/>
        <w:rPr/>
      </w:pPr>
      <w:r>
        <w:rPr>
          <w:rFonts w:ascii="Amiri" w:hAnsi="Amiri" w:eastAsia="Amiri" w:cs="Amiri"/>
          <w:color w:val="111111"/>
          <w:sz w:val="28"/>
          <w:sz w:val="28"/>
          <w:szCs w:val="28"/>
          <w:rtl w:val="true"/>
          <w:lang w:bidi="ar-SA"/>
        </w:rPr>
        <w:t xml:space="preserve">حُجّةٍ </w:t>
      </w:r>
      <w:r>
        <w:rPr>
          <w:rStyle w:val="FootnoteAnchor"/>
          <w:rtl w:val="true"/>
        </w:rPr>
        <w:footnoteReference w:id="2078"/>
      </w:r>
      <w:r>
        <w:rPr>
          <w:rFonts w:ascii="Amiri" w:hAnsi="Amiri" w:eastAsia="Amiri" w:cs="Amiri"/>
          <w:color w:val="111111"/>
          <w:sz w:val="28"/>
          <w:sz w:val="28"/>
          <w:szCs w:val="28"/>
          <w:rtl w:val="true"/>
          <w:lang w:bidi="ar-SA"/>
        </w:rPr>
        <w:t>، و لا اعتبارَ بإمكانِ التواتُرِ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قد بيّنّا أنّ التواتُرَ لا يَجوزُ أن تُحفَظَ</w:t>
      </w:r>
      <w:r>
        <w:rPr>
          <w:rStyle w:val="FootnoteAnchor"/>
          <w:rtl w:val="true"/>
        </w:rPr>
        <w:footnoteReference w:id="2079"/>
      </w:r>
      <w:r>
        <w:rPr>
          <w:rFonts w:ascii="Amiri" w:hAnsi="Amiri" w:eastAsia="Amiri" w:cs="Amiri"/>
          <w:color w:val="111111"/>
          <w:sz w:val="28"/>
          <w:sz w:val="28"/>
          <w:szCs w:val="28"/>
          <w:rtl w:val="true"/>
          <w:lang w:bidi="ar-SA"/>
        </w:rPr>
        <w:t>به الشريعةُ ، و استَقصَيناه و أَحكَمناه</w:t>
      </w:r>
      <w:r>
        <w:rPr>
          <w:rFonts w:eastAsia="Amiri" w:cs="Amiri" w:ascii="Amiri" w:hAnsi="Amiri"/>
          <w:color w:val="111111"/>
          <w:sz w:val="28"/>
          <w:szCs w:val="28"/>
          <w:rtl w:val="true"/>
          <w:lang w:bidi="ar-SA"/>
        </w:rPr>
        <w:t>.</w:t>
      </w:r>
      <w:r>
        <w:rPr>
          <w:rStyle w:val="FootnoteAnchor"/>
          <w:rtl w:val="true"/>
        </w:rPr>
        <w:footnoteReference w:id="208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حُجّةَ فيه إذا لَم يُقطَعْ </w:t>
      </w:r>
      <w:r>
        <w:rPr>
          <w:rStyle w:val="FootnoteAnchor"/>
          <w:rtl w:val="true"/>
        </w:rPr>
        <w:footnoteReference w:id="2081"/>
      </w:r>
      <w:r>
        <w:rPr>
          <w:rFonts w:ascii="Amiri" w:hAnsi="Amiri" w:eastAsia="Amiri" w:cs="Amiri"/>
          <w:color w:val="111111"/>
          <w:sz w:val="28"/>
          <w:sz w:val="28"/>
          <w:szCs w:val="28"/>
          <w:rtl w:val="true"/>
          <w:lang w:bidi="ar-SA"/>
        </w:rPr>
        <w:t>علىٰ أنّ في جُملةِ المُجمِعينَ معصوماً يؤمَنُ غَلَطُه و زَلَلُه</w:t>
      </w:r>
      <w:r>
        <w:rPr>
          <w:rStyle w:val="FootnoteAnchor"/>
          <w:rtl w:val="true"/>
        </w:rPr>
        <w:footnoteReference w:id="2082"/>
      </w:r>
      <w:r>
        <w:rPr>
          <w:rFonts w:ascii="Amiri" w:hAnsi="Amiri" w:eastAsia="Amiri" w:cs="Amiri"/>
          <w:color w:val="111111"/>
          <w:sz w:val="28"/>
          <w:sz w:val="28"/>
          <w:szCs w:val="28"/>
          <w:rtl w:val="true"/>
          <w:lang w:bidi="ar-SA"/>
        </w:rPr>
        <w:t>لأنّ الخطأَ يَجوزُ علىٰ آحادِ الأُمّةِ و جَماعاتِها، و لَيسَ يَجوزُ أن يَكونَ اجتماعُها</w:t>
      </w:r>
      <w:r>
        <w:rPr>
          <w:rStyle w:val="FootnoteAnchor"/>
          <w:rtl w:val="true"/>
        </w:rPr>
        <w:footnoteReference w:id="2083"/>
      </w:r>
      <w:r>
        <w:rPr>
          <w:rFonts w:ascii="Amiri" w:hAnsi="Amiri" w:eastAsia="Amiri" w:cs="Amiri"/>
          <w:color w:val="111111"/>
          <w:sz w:val="28"/>
          <w:sz w:val="28"/>
          <w:szCs w:val="28"/>
          <w:rtl w:val="true"/>
          <w:lang w:bidi="ar-SA"/>
        </w:rPr>
        <w:t>عاصماً لها، و لا مؤمِّناً مِن وقوعِ الخَطَإ مِنها، و مَن هذه حالُه لا يَجوزُ أن يَحفَظَ اللّٰهُ تَعالىٰ به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يَجوزُ الاقتصارُ عليه في حِفظِ الشرعِ‌</w:t>
      </w:r>
      <w:r>
        <w:rPr>
          <w:rStyle w:val="FootnoteAnchor"/>
          <w:rtl w:val="true"/>
        </w:rPr>
        <w:footnoteReference w:id="2084"/>
      </w:r>
      <w:r>
        <w:rPr>
          <w:rFonts w:ascii="Amiri" w:hAnsi="Amiri" w:eastAsia="Amiri" w:cs="Amiri"/>
          <w:color w:val="111111"/>
          <w:sz w:val="28"/>
          <w:sz w:val="28"/>
          <w:szCs w:val="28"/>
          <w:rtl w:val="true"/>
          <w:lang w:bidi="ar-SA"/>
        </w:rPr>
        <w:t>لأنّ أكثرَ الشرائعِ‌</w:t>
      </w:r>
      <w:r>
        <w:rPr>
          <w:rStyle w:val="FootnoteAnchor"/>
          <w:rtl w:val="true"/>
        </w:rPr>
        <w:footnoteReference w:id="2085"/>
      </w:r>
      <w:r>
        <w:rPr>
          <w:rFonts w:ascii="Amiri" w:hAnsi="Amiri" w:eastAsia="Amiri" w:cs="Amiri"/>
          <w:color w:val="111111"/>
          <w:sz w:val="28"/>
          <w:sz w:val="28"/>
          <w:szCs w:val="28"/>
          <w:rtl w:val="true"/>
          <w:lang w:bidi="ar-SA"/>
        </w:rPr>
        <w:t>لَيسَ في صريحِه بيانُها علَى التفصيلِ و التحديدِ، و هو مع ذلك لا يُتَرجِمُ‌</w:t>
      </w:r>
      <w:r>
        <w:rPr>
          <w:rStyle w:val="FootnoteAnchor"/>
          <w:rtl w:val="true"/>
        </w:rPr>
        <w:footnoteReference w:id="2086"/>
      </w:r>
      <w:r>
        <w:rPr>
          <w:rFonts w:ascii="Amiri" w:hAnsi="Amiri" w:eastAsia="Amiri" w:cs="Amiri"/>
          <w:color w:val="111111"/>
          <w:sz w:val="28"/>
          <w:sz w:val="28"/>
          <w:szCs w:val="28"/>
          <w:rtl w:val="true"/>
          <w:lang w:bidi="ar-SA"/>
        </w:rPr>
        <w:t>عن نَفسِه، و لا يُنبئُ عن معناه</w:t>
      </w:r>
      <w:r>
        <w:rPr>
          <w:rStyle w:val="FootnoteAnchor"/>
          <w:rtl w:val="true"/>
        </w:rPr>
        <w:footnoteReference w:id="2087"/>
      </w:r>
      <w:r>
        <w:rPr>
          <w:rFonts w:ascii="Amiri" w:hAnsi="Amiri" w:eastAsia="Amiri" w:cs="Amiri"/>
          <w:color w:val="111111"/>
          <w:sz w:val="28"/>
          <w:sz w:val="28"/>
          <w:szCs w:val="28"/>
          <w:rtl w:val="true"/>
          <w:lang w:bidi="ar-SA"/>
        </w:rPr>
        <w:t>و تأويلِه، و لا بُدَّ</w:t>
      </w:r>
      <w:r>
        <w:rPr>
          <w:rStyle w:val="FootnoteAnchor"/>
          <w:rtl w:val="true"/>
        </w:rPr>
        <w:footnoteReference w:id="2088"/>
      </w:r>
      <w:r>
        <w:rPr>
          <w:rFonts w:ascii="Amiri" w:hAnsi="Amiri" w:eastAsia="Amiri" w:cs="Amiri"/>
          <w:color w:val="111111"/>
          <w:sz w:val="28"/>
          <w:sz w:val="28"/>
          <w:szCs w:val="28"/>
          <w:rtl w:val="true"/>
          <w:lang w:bidi="ar-SA"/>
        </w:rPr>
        <w:t>له مِن مترجِمٍ و مبيِّنٍ؛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الرسولُ صلّى اللّٰه عليه و آلِه، لَم يُدفَعْ </w:t>
      </w:r>
      <w:r>
        <w:rPr>
          <w:rStyle w:val="FootnoteAnchor"/>
          <w:rtl w:val="true"/>
        </w:rPr>
        <w:footnoteReference w:id="2089"/>
      </w:r>
      <w:r>
        <w:rPr>
          <w:rFonts w:ascii="Amiri" w:hAnsi="Amiri" w:eastAsia="Amiri" w:cs="Amiri"/>
          <w:color w:val="111111"/>
          <w:sz w:val="28"/>
          <w:sz w:val="28"/>
          <w:szCs w:val="28"/>
          <w:rtl w:val="true"/>
          <w:lang w:bidi="ar-SA"/>
        </w:rPr>
        <w:t>ذلكَ ، إلّاأنّه لا بُدَّ لِمَن لَم يُشاهِدِ</w:t>
      </w:r>
      <w:r>
        <w:rPr>
          <w:rStyle w:val="FootnoteAnchor"/>
          <w:rtl w:val="true"/>
        </w:rPr>
        <w:footnoteReference w:id="2090"/>
      </w:r>
      <w:r>
        <w:rPr>
          <w:rFonts w:ascii="Amiri" w:hAnsi="Amiri" w:eastAsia="Amiri" w:cs="Amiri"/>
          <w:color w:val="111111"/>
          <w:sz w:val="28"/>
          <w:sz w:val="28"/>
          <w:szCs w:val="28"/>
          <w:rtl w:val="true"/>
          <w:lang w:bidi="ar-SA"/>
        </w:rPr>
        <w:t xml:space="preserve">الرسولَ مِن أن يَتَّصِلَ ذلكَ به، و يَكونَ له طريقٌ إلىٰ معرفتِه؛ فإن كانَ الطريقُ هو التواتُرَ أو الإجماعَ </w:t>
      </w:r>
      <w:r>
        <w:rPr>
          <w:rStyle w:val="FootnoteAnchor"/>
          <w:rtl w:val="true"/>
        </w:rPr>
        <w:footnoteReference w:id="2091"/>
      </w:r>
      <w:r>
        <w:rPr>
          <w:rFonts w:ascii="Amiri" w:hAnsi="Amiri" w:eastAsia="Amiri" w:cs="Amiri"/>
          <w:color w:val="111111"/>
          <w:sz w:val="28"/>
          <w:sz w:val="28"/>
          <w:szCs w:val="28"/>
          <w:rtl w:val="true"/>
          <w:lang w:bidi="ar-SA"/>
        </w:rPr>
        <w:t xml:space="preserve">فقَد مضىٰ ما فيهما، و هذا يوجِبُ الرجوعَ إلىٰ أنّه لا بُدَّ مِن حُجّةٍ مبلِّغٍ لِما يَقَعُ مِن بيانِ الرسولِ صَلَّى اللّٰهُ عليه و آلِه للكتابِ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2092"/>
      </w:r>
      <w:r>
        <w:rPr>
          <w:rFonts w:ascii="Amiri" w:hAnsi="Amiri" w:eastAsia="Amiri" w:cs="Amiri"/>
          <w:color w:val="111111"/>
          <w:sz w:val="28"/>
          <w:sz w:val="28"/>
          <w:szCs w:val="28"/>
          <w:rtl w:val="true"/>
          <w:lang w:bidi="ar-SA"/>
        </w:rPr>
        <w:t xml:space="preserve">الاجتهادُ و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دَلَّلنا علىٰ بُطلانِهما في الشريعةِ و أنّهما</w:t>
      </w:r>
      <w:r>
        <w:rPr>
          <w:rStyle w:val="FootnoteAnchor"/>
          <w:rtl w:val="true"/>
        </w:rPr>
        <w:footnoteReference w:id="2093"/>
      </w:r>
      <w:r>
        <w:rPr>
          <w:rFonts w:ascii="Amiri" w:hAnsi="Amiri" w:eastAsia="Amiri" w:cs="Amiri"/>
          <w:color w:val="111111"/>
          <w:sz w:val="28"/>
          <w:sz w:val="28"/>
          <w:szCs w:val="28"/>
          <w:rtl w:val="true"/>
          <w:lang w:bidi="ar-SA"/>
        </w:rPr>
        <w:t>لا يُنتِجانِ عِلماً و لا فائدةً ، فَضلاً عن أن يُحفَظَ بهما</w:t>
      </w:r>
      <w:r>
        <w:rPr>
          <w:rStyle w:val="FootnoteAnchor"/>
          <w:rtl w:val="true"/>
        </w:rPr>
        <w:footnoteReference w:id="2094"/>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و حالُ أخبارِ الآحادِ في فَسادِ حِفظِ الشريعةِ بها أظهَرُ مِن كثيرٍ ممّا تَقدَّمَ </w:t>
      </w:r>
      <w:r>
        <w:rPr>
          <w:rStyle w:val="FootnoteAnchor"/>
          <w:rtl w:val="true"/>
        </w:rPr>
        <w:footnoteReference w:id="2096"/>
      </w:r>
      <w:r>
        <w:rPr>
          <w:rFonts w:ascii="Amiri" w:hAnsi="Amiri" w:eastAsia="Amiri" w:cs="Amiri"/>
          <w:color w:val="111111"/>
          <w:sz w:val="28"/>
          <w:sz w:val="28"/>
          <w:szCs w:val="28"/>
          <w:rtl w:val="true"/>
          <w:lang w:bidi="ar-SA"/>
        </w:rPr>
        <w:t>لأنّها</w:t>
      </w:r>
      <w:r>
        <w:rPr>
          <w:rStyle w:val="FootnoteAnchor"/>
          <w:rtl w:val="true"/>
        </w:rPr>
        <w:footnoteReference w:id="2097"/>
      </w:r>
      <w:r>
        <w:rPr>
          <w:rFonts w:ascii="Amiri" w:hAnsi="Amiri" w:eastAsia="Amiri" w:cs="Amiri"/>
          <w:color w:val="111111"/>
          <w:sz w:val="28"/>
          <w:sz w:val="28"/>
          <w:szCs w:val="28"/>
          <w:rtl w:val="true"/>
          <w:lang w:bidi="ar-SA"/>
        </w:rPr>
        <w:t>لا توجِبُ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متكافئةٌ متقابِلةٌ ، و</w:t>
      </w:r>
      <w:r>
        <w:rPr>
          <w:rStyle w:val="FootnoteAnchor"/>
          <w:rtl w:val="true"/>
        </w:rPr>
        <w:footnoteReference w:id="2098"/>
      </w:r>
      <w:r>
        <w:rPr>
          <w:rFonts w:ascii="Amiri" w:hAnsi="Amiri" w:eastAsia="Amiri" w:cs="Amiri"/>
          <w:color w:val="111111"/>
          <w:sz w:val="28"/>
          <w:sz w:val="28"/>
          <w:szCs w:val="28"/>
          <w:rtl w:val="true"/>
          <w:lang w:bidi="ar-SA"/>
        </w:rPr>
        <w:t>واردةٌ بالمختلِفِ مِن الأحكامِ و المتضادِّ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يُعتَمَدُ في قرائِنها إمّا أن يَكونَ علىٰ طريقةِ خُصومِنا الإجماعَ أو</w:t>
      </w:r>
    </w:p>
    <w:p>
      <w:pPr>
        <w:pStyle w:val="BookText"/>
        <w:rPr/>
      </w:pPr>
      <w:r>
        <w:rPr>
          <w:rFonts w:ascii="Amiri" w:hAnsi="Amiri" w:eastAsia="Amiri" w:cs="Amiri"/>
          <w:color w:val="111111"/>
          <w:sz w:val="28"/>
          <w:sz w:val="28"/>
          <w:szCs w:val="28"/>
          <w:rtl w:val="true"/>
          <w:lang w:bidi="ar-SA"/>
        </w:rPr>
        <w:t xml:space="preserve">القياسَ ، و لَيسَ مطابَقةُ شيءٍ مِن ذلكَ لها بموجِبٍ </w:t>
      </w:r>
      <w:r>
        <w:rPr>
          <w:rStyle w:val="FootnoteAnchor"/>
          <w:rtl w:val="true"/>
        </w:rPr>
        <w:footnoteReference w:id="2099"/>
      </w:r>
      <w:r>
        <w:rPr>
          <w:rFonts w:ascii="Amiri" w:hAnsi="Amiri" w:eastAsia="Amiri" w:cs="Amiri"/>
          <w:color w:val="111111"/>
          <w:sz w:val="28"/>
          <w:sz w:val="28"/>
          <w:szCs w:val="28"/>
          <w:rtl w:val="true"/>
          <w:lang w:bidi="ar-SA"/>
        </w:rPr>
        <w:t>لصحّتِها و القَطعِ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التواتُرِ و إن كانوا حُجّةً ، فقَد يَصِحُّ عَلَيهم السَّهوُ عمّا يَنقُلونَ في بعضِ الأحوالِ ، أو في كُلِّ حالٍ ؛ فلا بُدَّ مِن حافظٍ يُزيلُ سَهوَهم، و ينبِّهُ علىٰ كِتمانِهم، و لا يَجوزُ عليه ما يَجوزُ عَلَيهم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يَنقُلُه</w:t>
      </w:r>
      <w:r>
        <w:rPr>
          <w:rFonts w:eastAsia="Amiri" w:cs="Amiri" w:ascii="Amiri" w:hAnsi="Amiri"/>
          <w:color w:val="111111"/>
          <w:sz w:val="28"/>
          <w:szCs w:val="28"/>
          <w:rtl w:val="true"/>
          <w:lang w:bidi="ar-SA"/>
        </w:rPr>
        <w:t>]</w:t>
      </w:r>
      <w:r>
        <w:rPr>
          <w:rStyle w:val="FootnoteAnchor"/>
          <w:rtl w:val="true"/>
        </w:rPr>
        <w:footnoteReference w:id="2100"/>
      </w:r>
      <w:r>
        <w:rPr>
          <w:rFonts w:ascii="Amiri" w:hAnsi="Amiri" w:eastAsia="Amiri" w:cs="Amiri"/>
          <w:color w:val="111111"/>
          <w:sz w:val="28"/>
          <w:sz w:val="28"/>
          <w:szCs w:val="28"/>
          <w:rtl w:val="true"/>
          <w:lang w:bidi="ar-SA"/>
        </w:rPr>
        <w:t>أهلُ التواتُرِ عِلمُهم به ضَروريٌّ لا يَزولُ بفِعلِهم، بل القَديمُ تَعالىٰ يَفعَلُه فيهم، و كمالُ العقلِ في الجَمعِ العظيمِ يَقتَضي أن لا يَنسَوا</w:t>
      </w:r>
      <w:r>
        <w:rPr>
          <w:rStyle w:val="FootnoteAnchor"/>
          <w:rtl w:val="true"/>
        </w:rPr>
        <w:footnoteReference w:id="2101"/>
      </w:r>
      <w:r>
        <w:rPr>
          <w:rFonts w:ascii="Amiri" w:hAnsi="Amiri" w:eastAsia="Amiri" w:cs="Amiri"/>
          <w:color w:val="111111"/>
          <w:sz w:val="28"/>
          <w:sz w:val="28"/>
          <w:szCs w:val="28"/>
          <w:rtl w:val="true"/>
          <w:lang w:bidi="ar-SA"/>
        </w:rPr>
        <w:t>ما حَلَّ‌</w:t>
      </w:r>
      <w:r>
        <w:rPr>
          <w:rStyle w:val="FootnoteAnchor"/>
          <w:rtl w:val="true"/>
        </w:rPr>
        <w:footnoteReference w:id="2102"/>
      </w:r>
      <w:r>
        <w:rPr>
          <w:rFonts w:ascii="Amiri" w:hAnsi="Amiri" w:eastAsia="Amiri" w:cs="Amiri"/>
          <w:color w:val="111111"/>
          <w:sz w:val="28"/>
          <w:sz w:val="28"/>
          <w:szCs w:val="28"/>
          <w:rtl w:val="true"/>
          <w:lang w:bidi="ar-SA"/>
        </w:rPr>
        <w:t xml:space="preserve">هذا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جازَ السَّهوُ في ذلكَ لَم نأمَنْ </w:t>
      </w:r>
      <w:r>
        <w:rPr>
          <w:rStyle w:val="FootnoteAnchor"/>
          <w:rtl w:val="true"/>
        </w:rPr>
        <w:footnoteReference w:id="2103"/>
      </w:r>
      <w:r>
        <w:rPr>
          <w:rFonts w:ascii="Amiri" w:hAnsi="Amiri" w:eastAsia="Amiri" w:cs="Amiri"/>
          <w:color w:val="111111"/>
          <w:sz w:val="28"/>
          <w:sz w:val="28"/>
          <w:szCs w:val="28"/>
          <w:rtl w:val="true"/>
          <w:lang w:bidi="ar-SA"/>
        </w:rPr>
        <w:t>مِن حُصولِ السَّهوِ</w:t>
      </w:r>
      <w:r>
        <w:rPr>
          <w:rStyle w:val="FootnoteAnchor"/>
          <w:rtl w:val="true"/>
        </w:rPr>
        <w:footnoteReference w:id="2104"/>
      </w:r>
      <w:r>
        <w:rPr>
          <w:rFonts w:ascii="Amiri" w:hAnsi="Amiri" w:eastAsia="Amiri" w:cs="Amiri"/>
          <w:color w:val="111111"/>
          <w:sz w:val="28"/>
          <w:sz w:val="28"/>
          <w:szCs w:val="28"/>
          <w:rtl w:val="true"/>
          <w:lang w:bidi="ar-SA"/>
        </w:rPr>
        <w:t xml:space="preserve">في عِلمِهم بالمُشاهَداتِ ، و هذا </w:t>
      </w:r>
      <w:bookmarkStart w:id="652" w:name="pg20044_771035"/>
    </w:p>
    <w:p>
      <w:pPr>
        <w:pStyle w:val="BookText"/>
        <w:rPr/>
      </w:pPr>
      <w:bookmarkEnd w:id="652"/>
      <w:r>
        <w:rPr>
          <w:rFonts w:ascii="Amiri" w:hAnsi="Amiri" w:eastAsia="Amiri" w:cs="Amiri"/>
          <w:color w:val="111111"/>
          <w:sz w:val="28"/>
          <w:sz w:val="28"/>
          <w:szCs w:val="28"/>
          <w:rtl w:val="true"/>
          <w:lang w:bidi="ar-SA"/>
        </w:rPr>
        <w:t>يُحيلُ‌</w:t>
      </w:r>
      <w:r>
        <w:rPr>
          <w:rStyle w:val="FootnoteAnchor"/>
          <w:rtl w:val="true"/>
        </w:rPr>
        <w:footnoteReference w:id="2105"/>
      </w:r>
      <w:r>
        <w:rPr>
          <w:rFonts w:ascii="Amiri" w:hAnsi="Amiri" w:eastAsia="Amiri" w:cs="Amiri"/>
          <w:color w:val="111111"/>
          <w:sz w:val="28"/>
          <w:sz w:val="28"/>
          <w:szCs w:val="28"/>
          <w:rtl w:val="true"/>
          <w:lang w:bidi="ar-SA"/>
        </w:rPr>
        <w:t xml:space="preserve">معرفتَنا بالبُلدانِ و المُلوكِ، و فَسادُ ذلكَ يُبطِلُ </w:t>
      </w:r>
      <w:r>
        <w:rPr>
          <w:rStyle w:val="FootnoteAnchor"/>
          <w:rtl w:val="true"/>
        </w:rPr>
        <w:footnoteReference w:id="2106"/>
      </w:r>
      <w:r>
        <w:rPr>
          <w:rFonts w:ascii="Amiri" w:hAnsi="Amiri" w:eastAsia="Amiri" w:cs="Amiri"/>
          <w:color w:val="111111"/>
          <w:sz w:val="28"/>
          <w:sz w:val="28"/>
          <w:szCs w:val="28"/>
          <w:rtl w:val="true"/>
          <w:lang w:bidi="ar-SA"/>
        </w:rPr>
        <w:t>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لا يؤمَنَ فيمَن لا يَعرِفُ الإمامَ أن لا يَعرِفَ الصلاةَ و الصيامَ و الأُمورَ الظاهرةَ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يَجِبُ تجويزُ</w:t>
      </w:r>
      <w:r>
        <w:rPr>
          <w:rStyle w:val="FootnoteAnchor"/>
          <w:rtl w:val="true"/>
        </w:rPr>
        <w:footnoteReference w:id="2107"/>
      </w:r>
      <w:r>
        <w:rPr>
          <w:rFonts w:ascii="Amiri" w:hAnsi="Amiri" w:eastAsia="Amiri" w:cs="Amiri"/>
          <w:color w:val="111111"/>
          <w:sz w:val="28"/>
          <w:sz w:val="28"/>
          <w:szCs w:val="28"/>
          <w:rtl w:val="true"/>
          <w:lang w:bidi="ar-SA"/>
        </w:rPr>
        <w:t>الإخلالِ في نَقلِ القُرآنِ ، و نَقلِ كَونِ الرسولِ في الدُّنيا و ثُبوتِ أعلامِه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بُطلانُ ذلكَ يبيِّنُ فَسادَ هذا القولِ </w:t>
      </w:r>
      <w:r>
        <w:rPr>
          <w:rFonts w:eastAsia="Amiri" w:cs="Amiri" w:ascii="Amiri" w:hAnsi="Amiri"/>
          <w:color w:val="111111"/>
          <w:sz w:val="28"/>
          <w:szCs w:val="28"/>
          <w:rtl w:val="true"/>
          <w:lang w:bidi="ar-SA"/>
        </w:rPr>
        <w:t>].</w:t>
      </w:r>
      <w:r>
        <w:rPr>
          <w:rStyle w:val="FootnoteAnchor"/>
          <w:rtl w:val="true"/>
        </w:rPr>
        <w:footnoteReference w:id="2108"/>
      </w:r>
    </w:p>
    <w:p>
      <w:pPr>
        <w:pStyle w:val="Heading5"/>
        <w:numPr>
          <w:ilvl w:val="4"/>
          <w:numId w:val="1"/>
        </w:numPr>
        <w:rPr/>
      </w:pPr>
      <w:bookmarkStart w:id="653" w:name="__RefHeading___Toc828732_2320776876"/>
      <w:bookmarkStart w:id="654" w:name="_Toc231"/>
      <w:bookmarkEnd w:id="653"/>
      <w:r>
        <w:rPr>
          <w:rtl w:val="true"/>
        </w:rPr>
        <w:t>جواز سهو العقلاء عن بعض العلوم الضروريّة</w:t>
      </w:r>
      <w:bookmarkEnd w:id="654"/>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عُلِمَ ضَرورةً لا يَصِحُّ أن يُسهىٰ عنه، و إنّما يُستَبعَدُ سَهوُ العاقلِ و</w:t>
      </w:r>
      <w:r>
        <w:rPr>
          <w:rStyle w:val="FootnoteAnchor"/>
          <w:rtl w:val="true"/>
        </w:rPr>
        <w:footnoteReference w:id="2109"/>
      </w:r>
      <w:r>
        <w:rPr>
          <w:rFonts w:ascii="Amiri" w:hAnsi="Amiri" w:eastAsia="Amiri" w:cs="Amiri"/>
          <w:color w:val="111111"/>
          <w:sz w:val="28"/>
          <w:sz w:val="28"/>
          <w:szCs w:val="28"/>
          <w:rtl w:val="true"/>
          <w:lang w:bidi="ar-SA"/>
        </w:rPr>
        <w:t>العقلاءِ في العلومِ التي هي مِن</w:t>
      </w:r>
      <w:r>
        <w:rPr>
          <w:rStyle w:val="FootnoteAnchor"/>
          <w:rtl w:val="true"/>
        </w:rPr>
        <w:footnoteReference w:id="2110"/>
      </w:r>
      <w:r>
        <w:rPr>
          <w:rFonts w:ascii="Amiri" w:hAnsi="Amiri" w:eastAsia="Amiri" w:cs="Amiri"/>
          <w:color w:val="111111"/>
          <w:sz w:val="28"/>
          <w:sz w:val="28"/>
          <w:szCs w:val="28"/>
          <w:rtl w:val="true"/>
          <w:lang w:bidi="ar-SA"/>
        </w:rPr>
        <w:t>كمالِ عقولِهم، كالعِلمِ بأنّ الاثنَينِ أكثرُ مِن الواحدِ،</w:t>
      </w:r>
      <w:r>
        <w:rPr>
          <w:rStyle w:val="FootnoteAnchor"/>
          <w:rtl w:val="true"/>
        </w:rPr>
        <w:footnoteReference w:id="2111"/>
      </w:r>
      <w:r>
        <w:rPr>
          <w:rFonts w:ascii="Amiri" w:hAnsi="Amiri" w:eastAsia="Amiri" w:cs="Amiri"/>
          <w:color w:val="111111"/>
          <w:sz w:val="28"/>
          <w:sz w:val="28"/>
          <w:szCs w:val="28"/>
          <w:rtl w:val="true"/>
          <w:lang w:bidi="ar-SA"/>
        </w:rPr>
        <w:t>و أنّ الشِّبرَ لا يطابِقُ الذِّراعَ، و الموجودَ لا يَخلو مِن</w:t>
      </w:r>
      <w:r>
        <w:rPr>
          <w:rStyle w:val="FootnoteAnchor"/>
          <w:rtl w:val="true"/>
        </w:rPr>
        <w:footnoteReference w:id="2112"/>
      </w:r>
      <w:r>
        <w:rPr>
          <w:rFonts w:ascii="Amiri" w:hAnsi="Amiri" w:eastAsia="Amiri" w:cs="Amiri"/>
          <w:color w:val="111111"/>
          <w:sz w:val="28"/>
          <w:sz w:val="28"/>
          <w:szCs w:val="28"/>
          <w:rtl w:val="true"/>
          <w:lang w:bidi="ar-SA"/>
        </w:rPr>
        <w:t>أن يَكونَ قَديماً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مُحدَثاً، إلىٰ ما شاكَلَ هذه</w:t>
      </w:r>
      <w:r>
        <w:rPr>
          <w:rStyle w:val="FootnoteAnchor"/>
          <w:rtl w:val="true"/>
        </w:rPr>
        <w:footnoteReference w:id="2113"/>
      </w:r>
      <w:r>
        <w:rPr>
          <w:rFonts w:ascii="Amiri" w:hAnsi="Amiri" w:eastAsia="Amiri" w:cs="Amiri"/>
          <w:color w:val="111111"/>
          <w:sz w:val="28"/>
          <w:sz w:val="28"/>
          <w:szCs w:val="28"/>
          <w:rtl w:val="true"/>
          <w:lang w:bidi="ar-SA"/>
        </w:rPr>
        <w:t>العلومَ و هي كثيرةٌ ، أو فيما تَكَرَّرَ</w:t>
      </w:r>
      <w:r>
        <w:rPr>
          <w:rStyle w:val="FootnoteAnchor"/>
          <w:rtl w:val="true"/>
        </w:rPr>
        <w:footnoteReference w:id="2114"/>
      </w:r>
      <w:r>
        <w:rPr>
          <w:rFonts w:ascii="Amiri" w:hAnsi="Amiri" w:eastAsia="Amiri" w:cs="Amiri"/>
          <w:color w:val="111111"/>
          <w:sz w:val="28"/>
          <w:sz w:val="28"/>
          <w:szCs w:val="28"/>
          <w:rtl w:val="true"/>
          <w:lang w:bidi="ar-SA"/>
        </w:rPr>
        <w:t>عِلمُهم به و مشاهَدتُهم له مِن جُملةِ المشاهَداتِ ، كامتناعِ سَهوِ العاقلِ عن اسمِه</w:t>
      </w:r>
      <w:r>
        <w:rPr>
          <w:rStyle w:val="FootnoteAnchor"/>
          <w:rtl w:val="true"/>
        </w:rPr>
        <w:footnoteReference w:id="2115"/>
      </w:r>
      <w:r>
        <w:rPr>
          <w:rFonts w:ascii="Amiri" w:hAnsi="Amiri" w:eastAsia="Amiri" w:cs="Amiri"/>
          <w:color w:val="111111"/>
          <w:sz w:val="28"/>
          <w:sz w:val="28"/>
          <w:szCs w:val="28"/>
          <w:rtl w:val="true"/>
          <w:lang w:bidi="ar-SA"/>
        </w:rPr>
        <w:t xml:space="preserve">، و ما يَتكَرَّرُ </w:t>
      </w:r>
    </w:p>
    <w:p>
      <w:pPr>
        <w:pStyle w:val="BookText"/>
        <w:rPr/>
      </w:pPr>
      <w:r>
        <w:rPr>
          <w:rFonts w:ascii="Amiri" w:hAnsi="Amiri" w:eastAsia="Amiri" w:cs="Amiri"/>
          <w:color w:val="111111"/>
          <w:sz w:val="28"/>
          <w:sz w:val="28"/>
          <w:szCs w:val="28"/>
          <w:rtl w:val="true"/>
          <w:lang w:bidi="ar-SA"/>
        </w:rPr>
        <w:t>عِلمُه به و إدراكُه له مِن لِباسِه و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بمُنكَرٍ أن يَسهُوَ العاقِلُ في أشياءَ مخصوصةٍ و إن عَلِمَها ضَرورةً إذا كانَت خارجةً عمّا ذَكَرناه؛ لأنّا نَعلَمُ أنّ الإنسانَ قد يَسهو عمّا أكَلَه في أمسِه، و صَنَعَه في عُمُرِه، و إن كانَ عِلمُه بذلكَ عندَ حُصولِه ضَروريّاً؛ فكَيفَ أحَلتَ‌</w:t>
      </w:r>
      <w:r>
        <w:rPr>
          <w:rStyle w:val="FootnoteAnchor"/>
          <w:rtl w:val="true"/>
        </w:rPr>
        <w:footnoteReference w:id="2116"/>
      </w:r>
      <w:r>
        <w:rPr>
          <w:rFonts w:ascii="Amiri" w:hAnsi="Amiri" w:eastAsia="Amiri" w:cs="Amiri"/>
          <w:color w:val="111111"/>
          <w:sz w:val="28"/>
          <w:sz w:val="28"/>
          <w:szCs w:val="28"/>
          <w:rtl w:val="true"/>
          <w:lang w:bidi="ar-SA"/>
        </w:rPr>
        <w:t>علىٰ أهلِ التواتُرِ السَّهوَ مِن حَيثُ عَلِموا ما تواتَروا به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عَنَيتَ بما ذَكَرتَه إحالةَ السَّهوِ علىٰ جميعِهم أو علَى الجَمعِ العظيمِ مِنهم، فهو ممّا لا نأباه و لا يَنفَعُكَ، و قد تَقدَّمَ في كلامِنا أنّ العاداتِ قاضيةٌ بامتناعِ السَّهوِ علَى الأُمَمِ العظيمةِ في الشيءِ الواحدِ في الوقتِ الواحدِ</w:t>
      </w:r>
      <w:r>
        <w:rPr>
          <w:rStyle w:val="FootnoteAnchor"/>
          <w:rtl w:val="true"/>
        </w:rPr>
        <w:footnoteReference w:id="2117"/>
      </w:r>
      <w:r>
        <w:rPr>
          <w:rFonts w:ascii="Amiri" w:hAnsi="Amiri" w:eastAsia="Amiri" w:cs="Amiri"/>
          <w:color w:val="111111"/>
          <w:sz w:val="28"/>
          <w:sz w:val="28"/>
          <w:szCs w:val="28"/>
          <w:rtl w:val="true"/>
          <w:lang w:bidi="ar-SA"/>
        </w:rPr>
        <w:t xml:space="preserve">، غيرَ أنّ ذلكَ و إن كانَ باطلاً لَم يُسقِطْ عنكَ ما بيّنّا لُزومَه؛ لأنّه و إنِ امتَنَعَ السَّهوُ علَى المتواتِرينَ جميعاً في حالةٍ واحدةٍ عمّا نَقَلوه، فغيرُ مُمتَنِعٍ أن يَسهُوَ بعضُهم عنه في حالٍ، و بعضٌ في حالٍ أُخرىٰ، إلىٰ أن يَخرُجَ الخبرُ مِن أن يَكونَ متواتِراً، و هذا أيضاً ممّا قد تَقدَّمَ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هَبْ أنّ السَّهوَ لا يَجوزُ علَى المتواتِرينَ في جَماعاتِهم</w:t>
      </w:r>
      <w:r>
        <w:rPr>
          <w:rStyle w:val="FootnoteAnchor"/>
          <w:rtl w:val="true"/>
        </w:rPr>
        <w:footnoteReference w:id="2118"/>
      </w:r>
      <w:r>
        <w:rPr>
          <w:rFonts w:ascii="Amiri" w:hAnsi="Amiri" w:eastAsia="Amiri" w:cs="Amiri"/>
          <w:color w:val="111111"/>
          <w:sz w:val="28"/>
          <w:sz w:val="28"/>
          <w:szCs w:val="28"/>
          <w:rtl w:val="true"/>
          <w:lang w:bidi="ar-SA"/>
        </w:rPr>
        <w:t>و لا في آحادِهم</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w:t>
      </w:r>
      <w:r>
        <w:rPr>
          <w:rStyle w:val="FootnoteAnchor"/>
          <w:rtl w:val="true"/>
        </w:rPr>
        <w:footnoteReference w:id="2120"/>
      </w:r>
      <w:r>
        <w:rPr>
          <w:rFonts w:ascii="Amiri" w:hAnsi="Amiri" w:eastAsia="Amiri" w:cs="Amiri"/>
          <w:color w:val="111111"/>
          <w:sz w:val="28"/>
          <w:sz w:val="28"/>
          <w:szCs w:val="28"/>
          <w:rtl w:val="true"/>
          <w:lang w:bidi="ar-SA"/>
        </w:rPr>
        <w:t xml:space="preserve">ادَّعَيتَ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عُدولِهم عن النقلِ تعمُّداً لبعضِ الأغراضِ و الدَّواعي ؟ و قد بيّنّا فيما سَلَفَ مِن كتابِنا جَوازَ ذلكَ عَلَيهم</w:t>
      </w:r>
      <w:r>
        <w:rPr>
          <w:rStyle w:val="FootnoteAnchor"/>
          <w:rtl w:val="true"/>
        </w:rPr>
        <w:footnoteReference w:id="2121"/>
      </w:r>
      <w:r>
        <w:rPr>
          <w:rFonts w:ascii="Amiri" w:hAnsi="Amiri" w:eastAsia="Amiri" w:cs="Amiri"/>
          <w:color w:val="111111"/>
          <w:sz w:val="28"/>
          <w:sz w:val="28"/>
          <w:szCs w:val="28"/>
          <w:rtl w:val="true"/>
          <w:lang w:bidi="ar-SA"/>
        </w:rPr>
        <w:t xml:space="preserve">، و أنّ في جَوازِه بُطلانَ كَونِهم حُجّةً ، و صِحّةَ ما نَذهَبُ إليه مِن وجودِ إمامٍ حافظٍ للشريعةِ </w:t>
      </w:r>
      <w:r>
        <w:rPr>
          <w:rFonts w:eastAsia="Amiri" w:cs="Amiri" w:ascii="Amiri" w:hAnsi="Amiri"/>
          <w:color w:val="111111"/>
          <w:sz w:val="28"/>
          <w:szCs w:val="28"/>
          <w:rtl w:val="true"/>
          <w:lang w:bidi="ar-SA"/>
        </w:rPr>
        <w:t xml:space="preserve">. </w:t>
      </w:r>
      <w:bookmarkStart w:id="655" w:name="pg20044_771037"/>
    </w:p>
    <w:p>
      <w:pPr>
        <w:pStyle w:val="Heading5"/>
        <w:numPr>
          <w:ilvl w:val="4"/>
          <w:numId w:val="1"/>
        </w:numPr>
        <w:rPr/>
      </w:pPr>
      <w:bookmarkStart w:id="656" w:name="__RefHeading___Toc828734_2320776876"/>
      <w:bookmarkStart w:id="657" w:name="_Toc232"/>
      <w:bookmarkEnd w:id="655"/>
      <w:bookmarkEnd w:id="656"/>
      <w:r>
        <w:rPr>
          <w:rtl w:val="true"/>
        </w:rPr>
        <w:t>بيان ما يجوز كتمانه و السهو عنه من الأُمور المتواترة، و ما لا يجوز</w:t>
      </w:r>
      <w:bookmarkEnd w:id="657"/>
    </w:p>
    <w:p>
      <w:pPr>
        <w:pStyle w:val="BookText"/>
        <w:rPr/>
      </w:pPr>
      <w:r>
        <w:rPr>
          <w:rFonts w:ascii="Amiri" w:hAnsi="Amiri" w:eastAsia="Amiri" w:cs="Amiri"/>
          <w:color w:val="111111"/>
          <w:sz w:val="28"/>
          <w:sz w:val="28"/>
          <w:szCs w:val="28"/>
          <w:rtl w:val="true"/>
          <w:lang w:bidi="ar-SA"/>
        </w:rPr>
        <w:t>فأمّا المعرفةُ بالبُلدانِ و المُلوكِ فمخالِفةٌ لِما ذَكَرناه، و إلزامُكَ لنا الشَّكَّ في أمرِها لا يَلزَمُنا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السَّهوُ عن البُلدانِ و الظاهرِ الشائعِ مِن أخبارِ المُلوكِ، فإنّا</w:t>
      </w:r>
      <w:r>
        <w:rPr>
          <w:rStyle w:val="FootnoteAnchor"/>
          <w:rtl w:val="true"/>
        </w:rPr>
        <w:footnoteReference w:id="2122"/>
      </w:r>
      <w:r>
        <w:rPr>
          <w:rFonts w:ascii="Amiri" w:hAnsi="Amiri" w:eastAsia="Amiri" w:cs="Amiri"/>
          <w:color w:val="111111"/>
          <w:sz w:val="28"/>
          <w:sz w:val="28"/>
          <w:szCs w:val="28"/>
          <w:rtl w:val="true"/>
          <w:lang w:bidi="ar-SA"/>
        </w:rPr>
        <w:t>لا نُجيزُه؛ لِما قَدَّمناه في كلامِنا آنِفاً مِن استحالةِ السَّهوِ علَى</w:t>
      </w:r>
      <w:r>
        <w:rPr>
          <w:rStyle w:val="FootnoteAnchor"/>
          <w:rtl w:val="true"/>
        </w:rPr>
        <w:footnoteReference w:id="2123"/>
      </w:r>
      <w:r>
        <w:rPr>
          <w:rFonts w:ascii="Amiri" w:hAnsi="Amiri" w:eastAsia="Amiri" w:cs="Amiri"/>
          <w:color w:val="111111"/>
          <w:sz w:val="28"/>
          <w:sz w:val="28"/>
          <w:szCs w:val="28"/>
          <w:rtl w:val="true"/>
          <w:lang w:bidi="ar-SA"/>
        </w:rPr>
        <w:t>العقلاءِ فيما تَكرَّرَ عِلمُهم به و إدراكُهم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تَكرَّرَ العِلمُ به</w:t>
      </w:r>
      <w:r>
        <w:rPr>
          <w:rStyle w:val="FootnoteAnchor"/>
          <w:rtl w:val="true"/>
        </w:rPr>
        <w:footnoteReference w:id="2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 الذي أَحَلنا سَهوَ العقلاءِ عنه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تعمُّدُ العقلاءِ كِتمانَ أمرِ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جَوازِ كِتمانِ العباداتِ و الشرائعِ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لأنّه لا داعيَ للعقلاءِ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كِتمانِ أمرِ</w:t>
      </w:r>
      <w:r>
        <w:rPr>
          <w:rStyle w:val="FootnoteAnchor"/>
          <w:rtl w:val="true"/>
        </w:rPr>
        <w:footnoteReference w:id="2125"/>
      </w:r>
      <w:r>
        <w:rPr>
          <w:rFonts w:ascii="Amiri" w:hAnsi="Amiri" w:eastAsia="Amiri" w:cs="Amiri"/>
          <w:color w:val="111111"/>
          <w:sz w:val="28"/>
          <w:sz w:val="28"/>
          <w:szCs w:val="28"/>
          <w:rtl w:val="true"/>
          <w:lang w:bidi="ar-SA"/>
        </w:rPr>
        <w:t xml:space="preserve">البُلدانِ و 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لا غَرَضَ‌</w:t>
      </w:r>
      <w:r>
        <w:rPr>
          <w:rStyle w:val="FootnoteAnchor"/>
          <w:rtl w:val="true"/>
        </w:rPr>
        <w:footnoteReference w:id="2126"/>
      </w:r>
      <w:r>
        <w:rPr>
          <w:rFonts w:ascii="Amiri" w:hAnsi="Amiri" w:eastAsia="Amiri" w:cs="Amiri"/>
          <w:color w:val="111111"/>
          <w:sz w:val="28"/>
          <w:sz w:val="28"/>
          <w:szCs w:val="28"/>
          <w:rtl w:val="true"/>
          <w:lang w:bidi="ar-SA"/>
        </w:rPr>
        <w:t>، بل كُلُّ داعٍ معقولٍ يَدعو إلىٰ نَقلِها و نَشرِ خبرِها؛ لأنّ تصرُّفَ الناسِ في تجاراتِهم و أسفارِهم و كثيرٍ مِن مَعايشِهم يَقتَضي نَقلَ‌</w:t>
      </w:r>
      <w:r>
        <w:rPr>
          <w:rStyle w:val="FootnoteAnchor"/>
          <w:rtl w:val="true"/>
        </w:rPr>
        <w:footnoteReference w:id="2127"/>
      </w:r>
      <w:r>
        <w:rPr>
          <w:rFonts w:ascii="Amiri" w:hAnsi="Amiri" w:eastAsia="Amiri" w:cs="Amiri"/>
          <w:color w:val="111111"/>
          <w:sz w:val="28"/>
          <w:sz w:val="28"/>
          <w:szCs w:val="28"/>
          <w:rtl w:val="true"/>
          <w:lang w:bidi="ar-SA"/>
        </w:rPr>
        <w:t>ذلكَ ، و يوجِبُ أنّ بِهم</w:t>
      </w:r>
      <w:r>
        <w:rPr>
          <w:rStyle w:val="FootnoteAnchor"/>
          <w:rtl w:val="true"/>
        </w:rPr>
        <w:footnoteReference w:id="2128"/>
      </w:r>
      <w:r>
        <w:rPr>
          <w:rFonts w:ascii="Amiri" w:hAnsi="Amiri" w:eastAsia="Amiri" w:cs="Amiri"/>
          <w:color w:val="111111"/>
          <w:sz w:val="28"/>
          <w:sz w:val="28"/>
          <w:szCs w:val="28"/>
          <w:rtl w:val="true"/>
          <w:lang w:bidi="ar-SA"/>
        </w:rPr>
        <w:t>إليه</w:t>
      </w:r>
      <w:r>
        <w:rPr>
          <w:rStyle w:val="FootnoteAnchor"/>
          <w:rtl w:val="true"/>
        </w:rPr>
        <w:footnoteReference w:id="2129"/>
      </w:r>
      <w:r>
        <w:rPr>
          <w:rFonts w:ascii="Amiri" w:hAnsi="Amiri" w:eastAsia="Amiri" w:cs="Amiri"/>
          <w:color w:val="111111"/>
          <w:sz w:val="28"/>
          <w:sz w:val="28"/>
          <w:szCs w:val="28"/>
          <w:rtl w:val="true"/>
          <w:lang w:bidi="ar-SA"/>
        </w:rPr>
        <w:t xml:space="preserve">أمَسَّ حاجةٍ </w:t>
      </w:r>
      <w:r>
        <w:rPr>
          <w:rStyle w:val="FootnoteAnchor"/>
          <w:rtl w:val="true"/>
        </w:rPr>
        <w:footnoteReference w:id="2130"/>
      </w:r>
      <w:r>
        <w:rPr>
          <w:rFonts w:ascii="Amiri" w:hAnsi="Amiri" w:eastAsia="Amiri" w:cs="Amiri"/>
          <w:color w:val="111111"/>
          <w:sz w:val="28"/>
          <w:sz w:val="28"/>
          <w:szCs w:val="28"/>
          <w:rtl w:val="true"/>
          <w:lang w:bidi="ar-SA"/>
        </w:rPr>
        <w:t>، و ما كانَت</w:t>
      </w:r>
      <w:r>
        <w:rPr>
          <w:rStyle w:val="FootnoteAnchor"/>
          <w:rtl w:val="true"/>
        </w:rPr>
        <w:footnoteReference w:id="2131"/>
      </w:r>
      <w:r>
        <w:rPr>
          <w:rFonts w:ascii="Amiri" w:hAnsi="Amiri" w:eastAsia="Amiri" w:cs="Amiri"/>
          <w:color w:val="111111"/>
          <w:sz w:val="28"/>
          <w:sz w:val="28"/>
          <w:szCs w:val="28"/>
          <w:rtl w:val="true"/>
          <w:lang w:bidi="ar-SA"/>
        </w:rPr>
        <w:t>دواعي الإذاعةِ فيه قائمةً و عُلِمَ استمرارُها</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في كُلِّ زمانٍ لا يَجوزُ كِتمانُه؛ لأنّ الكِتمانَ لا يَقَعُ </w:t>
      </w:r>
      <w:r>
        <w:rPr>
          <w:rStyle w:val="FootnoteAnchor"/>
          <w:rtl w:val="true"/>
        </w:rPr>
        <w:footnoteReference w:id="2133"/>
      </w:r>
      <w:r>
        <w:rPr>
          <w:rFonts w:ascii="Amiri" w:hAnsi="Amiri" w:eastAsia="Amiri" w:cs="Amiri"/>
          <w:color w:val="111111"/>
          <w:sz w:val="28"/>
          <w:sz w:val="28"/>
          <w:szCs w:val="28"/>
          <w:rtl w:val="true"/>
          <w:lang w:bidi="ar-SA"/>
        </w:rPr>
        <w:t xml:space="preserve">إلّابِداعٍ </w:t>
      </w:r>
      <w:r>
        <w:rPr>
          <w:rStyle w:val="FootnoteAnchor"/>
          <w:rtl w:val="true"/>
        </w:rPr>
        <w:footnoteReference w:id="2134"/>
      </w:r>
      <w:r>
        <w:rPr>
          <w:rFonts w:ascii="Amiri" w:hAnsi="Amiri" w:eastAsia="Amiri" w:cs="Amiri"/>
          <w:color w:val="111111"/>
          <w:sz w:val="28"/>
          <w:sz w:val="28"/>
          <w:szCs w:val="28"/>
          <w:rtl w:val="true"/>
          <w:lang w:bidi="ar-SA"/>
        </w:rPr>
        <w:t xml:space="preserve">قويٍّ </w:t>
      </w:r>
      <w:r>
        <w:rPr>
          <w:rStyle w:val="FootnoteAnchor"/>
          <w:rtl w:val="true"/>
        </w:rPr>
        <w:footnoteReference w:id="2135"/>
      </w:r>
      <w:r>
        <w:rPr>
          <w:rFonts w:ascii="Amiri" w:hAnsi="Amiri" w:eastAsia="Amiri" w:cs="Amiri"/>
          <w:color w:val="111111"/>
          <w:sz w:val="28"/>
          <w:sz w:val="28"/>
          <w:szCs w:val="28"/>
          <w:rtl w:val="true"/>
          <w:lang w:bidi="ar-SA"/>
        </w:rPr>
        <w:t>و غَرَضٍ ظاهرٍ، و كُلُّ ذلكَ مفقودٌ في أمرِ البُلدانِ ، مع ما بيّنّاه مِن ثُبوتِ الدَّواعي إلىٰ نَقلِ خبرِها</w:t>
      </w:r>
      <w:r>
        <w:rPr>
          <w:rStyle w:val="FootnoteAnchor"/>
          <w:rtl w:val="true"/>
        </w:rPr>
        <w:footnoteReference w:id="2136"/>
      </w:r>
      <w:r>
        <w:rPr>
          <w:rFonts w:ascii="Amiri" w:hAnsi="Amiri" w:eastAsia="Amiri" w:cs="Amiri"/>
          <w:color w:val="111111"/>
          <w:sz w:val="28"/>
          <w:sz w:val="28"/>
          <w:szCs w:val="28"/>
          <w:rtl w:val="true"/>
          <w:lang w:bidi="ar-SA"/>
        </w:rPr>
        <w:t>و إشاعتِه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نُقِلَ مِن</w:t>
      </w:r>
      <w:r>
        <w:rPr>
          <w:rStyle w:val="FootnoteAnchor"/>
          <w:rtl w:val="true"/>
        </w:rPr>
        <w:footnoteReference w:id="2137"/>
      </w:r>
      <w:r>
        <w:rPr>
          <w:rFonts w:ascii="Amiri" w:hAnsi="Amiri" w:eastAsia="Amiri" w:cs="Amiri"/>
          <w:color w:val="111111"/>
          <w:sz w:val="28"/>
          <w:sz w:val="28"/>
          <w:szCs w:val="28"/>
          <w:rtl w:val="true"/>
          <w:lang w:bidi="ar-SA"/>
        </w:rPr>
        <w:t>كَونِ الرسولِ في الدُّنيا</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جارٍ مجرىٰ ما تَقدَّمَ مِن أحوالِ البُلدانِ مِن وجهٍ؛ لأنّه لا غَرَضَ لعاقلٍ </w:t>
      </w:r>
      <w:r>
        <w:rPr>
          <w:rStyle w:val="FootnoteAnchor"/>
          <w:rtl w:val="true"/>
        </w:rPr>
        <w:footnoteReference w:id="2139"/>
      </w:r>
      <w:r>
        <w:rPr>
          <w:rFonts w:ascii="Amiri" w:hAnsi="Amiri" w:eastAsia="Amiri" w:cs="Amiri"/>
          <w:color w:val="111111"/>
          <w:sz w:val="28"/>
          <w:sz w:val="28"/>
          <w:szCs w:val="28"/>
          <w:rtl w:val="true"/>
          <w:lang w:bidi="ar-SA"/>
        </w:rPr>
        <w:t xml:space="preserve">في كِتمانِ دُعاءِ </w:t>
      </w:r>
      <w:r>
        <w:rPr>
          <w:rStyle w:val="FootnoteAnchor"/>
          <w:rtl w:val="true"/>
        </w:rPr>
        <w:footnoteReference w:id="2140"/>
      </w:r>
      <w:r>
        <w:rPr>
          <w:rFonts w:ascii="Amiri" w:hAnsi="Amiri" w:eastAsia="Amiri" w:cs="Amiri"/>
          <w:color w:val="111111"/>
          <w:sz w:val="28"/>
          <w:sz w:val="28"/>
          <w:szCs w:val="28"/>
          <w:rtl w:val="true"/>
          <w:lang w:bidi="ar-SA"/>
        </w:rPr>
        <w:t>داعٍ إلىٰ نَفسِه علىٰ وجهِ الظُّهورِ، يَجوزُ</w:t>
      </w:r>
      <w:r>
        <w:rPr>
          <w:rStyle w:val="FootnoteAnchor"/>
          <w:rtl w:val="true"/>
        </w:rPr>
        <w:footnoteReference w:id="2141"/>
      </w:r>
      <w:r>
        <w:rPr>
          <w:rFonts w:ascii="Amiri" w:hAnsi="Amiri" w:eastAsia="Amiri" w:cs="Amiri"/>
          <w:color w:val="111111"/>
          <w:sz w:val="28"/>
          <w:sz w:val="28"/>
          <w:szCs w:val="28"/>
          <w:rtl w:val="true"/>
          <w:lang w:bidi="ar-SA"/>
        </w:rPr>
        <w:t>أن يَكونَ مُحِقّاً و يَجوزُ أن يَكونَ مُبطِلاً، و لأنّ مَن اعتَقَدَ تَكذيبَه لا يَمنَعُه هذا الاعتقادُ مِن نَقلِ خبرِه؛ لأنّ العقلاءَ قد يُخبِرونَ عن حالِ الصادقِ و الكاذبِ ، و</w:t>
      </w:r>
      <w:r>
        <w:rPr>
          <w:rStyle w:val="FootnoteAnchor"/>
          <w:rtl w:val="true"/>
        </w:rPr>
        <w:footnoteReference w:id="2142"/>
      </w:r>
      <w:r>
        <w:rPr>
          <w:rFonts w:ascii="Amiri" w:hAnsi="Amiri" w:eastAsia="Amiri" w:cs="Amiri"/>
          <w:color w:val="111111"/>
          <w:sz w:val="28"/>
          <w:sz w:val="28"/>
          <w:szCs w:val="28"/>
          <w:rtl w:val="true"/>
          <w:lang w:bidi="ar-SA"/>
        </w:rPr>
        <w:t xml:space="preserve">المُحِقِّ و المُبطِلِ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نَقلُ القُرآنِ ، و نَقلُ وجودِ الأعلامِ </w:t>
      </w:r>
      <w:r>
        <w:rPr>
          <w:rStyle w:val="FootnoteAnchor"/>
          <w:rtl w:val="true"/>
        </w:rPr>
        <w:footnoteReference w:id="2143"/>
      </w:r>
      <w:r>
        <w:rPr>
          <w:rFonts w:ascii="Amiri" w:hAnsi="Amiri" w:eastAsia="Amiri" w:cs="Amiri"/>
          <w:color w:val="111111"/>
          <w:sz w:val="28"/>
          <w:sz w:val="28"/>
          <w:szCs w:val="28"/>
          <w:rtl w:val="true"/>
          <w:lang w:bidi="ar-SA"/>
        </w:rPr>
        <w:t xml:space="preserve">سِوَى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يَمتَنِعُ حُصولُ الدَّواعي</w:t>
      </w:r>
      <w:r>
        <w:rPr>
          <w:rStyle w:val="FootnoteAnchor"/>
          <w:rtl w:val="true"/>
        </w:rPr>
        <w:footnoteReference w:id="2144"/>
      </w:r>
      <w:r>
        <w:rPr>
          <w:rFonts w:ascii="Amiri" w:hAnsi="Amiri" w:eastAsia="Amiri" w:cs="Amiri"/>
          <w:color w:val="111111"/>
          <w:sz w:val="28"/>
          <w:sz w:val="28"/>
          <w:szCs w:val="28"/>
          <w:rtl w:val="true"/>
          <w:lang w:bidi="ar-SA"/>
        </w:rPr>
        <w:t xml:space="preserve">إلىٰ كِتمانِه، و قد كانَ </w:t>
      </w:r>
      <w:r>
        <w:rPr>
          <w:rStyle w:val="FootnoteAnchor"/>
          <w:rtl w:val="true"/>
        </w:rPr>
        <w:footnoteReference w:id="2145"/>
      </w:r>
      <w:r>
        <w:rPr>
          <w:rFonts w:ascii="Amiri" w:hAnsi="Amiri" w:eastAsia="Amiri" w:cs="Amiri"/>
          <w:color w:val="111111"/>
          <w:sz w:val="28"/>
          <w:sz w:val="28"/>
          <w:szCs w:val="28"/>
          <w:rtl w:val="true"/>
          <w:lang w:bidi="ar-SA"/>
        </w:rPr>
        <w:t>يَجوزُ مِن طريقِ الإمكانِ وقوعُ الإخلالِ به</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لَيسَ‌</w:t>
      </w:r>
      <w:r>
        <w:rPr>
          <w:rStyle w:val="FootnoteAnchor"/>
          <w:rtl w:val="true"/>
        </w:rPr>
        <w:footnoteReference w:id="2147"/>
      </w:r>
      <w:r>
        <w:rPr>
          <w:rFonts w:ascii="Amiri" w:hAnsi="Amiri" w:eastAsia="Amiri" w:cs="Amiri"/>
          <w:color w:val="111111"/>
          <w:sz w:val="28"/>
          <w:sz w:val="28"/>
          <w:szCs w:val="28"/>
          <w:rtl w:val="true"/>
          <w:lang w:bidi="ar-SA"/>
        </w:rPr>
        <w:t>علىٰ أن يُقدَّرَ أنّ الحالَ في المصدِّقينَ به صَلَّى اللّٰهُ عليه و آلِه في الكَثرةِ و الظُّهورِ هذه، بل بأن يُقدَّرَ أنّ المُصدِّقَ لِلدَّعوَةِ‌</w:t>
      </w:r>
      <w:r>
        <w:rPr>
          <w:rStyle w:val="FootnoteAnchor"/>
          <w:rtl w:val="true"/>
        </w:rPr>
        <w:footnoteReference w:id="2148"/>
      </w:r>
      <w:r>
        <w:rPr>
          <w:rFonts w:ascii="Amiri" w:hAnsi="Amiri" w:eastAsia="Amiri" w:cs="Amiri"/>
          <w:color w:val="111111"/>
          <w:sz w:val="28"/>
          <w:sz w:val="28"/>
          <w:szCs w:val="28"/>
          <w:rtl w:val="true"/>
          <w:lang w:bidi="ar-SA"/>
        </w:rPr>
        <w:t>كانَ في الأصلِ واحداً أو اثنَينِ</w:t>
      </w:r>
    </w:p>
    <w:p>
      <w:pPr>
        <w:pStyle w:val="BookText"/>
        <w:rPr/>
      </w:pPr>
      <w:r>
        <w:rPr>
          <w:rFonts w:ascii="Amiri" w:hAnsi="Amiri" w:eastAsia="Amiri" w:cs="Amiri"/>
          <w:color w:val="111111"/>
          <w:sz w:val="28"/>
          <w:sz w:val="28"/>
          <w:szCs w:val="28"/>
          <w:rtl w:val="true"/>
          <w:lang w:bidi="ar-SA"/>
        </w:rPr>
        <w:t xml:space="preserve">و كانَ مَن عَداه مُكذِّباً مُعادياً، فلا يَمتَنِعُ مع هذا التقديرِ الإخلالُ بنَقلِ الأعلامِ بأن يَدعُوَ المكذِّبينَ دَواعي الكِتمانِ إليه، و يُعرِضَ </w:t>
      </w:r>
      <w:r>
        <w:rPr>
          <w:rStyle w:val="FootnoteAnchor"/>
          <w:rtl w:val="true"/>
        </w:rPr>
        <w:footnoteReference w:id="2149"/>
      </w:r>
      <w:r>
        <w:rPr>
          <w:rFonts w:ascii="Amiri" w:hAnsi="Amiri" w:eastAsia="Amiri" w:cs="Amiri"/>
          <w:color w:val="111111"/>
          <w:sz w:val="28"/>
          <w:sz w:val="28"/>
          <w:szCs w:val="28"/>
          <w:rtl w:val="true"/>
          <w:lang w:bidi="ar-SA"/>
        </w:rPr>
        <w:t>المصدِّقونَ لضَعفِ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ممّا يؤمَنُ </w:t>
      </w:r>
      <w:r>
        <w:rPr>
          <w:rStyle w:val="FootnoteAnchor"/>
          <w:rtl w:val="true"/>
        </w:rPr>
        <w:footnoteReference w:id="2150"/>
      </w:r>
      <w:r>
        <w:rPr>
          <w:rFonts w:ascii="Amiri" w:hAnsi="Amiri" w:eastAsia="Amiri" w:cs="Amiri"/>
          <w:color w:val="111111"/>
          <w:sz w:val="28"/>
          <w:sz w:val="28"/>
          <w:szCs w:val="28"/>
          <w:rtl w:val="true"/>
          <w:lang w:bidi="ar-SA"/>
        </w:rPr>
        <w:t>وقوعُه؛ لقيامِ الدَّلالةِ عندَنا علىٰ أنّ للّٰهِ تَعالىٰ حُجّةً في كُلِّ زمانٍ ، حافظاً لدِينِه، مُبيِّناً له، مُتَلافياً لِما يَجري فيه مِن زَلَلٍ و غَلَطٍ لا يُمكِنُ أن يَستَدرِكَه غيرُه</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الصلاةُ و الصيامُ و الأُمورُ الظاهرةُ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يَلزَمُ علىٰ هذه الطريقةِ أن لا يَعرِفَها إلّامَن عَرَفَ الإمامَ ، و إلزامُ صاحبِ الكتابِ ذاكَ ظُلمٌ أو سَهوٌ؛ لأنّه لا عِلّةَ له</w:t>
      </w:r>
      <w:r>
        <w:rPr>
          <w:rStyle w:val="FootnoteAnchor"/>
          <w:rtl w:val="true"/>
        </w:rPr>
        <w:footnoteReference w:id="2152"/>
      </w:r>
      <w:r>
        <w:rPr>
          <w:rFonts w:ascii="Amiri" w:hAnsi="Amiri" w:eastAsia="Amiri" w:cs="Amiri"/>
          <w:color w:val="111111"/>
          <w:sz w:val="28"/>
          <w:sz w:val="28"/>
          <w:szCs w:val="28"/>
          <w:rtl w:val="true"/>
          <w:lang w:bidi="ar-SA"/>
        </w:rPr>
        <w:t>توجِبُه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بيّنّا أنّه لا يَمتَنِعُ أن يَعرِفَ الصلاةَ و الصيامَ و ما أشبَهَهما</w:t>
      </w:r>
      <w:r>
        <w:rPr>
          <w:rStyle w:val="FootnoteAnchor"/>
          <w:rtl w:val="true"/>
        </w:rPr>
        <w:footnoteReference w:id="2153"/>
      </w:r>
      <w:r>
        <w:rPr>
          <w:rFonts w:ascii="Amiri" w:hAnsi="Amiri" w:eastAsia="Amiri" w:cs="Amiri"/>
          <w:color w:val="111111"/>
          <w:sz w:val="28"/>
          <w:sz w:val="28"/>
          <w:szCs w:val="28"/>
          <w:rtl w:val="true"/>
          <w:lang w:bidi="ar-SA"/>
        </w:rPr>
        <w:t xml:space="preserve">بالتواتُرِ مَن لا يَعرِفُ الإمامَ ، غيرَ أنّه و إن عَرَفَ ذلكَ لا يَكونُ واثقاً بأنّ شيئاً ممّا يَجري مَجرىٰ هذه العبادةِ مِن العباداتِ لَم يَنطَوِ عنه، و أنّه و إن أظهَرَ الثِّقةَ بذلكَ فهو غيرُ واثقٍ في الحقيقةِ و لا متيَقِّنٍ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bookmarkStart w:id="658" w:name="pg20044_771040"/>
    </w:p>
    <w:p>
      <w:pPr>
        <w:pStyle w:val="Heading5"/>
        <w:numPr>
          <w:ilvl w:val="4"/>
          <w:numId w:val="1"/>
        </w:numPr>
        <w:rPr/>
      </w:pPr>
      <w:bookmarkStart w:id="659" w:name="__RefHeading___Toc828736_2320776876"/>
      <w:bookmarkStart w:id="660" w:name="_Toc233"/>
      <w:bookmarkEnd w:id="658"/>
      <w:bookmarkEnd w:id="659"/>
      <w:r>
        <w:rPr>
          <w:rtl w:val="true"/>
        </w:rPr>
        <w:t>عدم جواز كتمان معارضة القرآن</w:t>
      </w:r>
      <w:bookmarkEnd w:id="660"/>
    </w:p>
    <w:p>
      <w:pPr>
        <w:pStyle w:val="BookText"/>
        <w:rPr/>
      </w:pPr>
      <w:r>
        <w:rPr>
          <w:rFonts w:ascii="Amiri" w:hAnsi="Amiri" w:eastAsia="Amiri" w:cs="Amiri"/>
          <w:color w:val="111111"/>
          <w:sz w:val="28"/>
          <w:sz w:val="28"/>
          <w:szCs w:val="28"/>
          <w:rtl w:val="true"/>
          <w:lang w:bidi="ar-SA"/>
        </w:rPr>
        <w:t>فأمّا ما لا يَزالُ يُعارِضُنا به الخُصومُ في هذا المَوضِعِ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جوِّزوا أن يَكونَ القُرآنُ قد عورِضَ بمعارَضةٍ هي</w:t>
      </w:r>
      <w:r>
        <w:rPr>
          <w:rStyle w:val="FootnoteAnchor"/>
          <w:rtl w:val="true"/>
        </w:rPr>
        <w:footnoteReference w:id="2155"/>
      </w:r>
      <w:r>
        <w:rPr>
          <w:rFonts w:ascii="Amiri" w:hAnsi="Amiri" w:eastAsia="Amiri" w:cs="Amiri"/>
          <w:color w:val="111111"/>
          <w:sz w:val="28"/>
          <w:sz w:val="28"/>
          <w:szCs w:val="28"/>
          <w:rtl w:val="true"/>
          <w:lang w:bidi="ar-SA"/>
        </w:rPr>
        <w:t xml:space="preserve">أبلَغُ مِنه و أفصَحُ ، فكَتَمَ </w:t>
      </w:r>
      <w:r>
        <w:rPr>
          <w:rStyle w:val="FootnoteAnchor"/>
          <w:rtl w:val="true"/>
        </w:rPr>
        <w:footnoteReference w:id="2156"/>
      </w:r>
      <w:r>
        <w:rPr>
          <w:rFonts w:ascii="Amiri" w:hAnsi="Amiri" w:eastAsia="Amiri" w:cs="Amiri"/>
          <w:color w:val="111111"/>
          <w:sz w:val="28"/>
          <w:sz w:val="28"/>
          <w:szCs w:val="28"/>
          <w:rtl w:val="true"/>
          <w:lang w:bidi="ar-SA"/>
        </w:rPr>
        <w:t>ذلكَ المسلمونَ ؛ لغَلَبَتِهم و قوَّتِهم، و خَوفِ المخالِفينَ مِنهم</w:t>
      </w:r>
      <w:r>
        <w:rPr>
          <w:rFonts w:eastAsia="Amiri" w:cs="Amiri" w:ascii="Amiri" w:hAnsi="Amiri"/>
          <w:color w:val="111111"/>
          <w:sz w:val="28"/>
          <w:szCs w:val="28"/>
          <w:rtl w:val="true"/>
          <w:lang w:bidi="ar-SA"/>
        </w:rPr>
        <w:t>»</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ساقطٌ بما أَصَّلناه في كلامِنا؛ لأنّا قد بيّنّا أنّ ما دَواعي النَّقلِ فيه ثابتةٌ لا يَلزَمُنا تجويزُ كِتمانِه، و قد عَلِمنا أنّ لكُلِّ مَن خالَفَ المِلّةَ مِن الدَّواعي إلىٰ نَقلِ معارَضةِ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أن يَقعُدَ معه</w:t>
      </w:r>
      <w:r>
        <w:rPr>
          <w:rStyle w:val="FootnoteAnchor"/>
          <w:rtl w:val="true"/>
        </w:rPr>
        <w:footnoteReference w:id="2159"/>
      </w:r>
      <w:r>
        <w:rPr>
          <w:rFonts w:ascii="Amiri" w:hAnsi="Amiri" w:eastAsia="Amiri" w:cs="Amiri"/>
          <w:color w:val="111111"/>
          <w:sz w:val="28"/>
          <w:sz w:val="28"/>
          <w:szCs w:val="28"/>
          <w:rtl w:val="true"/>
          <w:lang w:bidi="ar-SA"/>
        </w:rPr>
        <w:t>عن نَقلِها لخَوفٍ أو لغَيرِه، و لأنّ فيهم مَن لا يَخافُ جُملةً ؛ لحُصولِه في بِلادِ عِزِّه</w:t>
      </w:r>
      <w:r>
        <w:rPr>
          <w:rStyle w:val="FootnoteAnchor"/>
          <w:rtl w:val="true"/>
        </w:rPr>
        <w:footnoteReference w:id="2160"/>
      </w:r>
      <w:r>
        <w:rPr>
          <w:rFonts w:ascii="Amiri" w:hAnsi="Amiri" w:eastAsia="Amiri" w:cs="Amiri"/>
          <w:color w:val="111111"/>
          <w:sz w:val="28"/>
          <w:sz w:val="28"/>
          <w:szCs w:val="28"/>
          <w:rtl w:val="true"/>
          <w:lang w:bidi="ar-SA"/>
        </w:rPr>
        <w:t xml:space="preserve">و مَملَكَتِه كالرُّومِ و مَن جَرىٰ مَجراهم، و لأنّ الخَوفَ أيضاً لا يَمنَعُ مِن النَّقلِ كما لَم يَمنَعْهم مِن نَقلِ كثيرٍ ممّا يُسخِطُ المسلمينَ و يُغضِبُهم، مِن سَبِّ النبيِّ صَلَّى اللّٰهُ عليه و آلِه و قَذفِه و هِجائه، و لأنّ الخَوفَ إنّما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التظاهُرِ بالنَّقلِ ، و لا يَمنَعُ </w:t>
      </w:r>
      <w:r>
        <w:rPr>
          <w:rStyle w:val="FootnoteAnchor"/>
          <w:rtl w:val="true"/>
        </w:rPr>
        <w:footnoteReference w:id="2161"/>
      </w:r>
      <w:r>
        <w:rPr>
          <w:rFonts w:ascii="Amiri" w:hAnsi="Amiri" w:eastAsia="Amiri" w:cs="Amiri"/>
          <w:color w:val="111111"/>
          <w:sz w:val="28"/>
          <w:sz w:val="28"/>
          <w:szCs w:val="28"/>
          <w:rtl w:val="true"/>
          <w:lang w:bidi="ar-SA"/>
        </w:rPr>
        <w:t>مِن الاستِسرارِ به، و في نَقلِه علىٰ جهةِ الاستِسرارِ ما يوجِبُ اتّصالَه بنا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إفسادِ هذه المعارَضةِ و إبطالِها وجوهٌ كثيرةٌ ، و لَعلَّنا</w:t>
      </w:r>
      <w:r>
        <w:rPr>
          <w:rStyle w:val="FootnoteAnchor"/>
          <w:rtl w:val="true"/>
        </w:rPr>
        <w:footnoteReference w:id="2162"/>
      </w:r>
      <w:r>
        <w:rPr>
          <w:rFonts w:ascii="Amiri" w:hAnsi="Amiri" w:eastAsia="Amiri" w:cs="Amiri"/>
          <w:color w:val="111111"/>
          <w:sz w:val="28"/>
          <w:sz w:val="28"/>
          <w:szCs w:val="28"/>
          <w:rtl w:val="true"/>
          <w:lang w:bidi="ar-SA"/>
        </w:rPr>
        <w:t xml:space="preserve">نَستَقصيها فيما يأتي </w:t>
      </w:r>
      <w:bookmarkStart w:id="661" w:name="pg20044_771041"/>
    </w:p>
    <w:p>
      <w:pPr>
        <w:pStyle w:val="BookText"/>
        <w:rPr/>
      </w:pPr>
      <w:bookmarkEnd w:id="661"/>
      <w:r>
        <w:rPr>
          <w:rFonts w:ascii="Amiri" w:hAnsi="Amiri" w:eastAsia="Amiri" w:cs="Amiri"/>
          <w:color w:val="111111"/>
          <w:sz w:val="28"/>
          <w:sz w:val="28"/>
          <w:szCs w:val="28"/>
          <w:rtl w:val="true"/>
          <w:lang w:bidi="ar-SA"/>
        </w:rPr>
        <w:t>مِن الكتابِ عندَ الكلامِ في النَّصِّ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ما يُعقَدُ عليه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كانت الدَّواعي إلىٰ نَقلِه للعقلاءِ أو لبعضِهم ثابتةً معلومةً لَم يَجُز كِتمانُه، و</w:t>
      </w:r>
      <w:r>
        <w:rPr>
          <w:rStyle w:val="FootnoteAnchor"/>
          <w:rtl w:val="true"/>
        </w:rPr>
        <w:footnoteReference w:id="2163"/>
      </w:r>
      <w:r>
        <w:rPr>
          <w:rFonts w:ascii="Amiri" w:hAnsi="Amiri" w:eastAsia="Amiri" w:cs="Amiri"/>
          <w:color w:val="111111"/>
          <w:sz w:val="28"/>
          <w:sz w:val="28"/>
          <w:szCs w:val="28"/>
          <w:rtl w:val="true"/>
          <w:lang w:bidi="ar-SA"/>
        </w:rPr>
        <w:t>كُلَّ شيءٍ جازَ أن يَدخُلَ فيه دَواعي النَّقلِ و دَواعي الكِتمانِ‌</w:t>
      </w:r>
      <w:r>
        <w:rPr>
          <w:rStyle w:val="FootnoteAnchor"/>
          <w:rtl w:val="true"/>
        </w:rPr>
        <w:footnoteReference w:id="2164"/>
      </w:r>
      <w:r>
        <w:rPr>
          <w:rFonts w:ascii="Amiri" w:hAnsi="Amiri" w:eastAsia="Amiri" w:cs="Amiri"/>
          <w:color w:val="111111"/>
          <w:sz w:val="28"/>
          <w:sz w:val="28"/>
          <w:szCs w:val="28"/>
          <w:rtl w:val="true"/>
          <w:lang w:bidi="ar-SA"/>
        </w:rPr>
        <w:t>مَعاً جَوَّزنا فيه الكِتمانَ ، فاعتَبِرْ كُلَّ ما يَرِدُ عَلَيكَ مِن أعيانِ المَسائلِ هذا الاعتبارَ؛ فما لَحِقَ بما يَسوغُ فيه دواعي الكِتمانِ أجَزتَه، و ما لَم يَسُغْ فيه</w:t>
      </w:r>
      <w:r>
        <w:rPr>
          <w:rStyle w:val="FootnoteAnchor"/>
          <w:rtl w:val="true"/>
        </w:rPr>
        <w:footnoteReference w:id="2165"/>
      </w:r>
      <w:r>
        <w:rPr>
          <w:rFonts w:ascii="Amiri" w:hAnsi="Amiri" w:eastAsia="Amiri" w:cs="Amiri"/>
          <w:color w:val="111111"/>
          <w:sz w:val="28"/>
          <w:sz w:val="28"/>
          <w:szCs w:val="28"/>
          <w:rtl w:val="true"/>
          <w:lang w:bidi="ar-SA"/>
        </w:rPr>
        <w:t>أحَلتَه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يَسوغُ فيه الكِتمانُ و حُصولُ الدَّواعي إليه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ما يَجِبُ إذا كُتِمَ أن يُبيِّنَه إمامُ الزمانِ و يُظهِرَه لتَقومَ الحُجّةُ به؛ و هو ما كانَ مِن قَبيلِ العباداتِ و الفرائِض، و ما يَجِبُ علَى المكلَّفينَ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لا يَجِبُ فيه ذلك و إن كُتِمَ ، كأكثرِ الحوادثِ التي تَجري مِن الناسِ في مُتَصرَّفاتِهم التي لا تَعلُّقَ لها بشرعٍ و لا دِينٍ </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828738_2320776876"/>
      <w:bookmarkStart w:id="663" w:name="_Toc234"/>
      <w:bookmarkEnd w:id="662"/>
      <w:r>
        <w:rPr>
          <w:rtl w:val="true"/>
        </w:rPr>
        <w:t>عدم الاستغناء بالإجماع عن الإمام في حفظ الشريعة</w:t>
      </w:r>
      <w:bookmarkEnd w:id="663"/>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يَصيرُ محفوظاً بالإجماعِ ، فقَد عَلِمنا بالدليلِ أنّه لا يَجوزُ علَى الأُمّةِ فيه الخطأُ، و لا يَجوزُ عَلَيهم الذَّهابُ عن الحقِّ ، و لا بُدَّ مِن كَونِ الحقِّ محفوظاً فيهم حتّىٰ لا يَخلُوَ الزمانُ </w:t>
      </w:r>
      <w:r>
        <w:rPr>
          <w:rStyle w:val="FootnoteAnchor"/>
          <w:rtl w:val="true"/>
        </w:rPr>
        <w:footnoteReference w:id="2166"/>
      </w:r>
      <w:r>
        <w:rPr>
          <w:rFonts w:ascii="Amiri" w:hAnsi="Amiri" w:eastAsia="Amiri" w:cs="Amiri"/>
          <w:color w:val="111111"/>
          <w:sz w:val="28"/>
          <w:sz w:val="28"/>
          <w:szCs w:val="28"/>
          <w:rtl w:val="true"/>
          <w:lang w:bidi="ar-SA"/>
        </w:rPr>
        <w:t xml:space="preserve">ممّن يَحفَظُ الشرعَ و الحقَّ ؛ </w:t>
      </w:r>
    </w:p>
    <w:p>
      <w:pPr>
        <w:pStyle w:val="BookText"/>
        <w:rPr/>
      </w:pPr>
      <w:r>
        <w:rPr>
          <w:rFonts w:ascii="Amiri" w:hAnsi="Amiri" w:eastAsia="Amiri" w:cs="Amiri"/>
          <w:color w:val="111111"/>
          <w:sz w:val="28"/>
          <w:sz w:val="28"/>
          <w:szCs w:val="28"/>
          <w:rtl w:val="true"/>
          <w:lang w:bidi="ar-SA"/>
        </w:rPr>
        <w:t>فإمّا أن يَكونَ واحداً بعَينِه أو جَماعةً، و إمّا أن يَكونَ كُلُّ‌</w:t>
      </w:r>
      <w:r>
        <w:rPr>
          <w:rStyle w:val="FootnoteAnchor"/>
          <w:rtl w:val="true"/>
        </w:rPr>
        <w:footnoteReference w:id="2167"/>
      </w:r>
      <w:r>
        <w:rPr>
          <w:rFonts w:ascii="Amiri" w:hAnsi="Amiri" w:eastAsia="Amiri" w:cs="Amiri"/>
          <w:color w:val="111111"/>
          <w:sz w:val="28"/>
          <w:sz w:val="28"/>
          <w:szCs w:val="28"/>
          <w:rtl w:val="true"/>
          <w:lang w:bidi="ar-SA"/>
        </w:rPr>
        <w:t>ذلكَ في واحدٍ أو جميعُ الشرعِ في الجَماعةِ‌</w:t>
      </w:r>
      <w:r>
        <w:rPr>
          <w:rStyle w:val="FootnoteAnchor"/>
          <w:rtl w:val="true"/>
        </w:rPr>
        <w:footnoteReference w:id="2168"/>
      </w:r>
      <w:r>
        <w:rPr>
          <w:rFonts w:ascii="IRNazanin" w:hAnsi="IRNazanin" w:eastAsia="IRNazanin"/>
          <w:color w:val="111111"/>
          <w:sz w:val="28"/>
          <w:sz w:val="28"/>
          <w:szCs w:val="28"/>
          <w:rtl w:val="true"/>
          <w:lang w:bidi="fa-IR"/>
        </w:rPr>
        <w:t>، فإذا</w:t>
      </w:r>
      <w:r>
        <w:rPr>
          <w:rStyle w:val="FootnoteAnchor"/>
          <w:rtl w:val="true"/>
        </w:rPr>
        <w:footnoteReference w:id="2169"/>
      </w:r>
      <w:r>
        <w:rPr>
          <w:rFonts w:ascii="Amiri" w:hAnsi="Amiri" w:eastAsia="Amiri" w:cs="Amiri"/>
          <w:color w:val="111111"/>
          <w:sz w:val="28"/>
          <w:sz w:val="28"/>
          <w:szCs w:val="28"/>
          <w:rtl w:val="true"/>
          <w:lang w:bidi="ar-SA"/>
        </w:rPr>
        <w:t>ذَهَبَ بعضُهم عنه أمكَنَهم معرفتُه ممّن</w:t>
      </w:r>
      <w:r>
        <w:rPr>
          <w:rStyle w:val="FootnoteAnchor"/>
          <w:rtl w:val="true"/>
        </w:rPr>
        <w:footnoteReference w:id="2170"/>
      </w:r>
      <w:r>
        <w:rPr>
          <w:rFonts w:ascii="Amiri" w:hAnsi="Amiri" w:eastAsia="Amiri" w:cs="Amiri"/>
          <w:color w:val="111111"/>
          <w:sz w:val="28"/>
          <w:sz w:val="28"/>
          <w:szCs w:val="28"/>
          <w:rtl w:val="true"/>
          <w:lang w:bidi="ar-SA"/>
        </w:rPr>
        <w:t>يَحفَظُه، و يُنَبِّهُ‌</w:t>
      </w:r>
      <w:r>
        <w:rPr>
          <w:rStyle w:val="FootnoteAnchor"/>
          <w:rtl w:val="true"/>
        </w:rPr>
        <w:footnoteReference w:id="2171"/>
      </w:r>
      <w:r>
        <w:rPr>
          <w:rFonts w:ascii="Amiri" w:hAnsi="Amiri" w:eastAsia="Amiri" w:cs="Amiri"/>
          <w:color w:val="111111"/>
          <w:sz w:val="28"/>
          <w:sz w:val="28"/>
          <w:szCs w:val="28"/>
          <w:rtl w:val="true"/>
          <w:lang w:bidi="ar-SA"/>
        </w:rPr>
        <w:t>علىٰ ذلكَ‌</w:t>
      </w:r>
      <w:r>
        <w:rPr>
          <w:rStyle w:val="FootnoteAnchor"/>
          <w:rtl w:val="true"/>
        </w:rPr>
        <w:footnoteReference w:id="2172"/>
      </w:r>
      <w:r>
        <w:rPr>
          <w:rFonts w:ascii="Amiri" w:hAnsi="Amiri" w:eastAsia="Amiri" w:cs="Amiri"/>
          <w:color w:val="111111"/>
          <w:sz w:val="28"/>
          <w:sz w:val="28"/>
          <w:szCs w:val="28"/>
          <w:rtl w:val="true"/>
          <w:lang w:bidi="ar-SA"/>
        </w:rPr>
        <w:t xml:space="preserve">مَن هو حافظٌ له، و كذلكَ القولُ في سائرِ الأدلّةِ؛ فمِن أَينَ أنّه لا بُدَّ مِن الحاجةِ إلَى الإمامِ </w:t>
      </w:r>
      <w:r>
        <w:rPr>
          <w:rStyle w:val="FootnoteAnchor"/>
          <w:rtl w:val="true"/>
        </w:rPr>
        <w:footnoteReference w:id="2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أنّ ما طريقُه الاجتهادُ يَصيرُ محفوظاً بما أقامَه اللّٰهُ مِن الدَّلالةِ ، و بما يَثبُتُ مِن الأماراتِ ، و يُستَغنىٰ عن الإمامِ </w:t>
      </w:r>
      <w:r>
        <w:rPr>
          <w:rFonts w:eastAsia="Amiri" w:cs="Amiri" w:ascii="Amiri" w:hAnsi="Amiri"/>
          <w:color w:val="111111"/>
          <w:sz w:val="28"/>
          <w:szCs w:val="28"/>
          <w:rtl w:val="true"/>
          <w:lang w:bidi="ar-SA"/>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يَجوزُ أن تَكونَ الأُمّةُ حافظةً للشرعِ ؛ لأنّ الغَلَطَ جائزٌ</w:t>
      </w:r>
      <w:r>
        <w:rPr>
          <w:rStyle w:val="FootnoteAnchor"/>
          <w:rtl w:val="true"/>
        </w:rPr>
        <w:footnoteReference w:id="2175"/>
      </w:r>
      <w:r>
        <w:rPr>
          <w:rFonts w:ascii="Amiri" w:hAnsi="Amiri" w:eastAsia="Amiri" w:cs="Amiri"/>
          <w:color w:val="111111"/>
          <w:sz w:val="28"/>
          <w:sz w:val="28"/>
          <w:szCs w:val="28"/>
          <w:rtl w:val="true"/>
          <w:lang w:bidi="ar-SA"/>
        </w:rPr>
        <w:t>علىٰ آحادِها و جَماعاتِها، علىٰ ما</w:t>
      </w:r>
      <w:r>
        <w:rPr>
          <w:rStyle w:val="FootnoteAnchor"/>
          <w:rtl w:val="true"/>
        </w:rPr>
        <w:footnoteReference w:id="2176"/>
      </w:r>
      <w:r>
        <w:rPr>
          <w:rFonts w:ascii="Amiri" w:hAnsi="Amiri" w:eastAsia="Amiri" w:cs="Amiri"/>
          <w:color w:val="111111"/>
          <w:sz w:val="28"/>
          <w:sz w:val="28"/>
          <w:szCs w:val="28"/>
          <w:rtl w:val="true"/>
          <w:lang w:bidi="ar-SA"/>
        </w:rPr>
        <w:t xml:space="preserve">بيّنّاه فيما تَقدَّمَ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يَرجِعُ خُصومُنا في الاستدلالِ علىٰ أنّهم لا يُجمِعونَ علىٰ 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 xml:space="preserve">كانَ العقلُ مُجوِّزاً اجتماعَهم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Style w:val="FootnoteAnchor"/>
          <w:rtl w:val="true"/>
        </w:rPr>
        <w:footnoteReference w:id="2178"/>
      </w:r>
      <w:r>
        <w:rPr>
          <w:rFonts w:ascii="Amiri" w:hAnsi="Amiri" w:eastAsia="Amiri" w:cs="Amiri"/>
          <w:color w:val="111111"/>
          <w:sz w:val="28"/>
          <w:sz w:val="28"/>
          <w:szCs w:val="28"/>
          <w:rtl w:val="true"/>
          <w:lang w:bidi="ar-SA"/>
        </w:rPr>
        <w:t>إلىٰ خبرِ واحدٍ يَجعَلونَ إجماعَهم و إمساكَهم عن النَّكيرِ علىٰ راويهِ دَليلاً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أنّهم أجمَعوا عليه في الحقيقةِ حَسَبَ ما ادَّعَوه، و لَو ثَبَتَ لَم يَصِحَّ الاستدلالُ علَى الإجماعِ و صِحّتِه بأمرٍ لا يُعلَمُ أنّه دَليلٌ إلّابَعدَ صِحّةِ الإجماعِ؛ لأنّ لِخَصمِهم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أن يَكونَ إجماعُهم علىٰ تصديقِ هذا الخبرِ و تَركِ النَّكيرِ علىٰ راويهِ‌</w:t>
      </w:r>
      <w:r>
        <w:rPr>
          <w:rStyle w:val="FootnoteAnchor"/>
          <w:rtl w:val="true"/>
        </w:rPr>
        <w:footnoteReference w:id="2179"/>
      </w:r>
      <w:r>
        <w:rPr>
          <w:rFonts w:ascii="Amiri" w:hAnsi="Amiri" w:eastAsia="Amiri" w:cs="Amiri"/>
          <w:color w:val="111111"/>
          <w:sz w:val="28"/>
          <w:sz w:val="28"/>
          <w:szCs w:val="28"/>
          <w:rtl w:val="true"/>
          <w:lang w:bidi="ar-SA"/>
        </w:rPr>
        <w:t>مِن جُملةِ الخَطَإ الذي يَجوزُ اجتماعُهم</w:t>
      </w:r>
      <w:r>
        <w:rPr>
          <w:rStyle w:val="FootnoteAnchor"/>
          <w:rtl w:val="true"/>
        </w:rPr>
        <w:footnoteReference w:id="2180"/>
      </w:r>
      <w:r>
        <w:rPr>
          <w:rFonts w:ascii="Amiri" w:hAnsi="Amiri" w:eastAsia="Amiri" w:cs="Amiri"/>
          <w:color w:val="111111"/>
          <w:sz w:val="28"/>
          <w:sz w:val="28"/>
          <w:szCs w:val="28"/>
          <w:rtl w:val="true"/>
          <w:lang w:bidi="ar-SA"/>
        </w:rPr>
        <w:t>عليه؛ فكأنّ الذاهبَ إلىٰ صِحّةِ الإجماعِ و المستَدِلَّ عليه بهذه الطريقةِ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صِحّةِ الإجماعِ نَفسُ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يَرجِعونَ إلىٰ ظاهرِ آياتٍ لا دَلالةَ في ظاهرِها و لا</w:t>
      </w:r>
      <w:r>
        <w:rPr>
          <w:rStyle w:val="FootnoteAnchor"/>
          <w:rtl w:val="true"/>
        </w:rPr>
        <w:footnoteReference w:id="2181"/>
      </w:r>
      <w:r>
        <w:rPr>
          <w:rFonts w:ascii="Amiri" w:hAnsi="Amiri" w:eastAsia="Amiri" w:cs="Amiri"/>
          <w:color w:val="111111"/>
          <w:sz w:val="28"/>
          <w:sz w:val="28"/>
          <w:szCs w:val="28"/>
          <w:rtl w:val="true"/>
          <w:lang w:bidi="ar-SA"/>
        </w:rPr>
        <w:t>فَحواها علىٰ صِحّةِ إجماعِ الأُمّةِ، بل أكثرُها يَتضَمَّنُ أوصافاً مِن المَدحِ أكثرُ الأُمّةِ لا تَستَحِقُّه، و لا يَستَجيزُ عاقلٌ وَصفَهم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الكلامُ في هذه الآياتِ و الصحيحُ في</w:t>
      </w:r>
      <w:r>
        <w:rPr>
          <w:rStyle w:val="FootnoteAnchor"/>
          <w:rtl w:val="true"/>
        </w:rPr>
        <w:footnoteReference w:id="2182"/>
      </w:r>
      <w:r>
        <w:rPr>
          <w:rFonts w:ascii="Amiri" w:hAnsi="Amiri" w:eastAsia="Amiri" w:cs="Amiri"/>
          <w:color w:val="111111"/>
          <w:sz w:val="28"/>
          <w:sz w:val="28"/>
          <w:szCs w:val="28"/>
          <w:rtl w:val="true"/>
          <w:lang w:bidi="ar-SA"/>
        </w:rPr>
        <w:t>تأويلِها في غيرِ مَوضِعٍ</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يَستَعمِلْ صاحبُ الكتابِ فيما ادَّعاه مِن صِحّةِ الإجماعِ شيئاً مِن الحِجاجِ فنَنقُضَه</w:t>
      </w:r>
      <w:r>
        <w:rPr>
          <w:rStyle w:val="FootnoteAnchor"/>
          <w:rtl w:val="true"/>
        </w:rPr>
        <w:footnoteReference w:id="2183"/>
      </w:r>
      <w:r>
        <w:rPr>
          <w:rFonts w:ascii="Amiri" w:hAnsi="Amiri" w:eastAsia="Amiri" w:cs="Amiri"/>
          <w:color w:val="111111"/>
          <w:sz w:val="28"/>
          <w:sz w:val="28"/>
          <w:szCs w:val="28"/>
          <w:rtl w:val="true"/>
          <w:lang w:bidi="ar-SA"/>
        </w:rPr>
        <w:t>عليه، بل اقتَصَرَ علَى الدَّعوىٰ‌</w:t>
      </w:r>
      <w:r>
        <w:rPr>
          <w:rStyle w:val="FootnoteAnchor"/>
          <w:rtl w:val="true"/>
        </w:rPr>
        <w:footnoteReference w:id="2184"/>
      </w:r>
      <w:r>
        <w:rPr>
          <w:rFonts w:ascii="Amiri" w:hAnsi="Amiri" w:eastAsia="Amiri" w:cs="Amiri"/>
          <w:color w:val="111111"/>
          <w:sz w:val="28"/>
          <w:sz w:val="28"/>
          <w:szCs w:val="28"/>
          <w:rtl w:val="true"/>
          <w:lang w:bidi="ar-SA"/>
        </w:rPr>
        <w:t xml:space="preserve">و أحالَ علىٰ ما ادَّعىٰ أنّه ذَكَرَه في غيرِ هذا المَوضِعِ؛ فلهذا لَم نَستَقصِ الكلامَ ، و اقتَصَرنا علىٰ هذه الجُملةِ ، و هي كافيةٌ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أنّا لَو سَلَّمنا له</w:t>
      </w:r>
      <w:r>
        <w:rPr>
          <w:rStyle w:val="FootnoteAnchor"/>
          <w:rtl w:val="true"/>
        </w:rPr>
        <w:footnoteReference w:id="2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الأُمّةَ لا تَجتَمِعُ‌</w:t>
      </w:r>
      <w:r>
        <w:rPr>
          <w:rStyle w:val="FootnoteAnchor"/>
          <w:rtl w:val="true"/>
        </w:rPr>
        <w:footnoteReference w:id="2186"/>
      </w:r>
      <w:r>
        <w:rPr>
          <w:rFonts w:ascii="Amiri" w:hAnsi="Amiri" w:eastAsia="Amiri" w:cs="Amiri"/>
          <w:color w:val="111111"/>
          <w:sz w:val="28"/>
          <w:sz w:val="28"/>
          <w:szCs w:val="28"/>
          <w:rtl w:val="true"/>
          <w:lang w:bidi="ar-SA"/>
        </w:rPr>
        <w:t>علىٰ 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ذلكَ عنه</w:t>
      </w:r>
      <w:r>
        <w:rPr>
          <w:rStyle w:val="FootnoteAnchor"/>
          <w:rtl w:val="true"/>
        </w:rPr>
        <w:footnoteReference w:id="2187"/>
      </w:r>
      <w:r>
        <w:rPr>
          <w:rFonts w:ascii="Amiri" w:hAnsi="Amiri" w:eastAsia="Amiri" w:cs="Amiri"/>
          <w:color w:val="111111"/>
          <w:sz w:val="28"/>
          <w:sz w:val="28"/>
          <w:szCs w:val="28"/>
          <w:rtl w:val="true"/>
          <w:lang w:bidi="ar-SA"/>
        </w:rPr>
        <w:t>شيئاً فيما ادَّعاه مِن كَونِها حافظةً للشرعِ؛ لأنّه قد اعتَرَفَ في كلامِه بأنّه قد يَجوزُ علىٰ بعضِها الذَّهابُ عن الحقِّ في الشرعِ حتّىٰ يَبقَى الحقُّ في جَماعةٍ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له مِن الاعترافِ بذلكَ؛ لأنّ ما يَدَّعيه مِن</w:t>
      </w:r>
      <w:r>
        <w:rPr>
          <w:rStyle w:val="FootnoteAnchor"/>
          <w:rtl w:val="true"/>
        </w:rPr>
        <w:footnoteReference w:id="2188"/>
      </w:r>
      <w:r>
        <w:rPr>
          <w:rFonts w:ascii="Amiri" w:hAnsi="Amiri" w:eastAsia="Amiri" w:cs="Amiri"/>
          <w:color w:val="111111"/>
          <w:sz w:val="28"/>
          <w:sz w:val="28"/>
          <w:szCs w:val="28"/>
          <w:rtl w:val="true"/>
          <w:lang w:bidi="ar-SA"/>
        </w:rPr>
        <w:t>صِحّةِ إجماعِها</w:t>
      </w:r>
      <w:r>
        <w:rPr>
          <w:rStyle w:val="FootnoteAnchor"/>
          <w:rtl w:val="true"/>
        </w:rPr>
        <w:footnoteReference w:id="2189"/>
      </w:r>
      <w:r>
        <w:rPr>
          <w:rFonts w:ascii="Amiri" w:hAnsi="Amiri" w:eastAsia="Amiri" w:cs="Amiri"/>
          <w:color w:val="111111"/>
          <w:sz w:val="28"/>
          <w:sz w:val="28"/>
          <w:szCs w:val="28"/>
          <w:rtl w:val="true"/>
          <w:lang w:bidi="ar-SA"/>
        </w:rPr>
        <w:t>لَو صَحَّ لَكانَ</w:t>
      </w:r>
    </w:p>
    <w:p>
      <w:pPr>
        <w:pStyle w:val="BookText"/>
        <w:rPr/>
      </w:pPr>
      <w:r>
        <w:rPr>
          <w:rFonts w:ascii="Amiri" w:hAnsi="Amiri" w:eastAsia="Amiri" w:cs="Amiri"/>
          <w:color w:val="111111"/>
          <w:sz w:val="28"/>
          <w:sz w:val="28"/>
          <w:szCs w:val="28"/>
          <w:rtl w:val="true"/>
          <w:lang w:bidi="ar-SA"/>
        </w:rPr>
        <w:t>دالاًّ علىٰ أنّها لا تَجتَمِعُ علَى الخَطَإ، فأمّا أن يَكونَ دالاًّ علىٰ أنّ كُلَّ حقٍّ فلا بُدَّ مِن اجتماعِها عليه فلَيسَ ممّا يُمكِنُ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بعضَها إذا ذَهَبَ عن الحقِّ، و بَقِيَ الحقُّ في بعضٍ آخَرَ</w:t>
      </w:r>
      <w:r>
        <w:rPr>
          <w:rStyle w:val="FootnoteAnchor"/>
          <w:rtl w:val="true"/>
        </w:rPr>
        <w:footnoteReference w:id="2190"/>
      </w:r>
      <w:r>
        <w:rPr>
          <w:rFonts w:ascii="Amiri" w:hAnsi="Amiri" w:eastAsia="Amiri" w:cs="Amiri"/>
          <w:color w:val="111111"/>
          <w:sz w:val="28"/>
          <w:sz w:val="28"/>
          <w:szCs w:val="28"/>
          <w:rtl w:val="true"/>
          <w:lang w:bidi="ar-SA"/>
        </w:rPr>
        <w:t xml:space="preserve">، فإنّ البعضَ الذي ثَبَتَ </w:t>
      </w:r>
      <w:r>
        <w:rPr>
          <w:rStyle w:val="FootnoteAnchor"/>
          <w:rtl w:val="true"/>
        </w:rPr>
        <w:footnoteReference w:id="2191"/>
      </w:r>
      <w:r>
        <w:rPr>
          <w:rFonts w:ascii="Amiri" w:hAnsi="Amiri" w:eastAsia="Amiri" w:cs="Amiri"/>
          <w:color w:val="111111"/>
          <w:sz w:val="28"/>
          <w:sz w:val="28"/>
          <w:szCs w:val="28"/>
          <w:rtl w:val="true"/>
          <w:lang w:bidi="ar-SA"/>
        </w:rPr>
        <w:t>الحقُّ فيه لَيسَ بإجماعٍ ، و لا يَكونُ قولُهم حُجّةً علىٰ مَن ذَهَبَ عن الحقِّ ؛ لأنّه لَيسَ بكُلِّ الأُمّةِ الذي يُدَّعىٰ أنّ الخطأَ لا يَجوزُ عَلَيها إذا ما اجتَمَعَت</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 البعضِ حُجّةً بدَليلٍ سِوَى الإجماعِ ؛ إمّا بالتواتُرِ أو غيرِه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هو الذي نَحنُ فيه؛ لأنّ كلامَنا علىٰ أنّ الشرعَ هل يَصِحُّ حِفظُه بالإجماعِ أم لا؟ و إذا كانَ علَى القولِ دَليلٌ ثابتٌ وَجَبَ الرجوعُ إليه مِن غيرِ اعتبارِ </w:t>
      </w:r>
      <w:bookmarkStart w:id="664" w:name="pg20044_771045"/>
    </w:p>
    <w:p>
      <w:pPr>
        <w:pStyle w:val="BookText"/>
        <w:rPr/>
      </w:pPr>
      <w:bookmarkEnd w:id="664"/>
      <w:r>
        <w:rPr>
          <w:rFonts w:ascii="Amiri" w:hAnsi="Amiri" w:eastAsia="Amiri" w:cs="Amiri"/>
          <w:color w:val="111111"/>
          <w:sz w:val="28"/>
          <w:sz w:val="28"/>
          <w:szCs w:val="28"/>
          <w:rtl w:val="true"/>
          <w:lang w:bidi="ar-SA"/>
        </w:rPr>
        <w:t xml:space="preserve">الإجماعِ فيه أو الخِلافِ ، و قد مضىٰ في التواتُرِ و أنّه ممّا لا يَصِحُّ أن يُحفَظَ الشرعُ </w:t>
      </w:r>
      <w:r>
        <w:rPr>
          <w:rStyle w:val="FootnoteAnchor"/>
          <w:rtl w:val="true"/>
        </w:rPr>
        <w:footnoteReference w:id="2193"/>
      </w:r>
      <w:r>
        <w:rPr>
          <w:rFonts w:ascii="Amiri" w:hAnsi="Amiri" w:eastAsia="Amiri" w:cs="Amiri"/>
          <w:color w:val="111111"/>
          <w:sz w:val="28"/>
          <w:sz w:val="28"/>
          <w:szCs w:val="28"/>
          <w:rtl w:val="true"/>
          <w:lang w:bidi="ar-SA"/>
        </w:rPr>
        <w:t xml:space="preserve">به ما فيه كفايةٌ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لهم مِن التعَلُّقِ بمِثلِ ذلكَ‌</w:t>
      </w:r>
      <w:r>
        <w:rPr>
          <w:rStyle w:val="FootnoteAnchor"/>
          <w:rtl w:val="true"/>
        </w:rPr>
        <w:footnoteReference w:id="2195"/>
      </w:r>
      <w:r>
        <w:rPr>
          <w:rFonts w:ascii="Amiri" w:hAnsi="Amiri" w:eastAsia="Amiri" w:cs="Amiri"/>
          <w:color w:val="111111"/>
          <w:sz w:val="28"/>
          <w:sz w:val="28"/>
          <w:szCs w:val="28"/>
          <w:rtl w:val="true"/>
          <w:lang w:bidi="ar-SA"/>
        </w:rPr>
        <w:t>في نَقلِ الخبرِ الذي به يُعلَمُ كَونُ الإمامِ، و صفتُه، و النَّصُّ علىٰ كَونِه إماماً، إلىٰ غَيرِ ذلكَ؛ فإذا استُغنيَ في</w:t>
      </w:r>
      <w:r>
        <w:rPr>
          <w:rStyle w:val="FootnoteAnchor"/>
          <w:rtl w:val="true"/>
        </w:rPr>
        <w:footnoteReference w:id="2196"/>
      </w:r>
      <w:r>
        <w:rPr>
          <w:rFonts w:ascii="Amiri" w:hAnsi="Amiri" w:eastAsia="Amiri" w:cs="Amiri"/>
          <w:color w:val="111111"/>
          <w:sz w:val="28"/>
          <w:sz w:val="28"/>
          <w:szCs w:val="28"/>
          <w:rtl w:val="true"/>
          <w:lang w:bidi="ar-SA"/>
        </w:rPr>
        <w:t>كُلِّ ذلك عن الإمامِ ، 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السَّهوَ و الكِتمانَ لا يَقَعُ فيه، فكذلكَ القولُ فيما عَداه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إماماً بالمُعجِزِ؛ لأنّا</w:t>
      </w:r>
      <w:r>
        <w:rPr>
          <w:rStyle w:val="FootnoteAnchor"/>
          <w:rtl w:val="true"/>
        </w:rPr>
        <w:footnoteReference w:id="2197"/>
      </w:r>
      <w:r>
        <w:rPr>
          <w:rFonts w:ascii="Amiri" w:hAnsi="Amiri" w:eastAsia="Amiri" w:cs="Amiri"/>
          <w:color w:val="111111"/>
          <w:sz w:val="28"/>
          <w:sz w:val="28"/>
          <w:szCs w:val="28"/>
          <w:rtl w:val="true"/>
          <w:lang w:bidi="ar-SA"/>
        </w:rPr>
        <w:t xml:space="preserve">قد دَلَّلنا مِن قَبلُ علىٰ أنّ ظهورَه علىٰ غيرِ الأنبياءِ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المُعجِزَ لا بُدَّ مِن نَقلِه، فإذا</w:t>
      </w:r>
      <w:r>
        <w:rPr>
          <w:rStyle w:val="FootnoteAnchor"/>
          <w:rtl w:val="true"/>
        </w:rPr>
        <w:footnoteReference w:id="2198"/>
      </w:r>
      <w:r>
        <w:rPr>
          <w:rFonts w:ascii="Amiri" w:hAnsi="Amiri" w:eastAsia="Amiri" w:cs="Amiri"/>
          <w:color w:val="111111"/>
          <w:sz w:val="28"/>
          <w:sz w:val="28"/>
          <w:szCs w:val="28"/>
          <w:rtl w:val="true"/>
          <w:lang w:bidi="ar-SA"/>
        </w:rPr>
        <w:t>جَعَلوه محفوظاً بالتواتُرِ، و مَنَعوا فيه السَّهوَ و الكِتمانَ ، لَزِمَ مِثلُه في سائرِ ما ذَكَرناه</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828740_2320776876"/>
      <w:bookmarkStart w:id="666" w:name="_Toc235"/>
      <w:bookmarkEnd w:id="665"/>
      <w:r>
        <w:rPr>
          <w:rtl w:val="true"/>
        </w:rPr>
        <w:t>بيان الطريق إلىٰ معرفة عين الإمام</w:t>
      </w:r>
      <w:bookmarkEnd w:id="66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Style w:val="FootnoteAnchor"/>
          <w:rtl w:val="true"/>
        </w:rPr>
        <w:footnoteReference w:id="220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الإمامِ و صفاتُه المخصوصةُ ، فلَيسَ يُحتاجُ في العِلمِ بها إلىٰ خبرٍ، بل العقلُ يَدُلُّنا علىٰ ذلكَ علىٰ ما بيّنّاه</w:t>
      </w:r>
      <w:r>
        <w:rPr>
          <w:rFonts w:eastAsia="Amiri" w:cs="Amiri" w:ascii="Amiri" w:hAnsi="Amiri"/>
          <w:color w:val="111111"/>
          <w:sz w:val="28"/>
          <w:szCs w:val="28"/>
          <w:rtl w:val="true"/>
          <w:lang w:bidi="ar-SA"/>
        </w:rPr>
        <w:t>.</w:t>
      </w:r>
      <w:r>
        <w:rPr>
          <w:rStyle w:val="FootnoteAnchor"/>
          <w:rtl w:val="true"/>
        </w:rPr>
        <w:footnoteReference w:id="2201"/>
      </w:r>
      <w:bookmarkStart w:id="667" w:name="pg20044_771046"/>
    </w:p>
    <w:p>
      <w:pPr>
        <w:pStyle w:val="BookText"/>
        <w:rPr/>
      </w:pPr>
      <w:bookmarkEnd w:id="667"/>
      <w:r>
        <w:rPr>
          <w:rFonts w:ascii="Amiri" w:hAnsi="Amiri" w:eastAsia="Amiri" w:cs="Amiri"/>
          <w:color w:val="111111"/>
          <w:sz w:val="28"/>
          <w:sz w:val="28"/>
          <w:szCs w:val="28"/>
          <w:rtl w:val="true"/>
          <w:lang w:bidi="ar-SA"/>
        </w:rPr>
        <w:t>فأمّا النَّصُّ علىٰ عَينِ الإمامِ و اسمِه، فنَعلَمُه مِن طريقِ الخبرِ، و يَجوزُ فيه الكِتمانُ، و لَو وَقَعَ لَظَهَرَ الإمامُ و دَلَّ علىٰ نَفسِه بالمُعجِزِ و بيَّنَ عن الكِتمانِ، فكانَ‌</w:t>
      </w:r>
      <w:r>
        <w:rPr>
          <w:rStyle w:val="FootnoteAnchor"/>
          <w:rtl w:val="true"/>
        </w:rPr>
        <w:footnoteReference w:id="2202"/>
      </w:r>
      <w:r>
        <w:rPr>
          <w:rFonts w:ascii="Amiri" w:hAnsi="Amiri" w:eastAsia="Amiri" w:cs="Amiri"/>
          <w:color w:val="111111"/>
          <w:sz w:val="28"/>
          <w:sz w:val="28"/>
          <w:szCs w:val="28"/>
          <w:rtl w:val="true"/>
          <w:lang w:bidi="ar-SA"/>
        </w:rPr>
        <w:t>الناظِرُ في النَّصِّ علَى الإمامِ بعَينِه لَم يُكلَّفْ ما ذَكَرناه إلّابَعدَ أن قَطَعَ اللّٰهُ تَعالىٰ عُذرَه بعقلِه</w:t>
      </w:r>
      <w:r>
        <w:rPr>
          <w:rStyle w:val="FootnoteAnchor"/>
          <w:rtl w:val="true"/>
        </w:rPr>
        <w:footnoteReference w:id="2203"/>
      </w:r>
      <w:r>
        <w:rPr>
          <w:rFonts w:ascii="Amiri" w:hAnsi="Amiri" w:eastAsia="Amiri" w:cs="Amiri"/>
          <w:color w:val="111111"/>
          <w:sz w:val="28"/>
          <w:sz w:val="28"/>
          <w:szCs w:val="28"/>
          <w:rtl w:val="true"/>
          <w:lang w:bidi="ar-SA"/>
        </w:rPr>
        <w:t>في وجودِ إمامٍ معصومٍ في كُلِّ زمانٍ ، و أنّه لَو كُتِمَ النَّصُّ علَى اسمِه بعَينِه لَوَجَبَ عليه البيانُ عنه، و إقامةُ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جهلُه بأنّ الإمامَ فُلانٌ دونَ غيرِه بقادحٍ </w:t>
      </w:r>
      <w:r>
        <w:rPr>
          <w:rStyle w:val="FootnoteAnchor"/>
          <w:rtl w:val="true"/>
        </w:rPr>
        <w:footnoteReference w:id="2204"/>
      </w:r>
      <w:r>
        <w:rPr>
          <w:rFonts w:ascii="Amiri" w:hAnsi="Amiri" w:eastAsia="Amiri" w:cs="Amiri"/>
          <w:color w:val="111111"/>
          <w:sz w:val="28"/>
          <w:sz w:val="28"/>
          <w:szCs w:val="28"/>
          <w:rtl w:val="true"/>
          <w:lang w:bidi="ar-SA"/>
        </w:rPr>
        <w:t>في ثِقتِه</w:t>
      </w:r>
      <w:r>
        <w:rPr>
          <w:rStyle w:val="FootnoteAnchor"/>
          <w:rtl w:val="true"/>
        </w:rPr>
        <w:footnoteReference w:id="2205"/>
      </w:r>
      <w:r>
        <w:rPr>
          <w:rFonts w:ascii="Amiri" w:hAnsi="Amiri" w:eastAsia="Amiri" w:cs="Amiri"/>
          <w:color w:val="111111"/>
          <w:sz w:val="28"/>
          <w:sz w:val="28"/>
          <w:szCs w:val="28"/>
          <w:rtl w:val="true"/>
          <w:lang w:bidi="ar-SA"/>
        </w:rPr>
        <w:t xml:space="preserve">بما بيّنّاه؛ لأنّه و إن جَهِلَ كَونَه فُلاناً فهو يَعلَمُ أنّ للّٰهِ تَعالىٰ في أرضِه حُجّةً حافظاً لِدينِه، فمِن هذا الوجهِ يَثِقُ و يَسكُنُ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غَلِطَ صاحبُ الكتابِ مِن حَيثُ ظَنَّ أنّ بالتواتُرِ يُعلَمُ كَونُ الإمامِ و صفتُه، و لَو فَطِنَ لِما اعتَمَدناه لَعَلِمَ سَلامةَ مَذهَبِنا مِن الخَلَلِ </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828742_2320776876"/>
      <w:bookmarkStart w:id="669" w:name="_Toc236"/>
      <w:bookmarkEnd w:id="668"/>
      <w:r>
        <w:rPr>
          <w:rtl w:val="true"/>
        </w:rPr>
        <w:t>بحث مفصّل حول جواز ظهور المعجزات علىٰ يد غير الأنبياء</w:t>
      </w:r>
      <w:bookmarkEnd w:id="66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نفيُه إظهارَ المُعجِزِ علَى الإمامِ ، فما اعتَمَدَ فيه</w:t>
      </w:r>
      <w:r>
        <w:rPr>
          <w:rStyle w:val="FootnoteAnchor"/>
          <w:rtl w:val="true"/>
        </w:rPr>
        <w:footnoteReference w:id="2207"/>
      </w:r>
      <w:r>
        <w:rPr>
          <w:rFonts w:ascii="Amiri" w:hAnsi="Amiri" w:eastAsia="Amiri" w:cs="Amiri"/>
          <w:color w:val="111111"/>
          <w:sz w:val="28"/>
          <w:sz w:val="28"/>
          <w:szCs w:val="28"/>
          <w:rtl w:val="true"/>
          <w:lang w:bidi="ar-SA"/>
        </w:rPr>
        <w:t xml:space="preserve">إلّاعلَى الحَوالةِ علىٰ ما قَدَّمَه في كتابِه، و لو اقتَصَرنا علىٰ مِثلِ فِعله و أحَلنا علىٰ ما في كُتُبِنا و ما سَطَرَه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ما أحالَه لَكَفانا، غيرَ أنّا نَجري علىٰ عادتِنا في عَقدِ كُلِّ ما يَمضي في كلامِنا مِن دَعوىً بدَليلٍ يُمكِنُ إصابةُ الحقِّ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 يَدُلُّ علىٰ جَوازِ إظهارِ المُعجِزاتِ علىٰ يَدِ مَن لَيسَ بنَبيٍّ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 هو الدالُّ علىٰ صِدقِ مَن يَظهَرُ علىٰ يَدِه</w:t>
      </w:r>
      <w:r>
        <w:rPr>
          <w:rStyle w:val="FootnoteAnchor"/>
          <w:rtl w:val="true"/>
        </w:rPr>
        <w:footnoteReference w:id="2209"/>
      </w:r>
      <w:r>
        <w:rPr>
          <w:rFonts w:ascii="Amiri" w:hAnsi="Amiri" w:eastAsia="Amiri" w:cs="Amiri"/>
          <w:color w:val="111111"/>
          <w:sz w:val="28"/>
          <w:sz w:val="28"/>
          <w:szCs w:val="28"/>
          <w:rtl w:val="true"/>
          <w:lang w:bidi="ar-SA"/>
        </w:rPr>
        <w:t>فيما يَدَّعيه أو يَكونُ كالمُدَّعي</w:t>
      </w:r>
      <w:r>
        <w:rPr>
          <w:rStyle w:val="FootnoteAnchor"/>
          <w:rtl w:val="true"/>
        </w:rPr>
        <w:footnoteReference w:id="2210"/>
      </w:r>
      <w:r>
        <w:rPr>
          <w:rFonts w:ascii="Amiri" w:hAnsi="Amiri" w:eastAsia="Amiri" w:cs="Amiri"/>
          <w:color w:val="111111"/>
          <w:sz w:val="28"/>
          <w:sz w:val="28"/>
          <w:szCs w:val="28"/>
          <w:rtl w:val="true"/>
          <w:lang w:bidi="ar-SA"/>
        </w:rPr>
        <w:t>له؛ لأنّه يَقَعُ مَوقِعَ التصديقِ ، و يَجري مَجرىٰ قولِ اللّٰهِ تَعالىٰ له</w:t>
      </w:r>
      <w:r>
        <w:rPr>
          <w:rStyle w:val="FootnoteAnchor"/>
          <w:rtl w:val="true"/>
        </w:rPr>
        <w:footnoteReference w:id="2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فيما تَدَّعيه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w:t>
      </w:r>
      <w:r>
        <w:rPr>
          <w:rStyle w:val="FootnoteAnchor"/>
          <w:rtl w:val="true"/>
        </w:rPr>
        <w:footnoteReference w:id="2212"/>
      </w:r>
      <w:r>
        <w:rPr>
          <w:rFonts w:ascii="Amiri" w:hAnsi="Amiri" w:eastAsia="Amiri" w:cs="Amiri"/>
          <w:color w:val="111111"/>
          <w:sz w:val="28"/>
          <w:sz w:val="28"/>
          <w:szCs w:val="28"/>
          <w:rtl w:val="true"/>
          <w:lang w:bidi="ar-SA"/>
        </w:rPr>
        <w:t>حُكمَ المُعجِزِ لَم يَمتَنِعْ أن يُظهِرَه اللّٰهُ تَعالىٰ علىٰ يَدِ مَن يَدَّعي الإمامةَ ليَدُلَّ به علىٰ عصمتِه و وجوبِ طاعتِه و الانقيادِ له، كما لا يَمتَنِعُ أن يُظهِرَه علىٰ يَدِ</w:t>
      </w:r>
      <w:r>
        <w:rPr>
          <w:rStyle w:val="FootnoteAnchor"/>
          <w:rtl w:val="true"/>
        </w:rPr>
        <w:footnoteReference w:id="2213"/>
      </w:r>
      <w:r>
        <w:rPr>
          <w:rFonts w:ascii="Amiri" w:hAnsi="Amiri" w:eastAsia="Amiri" w:cs="Amiri"/>
          <w:color w:val="111111"/>
          <w:sz w:val="28"/>
          <w:sz w:val="28"/>
          <w:szCs w:val="28"/>
          <w:rtl w:val="true"/>
          <w:lang w:bidi="ar-SA"/>
        </w:rPr>
        <w:t>مَن يَدَّعي نُبوَّتَه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امتناعُ خُصومِنا مِن إظهارِ المُعجِزاتِ علىٰ يَدِ غيرِ الأنبياءِ مِن حَيثُ ظَنّوا أنّها تَدُلُّ على النُّبوّةِ مِن جهةِ الإبانةِ و التخصيصِ‌</w:t>
      </w:r>
      <w:r>
        <w:rPr>
          <w:rStyle w:val="FootnoteAnchor"/>
          <w:rtl w:val="true"/>
        </w:rPr>
        <w:footnoteReference w:id="2214"/>
      </w:r>
      <w:r>
        <w:rPr>
          <w:rFonts w:ascii="Amiri" w:hAnsi="Amiri" w:eastAsia="Amiri" w:cs="Amiri"/>
          <w:color w:val="111111"/>
          <w:sz w:val="28"/>
          <w:sz w:val="28"/>
          <w:szCs w:val="28"/>
          <w:rtl w:val="true"/>
          <w:lang w:bidi="ar-SA"/>
        </w:rPr>
        <w:t>، و أنّ دَلالتَها مخالِفةٌ لسائرِ الدَّلالاتِ ، و أنّها إذا دَلَّت</w:t>
      </w:r>
      <w:r>
        <w:rPr>
          <w:rStyle w:val="FootnoteAnchor"/>
          <w:rtl w:val="true"/>
        </w:rPr>
        <w:footnoteReference w:id="2215"/>
      </w:r>
      <w:r>
        <w:rPr>
          <w:rFonts w:ascii="Amiri" w:hAnsi="Amiri" w:eastAsia="Amiri" w:cs="Amiri"/>
          <w:color w:val="111111"/>
          <w:sz w:val="28"/>
          <w:sz w:val="28"/>
          <w:szCs w:val="28"/>
          <w:rtl w:val="true"/>
          <w:lang w:bidi="ar-SA"/>
        </w:rPr>
        <w:t>مِن جهةِ الإبانةِ استَحالَ ظُهورُها علىٰ يَدِ</w:t>
      </w:r>
      <w:r>
        <w:rPr>
          <w:rStyle w:val="FootnoteAnchor"/>
          <w:rtl w:val="true"/>
        </w:rPr>
        <w:footnoteReference w:id="2216"/>
      </w:r>
      <w:r>
        <w:rPr>
          <w:rFonts w:ascii="Amiri" w:hAnsi="Amiri" w:eastAsia="Amiri" w:cs="Amiri"/>
          <w:color w:val="111111"/>
          <w:sz w:val="28"/>
          <w:sz w:val="28"/>
          <w:szCs w:val="28"/>
          <w:rtl w:val="true"/>
          <w:lang w:bidi="ar-SA"/>
        </w:rPr>
        <w:t xml:space="preserve">مَن لَيسَ بنَبيٍّ ، كما أنّ ما أبانَ </w:t>
      </w:r>
    </w:p>
    <w:p>
      <w:pPr>
        <w:pStyle w:val="BookText"/>
        <w:rPr/>
      </w:pPr>
      <w:r>
        <w:rPr>
          <w:rFonts w:ascii="Amiri" w:hAnsi="Amiri" w:eastAsia="Amiri" w:cs="Amiri"/>
          <w:color w:val="111111"/>
          <w:sz w:val="28"/>
          <w:sz w:val="28"/>
          <w:szCs w:val="28"/>
          <w:rtl w:val="true"/>
          <w:lang w:bidi="ar-SA"/>
        </w:rPr>
        <w:t>السَّوادَ و الجَوهَرَ مِن سائرِ الأجناسِ يَستَحيلُ ثُبوتُه لِما لَيسَ بجَوهَرٍ و لا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فباطلٌ؛ لأنّ شُبهَتَهم في اعتقادِهم أنّ المُعجِزاتِ تَدُلُّ مِن جهةِ الإبانةِ و أنّها تُخالِفُ مِن هذا الوجهِ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وَجَدوها ممّا يَجِبُ ظُهورُها و حُصولُها</w:t>
      </w:r>
      <w:r>
        <w:rPr>
          <w:rStyle w:val="FootnoteAnchor"/>
          <w:rtl w:val="true"/>
        </w:rPr>
        <w:footnoteReference w:id="2217"/>
      </w:r>
      <w:r>
        <w:rPr>
          <w:rFonts w:ascii="Amiri" w:hAnsi="Amiri" w:eastAsia="Amiri" w:cs="Amiri"/>
          <w:color w:val="111111"/>
          <w:sz w:val="28"/>
          <w:sz w:val="28"/>
          <w:szCs w:val="28"/>
          <w:rtl w:val="true"/>
          <w:lang w:bidi="ar-SA"/>
        </w:rPr>
        <w:t>، و لَيسَ بواجبٍ مِثلُ ذلكَ في سائرِ الأدلّةِ؛ لأنّه غيرُ مُنكَرٍ أن يَثبُتَ كَونُ بعضِ القادرينَ قادراً مِن غيرِ أن يَقومَ دَلالةٌ علىٰ أنّه كذلكَ، و لَيسَ يَسوغُ مِثلُ هذا</w:t>
      </w:r>
      <w:r>
        <w:rPr>
          <w:rStyle w:val="FootnoteAnchor"/>
          <w:rtl w:val="true"/>
        </w:rPr>
        <w:footnoteReference w:id="2218"/>
      </w:r>
      <w:r>
        <w:rPr>
          <w:rFonts w:ascii="Amiri" w:hAnsi="Amiri" w:eastAsia="Amiri" w:cs="Amiri"/>
          <w:color w:val="111111"/>
          <w:sz w:val="28"/>
          <w:sz w:val="28"/>
          <w:szCs w:val="28"/>
          <w:rtl w:val="true"/>
          <w:lang w:bidi="ar-SA"/>
        </w:rPr>
        <w:t>في دَلالةِ المُعجِزاتِ؛ لأنّه لا بُدَّ مِن ظُهورِها علىٰ يَدِ</w:t>
      </w:r>
      <w:r>
        <w:rPr>
          <w:rStyle w:val="FootnoteAnchor"/>
          <w:rtl w:val="true"/>
        </w:rPr>
        <w:footnoteReference w:id="2219"/>
      </w:r>
      <w:r>
        <w:rPr>
          <w:rFonts w:ascii="Amiri" w:hAnsi="Amiri" w:eastAsia="Amiri" w:cs="Amiri"/>
          <w:color w:val="111111"/>
          <w:sz w:val="28"/>
          <w:sz w:val="28"/>
          <w:szCs w:val="28"/>
          <w:rtl w:val="true"/>
          <w:lang w:bidi="ar-SA"/>
        </w:rPr>
        <w:t>النبيِّ‌</w:t>
      </w:r>
      <w:r>
        <w:rPr>
          <w:rStyle w:val="FootnoteAnchor"/>
          <w:rtl w:val="true"/>
        </w:rPr>
        <w:footnoteReference w:id="2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لأنّهم</w:t>
      </w:r>
      <w:r>
        <w:rPr>
          <w:rStyle w:val="FootnoteAnchor"/>
          <w:rtl w:val="true"/>
        </w:rPr>
        <w:footnoteReference w:id="2221"/>
      </w:r>
      <w:r>
        <w:rPr>
          <w:rFonts w:ascii="Amiri" w:hAnsi="Amiri" w:eastAsia="Amiri" w:cs="Amiri"/>
          <w:color w:val="111111"/>
          <w:sz w:val="28"/>
          <w:sz w:val="28"/>
          <w:szCs w:val="28"/>
          <w:rtl w:val="true"/>
          <w:lang w:bidi="ar-SA"/>
        </w:rPr>
        <w:t>رَأَوا سائرَ الأدلّةِ لا يُخرِجُها</w:t>
      </w:r>
      <w:r>
        <w:rPr>
          <w:rStyle w:val="FootnoteAnchor"/>
          <w:rtl w:val="true"/>
        </w:rPr>
        <w:footnoteReference w:id="2222"/>
      </w:r>
      <w:r>
        <w:rPr>
          <w:rFonts w:ascii="Amiri" w:hAnsi="Amiri" w:eastAsia="Amiri" w:cs="Amiri"/>
          <w:color w:val="111111"/>
          <w:sz w:val="28"/>
          <w:sz w:val="28"/>
          <w:szCs w:val="28"/>
          <w:rtl w:val="true"/>
          <w:lang w:bidi="ar-SA"/>
        </w:rPr>
        <w:t>كَثرَتُها مِن كَونِها دالّةً علىٰ مدلولاتِها؛ لأنّ ما دَلَّ علىٰ أنّ الفاعلَ‌</w:t>
      </w:r>
      <w:r>
        <w:rPr>
          <w:rStyle w:val="FootnoteAnchor"/>
          <w:rtl w:val="true"/>
        </w:rPr>
        <w:footnoteReference w:id="2223"/>
      </w:r>
      <w:r>
        <w:rPr>
          <w:rFonts w:ascii="Amiri" w:hAnsi="Amiri" w:eastAsia="Amiri" w:cs="Amiri"/>
          <w:color w:val="111111"/>
          <w:sz w:val="28"/>
          <w:sz w:val="28"/>
          <w:szCs w:val="28"/>
          <w:rtl w:val="true"/>
          <w:lang w:bidi="ar-SA"/>
        </w:rPr>
        <w:t>قادرٌ لَو تَكرَّرَ و تَوالىٰ لَم يَخرُجْ مِن أن يَكونَ دالاًّ، و لَيسَ هذا حُكمَ المُعجِزاتِ؛ لأنّ كَثرَتَها تُخرِجُها</w:t>
      </w:r>
      <w:r>
        <w:rPr>
          <w:rStyle w:val="FootnoteAnchor"/>
          <w:rtl w:val="true"/>
        </w:rPr>
        <w:footnoteReference w:id="2224"/>
      </w:r>
      <w:r>
        <w:rPr>
          <w:rFonts w:ascii="Amiri" w:hAnsi="Amiri" w:eastAsia="Amiri" w:cs="Amiri"/>
          <w:color w:val="111111"/>
          <w:sz w:val="28"/>
          <w:sz w:val="28"/>
          <w:szCs w:val="28"/>
          <w:rtl w:val="true"/>
          <w:lang w:bidi="ar-SA"/>
        </w:rPr>
        <w:t xml:space="preserve">مِن كَونِها دالّةً علَى النُّبوّةِ </w:t>
      </w:r>
      <w:r>
        <w:rPr>
          <w:rFonts w:eastAsia="Amiri" w:cs="Amiri" w:ascii="Amiri" w:hAnsi="Amiri"/>
          <w:color w:val="111111"/>
          <w:sz w:val="28"/>
          <w:szCs w:val="28"/>
          <w:rtl w:val="true"/>
          <w:lang w:bidi="ar-SA"/>
        </w:rPr>
        <w:t>.</w:t>
      </w:r>
      <w:r>
        <w:rPr>
          <w:rStyle w:val="FootnoteAnchor"/>
          <w:rtl w:val="true"/>
        </w:rPr>
        <w:footnoteReference w:id="2225"/>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شيءٍ ممّا ذَكَروه ما يوجِبُ كَونَ المُعجِزاتِ دالّةً علىٰ جهةِ الإبانةِ و التخصيصِ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وجوبُ حُصولِها و ظُهورِها على يَدِ النبيِّ و مخالَفتُها في ذلكَ لسائرِ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بمُقتَضٍ لِما ذَكَروه؛ لأنّه إنّما وَجَبَ ذلكَ فيها مِن حَيثُ كانَت مَصالِحُنا متعلِّقةً بالنبيِّ، و كانَ مؤدّياً إلينا و مبيِّناً لنا مِن مَصالِحِنا ما لا يَصِحُّ‌</w:t>
      </w:r>
      <w:r>
        <w:rPr>
          <w:rStyle w:val="FootnoteAnchor"/>
          <w:rtl w:val="true"/>
        </w:rPr>
        <w:footnoteReference w:id="2226"/>
      </w:r>
      <w:r>
        <w:rPr>
          <w:rFonts w:ascii="Amiri" w:hAnsi="Amiri" w:eastAsia="Amiri" w:cs="Amiri"/>
          <w:color w:val="111111"/>
          <w:sz w:val="28"/>
          <w:sz w:val="28"/>
          <w:szCs w:val="28"/>
          <w:rtl w:val="true"/>
          <w:lang w:bidi="ar-SA"/>
        </w:rPr>
        <w:t>أن نَقِفَ عليه إلّا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علَى القَديمِ تَعالىٰ تعريفُنا مَصالِحَنا، و لَم يُمكِنْ‌</w:t>
      </w:r>
      <w:r>
        <w:rPr>
          <w:rStyle w:val="FootnoteAnchor"/>
          <w:rtl w:val="true"/>
        </w:rPr>
        <w:footnoteReference w:id="2227"/>
      </w:r>
      <w:r>
        <w:rPr>
          <w:rFonts w:ascii="Amiri" w:hAnsi="Amiri" w:eastAsia="Amiri" w:cs="Amiri"/>
          <w:color w:val="111111"/>
          <w:sz w:val="28"/>
          <w:sz w:val="28"/>
          <w:szCs w:val="28"/>
          <w:rtl w:val="true"/>
          <w:lang w:bidi="ar-SA"/>
        </w:rPr>
        <w:t>أن نَعرِفَها مِن جهةِ مَن لا نَقطَعُ‌</w:t>
      </w:r>
      <w:r>
        <w:rPr>
          <w:rStyle w:val="FootnoteAnchor"/>
          <w:rtl w:val="true"/>
        </w:rPr>
        <w:footnoteReference w:id="2228"/>
      </w:r>
      <w:r>
        <w:rPr>
          <w:rFonts w:ascii="Amiri" w:hAnsi="Amiri" w:eastAsia="Amiri" w:cs="Amiri"/>
          <w:color w:val="111111"/>
          <w:sz w:val="28"/>
          <w:sz w:val="28"/>
          <w:szCs w:val="28"/>
          <w:rtl w:val="true"/>
          <w:lang w:bidi="ar-SA"/>
        </w:rPr>
        <w:t>علىٰ صِدقِه، وَجَبَ أن يُظهِرَ المُعجِزَ علىٰ يَدِ النبيِّ لهذا</w:t>
      </w:r>
      <w:r>
        <w:rPr>
          <w:rStyle w:val="FootnoteAnchor"/>
          <w:rtl w:val="true"/>
        </w:rPr>
        <w:footnoteReference w:id="2229"/>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يَجِبُ هذا في سائرِ الأدلّةِ؛ لأنّه لَيسَ يَجِبُ أن نَعرِفَ‌</w:t>
      </w:r>
      <w:r>
        <w:rPr>
          <w:rStyle w:val="FootnoteAnchor"/>
          <w:rtl w:val="true"/>
        </w:rPr>
        <w:footnoteReference w:id="2230"/>
      </w:r>
      <w:r>
        <w:rPr>
          <w:rFonts w:ascii="Amiri" w:hAnsi="Amiri" w:eastAsia="Amiri" w:cs="Amiri"/>
          <w:color w:val="111111"/>
          <w:sz w:val="28"/>
          <w:sz w:val="28"/>
          <w:szCs w:val="28"/>
          <w:rtl w:val="true"/>
          <w:lang w:bidi="ar-SA"/>
        </w:rPr>
        <w:t>أحوالَ كُلِّ قادرٍ في العالَمِ، و لا تَتعَلَّقُ‌</w:t>
      </w:r>
      <w:r>
        <w:rPr>
          <w:rStyle w:val="FootnoteAnchor"/>
          <w:rtl w:val="true"/>
        </w:rPr>
        <w:footnoteReference w:id="2231"/>
      </w:r>
      <w:r>
        <w:rPr>
          <w:rFonts w:ascii="Amiri" w:hAnsi="Amiri" w:eastAsia="Amiri" w:cs="Amiri"/>
          <w:color w:val="111111"/>
          <w:sz w:val="28"/>
          <w:sz w:val="28"/>
          <w:szCs w:val="28"/>
          <w:rtl w:val="true"/>
          <w:lang w:bidi="ar-SA"/>
        </w:rPr>
        <w:t>هذه المعرفةُ بشيءٍ مِن مَصالِحِنا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الأُمورِ العقليّةِ ما يَجِبُ قيامُ الدَّلالةِ عليه، و لا يَقتَضي ذلكَ مِن حالِه</w:t>
      </w:r>
      <w:r>
        <w:rPr>
          <w:rStyle w:val="FootnoteAnchor"/>
          <w:rtl w:val="true"/>
        </w:rPr>
        <w:footnoteReference w:id="2232"/>
      </w:r>
      <w:r>
        <w:rPr>
          <w:rFonts w:ascii="Amiri" w:hAnsi="Amiri" w:eastAsia="Amiri" w:cs="Amiri"/>
          <w:color w:val="111111"/>
          <w:sz w:val="28"/>
          <w:sz w:val="28"/>
          <w:szCs w:val="28"/>
          <w:rtl w:val="true"/>
          <w:lang w:bidi="ar-SA"/>
        </w:rPr>
        <w:t>مخالَفتَه</w:t>
      </w:r>
      <w:r>
        <w:rPr>
          <w:rStyle w:val="FootnoteAnchor"/>
          <w:rtl w:val="true"/>
        </w:rPr>
        <w:footnoteReference w:id="2233"/>
      </w:r>
      <w:r>
        <w:rPr>
          <w:rFonts w:ascii="Amiri" w:hAnsi="Amiri" w:eastAsia="Amiri" w:cs="Amiri"/>
          <w:color w:val="111111"/>
          <w:sz w:val="28"/>
          <w:sz w:val="28"/>
          <w:szCs w:val="28"/>
          <w:rtl w:val="true"/>
          <w:lang w:bidi="ar-SA"/>
        </w:rPr>
        <w:t>لسائرِ الأدلّةِ، و وجوبَ كونِه دالاًّ مِن جهةِ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حَكَيناه</w:t>
      </w:r>
      <w:r>
        <w:rPr>
          <w:rStyle w:val="FootnoteAnchor"/>
          <w:rtl w:val="true"/>
        </w:rPr>
        <w:footnoteReference w:id="2234"/>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w:t>
      </w:r>
      <w:r>
        <w:rPr>
          <w:rStyle w:val="FootnoteAnchor"/>
          <w:rtl w:val="true"/>
        </w:rPr>
        <w:footnoteReference w:id="2235"/>
      </w:r>
      <w:r>
        <w:rPr>
          <w:rFonts w:ascii="Amiri" w:hAnsi="Amiri" w:eastAsia="Amiri" w:cs="Amiri"/>
          <w:color w:val="111111"/>
          <w:sz w:val="28"/>
          <w:sz w:val="28"/>
          <w:szCs w:val="28"/>
          <w:rtl w:val="true"/>
          <w:lang w:bidi="ar-SA"/>
        </w:rPr>
        <w:t>غيرُ صحيحٍ؛ لأنّ كَثرةَ المُعجِزاتِ و تواتُرَ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وقوعِها يُخرِجُها</w:t>
      </w:r>
      <w:r>
        <w:rPr>
          <w:rStyle w:val="FootnoteAnchor"/>
          <w:rtl w:val="true"/>
        </w:rPr>
        <w:footnoteReference w:id="2236"/>
      </w:r>
      <w:r>
        <w:rPr>
          <w:rFonts w:ascii="Amiri" w:hAnsi="Amiri" w:eastAsia="Amiri" w:cs="Amiri"/>
          <w:color w:val="111111"/>
          <w:sz w:val="28"/>
          <w:sz w:val="28"/>
          <w:szCs w:val="28"/>
          <w:rtl w:val="true"/>
          <w:lang w:bidi="ar-SA"/>
        </w:rPr>
        <w:t xml:space="preserve">مِن أن تَكونَ </w:t>
      </w:r>
      <w:r>
        <w:rPr>
          <w:rStyle w:val="FootnoteAnchor"/>
          <w:rtl w:val="true"/>
        </w:rPr>
        <w:footnoteReference w:id="2237"/>
      </w:r>
      <w:r>
        <w:rPr>
          <w:rFonts w:ascii="Amiri" w:hAnsi="Amiri" w:eastAsia="Amiri" w:cs="Amiri"/>
          <w:color w:val="111111"/>
          <w:sz w:val="28"/>
          <w:sz w:val="28"/>
          <w:szCs w:val="28"/>
          <w:rtl w:val="true"/>
          <w:lang w:bidi="ar-SA"/>
        </w:rPr>
        <w:t xml:space="preserve">واقعةً علَى الوجهِ الذي تَدُلُّ </w:t>
      </w:r>
      <w:r>
        <w:rPr>
          <w:rStyle w:val="FootnoteAnchor"/>
          <w:rtl w:val="true"/>
        </w:rPr>
        <w:footnoteReference w:id="2238"/>
      </w:r>
      <w:r>
        <w:rPr>
          <w:rFonts w:ascii="Amiri" w:hAnsi="Amiri" w:eastAsia="Amiri" w:cs="Amiri"/>
          <w:color w:val="111111"/>
          <w:sz w:val="28"/>
          <w:sz w:val="28"/>
          <w:szCs w:val="28"/>
          <w:rtl w:val="true"/>
          <w:lang w:bidi="ar-SA"/>
        </w:rPr>
        <w:t xml:space="preserve">عليه؛ لأنّ أحَدَ </w:t>
      </w:r>
    </w:p>
    <w:p>
      <w:pPr>
        <w:pStyle w:val="BookText"/>
        <w:rPr/>
      </w:pPr>
      <w:r>
        <w:rPr>
          <w:rFonts w:ascii="Amiri" w:hAnsi="Amiri" w:eastAsia="Amiri" w:cs="Amiri"/>
          <w:color w:val="111111"/>
          <w:sz w:val="28"/>
          <w:sz w:val="28"/>
          <w:szCs w:val="28"/>
          <w:rtl w:val="true"/>
          <w:lang w:bidi="ar-SA"/>
        </w:rPr>
        <w:t>الشُّروطِ في دَلالتِها كونُها ناقضةً للعادةِ، و متىٰ تَوالىٰ وجودُها و كَثُرَ</w:t>
      </w:r>
      <w:r>
        <w:rPr>
          <w:rStyle w:val="FootnoteAnchor"/>
          <w:rtl w:val="true"/>
        </w:rPr>
        <w:footnoteReference w:id="2239"/>
      </w:r>
      <w:r>
        <w:rPr>
          <w:rFonts w:ascii="Amiri" w:hAnsi="Amiri" w:eastAsia="Amiri" w:cs="Amiri"/>
          <w:color w:val="111111"/>
          <w:sz w:val="28"/>
          <w:sz w:val="28"/>
          <w:szCs w:val="28"/>
          <w:rtl w:val="true"/>
          <w:lang w:bidi="ar-SA"/>
        </w:rPr>
        <w:t>حَصَلَت معتادةً، و بَطَلَ فيها انتقاضُ العادةِ، فلَم تَدُلَّ‌</w:t>
      </w:r>
      <w:r>
        <w:rPr>
          <w:rStyle w:val="FootnoteAnchor"/>
          <w:rtl w:val="true"/>
        </w:rPr>
        <w:footnoteReference w:id="2240"/>
      </w:r>
      <w:r>
        <w:rPr>
          <w:rFonts w:ascii="Amiri" w:hAnsi="Amiri" w:eastAsia="Amiri" w:cs="Amiri"/>
          <w:color w:val="111111"/>
          <w:sz w:val="28"/>
          <w:sz w:val="28"/>
          <w:szCs w:val="28"/>
          <w:rtl w:val="true"/>
          <w:lang w:bidi="ar-SA"/>
        </w:rPr>
        <w:t>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حُكمُ سائرِ الأدلّةِ؛ لأنّ‌</w:t>
      </w:r>
      <w:r>
        <w:rPr>
          <w:rStyle w:val="FootnoteAnchor"/>
          <w:rtl w:val="true"/>
        </w:rPr>
        <w:footnoteReference w:id="2241"/>
      </w:r>
      <w:r>
        <w:rPr>
          <w:rFonts w:ascii="Amiri" w:hAnsi="Amiri" w:eastAsia="Amiri" w:cs="Amiri"/>
          <w:color w:val="111111"/>
          <w:sz w:val="28"/>
          <w:sz w:val="28"/>
          <w:szCs w:val="28"/>
          <w:rtl w:val="true"/>
          <w:lang w:bidi="ar-SA"/>
        </w:rPr>
        <w:t>تواتُرَها و تَواليَ وجودِها لا يؤثِّرُ</w:t>
      </w:r>
      <w:r>
        <w:rPr>
          <w:rStyle w:val="FootnoteAnchor"/>
          <w:rtl w:val="true"/>
        </w:rPr>
        <w:footnoteReference w:id="2242"/>
      </w:r>
      <w:r>
        <w:rPr>
          <w:rFonts w:ascii="Amiri" w:hAnsi="Amiri" w:eastAsia="Amiri" w:cs="Amiri"/>
          <w:color w:val="111111"/>
          <w:sz w:val="28"/>
          <w:sz w:val="28"/>
          <w:szCs w:val="28"/>
          <w:rtl w:val="true"/>
          <w:lang w:bidi="ar-SA"/>
        </w:rPr>
        <w:t>في وجهِ دَلالتِها؛ ألا تَرىٰ أنّ ما دَلَّ علىٰ أنّ الحَيَّ مِنّا قادرٌ، لا تَتغَيَّرُ</w:t>
      </w:r>
      <w:r>
        <w:rPr>
          <w:rStyle w:val="FootnoteAnchor"/>
          <w:rtl w:val="true"/>
        </w:rPr>
        <w:footnoteReference w:id="2243"/>
      </w:r>
      <w:r>
        <w:rPr>
          <w:rFonts w:ascii="Amiri" w:hAnsi="Amiri" w:eastAsia="Amiri" w:cs="Amiri"/>
          <w:color w:val="111111"/>
          <w:sz w:val="28"/>
          <w:sz w:val="28"/>
          <w:szCs w:val="28"/>
          <w:rtl w:val="true"/>
          <w:lang w:bidi="ar-SA"/>
        </w:rPr>
        <w:t>دَلالتُه بكَثرتِه و تَواليه؛ مِن حَيثُ لَم تَكُن الكَثرةُ مؤثِّرةً في وَجهِ الدَّلالةِ؟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أنّه غيرُ ممتَنِعٍ أن يَدُلَّ قَدرٌ مِن الأفعالِ المُحكَمةِ علىٰ كَونِ فاعلِه عالِماً و لا يَدُلَّ‌</w:t>
      </w:r>
      <w:r>
        <w:rPr>
          <w:rStyle w:val="FootnoteAnchor"/>
          <w:rtl w:val="true"/>
        </w:rPr>
        <w:footnoteReference w:id="2244"/>
      </w:r>
      <w:r>
        <w:rPr>
          <w:rFonts w:ascii="Amiri" w:hAnsi="Amiri" w:eastAsia="Amiri" w:cs="Amiri"/>
          <w:color w:val="111111"/>
          <w:sz w:val="28"/>
          <w:sz w:val="28"/>
          <w:szCs w:val="28"/>
          <w:rtl w:val="true"/>
          <w:lang w:bidi="ar-SA"/>
        </w:rPr>
        <w:t xml:space="preserve">ما هو أنقَصُ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يُخالِفُ مِن هذا الوجهِ ما يَدُلُّ علىٰ أنّ الحَيَّ قادرٌ في أنّ يَسيرَه و كثيرَه دالٌّ، و لَم يوجِبْ مع ذلكَ مخالَفتَه له و لسائرِ الأدلّةِ في مَعنَى الإبانةِ، بل كانَت دَلالةُ الجميعِ علىٰ حَدٍّ واحدٍ، و إن كانَ بَينَهما</w:t>
      </w:r>
      <w:r>
        <w:rPr>
          <w:rStyle w:val="FootnoteAnchor"/>
          <w:rtl w:val="true"/>
        </w:rPr>
        <w:footnoteReference w:id="2245"/>
      </w:r>
      <w:r>
        <w:rPr>
          <w:rFonts w:ascii="Amiri" w:hAnsi="Amiri" w:eastAsia="Amiri" w:cs="Amiri"/>
          <w:color w:val="111111"/>
          <w:sz w:val="28"/>
          <w:sz w:val="28"/>
          <w:szCs w:val="28"/>
          <w:rtl w:val="true"/>
          <w:lang w:bidi="ar-SA"/>
        </w:rPr>
        <w:t xml:space="preserve">الاختلافُ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غيرُ ممتَنِعٍ أن تَدُلَّ‌</w:t>
      </w:r>
      <w:r>
        <w:rPr>
          <w:rStyle w:val="FootnoteAnchor"/>
          <w:rtl w:val="true"/>
        </w:rPr>
        <w:footnoteReference w:id="2246"/>
      </w:r>
      <w:r>
        <w:rPr>
          <w:rFonts w:ascii="Amiri" w:hAnsi="Amiri" w:eastAsia="Amiri" w:cs="Amiri"/>
          <w:color w:val="111111"/>
          <w:sz w:val="28"/>
          <w:sz w:val="28"/>
          <w:szCs w:val="28"/>
          <w:rtl w:val="true"/>
          <w:lang w:bidi="ar-SA"/>
        </w:rPr>
        <w:t>المُعجِزاتُ‌</w:t>
      </w:r>
      <w:r>
        <w:rPr>
          <w:rStyle w:val="FootnoteAnchor"/>
          <w:rtl w:val="true"/>
        </w:rPr>
        <w:footnoteReference w:id="2247"/>
      </w:r>
      <w:r>
        <w:rPr>
          <w:rFonts w:ascii="Amiri" w:hAnsi="Amiri" w:eastAsia="Amiri" w:cs="Amiri"/>
          <w:color w:val="111111"/>
          <w:sz w:val="28"/>
          <w:sz w:val="28"/>
          <w:szCs w:val="28"/>
          <w:rtl w:val="true"/>
          <w:lang w:bidi="ar-SA"/>
        </w:rPr>
        <w:t>علَى النُّبوّةِ إذا لَم تَبلُغْ حَدّاً مِن الكَثرةِ، و إن كانَت لَو كَثُرَت لَخَرَجَت مِن كَونِها دالّةً، و لا يَجِبُ فيها</w:t>
      </w:r>
      <w:r>
        <w:rPr>
          <w:rStyle w:val="FootnoteAnchor"/>
          <w:rtl w:val="true"/>
        </w:rPr>
        <w:footnoteReference w:id="2248"/>
      </w:r>
      <w:r>
        <w:rPr>
          <w:rFonts w:ascii="Amiri" w:hAnsi="Amiri" w:eastAsia="Amiri" w:cs="Amiri"/>
          <w:color w:val="111111"/>
          <w:sz w:val="28"/>
          <w:sz w:val="28"/>
          <w:szCs w:val="28"/>
          <w:rtl w:val="true"/>
          <w:lang w:bidi="ar-SA"/>
        </w:rPr>
        <w:t>أن تَكونَ‌</w:t>
      </w:r>
      <w:r>
        <w:rPr>
          <w:rStyle w:val="FootnoteAnchor"/>
          <w:rtl w:val="true"/>
        </w:rPr>
        <w:footnoteReference w:id="2249"/>
      </w:r>
      <w:r>
        <w:rPr>
          <w:rFonts w:ascii="Amiri" w:hAnsi="Amiri" w:eastAsia="Amiri" w:cs="Amiri"/>
          <w:color w:val="111111"/>
          <w:sz w:val="28"/>
          <w:sz w:val="28"/>
          <w:szCs w:val="28"/>
          <w:rtl w:val="true"/>
          <w:lang w:bidi="ar-SA"/>
        </w:rPr>
        <w:t>مخالِفةً لسائرِ الأدلّةِ في مَعنَى الإبانةِ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يَقولُه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المُعجِزاتِ لَو ظَهَرَت علىٰ يَدِ غيرِ الأنبياءِ ، لاقتَضىٰ تجويزُ</w:t>
      </w:r>
      <w:r>
        <w:rPr>
          <w:rStyle w:val="FootnoteAnchor"/>
          <w:rtl w:val="true"/>
        </w:rPr>
        <w:footnoteReference w:id="2250"/>
      </w:r>
      <w:r>
        <w:rPr>
          <w:rFonts w:ascii="Amiri" w:hAnsi="Amiri" w:eastAsia="Amiri" w:cs="Amiri"/>
          <w:color w:val="111111"/>
          <w:sz w:val="28"/>
          <w:sz w:val="28"/>
          <w:szCs w:val="28"/>
          <w:rtl w:val="true"/>
          <w:lang w:bidi="ar-SA"/>
        </w:rPr>
        <w:t>ظُهورِها علىٰ غيرِهم التنفيرَ عن النظَرِ فيها إذا ظَهَرَت علىٰ أيديهِم؛</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فيها إنّما وَجَبَ </w:t>
      </w:r>
      <w:r>
        <w:rPr>
          <w:rStyle w:val="FootnoteAnchor"/>
          <w:rtl w:val="true"/>
        </w:rPr>
        <w:footnoteReference w:id="2251"/>
      </w:r>
      <w:r>
        <w:rPr>
          <w:rFonts w:ascii="Amiri" w:hAnsi="Amiri" w:eastAsia="Amiri" w:cs="Amiri"/>
          <w:color w:val="111111"/>
          <w:sz w:val="28"/>
          <w:sz w:val="28"/>
          <w:szCs w:val="28"/>
          <w:rtl w:val="true"/>
          <w:lang w:bidi="ar-SA"/>
        </w:rPr>
        <w:t>مِن جهةِ الخَوفِ لأنْ تَكونَ لَنا مَصالِحُ لا نَقِفُ عَلَيها إلّامِن جهتِهم، فإذا</w:t>
      </w:r>
      <w:r>
        <w:rPr>
          <w:rStyle w:val="FootnoteAnchor"/>
          <w:rtl w:val="true"/>
        </w:rPr>
        <w:footnoteReference w:id="2252"/>
      </w:r>
      <w:r>
        <w:rPr>
          <w:rFonts w:ascii="Amiri" w:hAnsi="Amiri" w:eastAsia="Amiri" w:cs="Amiri"/>
          <w:color w:val="111111"/>
          <w:sz w:val="28"/>
          <w:sz w:val="28"/>
          <w:szCs w:val="28"/>
          <w:rtl w:val="true"/>
          <w:lang w:bidi="ar-SA"/>
        </w:rPr>
        <w:t>جَوَّزنا ظُهورَها علىٰ يَدَي</w:t>
      </w:r>
      <w:r>
        <w:rPr>
          <w:rStyle w:val="FootnoteAnchor"/>
          <w:rtl w:val="true"/>
        </w:rPr>
        <w:footnoteReference w:id="2253"/>
      </w:r>
      <w:r>
        <w:rPr>
          <w:rFonts w:ascii="Amiri" w:hAnsi="Amiri" w:eastAsia="Amiri" w:cs="Amiri"/>
          <w:color w:val="111111"/>
          <w:sz w:val="28"/>
          <w:sz w:val="28"/>
          <w:szCs w:val="28"/>
          <w:rtl w:val="true"/>
          <w:lang w:bidi="ar-SA"/>
        </w:rPr>
        <w:t>مَن لَيسَ بنَبيٍّ ، ارتَفَعَت</w:t>
      </w:r>
      <w:r>
        <w:rPr>
          <w:rStyle w:val="FootnoteAnchor"/>
          <w:rtl w:val="true"/>
        </w:rPr>
        <w:footnoteReference w:id="2254"/>
      </w:r>
      <w:r>
        <w:rPr>
          <w:rFonts w:ascii="Amiri" w:hAnsi="Amiri" w:eastAsia="Amiri" w:cs="Amiri"/>
          <w:color w:val="111111"/>
          <w:sz w:val="28"/>
          <w:sz w:val="28"/>
          <w:szCs w:val="28"/>
          <w:rtl w:val="true"/>
          <w:lang w:bidi="ar-SA"/>
        </w:rPr>
        <w:t>جهةُ الخَوفِ ، و كانَ هذا سَبَباً قويّاً في النُّفورِ عن النظَرِ، و الإضرابِ عن تَكلُّفِه</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فشَبيهٌ‌</w:t>
      </w:r>
      <w:r>
        <w:rPr>
          <w:rStyle w:val="FootnoteAnchor"/>
          <w:rtl w:val="true"/>
        </w:rPr>
        <w:footnoteReference w:id="2256"/>
      </w:r>
      <w:r>
        <w:rPr>
          <w:rFonts w:ascii="Amiri" w:hAnsi="Amiri" w:eastAsia="Amiri" w:cs="Amiri"/>
          <w:color w:val="111111"/>
          <w:sz w:val="28"/>
          <w:sz w:val="28"/>
          <w:szCs w:val="28"/>
          <w:rtl w:val="true"/>
          <w:lang w:bidi="ar-SA"/>
        </w:rPr>
        <w:t>في البُطلانِ بما تَقدَّمَ ؛ لأنّ مَن ظَهَرَ</w:t>
      </w:r>
      <w:r>
        <w:rPr>
          <w:rStyle w:val="FootnoteAnchor"/>
          <w:rtl w:val="true"/>
        </w:rPr>
        <w:footnoteReference w:id="2257"/>
      </w:r>
      <w:r>
        <w:rPr>
          <w:rFonts w:ascii="Amiri" w:hAnsi="Amiri" w:eastAsia="Amiri" w:cs="Amiri"/>
          <w:color w:val="111111"/>
          <w:sz w:val="28"/>
          <w:sz w:val="28"/>
          <w:szCs w:val="28"/>
          <w:rtl w:val="true"/>
          <w:lang w:bidi="ar-SA"/>
        </w:rPr>
        <w:t xml:space="preserve">له العَلَمُ </w:t>
      </w:r>
      <w:r>
        <w:rPr>
          <w:rStyle w:val="FootnoteAnchor"/>
          <w:rtl w:val="true"/>
        </w:rPr>
        <w:footnoteReference w:id="2258"/>
      </w:r>
      <w:r>
        <w:rPr>
          <w:rFonts w:ascii="Amiri" w:hAnsi="Amiri" w:eastAsia="Amiri" w:cs="Amiri"/>
          <w:color w:val="111111"/>
          <w:sz w:val="28"/>
          <w:sz w:val="28"/>
          <w:szCs w:val="28"/>
          <w:rtl w:val="true"/>
          <w:lang w:bidi="ar-SA"/>
        </w:rPr>
        <w:t>المُعجِزُ</w:t>
      </w:r>
      <w:r>
        <w:rPr>
          <w:rStyle w:val="FootnoteAnchor"/>
          <w:rtl w:val="true"/>
        </w:rPr>
        <w:footnoteReference w:id="2259"/>
      </w:r>
      <w:r>
        <w:rPr>
          <w:rFonts w:ascii="Amiri" w:hAnsi="Amiri" w:eastAsia="Amiri" w:cs="Amiri"/>
          <w:color w:val="111111"/>
          <w:sz w:val="28"/>
          <w:sz w:val="28"/>
          <w:szCs w:val="28"/>
          <w:rtl w:val="true"/>
          <w:lang w:bidi="ar-SA"/>
        </w:rPr>
        <w:t>و دُعِيَ إلَى النظَرِ فيه، يَلزَمُه النظَرُ و إن كانَ مُجوِّزاً أن</w:t>
      </w:r>
      <w:r>
        <w:rPr>
          <w:rStyle w:val="FootnoteAnchor"/>
          <w:rtl w:val="true"/>
        </w:rPr>
        <w:footnoteReference w:id="2260"/>
      </w:r>
      <w:r>
        <w:rPr>
          <w:rFonts w:ascii="Amiri" w:hAnsi="Amiri" w:eastAsia="Amiri" w:cs="Amiri"/>
          <w:color w:val="111111"/>
          <w:sz w:val="28"/>
          <w:sz w:val="28"/>
          <w:szCs w:val="28"/>
          <w:rtl w:val="true"/>
          <w:lang w:bidi="ar-SA"/>
        </w:rPr>
        <w:t xml:space="preserve">يَكونَ مَن ظَهَرَ عليه لَيسَ بنَبيٍّ ؛ لأنّه و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جَوَّزَ ذلكَ، فهو غيرُ آمِنٍ مِن أن يَكونَ‌</w:t>
      </w:r>
      <w:r>
        <w:rPr>
          <w:rStyle w:val="FootnoteAnchor"/>
          <w:rtl w:val="true"/>
        </w:rPr>
        <w:footnoteReference w:id="2261"/>
      </w:r>
      <w:r>
        <w:rPr>
          <w:rFonts w:ascii="Amiri" w:hAnsi="Amiri" w:eastAsia="Amiri" w:cs="Amiri"/>
          <w:color w:val="111111"/>
          <w:sz w:val="28"/>
          <w:sz w:val="28"/>
          <w:szCs w:val="28"/>
          <w:rtl w:val="true"/>
          <w:lang w:bidi="ar-SA"/>
        </w:rPr>
        <w:t>له مَصالحُ لا يَقِفُ‌</w:t>
      </w:r>
      <w:r>
        <w:rPr>
          <w:rStyle w:val="FootnoteAnchor"/>
          <w:rtl w:val="true"/>
        </w:rPr>
        <w:footnoteReference w:id="2262"/>
      </w:r>
      <w:r>
        <w:rPr>
          <w:rFonts w:ascii="Amiri" w:hAnsi="Amiri" w:eastAsia="Amiri" w:cs="Amiri"/>
          <w:color w:val="111111"/>
          <w:sz w:val="28"/>
          <w:sz w:val="28"/>
          <w:szCs w:val="28"/>
          <w:rtl w:val="true"/>
          <w:lang w:bidi="ar-SA"/>
        </w:rPr>
        <w:t>عَلَيها إلّامِن جهتِه، فيَجِبُ عليه النظَرُ في المُعجِزِ؛ ليَعلَمَ صِدقَ المُدَّعي، و يَرجِعَ إلىٰ قولِه في كَونِه نَبيّاً أو إماماً، أو لَيسَ بنَبيٍّ و لا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لَزِمَ النُّفورُ عن النظَرِ لأجلِ تَجويزِ الناظِرِ أن يَكونَ مَن ظَهَرَ علىٰ يَدِه العَلَمُ‌</w:t>
      </w:r>
      <w:r>
        <w:rPr>
          <w:rStyle w:val="FootnoteAnchor"/>
          <w:rtl w:val="true"/>
        </w:rPr>
        <w:footnoteReference w:id="2263"/>
      </w:r>
      <w:r>
        <w:rPr>
          <w:rFonts w:ascii="Amiri" w:hAnsi="Amiri" w:eastAsia="Amiri" w:cs="Amiri"/>
          <w:color w:val="111111"/>
          <w:sz w:val="28"/>
          <w:sz w:val="28"/>
          <w:szCs w:val="28"/>
          <w:rtl w:val="true"/>
          <w:lang w:bidi="ar-SA"/>
        </w:rPr>
        <w:t>لَيسَ بنَبيٍّ، لَلَزِمَ‌</w:t>
      </w:r>
      <w:r>
        <w:rPr>
          <w:rStyle w:val="FootnoteAnchor"/>
          <w:rtl w:val="true"/>
        </w:rPr>
        <w:footnoteReference w:id="2264"/>
      </w:r>
      <w:r>
        <w:rPr>
          <w:rFonts w:ascii="Amiri" w:hAnsi="Amiri" w:eastAsia="Amiri" w:cs="Amiri"/>
          <w:color w:val="111111"/>
          <w:sz w:val="28"/>
          <w:sz w:val="28"/>
          <w:szCs w:val="28"/>
          <w:rtl w:val="true"/>
          <w:lang w:bidi="ar-SA"/>
        </w:rPr>
        <w:t>مِثلُه في ذلكَ مِن</w:t>
      </w:r>
      <w:r>
        <w:rPr>
          <w:rStyle w:val="FootnoteAnchor"/>
          <w:rtl w:val="true"/>
        </w:rPr>
        <w:footnoteReference w:id="2265"/>
      </w:r>
      <w:r>
        <w:rPr>
          <w:rFonts w:ascii="Amiri" w:hAnsi="Amiri" w:eastAsia="Amiri" w:cs="Amiri"/>
          <w:color w:val="111111"/>
          <w:sz w:val="28"/>
          <w:sz w:val="28"/>
          <w:szCs w:val="28"/>
          <w:rtl w:val="true"/>
          <w:lang w:bidi="ar-SA"/>
        </w:rPr>
        <w:t>النُّفورِ إذا كانَ الناظِرُ قَبلَ نَظَرِه في المُعجِزِ مُجوِّزاً أن يَكونَ شَعبَذةً‌</w:t>
      </w:r>
      <w:r>
        <w:rPr>
          <w:rStyle w:val="FootnoteAnchor"/>
          <w:rtl w:val="true"/>
        </w:rPr>
        <w:footnoteReference w:id="2266"/>
      </w:r>
      <w:r>
        <w:rPr>
          <w:rFonts w:ascii="Amiri" w:hAnsi="Amiri" w:eastAsia="Amiri" w:cs="Amiri"/>
          <w:color w:val="111111"/>
          <w:sz w:val="28"/>
          <w:sz w:val="28"/>
          <w:szCs w:val="28"/>
          <w:rtl w:val="true"/>
          <w:lang w:bidi="ar-SA"/>
        </w:rPr>
        <w:t>و مَخرَقةً‌</w:t>
      </w:r>
      <w:r>
        <w:rPr>
          <w:rStyle w:val="FootnoteAnchor"/>
          <w:rtl w:val="true"/>
        </w:rPr>
        <w:footnoteReference w:id="2267"/>
      </w:r>
      <w:r>
        <w:rPr>
          <w:rFonts w:ascii="Amiri" w:hAnsi="Amiri" w:eastAsia="Amiri" w:cs="Amiri"/>
          <w:color w:val="111111"/>
          <w:sz w:val="28"/>
          <w:sz w:val="28"/>
          <w:szCs w:val="28"/>
          <w:rtl w:val="true"/>
          <w:lang w:bidi="ar-SA"/>
        </w:rPr>
        <w:t xml:space="preserve">و غيرَ دالٍّ </w:t>
      </w:r>
      <w:r>
        <w:rPr>
          <w:rStyle w:val="FootnoteAnchor"/>
          <w:rtl w:val="true"/>
        </w:rPr>
        <w:footnoteReference w:id="2268"/>
      </w:r>
      <w:r>
        <w:rPr>
          <w:rFonts w:ascii="Amiri" w:hAnsi="Amiri" w:eastAsia="Amiri" w:cs="Amiri"/>
          <w:color w:val="111111"/>
          <w:sz w:val="28"/>
          <w:sz w:val="28"/>
          <w:szCs w:val="28"/>
          <w:rtl w:val="true"/>
          <w:lang w:bidi="ar-SA"/>
        </w:rPr>
        <w:t>علَى</w:t>
      </w:r>
      <w:r>
        <w:rPr>
          <w:rStyle w:val="FootnoteAnchor"/>
          <w:rtl w:val="true"/>
        </w:rPr>
        <w:footnoteReference w:id="2269"/>
      </w:r>
      <w:r>
        <w:rPr>
          <w:rFonts w:ascii="Amiri" w:hAnsi="Amiri" w:eastAsia="Amiri" w:cs="Amiri"/>
          <w:color w:val="111111"/>
          <w:sz w:val="28"/>
          <w:sz w:val="28"/>
          <w:szCs w:val="28"/>
          <w:rtl w:val="true"/>
          <w:lang w:bidi="ar-SA"/>
        </w:rPr>
        <w:t xml:space="preserve">الصِّدقِ ، و الناظِرُ لا بُدَّ قَبلَ نَظَرِه مِن أن يَكونَ مُجوِّزاً لِما ذَكَرناه، فإن لَزِمَه النظَرُ مع هذا التجويزِ و لَم يَكُنْ </w:t>
      </w:r>
      <w:r>
        <w:rPr>
          <w:rStyle w:val="FootnoteAnchor"/>
          <w:rtl w:val="true"/>
        </w:rPr>
        <w:footnoteReference w:id="2270"/>
      </w:r>
      <w:r>
        <w:rPr>
          <w:rFonts w:ascii="Amiri" w:hAnsi="Amiri" w:eastAsia="Amiri" w:cs="Amiri"/>
          <w:color w:val="111111"/>
          <w:sz w:val="28"/>
          <w:sz w:val="28"/>
          <w:szCs w:val="28"/>
          <w:rtl w:val="true"/>
          <w:lang w:bidi="ar-SA"/>
        </w:rPr>
        <w:t>مُنفِّراً له و لا مُسقِطاً لوجوبِ النظَرِ عليه، فالتجويزُ</w:t>
      </w:r>
      <w:r>
        <w:rPr>
          <w:rStyle w:val="FootnoteAnchor"/>
          <w:rtl w:val="true"/>
        </w:rPr>
        <w:footnoteReference w:id="2271"/>
      </w:r>
      <w:r>
        <w:rPr>
          <w:rFonts w:ascii="Amiri" w:hAnsi="Amiri" w:eastAsia="Amiri" w:cs="Amiri"/>
          <w:color w:val="111111"/>
          <w:sz w:val="28"/>
          <w:sz w:val="28"/>
          <w:szCs w:val="28"/>
          <w:rtl w:val="true"/>
          <w:lang w:bidi="ar-SA"/>
        </w:rPr>
        <w:t xml:space="preserve">أيضاً فيمَن ظَهَرَ عليه العَلَمُ أن يَكونَ غيرَ نَبيٍّ </w:t>
      </w:r>
      <w:r>
        <w:rPr>
          <w:rStyle w:val="FootnoteAnchor"/>
          <w:rtl w:val="true"/>
        </w:rPr>
        <w:footnoteReference w:id="2272"/>
      </w:r>
      <w:r>
        <w:rPr>
          <w:rFonts w:ascii="Amiri" w:hAnsi="Amiri" w:eastAsia="Amiri" w:cs="Amiri"/>
          <w:color w:val="111111"/>
          <w:sz w:val="28"/>
          <w:sz w:val="28"/>
          <w:szCs w:val="28"/>
          <w:rtl w:val="true"/>
          <w:lang w:bidi="ar-SA"/>
        </w:rPr>
        <w:t>غيرُ مُنفِّرٍ، و لا مُسقِطٍ</w:t>
      </w:r>
      <w:r>
        <w:rPr>
          <w:rStyle w:val="FootnoteAnchor"/>
          <w:rtl w:val="true"/>
        </w:rPr>
        <w:footnoteReference w:id="2273"/>
      </w:r>
      <w:r>
        <w:rPr>
          <w:rFonts w:ascii="Amiri" w:hAnsi="Amiri" w:eastAsia="Amiri" w:cs="Amiri"/>
          <w:color w:val="111111"/>
          <w:sz w:val="28"/>
          <w:sz w:val="28"/>
          <w:szCs w:val="28"/>
          <w:rtl w:val="true"/>
          <w:lang w:bidi="ar-SA"/>
        </w:rPr>
        <w:t>لوجوبِ النظَرِ عليه</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أنّ مَن ظَهَرَ العَلَمُ علىٰ يَدِه لا يَخلو مِن أن يَكونَ مِمّن يَتعلَّقُ‌</w:t>
      </w:r>
      <w:r>
        <w:rPr>
          <w:rStyle w:val="FootnoteAnchor"/>
          <w:rtl w:val="true"/>
        </w:rPr>
        <w:footnoteReference w:id="2275"/>
      </w:r>
      <w:r>
        <w:rPr>
          <w:rFonts w:ascii="Amiri" w:hAnsi="Amiri" w:eastAsia="Amiri" w:cs="Amiri"/>
          <w:color w:val="111111"/>
          <w:sz w:val="28"/>
          <w:sz w:val="28"/>
          <w:szCs w:val="28"/>
          <w:rtl w:val="true"/>
          <w:lang w:bidi="ar-SA"/>
        </w:rPr>
        <w:t>مَصالِحُنا به و بمعرفتِه كالنبيِّ و</w:t>
      </w:r>
      <w:r>
        <w:rPr>
          <w:rStyle w:val="FootnoteAnchor"/>
          <w:rtl w:val="true"/>
        </w:rPr>
        <w:footnoteReference w:id="2276"/>
      </w:r>
      <w:r>
        <w:rPr>
          <w:rFonts w:ascii="Amiri" w:hAnsi="Amiri" w:eastAsia="Amiri" w:cs="Amiri"/>
          <w:color w:val="111111"/>
          <w:sz w:val="28"/>
          <w:sz w:val="28"/>
          <w:szCs w:val="28"/>
          <w:rtl w:val="true"/>
          <w:lang w:bidi="ar-SA"/>
        </w:rPr>
        <w:t>الإمامِ، أو لا يَكونَ كذلكَ كالصالِحينَ الذينَ‌</w:t>
      </w:r>
      <w:r>
        <w:rPr>
          <w:rStyle w:val="FootnoteAnchor"/>
          <w:rtl w:val="true"/>
        </w:rPr>
        <w:footnoteReference w:id="2277"/>
      </w:r>
      <w:r>
        <w:rPr>
          <w:rFonts w:ascii="Amiri" w:hAnsi="Amiri" w:eastAsia="Amiri" w:cs="Amiri"/>
          <w:color w:val="111111"/>
          <w:sz w:val="28"/>
          <w:sz w:val="28"/>
          <w:szCs w:val="28"/>
          <w:rtl w:val="true"/>
          <w:lang w:bidi="ar-SA"/>
        </w:rPr>
        <w:t>يَجوزُ أن تَظهَرَ</w:t>
      </w:r>
      <w:r>
        <w:rPr>
          <w:rStyle w:val="FootnoteAnchor"/>
          <w:rtl w:val="true"/>
        </w:rPr>
        <w:footnoteReference w:id="2278"/>
      </w:r>
      <w:r>
        <w:rPr>
          <w:rFonts w:ascii="Amiri" w:hAnsi="Amiri" w:eastAsia="Amiri" w:cs="Amiri"/>
          <w:color w:val="111111"/>
          <w:sz w:val="28"/>
          <w:sz w:val="28"/>
          <w:szCs w:val="28"/>
          <w:rtl w:val="true"/>
          <w:lang w:bidi="ar-SA"/>
        </w:rPr>
        <w:t>عَلَيهِم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علَى</w:t>
      </w:r>
      <w:r>
        <w:rPr>
          <w:rStyle w:val="FootnoteAnchor"/>
          <w:rtl w:val="true"/>
        </w:rPr>
        <w:footnoteReference w:id="2279"/>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يَدعُوَنا إلَى النظَرِ في عَلَمِه و يُخوِّفَنا مِن تَركِ النظَرِ فيه بفَوتِ مَصالِحِنا، و لا بُدَّ مِن أن يَلزَمَنا النظَرُ مع الخَوفِ، فإن</w:t>
      </w:r>
      <w:r>
        <w:rPr>
          <w:rStyle w:val="FootnoteAnchor"/>
          <w:rtl w:val="true"/>
        </w:rPr>
        <w:footnoteReference w:id="2280"/>
      </w:r>
      <w:r>
        <w:rPr>
          <w:rFonts w:ascii="Amiri" w:hAnsi="Amiri" w:eastAsia="Amiri" w:cs="Amiri"/>
          <w:color w:val="111111"/>
          <w:sz w:val="28"/>
          <w:sz w:val="28"/>
          <w:szCs w:val="28"/>
          <w:rtl w:val="true"/>
          <w:lang w:bidi="ar-SA"/>
        </w:rPr>
        <w:t>جَوَّزنا قَبلَ النظَرِ في مُعجِزِه كَونَه كاذباً، كانَ‌</w:t>
      </w:r>
      <w:r>
        <w:rPr>
          <w:rStyle w:val="FootnoteAnchor"/>
          <w:rtl w:val="true"/>
        </w:rPr>
        <w:footnoteReference w:id="2281"/>
      </w:r>
      <w:r>
        <w:rPr>
          <w:rFonts w:ascii="Amiri" w:hAnsi="Amiri" w:eastAsia="Amiri" w:cs="Amiri"/>
          <w:color w:val="111111"/>
          <w:sz w:val="28"/>
          <w:sz w:val="28"/>
          <w:szCs w:val="28"/>
          <w:rtl w:val="true"/>
          <w:lang w:bidi="ar-SA"/>
        </w:rPr>
        <w:t>هذا التجويزُ عندَ الجميعِ غيرَ مؤثِّرٍ في وجوبِ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علَى</w:t>
      </w:r>
      <w:r>
        <w:rPr>
          <w:rStyle w:val="FootnoteAnchor"/>
          <w:rtl w:val="true"/>
        </w:rPr>
        <w:footnoteReference w:id="2282"/>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يَدْعُنا إلَى النظَرِ في عَلَمِه، و لَم يَلزَمْنا النظَرُ فيه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زالَ الالتباسُ الذي تَعلَّقَ به القَومُ ، و التنفيرُ؛ لأنّ مَن يَدعونا</w:t>
      </w:r>
      <w:r>
        <w:rPr>
          <w:rStyle w:val="FootnoteAnchor"/>
          <w:rtl w:val="true"/>
        </w:rPr>
        <w:footnoteReference w:id="2283"/>
      </w:r>
      <w:r>
        <w:rPr>
          <w:rFonts w:ascii="Amiri" w:hAnsi="Amiri" w:eastAsia="Amiri" w:cs="Amiri"/>
          <w:color w:val="111111"/>
          <w:sz w:val="28"/>
          <w:sz w:val="28"/>
          <w:szCs w:val="28"/>
          <w:rtl w:val="true"/>
          <w:lang w:bidi="ar-SA"/>
        </w:rPr>
        <w:t>إلَى النظَرِ في عَلَمِه و يُخوِّفُنا بفَوتِ مَصالِحِنا، لا يَجوزُ أن يَكونَ صادقاً و لا مَصلَحةَ لنا معه؛ بَل لا يَخلو عِندَنا مِن أن يَكونَ كاذباً مُخرِّقاً</w:t>
      </w:r>
      <w:r>
        <w:rPr>
          <w:rStyle w:val="FootnoteAnchor"/>
          <w:rtl w:val="true"/>
        </w:rPr>
        <w:footnoteReference w:id="2284"/>
      </w:r>
      <w:r>
        <w:rPr>
          <w:rFonts w:ascii="Amiri" w:hAnsi="Amiri" w:eastAsia="Amiri" w:cs="Amiri"/>
          <w:color w:val="111111"/>
          <w:sz w:val="28"/>
          <w:sz w:val="28"/>
          <w:szCs w:val="28"/>
          <w:rtl w:val="true"/>
          <w:lang w:bidi="ar-SA"/>
        </w:rPr>
        <w:t xml:space="preserve">، أو صادقاً مُتحمِّلاً لمَصالِحِنا، فيَلزَمُ النظَرُ في أمرِه علىٰ كُلِّ حالٍ </w:t>
      </w:r>
      <w:r>
        <w:rPr>
          <w:rFonts w:eastAsia="Amiri" w:cs="Amiri" w:ascii="Amiri" w:hAnsi="Amiri"/>
          <w:color w:val="111111"/>
          <w:sz w:val="28"/>
          <w:szCs w:val="28"/>
          <w:rtl w:val="true"/>
          <w:lang w:bidi="ar-SA"/>
        </w:rPr>
        <w:t xml:space="preserve">. </w:t>
      </w:r>
      <w:bookmarkStart w:id="670" w:name="pg20044_771054"/>
    </w:p>
    <w:p>
      <w:pPr>
        <w:pStyle w:val="BookText"/>
        <w:rPr/>
      </w:pPr>
      <w:bookmarkEnd w:id="670"/>
      <w:r>
        <w:rPr>
          <w:rFonts w:ascii="Amiri" w:hAnsi="Amiri" w:eastAsia="Amiri" w:cs="Amiri"/>
          <w:color w:val="111111"/>
          <w:sz w:val="28"/>
          <w:sz w:val="28"/>
          <w:szCs w:val="28"/>
          <w:rtl w:val="true"/>
          <w:lang w:bidi="ar-SA"/>
        </w:rPr>
        <w:t>و قد زالَ الاشتباهُ علىٰ ما ذَكَرناه بَينَ حالِ مَن يَجوزُ كَونُه</w:t>
      </w:r>
      <w:r>
        <w:rPr>
          <w:rStyle w:val="FootnoteAnchor"/>
          <w:rtl w:val="true"/>
        </w:rPr>
        <w:footnoteReference w:id="2285"/>
      </w:r>
      <w:r>
        <w:rPr>
          <w:rFonts w:ascii="Amiri" w:hAnsi="Amiri" w:eastAsia="Amiri" w:cs="Amiri"/>
          <w:color w:val="111111"/>
          <w:sz w:val="28"/>
          <w:sz w:val="28"/>
          <w:szCs w:val="28"/>
          <w:rtl w:val="true"/>
          <w:lang w:bidi="ar-SA"/>
        </w:rPr>
        <w:t xml:space="preserve">مُتحمِّلاً لمَصالِحِنا، و بَينَ حالِ الصالحِ ؛ فأينَ التنفيرُ عن النظَرِ في الأعلامِ لَولا ذَهابُ القَومِ عن الصَّوابِ في ذلكَ </w:t>
      </w:r>
      <w:r>
        <w:rPr>
          <w:rStyle w:val="FootnoteAnchor"/>
          <w:rtl w:val="true"/>
        </w:rPr>
        <w:footnoteReference w:id="22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لاِستقصاء الكلامِ في جوازِ إظهارِ المعجزاتِ علىٰ غيرِ الأنبياءِ مَوضِعٌ غيرُ هذا، و لَعلَّنا أن نُفرِدَ له مسألةً خاصّةً </w:t>
      </w:r>
      <w:r>
        <w:rPr>
          <w:rStyle w:val="FootnoteAnchor"/>
          <w:rtl w:val="true"/>
        </w:rPr>
        <w:footnoteReference w:id="2287"/>
      </w:r>
      <w:r>
        <w:rPr>
          <w:rFonts w:ascii="Amiri" w:hAnsi="Amiri" w:eastAsia="Amiri" w:cs="Amiri"/>
          <w:color w:val="111111"/>
          <w:sz w:val="28"/>
          <w:sz w:val="28"/>
          <w:szCs w:val="28"/>
          <w:rtl w:val="true"/>
          <w:lang w:bidi="ar-SA"/>
        </w:rPr>
        <w:t xml:space="preserve">بمَشيئةِ اللّٰهِ تَعالىٰ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828744_2320776876"/>
      <w:bookmarkStart w:id="672" w:name="_Toc237"/>
      <w:bookmarkEnd w:id="671"/>
      <w:r>
        <w:rPr>
          <w:rtl w:val="true"/>
        </w:rPr>
        <w:t>نفي أن يكون العلمُ بأكثر الشرع أظهرَ من النصّ على الإمام</w:t>
      </w:r>
      <w:bookmarkEnd w:id="672"/>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فإنّا تَتبَّعنا حالَ‌</w:t>
      </w:r>
      <w:r>
        <w:rPr>
          <w:rStyle w:val="FootnoteAnchor"/>
          <w:rtl w:val="true"/>
        </w:rPr>
        <w:footnoteReference w:id="2289"/>
      </w:r>
      <w:r>
        <w:rPr>
          <w:rFonts w:ascii="Amiri" w:hAnsi="Amiri" w:eastAsia="Amiri" w:cs="Amiri"/>
          <w:color w:val="111111"/>
          <w:sz w:val="28"/>
          <w:sz w:val="28"/>
          <w:szCs w:val="28"/>
          <w:rtl w:val="true"/>
          <w:lang w:bidi="ar-SA"/>
        </w:rPr>
        <w:t>أكثَرِ الشرعِ، فوَجَدنا النقلَ فيه و الأدلّةَ عليه أظهَرَ مِن النَّصِّ علَى الإمامِ، بَل مِن كَونِ‌</w:t>
      </w:r>
      <w:r>
        <w:rPr>
          <w:rStyle w:val="FootnoteAnchor"/>
          <w:rtl w:val="true"/>
        </w:rPr>
        <w:footnoteReference w:id="2290"/>
      </w:r>
      <w:r>
        <w:rPr>
          <w:rFonts w:ascii="Amiri" w:hAnsi="Amiri" w:eastAsia="Amiri" w:cs="Amiri"/>
          <w:color w:val="111111"/>
          <w:sz w:val="28"/>
          <w:sz w:val="28"/>
          <w:szCs w:val="28"/>
          <w:rtl w:val="true"/>
          <w:lang w:bidi="ar-SA"/>
        </w:rPr>
        <w:t>الإمامِ في بعضِ الأعصارِ</w:t>
      </w:r>
      <w:r>
        <w:rPr>
          <w:rStyle w:val="FootnoteAnchor"/>
          <w:rtl w:val="true"/>
        </w:rPr>
        <w:footnoteReference w:id="2291"/>
      </w:r>
      <w:r>
        <w:rPr>
          <w:rFonts w:ascii="Amiri" w:hAnsi="Amiri" w:eastAsia="Amiri" w:cs="Amiri"/>
          <w:color w:val="111111"/>
          <w:sz w:val="28"/>
          <w:sz w:val="28"/>
          <w:szCs w:val="28"/>
          <w:rtl w:val="true"/>
          <w:lang w:bidi="ar-SA"/>
        </w:rPr>
        <w:t>و سائرِ صفاتِه</w:t>
      </w:r>
      <w:r>
        <w:rPr>
          <w:rStyle w:val="FootnoteAnchor"/>
          <w:rtl w:val="true"/>
        </w:rPr>
        <w:footnoteReference w:id="2292"/>
      </w:r>
      <w:r>
        <w:rPr>
          <w:rFonts w:ascii="Amiri" w:hAnsi="Amiri" w:eastAsia="Amiri" w:cs="Amiri"/>
          <w:color w:val="111111"/>
          <w:sz w:val="28"/>
          <w:sz w:val="28"/>
          <w:szCs w:val="28"/>
          <w:rtl w:val="true"/>
          <w:lang w:bidi="ar-SA"/>
        </w:rPr>
        <w:t xml:space="preserve">، فكيفَ يَصِحُّ أن يُجعَلَ </w:t>
      </w:r>
      <w:r>
        <w:rPr>
          <w:rStyle w:val="FootnoteAnchor"/>
          <w:rtl w:val="true"/>
        </w:rPr>
        <w:footnoteReference w:id="2293"/>
      </w:r>
      <w:r>
        <w:rPr>
          <w:rFonts w:ascii="Amiri" w:hAnsi="Amiri" w:eastAsia="Amiri" w:cs="Amiri"/>
          <w:color w:val="111111"/>
          <w:sz w:val="28"/>
          <w:sz w:val="28"/>
          <w:szCs w:val="28"/>
          <w:rtl w:val="true"/>
          <w:lang w:bidi="ar-SA"/>
        </w:rPr>
        <w:t xml:space="preserve">العِلمُ بكُلِّ </w:t>
      </w:r>
      <w:r>
        <w:rPr>
          <w:rStyle w:val="FootnoteAnchor"/>
          <w:rtl w:val="true"/>
        </w:rPr>
        <w:footnoteReference w:id="2294"/>
      </w:r>
      <w:r>
        <w:rPr>
          <w:rFonts w:ascii="Amiri" w:hAnsi="Amiri" w:eastAsia="Amiri" w:cs="Amiri"/>
          <w:color w:val="111111"/>
          <w:sz w:val="28"/>
          <w:sz w:val="28"/>
          <w:szCs w:val="28"/>
          <w:rtl w:val="true"/>
          <w:lang w:bidi="ar-SA"/>
        </w:rPr>
        <w:t>ذلكَ فَرعاً علَى الإمامِ و المعرفةِ بكَونِه إماماً؟</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فيُقالُ‌</w:t>
      </w:r>
      <w:r>
        <w:rPr>
          <w:rStyle w:val="FootnoteAnchor"/>
          <w:rtl w:val="true"/>
        </w:rPr>
        <w:footnoteReference w:id="229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الإمامِ و وجودُه في كُلِّ عصرٍ فطريقُه العقلُ، و قد بيّنّاه، و لا نسبةَ بَينَه و بَينَ العِلمِ بأكثَرِ الشرعِ الذي يَعتمدُ فيه الخُصومُ علَى الاجتهادِ و طُرُقِ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النَّصُّ علىٰ عَينِ الإمامِ و اسمِه، فهُوَ</w:t>
      </w:r>
      <w:r>
        <w:rPr>
          <w:rStyle w:val="FootnoteAnchor"/>
          <w:rtl w:val="true"/>
        </w:rPr>
        <w:footnoteReference w:id="2297"/>
      </w:r>
      <w:r>
        <w:rPr>
          <w:rFonts w:ascii="Amiri" w:hAnsi="Amiri" w:eastAsia="Amiri" w:cs="Amiri"/>
          <w:color w:val="111111"/>
          <w:sz w:val="28"/>
          <w:sz w:val="28"/>
          <w:szCs w:val="28"/>
          <w:rtl w:val="true"/>
          <w:lang w:bidi="ar-SA"/>
        </w:rPr>
        <w:t>أيضاً أظهَرُ مِن أكثَرِ الشرعِ و أثبَتُ؛ لأنّا نَرجِعُ في تصحيحِه إلىٰ أخبارٍ قد أجمَعَ عَلَيها المختَلِفونَ مِن الأُمّةِ، و نُبيِّنُ مِن فَحواها الدَّلالةَ علَى النَّصِّ، أو إلىٰ‌</w:t>
      </w:r>
      <w:r>
        <w:rPr>
          <w:rStyle w:val="FootnoteAnchor"/>
          <w:rtl w:val="true"/>
        </w:rPr>
        <w:footnoteReference w:id="2298"/>
      </w:r>
      <w:r>
        <w:rPr>
          <w:rFonts w:ascii="Amiri" w:hAnsi="Amiri" w:eastAsia="Amiri" w:cs="Amiri"/>
          <w:color w:val="111111"/>
          <w:sz w:val="28"/>
          <w:sz w:val="28"/>
          <w:szCs w:val="28"/>
          <w:rtl w:val="true"/>
          <w:lang w:bidi="ar-SA"/>
        </w:rPr>
        <w:t>أخبارٍ قد تَواتَرَت بها فِرقةٌ كثيرةُ العَدَدِ، مشهورةُ المكانِ و الاعتقادِ، و لَيسَ في أكثَرِ الشرعِ أخبارٌ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الأمرَ</w:t>
      </w:r>
      <w:r>
        <w:rPr>
          <w:rStyle w:val="FootnoteAnchor"/>
          <w:rtl w:val="true"/>
        </w:rPr>
        <w:footnoteReference w:id="2299"/>
      </w:r>
      <w:r>
        <w:rPr>
          <w:rFonts w:ascii="Amiri" w:hAnsi="Amiri" w:eastAsia="Amiri" w:cs="Amiri"/>
          <w:color w:val="111111"/>
          <w:sz w:val="28"/>
          <w:sz w:val="28"/>
          <w:szCs w:val="28"/>
          <w:rtl w:val="true"/>
          <w:lang w:bidi="ar-SA"/>
        </w:rPr>
        <w:t>علىٰ ما ذَكَرناه، لَم يَفزَعْ خُصومُنا في أكثَرِه إلَى الظُّنونِ و إلَى</w:t>
      </w:r>
      <w:r>
        <w:rPr>
          <w:rStyle w:val="FootnoteAnchor"/>
          <w:rtl w:val="true"/>
        </w:rPr>
        <w:footnoteReference w:id="2300"/>
      </w:r>
      <w:r>
        <w:rPr>
          <w:rFonts w:ascii="Amiri" w:hAnsi="Amiri" w:eastAsia="Amiri" w:cs="Amiri"/>
          <w:color w:val="111111"/>
          <w:sz w:val="28"/>
          <w:sz w:val="28"/>
          <w:szCs w:val="28"/>
          <w:rtl w:val="true"/>
          <w:lang w:bidi="ar-SA"/>
        </w:rPr>
        <w:t>الاستحسانِ؛ لأنّ ما يوجَدُ فيه أخبارٌ متواترةٌ لا يُفتَقَرُ في تصحيحِه إلىٰ غيرِها مِن ظَنٍّ و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لَم نَجعَلِ العِلمَ بالشرعِ و الثقةَ بما أُدّيَ إلينا منه فَرعاً علىٰ معرفةِ الإمامِ‌</w:t>
      </w:r>
      <w:r>
        <w:rPr>
          <w:rStyle w:val="FootnoteAnchor"/>
          <w:rtl w:val="true"/>
        </w:rPr>
        <w:footnoteReference w:id="2301"/>
      </w:r>
      <w:r>
        <w:rPr>
          <w:rFonts w:ascii="Amiri" w:hAnsi="Amiri" w:eastAsia="Amiri" w:cs="Amiri"/>
          <w:color w:val="111111"/>
          <w:sz w:val="28"/>
          <w:sz w:val="28"/>
          <w:szCs w:val="28"/>
          <w:rtl w:val="true"/>
          <w:lang w:bidi="ar-SA"/>
        </w:rPr>
        <w:t>بعَينِه، بَل جَعَلناه مُستَنِداً</w:t>
      </w:r>
      <w:r>
        <w:rPr>
          <w:rStyle w:val="FootnoteAnchor"/>
          <w:rtl w:val="true"/>
        </w:rPr>
        <w:footnoteReference w:id="2302"/>
      </w:r>
      <w:r>
        <w:rPr>
          <w:rFonts w:ascii="Amiri" w:hAnsi="Amiri" w:eastAsia="Amiri" w:cs="Amiri"/>
          <w:color w:val="111111"/>
          <w:sz w:val="28"/>
          <w:sz w:val="28"/>
          <w:szCs w:val="28"/>
          <w:rtl w:val="true"/>
          <w:lang w:bidi="ar-SA"/>
        </w:rPr>
        <w:t>إلىٰ ما يُعلَمُ بالعقولِ مِن جهةٍ أُخرىٰ، و هو</w:t>
      </w:r>
      <w:r>
        <w:rPr>
          <w:rStyle w:val="FootnoteAnchor"/>
          <w:rtl w:val="true"/>
        </w:rPr>
        <w:footnoteReference w:id="2303"/>
      </w:r>
      <w:r>
        <w:rPr>
          <w:rFonts w:ascii="Amiri" w:hAnsi="Amiri" w:eastAsia="Amiri" w:cs="Amiri"/>
          <w:color w:val="111111"/>
          <w:sz w:val="28"/>
          <w:sz w:val="28"/>
          <w:szCs w:val="28"/>
          <w:rtl w:val="true"/>
          <w:lang w:bidi="ar-SA"/>
        </w:rPr>
        <w:t>وجودُ إمامٍ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معصومٍ في كُلِّ عصرٍ علىٰ طريقِ </w:t>
      </w:r>
      <w:r>
        <w:rPr>
          <w:rStyle w:val="FootnoteAnchor"/>
          <w:rtl w:val="true"/>
        </w:rPr>
        <w:footnoteReference w:id="2304"/>
      </w:r>
      <w:r>
        <w:rPr>
          <w:rFonts w:ascii="Amiri" w:hAnsi="Amiri" w:eastAsia="Amiri" w:cs="Amiri"/>
          <w:color w:val="111111"/>
          <w:sz w:val="28"/>
          <w:sz w:val="28"/>
          <w:szCs w:val="28"/>
          <w:rtl w:val="true"/>
          <w:lang w:bidi="ar-SA"/>
        </w:rPr>
        <w:t>الجُملةِ لحِفظِ</w:t>
      </w:r>
      <w:r>
        <w:rPr>
          <w:rStyle w:val="FootnoteAnchor"/>
          <w:rtl w:val="true"/>
        </w:rPr>
        <w:footnoteReference w:id="2305"/>
      </w:r>
      <w:r>
        <w:rPr>
          <w:rFonts w:ascii="Amiri" w:hAnsi="Amiri" w:eastAsia="Amiri" w:cs="Amiri"/>
          <w:color w:val="111111"/>
          <w:sz w:val="28"/>
          <w:sz w:val="28"/>
          <w:szCs w:val="28"/>
          <w:rtl w:val="true"/>
          <w:lang w:bidi="ar-SA"/>
        </w:rPr>
        <w:t xml:space="preserve">الشريعةِ </w:t>
      </w:r>
      <w:r>
        <w:rPr>
          <w:rStyle w:val="FootnoteAnchor"/>
          <w:rtl w:val="true"/>
        </w:rPr>
        <w:footnoteReference w:id="2306"/>
      </w:r>
      <w:r>
        <w:rPr>
          <w:rFonts w:ascii="Amiri" w:hAnsi="Amiri" w:eastAsia="Amiri" w:cs="Amiri"/>
          <w:color w:val="111111"/>
          <w:sz w:val="28"/>
          <w:sz w:val="28"/>
          <w:szCs w:val="28"/>
          <w:rtl w:val="true"/>
          <w:lang w:bidi="ar-SA"/>
        </w:rPr>
        <w:t xml:space="preserve">، فلَو كانَ العِلمُ بأكثَرِ </w:t>
      </w:r>
      <w:bookmarkStart w:id="673" w:name="pg20044_771056"/>
    </w:p>
    <w:p>
      <w:pPr>
        <w:pStyle w:val="BookText"/>
        <w:rPr/>
      </w:pPr>
      <w:bookmarkEnd w:id="673"/>
      <w:r>
        <w:rPr>
          <w:rFonts w:ascii="Amiri" w:hAnsi="Amiri" w:eastAsia="Amiri" w:cs="Amiri"/>
          <w:color w:val="111111"/>
          <w:sz w:val="28"/>
          <w:sz w:val="28"/>
          <w:szCs w:val="28"/>
          <w:rtl w:val="true"/>
          <w:lang w:bidi="ar-SA"/>
        </w:rPr>
        <w:t xml:space="preserve">الشرعِ أظهَرَ مِن النَّصِّ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في طريقَتِنا</w:t>
      </w:r>
      <w:r>
        <w:rPr>
          <w:rStyle w:val="FootnoteAnchor"/>
          <w:rtl w:val="true"/>
        </w:rPr>
        <w:footnoteReference w:id="2307"/>
      </w:r>
      <w:r>
        <w:rPr>
          <w:rFonts w:ascii="Amiri" w:hAnsi="Amiri" w:eastAsia="Amiri" w:cs="Amiri"/>
          <w:color w:val="111111"/>
          <w:sz w:val="28"/>
          <w:sz w:val="28"/>
          <w:szCs w:val="28"/>
          <w:rtl w:val="true"/>
          <w:lang w:bidi="ar-SA"/>
        </w:rPr>
        <w:t>علىٰ هذا الوجهِ إذَن</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828746_2320776876"/>
      <w:bookmarkStart w:id="675" w:name="_Toc238"/>
      <w:bookmarkEnd w:id="674"/>
      <w:r>
        <w:rPr>
          <w:rtl w:val="true"/>
        </w:rPr>
        <w:t>شُبهةٌ لصاحبِ المُغني في رُجوعِ الإمامِ أميرِ المؤمِنينَ في معرفةِ بعضِ الشرائعِ إلىٰ غيرِه مِن الصحابةِ ، و ردُّها</w:t>
      </w:r>
      <w:bookmarkEnd w:id="67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المُتَعالَمَ مِن حالِ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الأوّلُ‌</w:t>
      </w:r>
      <w:r>
        <w:rPr>
          <w:rStyle w:val="FootnoteAnchor"/>
          <w:rtl w:val="true"/>
        </w:rPr>
        <w:footnoteReference w:id="2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يَرجِعُ‌</w:t>
      </w:r>
      <w:r>
        <w:rPr>
          <w:rStyle w:val="FootnoteAnchor"/>
          <w:rtl w:val="true"/>
        </w:rPr>
        <w:footnoteReference w:id="2310"/>
      </w:r>
      <w:r>
        <w:rPr>
          <w:rFonts w:ascii="Amiri" w:hAnsi="Amiri" w:eastAsia="Amiri" w:cs="Amiri"/>
          <w:color w:val="111111"/>
          <w:sz w:val="28"/>
          <w:sz w:val="28"/>
          <w:szCs w:val="28"/>
          <w:rtl w:val="true"/>
          <w:lang w:bidi="ar-SA"/>
        </w:rPr>
        <w:t xml:space="preserve">في معرفةِ بعضِ الشرائعِ إلىٰ غيرِه مِن الصحابةِ، و قد كانَ يَرجِعُ مِن رأيٍ إلىٰ رأيٍ ، فكيفَ يُمكِنُ ادّعاءُ ما ذَكَروه مِن أنّ الشريعةَ لا تَصيرُ محفوظةً إلّابالإمامِ ، و المُتَعالَمُ مِن حالِه أنّه كانَ يُجوِّزُ لغيرِه مُخالَفتَه في الفتاوىٰ و الأحكامِ ، و كانَ لا يُنكِرُ علىٰ مَن لا يَتَّبِعُ قولَه كما يُنكِرُ علىٰ مَن لا يَتَّبِعُ قولَ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يُبطِلُ ما تَعلَّقوا به، و يُبيِّنُ طريقةَ الكلامِ في هذا البابِ </w:t>
      </w:r>
      <w:r>
        <w:rPr>
          <w:rFonts w:eastAsia="Amiri" w:cs="Amiri" w:ascii="Amiri" w:hAnsi="Amiri"/>
          <w:color w:val="111111"/>
          <w:sz w:val="28"/>
          <w:szCs w:val="28"/>
          <w:rtl w:val="true"/>
          <w:lang w:bidi="ar-SA"/>
        </w:rPr>
        <w:t>]</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أعجَبَ مِن إقدامِكَ علَى ادّعاءِ رُجوعِ أميرِ المؤمِنينَ عليه السلامُ إلىٰ غيرِه في معرفةِ الشرائعِ ، مع ظُهورِ بُطلانِ هذه الدَّعوىٰ لكُلِّ عاقلٍ سَمِعَ</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شخصه واحداً بعد واحد؛ و لا نفتقر في العلم بالشرع إلى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العلم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الأخبارَ</w:t>
      </w:r>
      <w:r>
        <w:rPr>
          <w:rStyle w:val="FootnoteAnchor"/>
          <w:rtl w:val="true"/>
        </w:rPr>
        <w:footnoteReference w:id="2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w:t>
      </w:r>
      <w:r>
        <w:rPr>
          <w:rStyle w:val="FootnoteAnchor"/>
          <w:rtl w:val="true"/>
        </w:rPr>
        <w:footnoteReference w:id="2313"/>
      </w:r>
      <w:r>
        <w:rPr>
          <w:rFonts w:ascii="Amiri" w:hAnsi="Amiri" w:eastAsia="Amiri" w:cs="Amiri"/>
          <w:color w:val="111111"/>
          <w:sz w:val="28"/>
          <w:sz w:val="28"/>
          <w:szCs w:val="28"/>
          <w:rtl w:val="true"/>
          <w:lang w:bidi="ar-SA"/>
        </w:rPr>
        <w:t>ما يَدُلُّ علىٰ بُطلانِها أنّكَ لَم تُشِرْ إلىٰ شيءٍ رَجَعَ فيه إلىٰ غيرِه مِن الأحكامِ، و أرسَلتَ القَولَ به إرسالاً، فِعلَ مَن لا خِلافَ عليه</w:t>
      </w:r>
      <w:r>
        <w:rPr>
          <w:rStyle w:val="FootnoteAnchor"/>
          <w:rtl w:val="true"/>
        </w:rPr>
        <w:footnoteReference w:id="2314"/>
      </w:r>
      <w:r>
        <w:rPr>
          <w:rFonts w:ascii="Amiri" w:hAnsi="Amiri" w:eastAsia="Amiri" w:cs="Amiri"/>
          <w:color w:val="111111"/>
          <w:sz w:val="28"/>
          <w:sz w:val="28"/>
          <w:szCs w:val="28"/>
          <w:rtl w:val="true"/>
          <w:lang w:bidi="ar-SA"/>
        </w:rPr>
        <w:t>و لا نِزاعَ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يَستَجيزُ مُنصِفٌ مِثلَ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قد</w:t>
      </w:r>
      <w:r>
        <w:rPr>
          <w:rStyle w:val="FootnoteAnchor"/>
          <w:rtl w:val="true"/>
        </w:rPr>
        <w:footnoteReference w:id="2315"/>
      </w:r>
      <w:r>
        <w:rPr>
          <w:rFonts w:ascii="Amiri" w:hAnsi="Amiri" w:eastAsia="Amiri" w:cs="Amiri"/>
          <w:color w:val="111111"/>
          <w:sz w:val="28"/>
          <w:sz w:val="28"/>
          <w:szCs w:val="28"/>
          <w:rtl w:val="true"/>
          <w:lang w:bidi="ar-SA"/>
        </w:rPr>
        <w:t>تَظاهَرَت به الروايةُ و أطبَقَ عليه الوليُّ و العدوُّ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إلَى اليَمَنِ،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أتَبعَثُ </w:t>
      </w:r>
    </w:p>
    <w:p>
      <w:pPr>
        <w:pStyle w:val="BookText"/>
        <w:rPr/>
      </w:pPr>
      <w:r>
        <w:rPr>
          <w:rFonts w:ascii="Amiri" w:hAnsi="Amiri" w:eastAsia="Amiri" w:cs="Amiri"/>
          <w:color w:val="111111"/>
          <w:sz w:val="28"/>
          <w:sz w:val="28"/>
          <w:szCs w:val="28"/>
          <w:rtl w:val="true"/>
          <w:lang w:bidi="ar-SA"/>
        </w:rPr>
        <w:t>بي</w:t>
      </w:r>
      <w:r>
        <w:rPr>
          <w:rStyle w:val="FootnoteAnchor"/>
          <w:rtl w:val="true"/>
        </w:rPr>
        <w:footnoteReference w:id="2319"/>
      </w:r>
      <w:r>
        <w:rPr>
          <w:rFonts w:ascii="Amiri" w:hAnsi="Amiri" w:eastAsia="Amiri" w:cs="Amiri"/>
          <w:color w:val="111111"/>
          <w:sz w:val="28"/>
          <w:sz w:val="28"/>
          <w:szCs w:val="28"/>
          <w:rtl w:val="true"/>
          <w:lang w:bidi="ar-SA"/>
        </w:rPr>
        <w:t>و أنا شابٌّ و</w:t>
      </w:r>
      <w:r>
        <w:rPr>
          <w:rStyle w:val="FootnoteAnchor"/>
          <w:rtl w:val="true"/>
        </w:rPr>
        <w:footnoteReference w:id="2320"/>
      </w:r>
      <w:r>
        <w:rPr>
          <w:rFonts w:ascii="Amiri" w:hAnsi="Amiri" w:eastAsia="Amiri" w:cs="Amiri"/>
          <w:color w:val="111111"/>
          <w:sz w:val="28"/>
          <w:sz w:val="28"/>
          <w:szCs w:val="28"/>
          <w:rtl w:val="true"/>
          <w:lang w:bidi="ar-SA"/>
        </w:rPr>
        <w:t>لا عِلمَ لي بكَثيرٍ مِن الأحكامِ؟ فضَرَبَ بيَدِه علىٰ صَدري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بَينَ اثنَينِ</w:t>
      </w:r>
      <w:r>
        <w:rPr>
          <w:rFonts w:eastAsia="Amiri" w:cs="Amiri" w:ascii="Amiri" w:hAnsi="Amiri"/>
          <w:color w:val="111111"/>
          <w:sz w:val="28"/>
          <w:szCs w:val="28"/>
          <w:rtl w:val="true"/>
          <w:lang w:bidi="ar-SA"/>
        </w:rPr>
        <w:t>»</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يَجوزُ أن يَكونَ أقضَى الأُمّةِ، و مَن الحَقُّ معه في كُلِّ حالٍ، و مَن هو</w:t>
      </w:r>
    </w:p>
    <w:p>
      <w:pPr>
        <w:pStyle w:val="BookText"/>
        <w:rPr/>
      </w:pPr>
      <w:r>
        <w:rPr>
          <w:rFonts w:ascii="Amiri" w:hAnsi="Amiri" w:eastAsia="Amiri" w:cs="Amiri"/>
          <w:color w:val="111111"/>
          <w:sz w:val="28"/>
          <w:sz w:val="28"/>
          <w:szCs w:val="28"/>
          <w:rtl w:val="true"/>
          <w:lang w:bidi="ar-SA"/>
        </w:rPr>
        <w:t>بابُ‌</w:t>
      </w:r>
      <w:r>
        <w:rPr>
          <w:rStyle w:val="FootnoteAnchor"/>
          <w:rtl w:val="true"/>
        </w:rPr>
        <w:footnoteReference w:id="2322"/>
      </w:r>
      <w:r>
        <w:rPr>
          <w:rFonts w:ascii="Amiri" w:hAnsi="Amiri" w:eastAsia="Amiri" w:cs="Amiri"/>
          <w:color w:val="111111"/>
          <w:sz w:val="28"/>
          <w:sz w:val="28"/>
          <w:szCs w:val="28"/>
          <w:rtl w:val="true"/>
          <w:lang w:bidi="ar-SA"/>
        </w:rPr>
        <w:t>العِلمِ و الحِكمةِ يَرجِعُ إلىٰ غيرِه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يَرجِعُ في الأحكامِ إلىٰ غيرِه</w:t>
      </w:r>
      <w:r>
        <w:rPr>
          <w:rStyle w:val="FootnoteAnchor"/>
          <w:rtl w:val="true"/>
        </w:rPr>
        <w:footnoteReference w:id="2323"/>
      </w:r>
      <w:r>
        <w:rPr>
          <w:rFonts w:ascii="Amiri" w:hAnsi="Amiri" w:eastAsia="Amiri" w:cs="Amiri"/>
          <w:color w:val="111111"/>
          <w:sz w:val="28"/>
          <w:sz w:val="28"/>
          <w:szCs w:val="28"/>
          <w:rtl w:val="true"/>
          <w:lang w:bidi="ar-SA"/>
        </w:rPr>
        <w:t>إلّامَن ذَهَبَ عنه بعضُها، و افتَقَرَ إلىٰ معرفةِ غيرِه فيها، و مَن هذا حُكمُه</w:t>
      </w:r>
      <w:r>
        <w:rPr>
          <w:rStyle w:val="FootnoteAnchor"/>
          <w:rtl w:val="true"/>
        </w:rPr>
        <w:footnoteReference w:id="2324"/>
      </w:r>
      <w:r>
        <w:rPr>
          <w:rFonts w:ascii="Amiri" w:hAnsi="Amiri" w:eastAsia="Amiri" w:cs="Amiri"/>
          <w:color w:val="111111"/>
          <w:sz w:val="28"/>
          <w:sz w:val="28"/>
          <w:szCs w:val="28"/>
          <w:rtl w:val="true"/>
          <w:lang w:bidi="ar-SA"/>
        </w:rPr>
        <w:t>لا يَجوزُ أن يَكونَ أقضَى الأُمّةِ؛ لأنّ أقضاها لا يَجوزُ أن يَعزُبَ‌</w:t>
      </w:r>
      <w:r>
        <w:rPr>
          <w:rStyle w:val="FootnoteAnchor"/>
          <w:rtl w:val="true"/>
        </w:rPr>
        <w:footnoteReference w:id="2325"/>
      </w:r>
      <w:r>
        <w:rPr>
          <w:rFonts w:ascii="Amiri" w:hAnsi="Amiri" w:eastAsia="Amiri" w:cs="Amiri"/>
          <w:color w:val="111111"/>
          <w:sz w:val="28"/>
          <w:sz w:val="28"/>
          <w:szCs w:val="28"/>
          <w:rtl w:val="true"/>
          <w:lang w:bidi="ar-SA"/>
        </w:rPr>
        <w:t>عنه عِلمُ شيءٍ‌</w:t>
      </w:r>
      <w:r>
        <w:rPr>
          <w:rStyle w:val="FootnoteAnchor"/>
          <w:rtl w:val="true"/>
        </w:rPr>
        <w:footnoteReference w:id="2326"/>
      </w:r>
      <w:r>
        <w:rPr>
          <w:rFonts w:ascii="Amiri" w:hAnsi="Amiri" w:eastAsia="Amiri" w:cs="Amiri"/>
          <w:color w:val="111111"/>
          <w:sz w:val="28"/>
          <w:sz w:val="28"/>
          <w:szCs w:val="28"/>
          <w:rtl w:val="true"/>
          <w:lang w:bidi="ar-SA"/>
        </w:rPr>
        <w:t>مِن القَضايا و الأحكامِ‌</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المعلومُ خِلافُ ما ادَّعاهُ صاحبُ الكتابِ؛ لأنّه</w:t>
      </w:r>
      <w:r>
        <w:rPr>
          <w:rStyle w:val="FootnoteAnchor"/>
          <w:rtl w:val="true"/>
        </w:rPr>
        <w:footnoteReference w:id="2328"/>
      </w:r>
      <w:r>
        <w:rPr>
          <w:rFonts w:ascii="Amiri" w:hAnsi="Amiri" w:eastAsia="Amiri" w:cs="Amiri"/>
          <w:color w:val="111111"/>
          <w:sz w:val="28"/>
          <w:sz w:val="28"/>
          <w:szCs w:val="28"/>
          <w:rtl w:val="true"/>
          <w:lang w:bidi="ar-SA"/>
        </w:rPr>
        <w:t xml:space="preserve">لا اختلافَ بَينَ أهلِ النقلِ في رجوعِ مَن تَولَّى الأمرَ بَعدَ النبيِّ صَلَّى اللّٰهُ عليه و آلِه في مُعضِلاتِ الأحكامِ </w:t>
      </w:r>
    </w:p>
    <w:p>
      <w:pPr>
        <w:pStyle w:val="BookText"/>
        <w:rPr/>
      </w:pPr>
      <w:r>
        <w:rPr>
          <w:rFonts w:ascii="Amiri" w:hAnsi="Amiri" w:eastAsia="Amiri" w:cs="Amiri"/>
          <w:color w:val="111111"/>
          <w:sz w:val="28"/>
          <w:sz w:val="28"/>
          <w:szCs w:val="28"/>
          <w:rtl w:val="true"/>
          <w:lang w:bidi="ar-SA"/>
        </w:rPr>
        <w:t>و مُشتَبِهاتِ الأُمورِ إليه، و أنّهم كانوا يَستَضيئونَ برأيِه، و يَستَمِدّونَ‌</w:t>
      </w:r>
      <w:r>
        <w:rPr>
          <w:rStyle w:val="FootnoteAnchor"/>
          <w:rtl w:val="true"/>
        </w:rPr>
        <w:footnoteReference w:id="2329"/>
      </w:r>
      <w:r>
        <w:rPr>
          <w:rFonts w:ascii="Amiri" w:hAnsi="Amiri" w:eastAsia="Amiri" w:cs="Amiri"/>
          <w:color w:val="111111"/>
          <w:sz w:val="28"/>
          <w:sz w:val="28"/>
          <w:szCs w:val="28"/>
          <w:rtl w:val="true"/>
          <w:lang w:bidi="ar-SA"/>
        </w:rPr>
        <w:t>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عِشتُ لِمُعضِلةٍ لا يَكونُ لها أبو حَسَنٍ‌</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2332"/>
      </w:r>
      <w:r>
        <w:rPr>
          <w:rFonts w:ascii="Amiri" w:hAnsi="Amiri" w:eastAsia="Amiri" w:cs="Amiri"/>
          <w:color w:val="111111"/>
          <w:sz w:val="28"/>
          <w:sz w:val="28"/>
          <w:szCs w:val="28"/>
          <w:rtl w:val="true"/>
          <w:lang w:bidi="ar-SA"/>
        </w:rPr>
        <w:t>معروفٌ ظاهرٌ</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يَسوغُ لصاحبِ الكتابِ أن يَعكِسَ الأمرَ و يَقلِبَه، و يَجعَلَ ما هو ظاهرٌ مِن الافتقارِ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إلىٰ فَتاويهِ و أحكامِه رجوعاً مِنه إلىٰ غيرِه؟ و هذه مكابَرةٌ لا تَخفىٰ علىٰ أحدٍ</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الرجوعُ مِن رأيٍ إلىٰ رأيٍ‌</w:t>
      </w:r>
      <w:r>
        <w:rPr>
          <w:rStyle w:val="FootnoteAnchor"/>
          <w:rtl w:val="true"/>
        </w:rPr>
        <w:footnoteReference w:id="2335"/>
      </w:r>
      <w:r>
        <w:rPr>
          <w:rFonts w:ascii="Amiri" w:hAnsi="Amiri" w:eastAsia="Amiri" w:cs="Amiri"/>
          <w:color w:val="111111"/>
          <w:sz w:val="28"/>
          <w:sz w:val="28"/>
          <w:szCs w:val="28"/>
          <w:rtl w:val="true"/>
          <w:lang w:bidi="ar-SA"/>
        </w:rPr>
        <w:t xml:space="preserve">آخَرَ، فقَد بيّنّا أنّه باطلٌ، و أنّ أكثَرَ ما يُتعلَّقُ به </w:t>
      </w:r>
    </w:p>
    <w:p>
      <w:pPr>
        <w:pStyle w:val="BookText"/>
        <w:rPr/>
      </w:pPr>
      <w:r>
        <w:rPr>
          <w:rFonts w:ascii="Amiri" w:hAnsi="Amiri" w:eastAsia="Amiri" w:cs="Amiri"/>
          <w:color w:val="111111"/>
          <w:sz w:val="28"/>
          <w:sz w:val="28"/>
          <w:szCs w:val="28"/>
          <w:rtl w:val="true"/>
          <w:lang w:bidi="ar-SA"/>
        </w:rPr>
        <w:t>خبرُ</w:t>
      </w:r>
      <w:r>
        <w:rPr>
          <w:rStyle w:val="FootnoteAnchor"/>
          <w:rtl w:val="true"/>
        </w:rPr>
        <w:footnoteReference w:id="2336"/>
      </w:r>
      <w:r>
        <w:rPr>
          <w:rFonts w:ascii="Amiri" w:hAnsi="Amiri" w:eastAsia="Amiri" w:cs="Amiri"/>
          <w:color w:val="111111"/>
          <w:sz w:val="28"/>
          <w:sz w:val="28"/>
          <w:szCs w:val="28"/>
          <w:rtl w:val="true"/>
          <w:lang w:bidi="ar-SA"/>
        </w:rPr>
        <w:t>عبيدةَ السَّلمانيِّ، و قد قُلنا ما عِندَنا فيه</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صاحبَ الكتابِ ذَكَرَ شيئاً</w:t>
      </w:r>
      <w:r>
        <w:rPr>
          <w:rStyle w:val="FootnoteAnchor"/>
          <w:rtl w:val="true"/>
        </w:rPr>
        <w:footnoteReference w:id="2338"/>
      </w:r>
      <w:r>
        <w:rPr>
          <w:rFonts w:ascii="Amiri" w:hAnsi="Amiri" w:eastAsia="Amiri" w:cs="Amiri"/>
          <w:color w:val="111111"/>
          <w:sz w:val="28"/>
          <w:sz w:val="28"/>
          <w:szCs w:val="28"/>
          <w:rtl w:val="true"/>
          <w:lang w:bidi="ar-SA"/>
        </w:rPr>
        <w:t>يُمكِنُ أن يَكونَ شُبهةً في الرجوعِ عن</w:t>
      </w:r>
      <w:r>
        <w:rPr>
          <w:rStyle w:val="FootnoteAnchor"/>
          <w:rtl w:val="true"/>
        </w:rPr>
        <w:footnoteReference w:id="2339"/>
      </w:r>
      <w:r>
        <w:rPr>
          <w:rFonts w:ascii="Amiri" w:hAnsi="Amiri" w:eastAsia="Amiri" w:cs="Amiri"/>
          <w:color w:val="111111"/>
          <w:sz w:val="28"/>
          <w:sz w:val="28"/>
          <w:szCs w:val="28"/>
          <w:rtl w:val="true"/>
          <w:lang w:bidi="ar-SA"/>
        </w:rPr>
        <w:t>المَذهَبِ، و التنقُّلِ‌</w:t>
      </w:r>
      <w:r>
        <w:rPr>
          <w:rStyle w:val="FootnoteAnchor"/>
          <w:rtl w:val="true"/>
        </w:rPr>
        <w:footnoteReference w:id="2340"/>
      </w:r>
      <w:r>
        <w:rPr>
          <w:rFonts w:ascii="Amiri" w:hAnsi="Amiri" w:eastAsia="Amiri" w:cs="Amiri"/>
          <w:color w:val="111111"/>
          <w:sz w:val="28"/>
          <w:sz w:val="28"/>
          <w:szCs w:val="28"/>
          <w:rtl w:val="true"/>
          <w:lang w:bidi="ar-SA"/>
        </w:rPr>
        <w:t>في الآراءِ، لَبيّنّا كيفَ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2341"/>
      </w:r>
      <w:r>
        <w:rPr>
          <w:rFonts w:ascii="Amiri" w:hAnsi="Amiri" w:eastAsia="Amiri" w:cs="Amiri"/>
          <w:color w:val="111111"/>
          <w:sz w:val="28"/>
          <w:sz w:val="28"/>
          <w:szCs w:val="28"/>
          <w:rtl w:val="true"/>
          <w:lang w:bidi="ar-SA"/>
        </w:rPr>
        <w:t>تَركُه عليه السلامُ الإنكارَ علىٰ مَن لا يَتَّبِعُ قَولَه، فقَد بيّنّا أنّ النَّكيرَ علىٰ ضُروبٍ، و أنّه عليه السلامُ كانَ‌</w:t>
      </w:r>
      <w:r>
        <w:rPr>
          <w:rStyle w:val="FootnoteAnchor"/>
          <w:rtl w:val="true"/>
        </w:rPr>
        <w:footnoteReference w:id="2342"/>
      </w:r>
      <w:r>
        <w:rPr>
          <w:rFonts w:ascii="Amiri" w:hAnsi="Amiri" w:eastAsia="Amiri" w:cs="Amiri"/>
          <w:color w:val="111111"/>
          <w:sz w:val="28"/>
          <w:sz w:val="28"/>
          <w:szCs w:val="28"/>
          <w:rtl w:val="true"/>
          <w:lang w:bidi="ar-SA"/>
        </w:rPr>
        <w:t>يَستَعمِلُ مع مُخالِفيه في الأحكامِ ما يَجِبُ استعمالُه في مِثلِها مِن</w:t>
      </w:r>
      <w:r>
        <w:rPr>
          <w:rStyle w:val="FootnoteAnchor"/>
          <w:rtl w:val="true"/>
        </w:rPr>
        <w:footnoteReference w:id="2343"/>
      </w:r>
      <w:r>
        <w:rPr>
          <w:rFonts w:ascii="Amiri" w:hAnsi="Amiri" w:eastAsia="Amiri" w:cs="Amiri"/>
          <w:color w:val="111111"/>
          <w:sz w:val="28"/>
          <w:sz w:val="28"/>
          <w:szCs w:val="28"/>
          <w:rtl w:val="true"/>
          <w:lang w:bidi="ar-SA"/>
        </w:rPr>
        <w:t xml:space="preserve">المُناظَرةِ و الدُّعاءِ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يَجِبُ أن يَجرِيَ كُلُّ خِلافٍ مَجرَى الخِلافِ في اتّباعِ قَولِ الرسولِ صلَّى اللّٰهُ عليه و آلِه</w:t>
      </w:r>
      <w:r>
        <w:rPr>
          <w:rStyle w:val="FootnoteAnchor"/>
          <w:rtl w:val="true"/>
        </w:rPr>
        <w:footnoteReference w:id="2345"/>
      </w:r>
      <w:r>
        <w:rPr>
          <w:rFonts w:ascii="Amiri" w:hAnsi="Amiri" w:eastAsia="Amiri" w:cs="Amiri"/>
          <w:color w:val="111111"/>
          <w:sz w:val="28"/>
          <w:sz w:val="28"/>
          <w:szCs w:val="28"/>
          <w:rtl w:val="true"/>
          <w:lang w:bidi="ar-SA"/>
        </w:rPr>
        <w:t>، إن أُريدَ بالخِلافِ أيضاً</w:t>
      </w:r>
      <w:r>
        <w:rPr>
          <w:rStyle w:val="FootnoteAnchor"/>
          <w:rtl w:val="true"/>
        </w:rPr>
        <w:footnoteReference w:id="2346"/>
      </w:r>
      <w:r>
        <w:rPr>
          <w:rFonts w:ascii="Amiri" w:hAnsi="Amiri" w:eastAsia="Amiri" w:cs="Amiri"/>
          <w:color w:val="111111"/>
          <w:sz w:val="28"/>
          <w:sz w:val="28"/>
          <w:szCs w:val="28"/>
          <w:rtl w:val="true"/>
          <w:lang w:bidi="ar-SA"/>
        </w:rPr>
        <w:t>الواقعُ علىٰ طريقِ الشكِّ في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ما يَقَعُ مِن</w:t>
      </w:r>
      <w:r>
        <w:rPr>
          <w:rStyle w:val="FootnoteAnchor"/>
          <w:rtl w:val="true"/>
        </w:rPr>
        <w:footnoteReference w:id="2347"/>
      </w:r>
      <w:r>
        <w:rPr>
          <w:rFonts w:ascii="Amiri" w:hAnsi="Amiri" w:eastAsia="Amiri" w:cs="Amiri"/>
          <w:color w:val="111111"/>
          <w:sz w:val="28"/>
          <w:sz w:val="28"/>
          <w:szCs w:val="28"/>
          <w:rtl w:val="true"/>
          <w:lang w:bidi="ar-SA"/>
        </w:rPr>
        <w:t>الخِلافِ علىٰ طريقِ دُخولِ الشُّبهةِ في مُرادِه أو في</w:t>
      </w:r>
      <w:r>
        <w:rPr>
          <w:rStyle w:val="FootnoteAnchor"/>
          <w:rtl w:val="true"/>
        </w:rPr>
        <w:footnoteReference w:id="2348"/>
      </w:r>
      <w:r>
        <w:rPr>
          <w:rFonts w:ascii="Amiri" w:hAnsi="Amiri" w:eastAsia="Amiri" w:cs="Amiri"/>
          <w:color w:val="111111"/>
          <w:sz w:val="28"/>
          <w:sz w:val="28"/>
          <w:szCs w:val="28"/>
          <w:rtl w:val="true"/>
          <w:lang w:bidi="ar-SA"/>
        </w:rPr>
        <w:t xml:space="preserve">ثُبوتِ أمرِه بالشيءِ أو نَهيِه عنه، فقَد يَجوزُ أن يُستَعمَلَ في هذا الضَّربِ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 الدُّعاءُ الجميلُ ، دونَ غيرِه</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عِندَنا أنّ كُلَّ مَن خالَفَه عليه السلامُ </w:t>
      </w:r>
      <w:r>
        <w:rPr>
          <w:rStyle w:val="FootnoteAnchor"/>
          <w:rtl w:val="true"/>
        </w:rPr>
        <w:footnoteReference w:id="2349"/>
      </w:r>
      <w:r>
        <w:rPr>
          <w:rFonts w:ascii="Amiri" w:hAnsi="Amiri" w:eastAsia="Amiri" w:cs="Amiri"/>
          <w:color w:val="111111"/>
          <w:sz w:val="28"/>
          <w:sz w:val="28"/>
          <w:szCs w:val="28"/>
          <w:rtl w:val="true"/>
          <w:lang w:bidi="ar-SA"/>
        </w:rPr>
        <w:t xml:space="preserve">في الأحكامِ هذه صورتُه في أنّه رادٌّ لقَولِ النبيِّ </w:t>
      </w:r>
      <w:r>
        <w:rPr>
          <w:rStyle w:val="FootnoteAnchor"/>
          <w:rtl w:val="true"/>
        </w:rPr>
        <w:footnoteReference w:id="2350"/>
      </w:r>
      <w:r>
        <w:rPr>
          <w:rFonts w:ascii="Amiri" w:hAnsi="Amiri" w:eastAsia="Amiri" w:cs="Amiri"/>
          <w:color w:val="111111"/>
          <w:sz w:val="28"/>
          <w:sz w:val="28"/>
          <w:szCs w:val="28"/>
          <w:rtl w:val="true"/>
          <w:lang w:bidi="ar-SA"/>
        </w:rPr>
        <w:t xml:space="preserve">صلَّى اللّٰهُ عليه و آلِه مِن حَيثُ لا يَعلَمُ </w:t>
      </w:r>
      <w:r>
        <w:rPr>
          <w:rFonts w:eastAsia="Amiri" w:cs="Amiri" w:ascii="Amiri" w:hAnsi="Amiri"/>
          <w:color w:val="111111"/>
          <w:sz w:val="28"/>
          <w:szCs w:val="28"/>
          <w:rtl w:val="true"/>
          <w:lang w:bidi="ar-SA"/>
        </w:rPr>
        <w:t xml:space="preserve">. </w:t>
      </w:r>
      <w:bookmarkStart w:id="676" w:name="pg20044_771062"/>
    </w:p>
    <w:p>
      <w:pPr>
        <w:pStyle w:val="Heading4"/>
        <w:numPr>
          <w:ilvl w:val="3"/>
          <w:numId w:val="1"/>
        </w:numPr>
        <w:rPr/>
      </w:pPr>
      <w:bookmarkStart w:id="677" w:name="__RefHeading___Toc828748_2320776876"/>
      <w:bookmarkStart w:id="678" w:name="_Toc239"/>
      <w:bookmarkEnd w:id="676"/>
      <w:bookmarkEnd w:id="677"/>
      <w:r>
        <w:rPr>
          <w:rtl w:val="true"/>
        </w:rPr>
        <w:t>الدليل السابع إقامة الحدود و</w:t>
      </w:r>
      <w:r>
        <w:rPr>
          <w:rtl w:val="true"/>
        </w:rPr>
        <w:t>...</w:t>
      </w:r>
      <w:bookmarkEnd w:id="678"/>
    </w:p>
    <w:p>
      <w:pPr>
        <w:pStyle w:val="Heading5"/>
        <w:numPr>
          <w:ilvl w:val="4"/>
          <w:numId w:val="1"/>
        </w:numPr>
        <w:rPr/>
      </w:pPr>
      <w:bookmarkStart w:id="679" w:name="__RefHeading___Toc828750_2320776876"/>
      <w:bookmarkStart w:id="680" w:name="_Toc240"/>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Style w:val="FootnoteAnchor"/>
          <w:rtl w:val="true"/>
        </w:rPr>
        <w:footnoteReference w:id="2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أنّه لا بُدَّ مِن إمامٍ‌</w:t>
      </w:r>
      <w:r>
        <w:rPr>
          <w:rStyle w:val="FootnoteAnchor"/>
          <w:rtl w:val="true"/>
        </w:rPr>
        <w:footnoteReference w:id="2352"/>
      </w:r>
      <w:r>
        <w:rPr>
          <w:rFonts w:ascii="Amiri" w:hAnsi="Amiri" w:eastAsia="Amiri" w:cs="Amiri"/>
          <w:color w:val="111111"/>
          <w:sz w:val="28"/>
          <w:sz w:val="28"/>
          <w:szCs w:val="28"/>
          <w:rtl w:val="true"/>
          <w:lang w:bidi="ar-SA"/>
        </w:rPr>
        <w:t>يَقومُ بإقامةِ الحُدودِ، و تَنفيذِ الأحكامِ، و قِسمةِ الفَيءِ، و حِفظِ البَيضةِ، إلىٰ غيرِ ذلكَ، و أنّ قيامَه بذلكَ لا بُدَّ مِنه و إن لَم نَقُلْ أنّه يَحفَظُ الشرعَ، و معلومٌ مِن هذه الأُمورِ أنّها لا يَجوزُ</w:t>
      </w:r>
      <w:r>
        <w:rPr>
          <w:rStyle w:val="FootnoteAnchor"/>
          <w:rtl w:val="true"/>
        </w:rPr>
        <w:footnoteReference w:id="2353"/>
      </w:r>
      <w:r>
        <w:rPr>
          <w:rFonts w:ascii="Amiri" w:hAnsi="Amiri" w:eastAsia="Amiri" w:cs="Amiri"/>
          <w:color w:val="111111"/>
          <w:sz w:val="28"/>
          <w:sz w:val="28"/>
          <w:szCs w:val="28"/>
          <w:rtl w:val="true"/>
          <w:lang w:bidi="ar-SA"/>
        </w:rPr>
        <w:t>أن توكَلَ إلىٰ مَن يَجوزُ عليه فيها الغلطُ</w:t>
      </w:r>
      <w:r>
        <w:rPr>
          <w:rStyle w:val="FootnoteAnchor"/>
          <w:rtl w:val="true"/>
        </w:rPr>
        <w:footnoteReference w:id="2354"/>
      </w:r>
      <w:r>
        <w:rPr>
          <w:rFonts w:ascii="Amiri" w:hAnsi="Amiri" w:eastAsia="Amiri" w:cs="Amiri"/>
          <w:color w:val="111111"/>
          <w:sz w:val="28"/>
          <w:sz w:val="28"/>
          <w:szCs w:val="28"/>
          <w:rtl w:val="true"/>
          <w:lang w:bidi="ar-SA"/>
        </w:rPr>
        <w:t>لأنّها مِن بابِ الدِّينِ، فتجويزُ الغلطِ فيها كتجويزِ الغلطِ في سائرِ الشرائعِ، و ذلكَ لا يَصِحُّ إلّابأن يَكونَ معصوماً يؤمَنُ سهوُه و غلطُه</w:t>
      </w:r>
      <w:r>
        <w:rPr>
          <w:rStyle w:val="FootnoteAnchor"/>
          <w:rtl w:val="true"/>
        </w:rPr>
        <w:footnoteReference w:id="2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بعضُ</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w:t>
      </w:r>
      <w:r>
        <w:rPr>
          <w:rStyle w:val="FootnoteAnchor"/>
          <w:rtl w:val="true"/>
        </w:rPr>
        <w:footnoteReference w:id="2356"/>
      </w:r>
      <w:r>
        <w:rPr>
          <w:rFonts w:ascii="Amiri" w:hAnsi="Amiri" w:eastAsia="Amiri" w:cs="Amiri"/>
          <w:color w:val="111111"/>
          <w:sz w:val="28"/>
          <w:sz w:val="28"/>
          <w:szCs w:val="28"/>
          <w:rtl w:val="true"/>
          <w:lang w:bidi="ar-SA"/>
        </w:rPr>
        <w:t xml:space="preserve">بذلكَ أَولىٰ مِن بعضٍ ؛ لأنّ العِلّةَ واحدةٌ ، و في ذلكَ إثباتُ إمامٍ </w:t>
      </w:r>
      <w:bookmarkStart w:id="681" w:name="pg20044_771063"/>
    </w:p>
    <w:p>
      <w:pPr>
        <w:pStyle w:val="BookText"/>
        <w:rPr/>
      </w:pPr>
      <w:bookmarkEnd w:id="681"/>
      <w:r>
        <w:rPr>
          <w:rFonts w:ascii="Amiri" w:hAnsi="Amiri" w:eastAsia="Amiri" w:cs="Amiri"/>
          <w:color w:val="111111"/>
          <w:sz w:val="28"/>
          <w:sz w:val="28"/>
          <w:szCs w:val="28"/>
          <w:rtl w:val="true"/>
          <w:lang w:bidi="ar-SA"/>
        </w:rPr>
        <w:t>معصومٍ في كُلِّ زمانٍ ، علىٰ ما نَقولُه</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828752_2320776876"/>
      <w:bookmarkStart w:id="683" w:name="_Toc241"/>
      <w:bookmarkEnd w:id="682"/>
      <w:r>
        <w:rPr>
          <w:rtl w:val="true"/>
        </w:rPr>
        <w:t>رفض المصنّف لدلالة الدليل السابع علىٰ وجوب الإمامة</w:t>
      </w:r>
      <w:bookmarkEnd w:id="683"/>
    </w:p>
    <w:p>
      <w:pPr>
        <w:pStyle w:val="BookText"/>
        <w:rPr/>
      </w:pPr>
      <w:r>
        <w:rPr>
          <w:rFonts w:ascii="Amiri" w:hAnsi="Amiri" w:eastAsia="Amiri" w:cs="Amiri"/>
          <w:color w:val="111111"/>
          <w:sz w:val="28"/>
          <w:sz w:val="28"/>
          <w:szCs w:val="28"/>
          <w:rtl w:val="true"/>
          <w:lang w:bidi="ar-SA"/>
        </w:rPr>
        <w:t>يُقالُ‌</w:t>
      </w:r>
      <w:r>
        <w:rPr>
          <w:rStyle w:val="FootnoteAnchor"/>
          <w:rtl w:val="true"/>
        </w:rPr>
        <w:footnoteReference w:id="2358"/>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الطريقةُ أيضاً ممّا لا نَعتَمِدُه، و قد بيّنّا أنّ التعلُّقَ بإقامةِ الحُدودِ في وجوبِ الإمامةِ </w:t>
      </w:r>
      <w:r>
        <w:rPr>
          <w:rStyle w:val="FootnoteAnchor"/>
          <w:rtl w:val="true"/>
        </w:rPr>
        <w:footnoteReference w:id="2359"/>
      </w:r>
      <w:r>
        <w:rPr>
          <w:rFonts w:ascii="Amiri" w:hAnsi="Amiri" w:eastAsia="Amiri" w:cs="Amiri"/>
          <w:color w:val="111111"/>
          <w:sz w:val="28"/>
          <w:sz w:val="28"/>
          <w:szCs w:val="28"/>
          <w:rtl w:val="true"/>
          <w:lang w:bidi="ar-SA"/>
        </w:rPr>
        <w:t>غيرُ مُستَمِرٍّ</w:t>
      </w:r>
      <w:r>
        <w:rPr>
          <w:rStyle w:val="FootnoteAnchor"/>
          <w:rtl w:val="true"/>
        </w:rPr>
        <w:footnoteReference w:id="2360"/>
      </w:r>
      <w:r>
        <w:rPr>
          <w:rFonts w:ascii="Amiri" w:hAnsi="Amiri" w:eastAsia="Amiri" w:cs="Amiri"/>
          <w:color w:val="111111"/>
          <w:sz w:val="28"/>
          <w:sz w:val="28"/>
          <w:szCs w:val="28"/>
          <w:rtl w:val="true"/>
          <w:lang w:bidi="ar-SA"/>
        </w:rPr>
        <w:t xml:space="preserve">لأنّ العقلَ يُجوِّزُ أن لا يُتعبَّدَ بذلكَ أصلاً، و يُجوِّزُ أن يُنسَخَ عنّا بَعدَ التعبُّدِ به، و ألزَمْنا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بوجوبِ إقامةِ الحُدودِ في الدَّلالةِ علىٰ أنّ الإمامةَ واجبةٌ مِن طريقِ </w:t>
      </w:r>
      <w:r>
        <w:rPr>
          <w:rStyle w:val="FootnoteAnchor"/>
          <w:rtl w:val="true"/>
        </w:rPr>
        <w:footnoteReference w:id="2361"/>
      </w:r>
      <w:r>
        <w:rPr>
          <w:rFonts w:ascii="Amiri" w:hAnsi="Amiri" w:eastAsia="Amiri" w:cs="Amiri"/>
          <w:color w:val="111111"/>
          <w:sz w:val="28"/>
          <w:sz w:val="28"/>
          <w:szCs w:val="28"/>
          <w:rtl w:val="true"/>
          <w:lang w:bidi="ar-SA"/>
        </w:rPr>
        <w:t xml:space="preserve">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بإقامةِ الحُدودِ مُتَوجِّهاً إلَى الأئمّةِ في حالِ إمامتِهم، فلا يَجِبُ </w:t>
      </w:r>
      <w:r>
        <w:rPr>
          <w:rStyle w:val="FootnoteAnchor"/>
          <w:rtl w:val="true"/>
        </w:rPr>
        <w:footnoteReference w:id="2362"/>
      </w:r>
      <w:r>
        <w:rPr>
          <w:rFonts w:ascii="Amiri" w:hAnsi="Amiri" w:eastAsia="Amiri" w:cs="Amiri"/>
          <w:color w:val="111111"/>
          <w:sz w:val="28"/>
          <w:sz w:val="28"/>
          <w:szCs w:val="28"/>
          <w:rtl w:val="true"/>
          <w:lang w:bidi="ar-SA"/>
        </w:rPr>
        <w:t>إقامتُهم و التوصُّلُ إلىٰ كَونِهم أئمّةً بذلك</w:t>
      </w:r>
      <w:r>
        <w:rPr>
          <w:rStyle w:val="FootnoteAnchor"/>
          <w:rtl w:val="true"/>
        </w:rPr>
        <w:footnoteReference w:id="2363"/>
      </w:r>
      <w:r>
        <w:rPr>
          <w:rFonts w:ascii="Amiri" w:hAnsi="Amiri" w:eastAsia="Amiri" w:cs="Amiri"/>
          <w:color w:val="111111"/>
          <w:sz w:val="28"/>
          <w:sz w:val="28"/>
          <w:szCs w:val="28"/>
          <w:rtl w:val="true"/>
          <w:lang w:bidi="ar-SA"/>
        </w:rPr>
        <w:t>، و عارَضْنا بالزكاةِ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هذه الطريقةِ التي حَكيتَها علَى الترتيبِ الذي رتَّبتَه أظهَرُ مِن أن يَخفىٰ ، و إن كانَ أكثَرُ ما تَكلَّمتَ به عَلَيها</w:t>
      </w:r>
      <w:r>
        <w:rPr>
          <w:rStyle w:val="FootnoteAnchor"/>
          <w:rtl w:val="true"/>
        </w:rPr>
        <w:footnoteReference w:id="2364"/>
      </w:r>
      <w:r>
        <w:rPr>
          <w:rFonts w:ascii="Amiri" w:hAnsi="Amiri" w:eastAsia="Amiri" w:cs="Amiri"/>
          <w:color w:val="111111"/>
          <w:sz w:val="28"/>
          <w:sz w:val="28"/>
          <w:szCs w:val="28"/>
          <w:rtl w:val="true"/>
          <w:lang w:bidi="ar-SA"/>
        </w:rPr>
        <w:t>و استَعمَلتَه في رَدِّها فاسداً أيضاً غيرَ</w:t>
      </w:r>
      <w:r>
        <w:rPr>
          <w:rStyle w:val="FootnoteAnchor"/>
          <w:rtl w:val="true"/>
        </w:rPr>
        <w:footnoteReference w:id="2365"/>
      </w:r>
      <w:r>
        <w:rPr>
          <w:rFonts w:ascii="Amiri" w:hAnsi="Amiri" w:eastAsia="Amiri" w:cs="Amiri"/>
          <w:color w:val="111111"/>
          <w:sz w:val="28"/>
          <w:sz w:val="28"/>
          <w:szCs w:val="28"/>
          <w:rtl w:val="true"/>
          <w:lang w:bidi="ar-SA"/>
        </w:rPr>
        <w:t>مُستَمِرٍّ، و نَحنُ نُبينُ عنه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828754_2320776876"/>
      <w:bookmarkStart w:id="685" w:name="_Toc242"/>
      <w:bookmarkEnd w:id="684"/>
      <w:r>
        <w:rPr>
          <w:rtl w:val="true"/>
        </w:rPr>
        <w:t>إمكان الاستدلال بالدليل السابع علىٰ عصمة الإمام</w:t>
      </w:r>
      <w:bookmarkEnd w:id="68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يُتعلَّقَ بمعنىٰ هذه الطريقةِ ، علىٰ ضَربٍ مِن الترتيبِ ، في الدَّلالةِ </w:t>
      </w:r>
    </w:p>
    <w:p>
      <w:pPr>
        <w:pStyle w:val="BookText"/>
        <w:rPr/>
      </w:pPr>
      <w:r>
        <w:rPr>
          <w:rFonts w:ascii="Amiri" w:hAnsi="Amiri" w:eastAsia="Amiri" w:cs="Amiri"/>
          <w:color w:val="111111"/>
          <w:sz w:val="28"/>
          <w:sz w:val="28"/>
          <w:szCs w:val="28"/>
          <w:rtl w:val="true"/>
          <w:lang w:bidi="ar-SA"/>
        </w:rPr>
        <w:t>علىٰ وجوبِ عصمةِ الإمامِ،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عندَنا و عندَ مُخالِفينا أنّه لا بُدَّ مِن إمامٍ في الشريعةِ يَقومُ بالحُدودِ و تنفيذِ الأحكامِ، و إن اختَلَفنا</w:t>
      </w:r>
      <w:r>
        <w:rPr>
          <w:rStyle w:val="FootnoteAnchor"/>
          <w:rtl w:val="true"/>
        </w:rPr>
        <w:footnoteReference w:id="2366"/>
      </w:r>
      <w:r>
        <w:rPr>
          <w:rFonts w:ascii="Amiri" w:hAnsi="Amiri" w:eastAsia="Amiri" w:cs="Amiri"/>
          <w:color w:val="111111"/>
          <w:sz w:val="28"/>
          <w:sz w:val="28"/>
          <w:szCs w:val="28"/>
          <w:rtl w:val="true"/>
          <w:lang w:bidi="ar-SA"/>
        </w:rPr>
        <w:t>في عِلّةِ وجوبِ الإمامةِ، و اعتَمَدنا في وجوبِها علىٰ طريقةٍ، و اعتَمَدوا علىٰ أُخرىٰ؛ و إذا ثَبَتَ ذلكَ وَجَبَت</w:t>
      </w:r>
      <w:r>
        <w:rPr>
          <w:rStyle w:val="FootnoteAnchor"/>
          <w:rtl w:val="true"/>
        </w:rPr>
        <w:footnoteReference w:id="2367"/>
      </w:r>
      <w:r>
        <w:rPr>
          <w:rFonts w:ascii="Amiri" w:hAnsi="Amiri" w:eastAsia="Amiri" w:cs="Amiri"/>
          <w:color w:val="111111"/>
          <w:sz w:val="28"/>
          <w:sz w:val="28"/>
          <w:szCs w:val="28"/>
          <w:rtl w:val="true"/>
          <w:lang w:bidi="ar-SA"/>
        </w:rPr>
        <w:t xml:space="preserve">عصمتُه؛ لأنّه لَو لَم يَكُنْ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إمامٌ فيما قامَ به مِن الدِّينِ الذي مِن جُملتِه إقامةُ الحُدودِ و غيرُها، و واجبٌ عَلَينا الاقتداءُ به مِن حَيثُ قالَ 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وقوعُ الخَطإ مِنه في الدِّينِ ، و لَكُنّا إذا وَقَعَ مِنه ذلكَ مأمورينَ باتّباعِه فيه و الاقتداءِ به في فِعلِه، و هذا يؤدِّي إلىٰ أن نَكونَ مأمورينَ بالقَبيحِ علىٰ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فَسَدَ</w:t>
      </w:r>
    </w:p>
    <w:p>
      <w:pPr>
        <w:pStyle w:val="BookText"/>
        <w:rPr/>
      </w:pPr>
      <w:r>
        <w:rPr>
          <w:rFonts w:ascii="Amiri" w:hAnsi="Amiri" w:eastAsia="Amiri" w:cs="Amiri"/>
          <w:color w:val="111111"/>
          <w:sz w:val="28"/>
          <w:sz w:val="28"/>
          <w:szCs w:val="28"/>
          <w:rtl w:val="true"/>
          <w:lang w:bidi="ar-SA"/>
        </w:rPr>
        <w:t xml:space="preserve">أن نَكونَ مأمورينَ بالقَبيحِ ، وَجَبَ عصمةُ مِن أُمِرنا باتّباعِه و الاقتداءِ به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أُمِرنا باتّباعِ الإمامِ </w:t>
      </w:r>
      <w:r>
        <w:rPr>
          <w:rStyle w:val="FootnoteAnchor"/>
          <w:rtl w:val="true"/>
        </w:rPr>
        <w:footnoteReference w:id="2368"/>
      </w:r>
      <w:r>
        <w:rPr>
          <w:rFonts w:ascii="Amiri" w:hAnsi="Amiri" w:eastAsia="Amiri" w:cs="Amiri"/>
          <w:color w:val="111111"/>
          <w:sz w:val="28"/>
          <w:sz w:val="28"/>
          <w:szCs w:val="28"/>
          <w:rtl w:val="true"/>
          <w:lang w:bidi="ar-SA"/>
        </w:rPr>
        <w:t xml:space="preserve">و الاقتداءِ به فيما عَلِمنا صَوابَه مِن جهةِ </w:t>
      </w:r>
      <w:r>
        <w:rPr>
          <w:rStyle w:val="FootnoteAnchor"/>
          <w:rtl w:val="true"/>
        </w:rPr>
        <w:footnoteReference w:id="2369"/>
      </w:r>
      <w:r>
        <w:rPr>
          <w:rFonts w:ascii="Amiri" w:hAnsi="Amiri" w:eastAsia="Amiri" w:cs="Amiri"/>
          <w:color w:val="111111"/>
          <w:sz w:val="28"/>
          <w:sz w:val="28"/>
          <w:szCs w:val="28"/>
          <w:rtl w:val="true"/>
          <w:lang w:bidi="ar-SA"/>
        </w:rPr>
        <w:t>غيرِه، فنَحنُ نَتَّبِعُه في الذي نَعلَمُه صَواباً، و إذا أَخطأَ في بَعضِ الدِّينِ لَم نتَّبِعْه فيه</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هذا لَو كانَ صَحيحاً لَوَجَبَ أن لا يَكونَ بَينَ الإمامِ و بَينَ رعيّتِه مَزيّةٌ في مَعنَى الاقتداءِ به و الائتمامِ ، بَل اليَهودِ و النَّصارىٰ و الزَّنادِقةِ </w:t>
      </w:r>
      <w:r>
        <w:rPr>
          <w:rStyle w:val="FootnoteAnchor"/>
          <w:rtl w:val="true"/>
        </w:rPr>
        <w:footnoteReference w:id="2371"/>
      </w:r>
      <w:r>
        <w:rPr>
          <w:rFonts w:ascii="Amiri" w:hAnsi="Amiri" w:eastAsia="Amiri" w:cs="Amiri"/>
          <w:color w:val="111111"/>
          <w:sz w:val="28"/>
          <w:sz w:val="28"/>
          <w:szCs w:val="28"/>
          <w:rtl w:val="true"/>
          <w:lang w:bidi="ar-SA"/>
        </w:rPr>
        <w:t xml:space="preserve">لأنّ رَعيّةَ الإمامِ قد </w:t>
      </w:r>
      <w:bookmarkStart w:id="686" w:name="pg20044_771065"/>
    </w:p>
    <w:p>
      <w:pPr>
        <w:pStyle w:val="BookText"/>
        <w:rPr/>
      </w:pPr>
      <w:bookmarkEnd w:id="686"/>
      <w:r>
        <w:rPr>
          <w:rFonts w:ascii="Amiri" w:hAnsi="Amiri" w:eastAsia="Amiri" w:cs="Amiri"/>
          <w:color w:val="111111"/>
          <w:sz w:val="28"/>
          <w:sz w:val="28"/>
          <w:szCs w:val="28"/>
          <w:rtl w:val="true"/>
          <w:lang w:bidi="ar-SA"/>
        </w:rPr>
        <w:t>يُوافِقُ‌</w:t>
      </w:r>
      <w:r>
        <w:rPr>
          <w:rStyle w:val="FootnoteAnchor"/>
          <w:rtl w:val="true"/>
        </w:rPr>
        <w:footnoteReference w:id="2372"/>
      </w:r>
      <w:r>
        <w:rPr>
          <w:rFonts w:ascii="Amiri" w:hAnsi="Amiri" w:eastAsia="Amiri" w:cs="Amiri"/>
          <w:color w:val="111111"/>
          <w:sz w:val="28"/>
          <w:sz w:val="28"/>
          <w:szCs w:val="28"/>
          <w:rtl w:val="true"/>
          <w:lang w:bidi="ar-SA"/>
        </w:rPr>
        <w:t>بعضُهم بعضاً في المَذاهبِ، لا مِن حَيثُ ذَهَبَ إليه</w:t>
      </w:r>
      <w:r>
        <w:rPr>
          <w:rStyle w:val="FootnoteAnchor"/>
          <w:rtl w:val="true"/>
        </w:rPr>
        <w:footnoteReference w:id="2373"/>
      </w:r>
      <w:r>
        <w:rPr>
          <w:rFonts w:ascii="Amiri" w:hAnsi="Amiri" w:eastAsia="Amiri" w:cs="Amiri"/>
          <w:color w:val="111111"/>
          <w:sz w:val="28"/>
          <w:sz w:val="28"/>
          <w:szCs w:val="28"/>
          <w:rtl w:val="true"/>
          <w:lang w:bidi="ar-SA"/>
        </w:rPr>
        <w:t>ذلكَ البعضُ الموافِقُ، بَل مِن حَيثُ عُلِمَ بالدليلِ صحّتُه</w:t>
      </w:r>
      <w:r>
        <w:rPr>
          <w:rStyle w:val="FootnoteAnchor"/>
          <w:rtl w:val="true"/>
        </w:rPr>
        <w:footnoteReference w:id="2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قد يُوافِقُ المُسلِمونَ اليَهودَ و النَّصارىٰ في القَولِ بنُبوّةِ موسىٰ و عيسىٰ عَلَيهِما السلامُ، و تَعظيمِهما و تَفضيلِهما، لا مِن حَيثُ ذَهَبَت</w:t>
      </w:r>
      <w:r>
        <w:rPr>
          <w:rStyle w:val="FootnoteAnchor"/>
          <w:rtl w:val="true"/>
        </w:rPr>
        <w:footnoteReference w:id="2375"/>
      </w:r>
      <w:r>
        <w:rPr>
          <w:rFonts w:ascii="Amiri" w:hAnsi="Amiri" w:eastAsia="Amiri" w:cs="Amiri"/>
          <w:color w:val="111111"/>
          <w:sz w:val="28"/>
          <w:sz w:val="28"/>
          <w:szCs w:val="28"/>
          <w:rtl w:val="true"/>
          <w:lang w:bidi="ar-SA"/>
        </w:rPr>
        <w:t>اليَهودُ و النَّصارىٰ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نَعلَمُ أنّه لا إمامةَ لكُلِّ هؤلاءِ مِن حَيثُ الموافَقةِ، و إنّما يَكونُ </w:t>
      </w:r>
      <w:r>
        <w:rPr>
          <w:rStyle w:val="FootnoteAnchor"/>
          <w:rtl w:val="true"/>
        </w:rPr>
        <w:footnoteReference w:id="2376"/>
      </w:r>
      <w:r>
        <w:rPr>
          <w:rFonts w:ascii="Amiri" w:hAnsi="Amiri" w:eastAsia="Amiri" w:cs="Amiri"/>
          <w:color w:val="111111"/>
          <w:sz w:val="28"/>
          <w:sz w:val="28"/>
          <w:szCs w:val="28"/>
          <w:rtl w:val="true"/>
          <w:lang w:bidi="ar-SA"/>
        </w:rPr>
        <w:t>لَهُم إمامةٌ لَو اتُّبِعَت أقوالُهم و لَزِمَت مُوافَقتُها مِن حَيثُ قالوها و ذَهَبوا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 للإمامِ مَزيّةً في معنَى الاقتداءِ به و الائتمامِ علىٰ كُلِّ مَن لَيسَ بإمامٍ ، ثَبَتَ أنّ الاقتداءَ به واجبٌ مِن حَيثُ قالَ و فَعَلَ ، حتّىٰ يَكونَ قَولُه و</w:t>
      </w:r>
      <w:r>
        <w:rPr>
          <w:rStyle w:val="FootnoteAnchor"/>
          <w:rtl w:val="true"/>
        </w:rPr>
        <w:footnoteReference w:id="2377"/>
      </w:r>
      <w:r>
        <w:rPr>
          <w:rFonts w:ascii="Amiri" w:hAnsi="Amiri" w:eastAsia="Amiri" w:cs="Amiri"/>
          <w:color w:val="111111"/>
          <w:sz w:val="28"/>
          <w:sz w:val="28"/>
          <w:szCs w:val="28"/>
          <w:rtl w:val="true"/>
          <w:lang w:bidi="ar-SA"/>
        </w:rPr>
        <w:t xml:space="preserve">فِعلُه حُجّةً في صَوابِ ذلكَ الفِعلِ </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828756_2320776876"/>
      <w:bookmarkStart w:id="688" w:name="_Toc243"/>
      <w:bookmarkEnd w:id="687"/>
      <w:r>
        <w:rPr>
          <w:rtl w:val="true"/>
        </w:rPr>
        <w:t>تناقض كلام صاحب الكتاب</w:t>
      </w:r>
      <w:bookmarkEnd w:id="688"/>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Style w:val="FootnoteAnchor"/>
          <w:rtl w:val="true"/>
        </w:rPr>
        <w:footnoteReference w:id="2378"/>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الحُدودَ و الأحكامَ إنّما تَجِبُ‌</w:t>
      </w:r>
      <w:r>
        <w:rPr>
          <w:rStyle w:val="FootnoteAnchor"/>
          <w:rtl w:val="true"/>
        </w:rPr>
        <w:footnoteReference w:id="2379"/>
      </w:r>
      <w:r>
        <w:rPr>
          <w:rFonts w:ascii="Amiri" w:hAnsi="Amiri" w:eastAsia="Amiri" w:cs="Amiri"/>
          <w:color w:val="111111"/>
          <w:sz w:val="28"/>
          <w:sz w:val="28"/>
          <w:szCs w:val="28"/>
          <w:rtl w:val="true"/>
          <w:lang w:bidi="ar-SA"/>
        </w:rPr>
        <w:t xml:space="preserve">إقامتُها إذا كانَ إمامٌ </w:t>
      </w:r>
      <w:r>
        <w:rPr>
          <w:rStyle w:val="FootnoteAnchor"/>
          <w:rtl w:val="true"/>
        </w:rPr>
        <w:footnoteReference w:id="2380"/>
      </w:r>
      <w:r>
        <w:rPr>
          <w:rFonts w:ascii="Amiri" w:hAnsi="Amiri" w:eastAsia="Amiri" w:cs="Amiri"/>
          <w:color w:val="111111"/>
          <w:sz w:val="28"/>
          <w:sz w:val="28"/>
          <w:szCs w:val="28"/>
          <w:rtl w:val="true"/>
          <w:lang w:bidi="ar-SA"/>
        </w:rPr>
        <w:t>، فأمّا إذا</w:t>
      </w:r>
      <w:r>
        <w:rPr>
          <w:rStyle w:val="FootnoteAnchor"/>
          <w:rtl w:val="true"/>
        </w:rPr>
        <w:footnoteReference w:id="2381"/>
      </w:r>
      <w:r>
        <w:rPr>
          <w:rFonts w:ascii="Amiri" w:hAnsi="Amiri" w:eastAsia="Amiri" w:cs="Amiri"/>
          <w:color w:val="111111"/>
          <w:sz w:val="28"/>
          <w:sz w:val="28"/>
          <w:szCs w:val="28"/>
          <w:rtl w:val="true"/>
          <w:lang w:bidi="ar-SA"/>
        </w:rPr>
        <w:t xml:space="preserve">لَم يَكُنْ فلا تَجِبُ </w:t>
      </w:r>
      <w:r>
        <w:rPr>
          <w:rStyle w:val="FootnoteAnchor"/>
          <w:rtl w:val="true"/>
        </w:rPr>
        <w:footnoteReference w:id="2382"/>
      </w:r>
      <w:r>
        <w:rPr>
          <w:rFonts w:ascii="Amiri" w:hAnsi="Amiri" w:eastAsia="Amiri" w:cs="Amiri"/>
          <w:color w:val="111111"/>
          <w:sz w:val="28"/>
          <w:sz w:val="28"/>
          <w:szCs w:val="28"/>
          <w:rtl w:val="true"/>
          <w:lang w:bidi="ar-SA"/>
        </w:rPr>
        <w:t xml:space="preserve">إقامةُ ذلكَ ، بَل لا بُدَّ مِن سُقوطِ الحُدودِ كما </w:t>
      </w:r>
    </w:p>
    <w:p>
      <w:pPr>
        <w:pStyle w:val="BookText"/>
        <w:rPr/>
      </w:pPr>
      <w:r>
        <w:rPr>
          <w:rFonts w:ascii="Amiri" w:hAnsi="Amiri" w:eastAsia="Amiri" w:cs="Amiri"/>
          <w:color w:val="111111"/>
          <w:sz w:val="28"/>
          <w:sz w:val="28"/>
          <w:szCs w:val="28"/>
          <w:rtl w:val="true"/>
          <w:lang w:bidi="ar-SA"/>
        </w:rPr>
        <w:t>تَسقُطُ بالشُّبُهاتِ ، و مِن العُدولِ في بابِ الأحكامِ إلىٰ صُلحٍ و تَراضٍ و غيرِ ذلكَ ؛ فمِن أينَ أنّه لا بُدَّ مِن إمامٍ مع إمكانِ ذلكَ؟</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ذلكَ كما تَقولونَ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إقامةَ الإمامِ واجبةٌ، و لَسنا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الإمامِ </w:t>
      </w:r>
      <w:r>
        <w:rPr>
          <w:rStyle w:val="FootnoteAnchor"/>
          <w:rtl w:val="true"/>
        </w:rPr>
        <w:footnoteReference w:id="2384"/>
      </w:r>
      <w:r>
        <w:rPr>
          <w:rFonts w:ascii="Amiri" w:hAnsi="Amiri" w:eastAsia="Amiri" w:cs="Amiri"/>
          <w:color w:val="111111"/>
          <w:sz w:val="28"/>
          <w:sz w:val="28"/>
          <w:szCs w:val="28"/>
          <w:rtl w:val="true"/>
          <w:lang w:bidi="ar-SA"/>
        </w:rPr>
        <w:t xml:space="preserve">في كُلِّ زَمانٍ واجبٌ </w:t>
      </w:r>
      <w:r>
        <w:rPr>
          <w:rStyle w:val="FootnoteAnchor"/>
          <w:rtl w:val="true"/>
        </w:rPr>
        <w:footnoteReference w:id="2385"/>
      </w:r>
      <w:r>
        <w:rPr>
          <w:rFonts w:ascii="Amiri" w:hAnsi="Amiri" w:eastAsia="Amiri" w:cs="Amiri"/>
          <w:color w:val="111111"/>
          <w:sz w:val="28"/>
          <w:sz w:val="28"/>
          <w:szCs w:val="28"/>
          <w:rtl w:val="true"/>
          <w:lang w:bidi="ar-SA"/>
        </w:rPr>
        <w:t>لا بُدَّ مِنه، و طريقتُنا في ذلكَ مُخالِفةٌ لطريقتِكم، و إنّما وَجَّهنا الإلزامَ علىٰ عِلّتِكم، و نَحنُ مُخالِفونَ لكم فيها</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في هذا الفصلِ يَنقُضُ ما كنتَ اعتَمَدتَه في الاستدلالِ علىٰ وجوبِ الإمامةِ مِن طريقِ السمعِ؛ لأنّكَ تَعلَّقتَ بأمرِ اللّٰهِ تَعالىٰ بإقامةِ الحُدودِ،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كانَت مِن فُروضِ الإمامِ وَجَبَت</w:t>
      </w:r>
      <w:r>
        <w:rPr>
          <w:rStyle w:val="FootnoteAnchor"/>
          <w:rtl w:val="true"/>
        </w:rPr>
        <w:footnoteReference w:id="2387"/>
      </w:r>
      <w:r>
        <w:rPr>
          <w:rFonts w:ascii="Amiri" w:hAnsi="Amiri" w:eastAsia="Amiri" w:cs="Amiri"/>
          <w:color w:val="111111"/>
          <w:sz w:val="28"/>
          <w:sz w:val="28"/>
          <w:szCs w:val="28"/>
          <w:rtl w:val="true"/>
          <w:lang w:bidi="ar-SA"/>
        </w:rPr>
        <w:t>عَلَينا إقامتُه؛ لأنّ الأمرَ بالشيءِ أمرٌ بما لا يَتِمُّ إلّابه</w:t>
      </w:r>
      <w:r>
        <w:rPr>
          <w:rStyle w:val="FootnoteAnchor"/>
          <w:rtl w:val="true"/>
        </w:rPr>
        <w:footnoteReference w:id="2388"/>
      </w:r>
      <w:r>
        <w:rPr>
          <w:rFonts w:ascii="Amiri" w:hAnsi="Amiri" w:eastAsia="Amiri" w:cs="Amiri"/>
          <w:color w:val="111111"/>
          <w:sz w:val="28"/>
          <w:sz w:val="28"/>
          <w:szCs w:val="28"/>
          <w:rtl w:val="true"/>
          <w:lang w:bidi="ar-SA"/>
        </w:rPr>
        <w:t>، و أنتَ الآنَ قد أَلزَمتَ علَى الطريقةِ التي حَكَيتَها ما هو لازمٌ لكَ؛ لأنّكَ أَلزَمتَ أن تَكونَ‌</w:t>
      </w:r>
      <w:r>
        <w:rPr>
          <w:rStyle w:val="FootnoteAnchor"/>
          <w:rtl w:val="true"/>
        </w:rPr>
        <w:footnoteReference w:id="2389"/>
      </w:r>
      <w:r>
        <w:rPr>
          <w:rFonts w:ascii="Amiri" w:hAnsi="Amiri" w:eastAsia="Amiri" w:cs="Amiri"/>
          <w:color w:val="111111"/>
          <w:sz w:val="28"/>
          <w:sz w:val="28"/>
          <w:szCs w:val="28"/>
          <w:rtl w:val="true"/>
          <w:lang w:bidi="ar-SA"/>
        </w:rPr>
        <w:t>الحُدودُ و الأحكامُ تَجِبُ‌</w:t>
      </w:r>
      <w:r>
        <w:rPr>
          <w:rStyle w:val="FootnoteAnchor"/>
          <w:rtl w:val="true"/>
        </w:rPr>
        <w:footnoteReference w:id="2390"/>
      </w:r>
      <w:r>
        <w:rPr>
          <w:rFonts w:ascii="Amiri" w:hAnsi="Amiri" w:eastAsia="Amiri" w:cs="Amiri"/>
          <w:color w:val="111111"/>
          <w:sz w:val="28"/>
          <w:sz w:val="28"/>
          <w:szCs w:val="28"/>
          <w:rtl w:val="true"/>
          <w:lang w:bidi="ar-SA"/>
        </w:rPr>
        <w:t xml:space="preserve">إقامتُها عندَ حُصولِ الإمامِ ، و لا تَجِبُ </w:t>
      </w:r>
      <w:r>
        <w:rPr>
          <w:rStyle w:val="FootnoteAnchor"/>
          <w:rtl w:val="true"/>
        </w:rPr>
        <w:footnoteReference w:id="2391"/>
      </w:r>
      <w:r>
        <w:rPr>
          <w:rFonts w:ascii="Amiri" w:hAnsi="Amiri" w:eastAsia="Amiri" w:cs="Amiri"/>
          <w:color w:val="111111"/>
          <w:sz w:val="28"/>
          <w:sz w:val="28"/>
          <w:szCs w:val="28"/>
          <w:rtl w:val="true"/>
          <w:lang w:bidi="ar-SA"/>
        </w:rPr>
        <w:t>إقامتُه ليَقومَ بها، و هذا بِعَينِه لازمٌ لك</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يَفتَرِقُ الأمرانِ مِن حَيثُ كانَ خُصومُكَ يوجِبونَ إقامةَ الإمامِ علَى اللّٰهِ </w:t>
      </w:r>
      <w:bookmarkStart w:id="689" w:name="pg20044_771067"/>
    </w:p>
    <w:p>
      <w:pPr>
        <w:pStyle w:val="BookText"/>
        <w:rPr/>
      </w:pPr>
      <w:bookmarkEnd w:id="689"/>
      <w:r>
        <w:rPr>
          <w:rFonts w:ascii="Amiri" w:hAnsi="Amiri" w:eastAsia="Amiri" w:cs="Amiri"/>
          <w:color w:val="111111"/>
          <w:sz w:val="28"/>
          <w:sz w:val="28"/>
          <w:szCs w:val="28"/>
          <w:rtl w:val="true"/>
          <w:lang w:bidi="ar-SA"/>
        </w:rPr>
        <w:t>تَعالىٰ و توجِبُها أنتَ علَى العِبادِ؛ لأنّ لِقائلٍ أن يَقولَ لكَ‌</w:t>
      </w:r>
      <w:r>
        <w:rPr>
          <w:rStyle w:val="FootnoteAnchor"/>
          <w:rtl w:val="true"/>
        </w:rPr>
        <w:footnoteReference w:id="2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تَعالىٰ قد أمَرَ بإقامةِ الحُدودِ و الأحكامِ، و عَلِمنا أنّه لا يَقومُ بِهما</w:t>
      </w:r>
      <w:r>
        <w:rPr>
          <w:rStyle w:val="FootnoteAnchor"/>
          <w:rtl w:val="true"/>
        </w:rPr>
        <w:footnoteReference w:id="2393"/>
      </w:r>
      <w:r>
        <w:rPr>
          <w:rFonts w:ascii="Amiri" w:hAnsi="Amiri" w:eastAsia="Amiri" w:cs="Amiri"/>
          <w:color w:val="111111"/>
          <w:sz w:val="28"/>
          <w:sz w:val="28"/>
          <w:szCs w:val="28"/>
          <w:rtl w:val="true"/>
          <w:lang w:bidi="ar-SA"/>
        </w:rPr>
        <w:t xml:space="preserve">إلّاالإمامُ، وَجَبَ عليه تَعالىٰ إقامتُه؛ لأنّ ما أَمَرَ به مِن إقامةِ الحُدودِ لا يَتِمُّ إلّابإقامةِ الإمامِ مِن جهتِه؛ لأنّ اختيارَه و هو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رَتَّبتَ‌</w:t>
      </w:r>
      <w:r>
        <w:rPr>
          <w:rStyle w:val="FootnoteAnchor"/>
          <w:rtl w:val="true"/>
        </w:rPr>
        <w:footnoteReference w:id="2394"/>
      </w:r>
      <w:r>
        <w:rPr>
          <w:rFonts w:ascii="Amiri" w:hAnsi="Amiri" w:eastAsia="Amiri" w:cs="Amiri"/>
          <w:color w:val="111111"/>
          <w:sz w:val="28"/>
          <w:sz w:val="28"/>
          <w:szCs w:val="28"/>
          <w:rtl w:val="true"/>
          <w:lang w:bidi="ar-SA"/>
        </w:rPr>
        <w:t xml:space="preserve">في الطريقةِ التي ناقَضْتَها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فإن جازَ أن يأمُرَ</w:t>
      </w:r>
      <w:r>
        <w:rPr>
          <w:rStyle w:val="FootnoteAnchor"/>
          <w:rtl w:val="true"/>
        </w:rPr>
        <w:footnoteReference w:id="2395"/>
      </w:r>
      <w:r>
        <w:rPr>
          <w:rFonts w:ascii="Amiri" w:hAnsi="Amiri" w:eastAsia="Amiri" w:cs="Amiri"/>
          <w:color w:val="111111"/>
          <w:sz w:val="28"/>
          <w:sz w:val="28"/>
          <w:szCs w:val="28"/>
          <w:rtl w:val="true"/>
          <w:lang w:bidi="ar-SA"/>
        </w:rPr>
        <w:t>بإقامةِ الحُدودِ</w:t>
      </w:r>
      <w:r>
        <w:rPr>
          <w:rStyle w:val="FootnoteAnchor"/>
          <w:rtl w:val="true"/>
        </w:rPr>
        <w:footnoteReference w:id="2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الأمرُ مُتَوجِّهاً إلَى الأئمّةِ مَتىٰ أقامَهم، و لا تَجِبَ‌</w:t>
      </w:r>
      <w:r>
        <w:rPr>
          <w:rStyle w:val="FootnoteAnchor"/>
          <w:rtl w:val="true"/>
        </w:rPr>
        <w:footnoteReference w:id="2397"/>
      </w:r>
      <w:r>
        <w:rPr>
          <w:rFonts w:ascii="Amiri" w:hAnsi="Amiri" w:eastAsia="Amiri" w:cs="Amiri"/>
          <w:color w:val="111111"/>
          <w:sz w:val="28"/>
          <w:sz w:val="28"/>
          <w:szCs w:val="28"/>
          <w:rtl w:val="true"/>
          <w:lang w:bidi="ar-SA"/>
        </w:rPr>
        <w:t>عليه إقامتُهم و إن كانَت إقامةُ الحُدودِ لا تَتِمُّ‌</w:t>
      </w:r>
      <w:r>
        <w:rPr>
          <w:rStyle w:val="FootnoteAnchor"/>
          <w:rtl w:val="true"/>
        </w:rPr>
        <w:footnoteReference w:id="2398"/>
      </w:r>
      <w:r>
        <w:rPr>
          <w:rFonts w:ascii="Amiri" w:hAnsi="Amiri" w:eastAsia="Amiri" w:cs="Amiri"/>
          <w:color w:val="111111"/>
          <w:sz w:val="28"/>
          <w:sz w:val="28"/>
          <w:szCs w:val="28"/>
          <w:rtl w:val="true"/>
          <w:lang w:bidi="ar-SA"/>
        </w:rPr>
        <w:t xml:space="preserve">إلّابذلكَ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أيضاً</w:t>
      </w:r>
      <w:r>
        <w:rPr>
          <w:rStyle w:val="FootnoteAnchor"/>
          <w:rtl w:val="true"/>
        </w:rPr>
        <w:footnoteReference w:id="2399"/>
      </w:r>
      <w:r>
        <w:rPr>
          <w:rFonts w:ascii="Amiri" w:hAnsi="Amiri" w:eastAsia="Amiri" w:cs="Amiri"/>
          <w:color w:val="111111"/>
          <w:sz w:val="28"/>
          <w:sz w:val="28"/>
          <w:szCs w:val="28"/>
          <w:rtl w:val="true"/>
          <w:lang w:bidi="ar-SA"/>
        </w:rPr>
        <w:t>أن يأمُرَ بإقامةِ الحُدودِ الأئمّةَ في حالِ إمامتِهم، و لا يَكونَ الخِطابُ مُتَوجِّهاً إليهم قَبلَ أن يَكونوا</w:t>
      </w:r>
    </w:p>
    <w:p>
      <w:pPr>
        <w:pStyle w:val="BookText"/>
        <w:rPr/>
      </w:pPr>
      <w:r>
        <w:rPr>
          <w:rFonts w:ascii="Amiri" w:hAnsi="Amiri" w:eastAsia="Amiri" w:cs="Amiri"/>
          <w:color w:val="111111"/>
          <w:sz w:val="28"/>
          <w:sz w:val="28"/>
          <w:szCs w:val="28"/>
          <w:rtl w:val="true"/>
          <w:lang w:bidi="ar-SA"/>
        </w:rPr>
        <w:t xml:space="preserve">أئمّةً فيَلزَمَهم مع غيرِهم التوَصُّلُ إلىٰ إقامةِ الإمامِ ، و إن كانَت إقامةُ الحُدودِ لا يُمكِنُ إلّا بإقامةِ الإمامِ </w:t>
      </w:r>
      <w:r>
        <w:rPr>
          <w:rStyle w:val="FootnoteAnchor"/>
          <w:rtl w:val="true"/>
        </w:rPr>
        <w:footnoteReference w:id="2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فَصلَ بَينَ الأمرَينِ </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828758_2320776876"/>
      <w:bookmarkStart w:id="691" w:name="_Toc244"/>
      <w:bookmarkEnd w:id="690"/>
      <w:r>
        <w:rPr>
          <w:rtl w:val="true"/>
        </w:rPr>
        <w:t>حالُ الحدود في زمن الغيبة</w:t>
      </w:r>
      <w:bookmarkEnd w:id="691"/>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خَبِّرونا عن هذه الحُدودِ و الأحكامِ في هذه الأزمِنةِ </w:t>
      </w:r>
      <w:r>
        <w:rPr>
          <w:rStyle w:val="FootnoteAnchor"/>
          <w:rtl w:val="true"/>
        </w:rPr>
        <w:footnoteReference w:id="2401"/>
      </w:r>
      <w:r>
        <w:rPr>
          <w:rFonts w:ascii="IRNazanin" w:hAnsi="IRNazanin" w:eastAsia="IRNazanin"/>
          <w:color w:val="111111"/>
          <w:sz w:val="28"/>
          <w:sz w:val="28"/>
          <w:szCs w:val="28"/>
          <w:rtl w:val="true"/>
          <w:lang w:bidi="fa-IR"/>
        </w:rPr>
        <w:t xml:space="preserve">، ما </w:t>
      </w:r>
    </w:p>
    <w:p>
      <w:pPr>
        <w:pStyle w:val="BookText"/>
        <w:rPr/>
      </w:pPr>
      <w:r>
        <w:rPr>
          <w:rFonts w:ascii="Amiri" w:hAnsi="Amiri" w:eastAsia="Amiri" w:cs="Amiri"/>
          <w:color w:val="111111"/>
          <w:sz w:val="28"/>
          <w:sz w:val="28"/>
          <w:szCs w:val="28"/>
          <w:rtl w:val="true"/>
          <w:lang w:bidi="ar-SA"/>
        </w:rPr>
        <w:t>حالُهما</w:t>
      </w:r>
      <w:r>
        <w:rPr>
          <w:rStyle w:val="FootnoteAnchor"/>
          <w:rtl w:val="true"/>
        </w:rPr>
        <w:footnoteReference w:id="2402"/>
      </w:r>
      <w:r>
        <w:rPr>
          <w:rFonts w:ascii="Amiri" w:hAnsi="Amiri" w:eastAsia="Amiri" w:cs="Amiri"/>
          <w:color w:val="111111"/>
          <w:sz w:val="28"/>
          <w:sz w:val="28"/>
          <w:szCs w:val="28"/>
          <w:rtl w:val="true"/>
          <w:lang w:bidi="ar-SA"/>
        </w:rPr>
        <w:t>و لَسنا</w:t>
      </w:r>
      <w:r>
        <w:rPr>
          <w:rStyle w:val="FootnoteAnchor"/>
          <w:rtl w:val="true"/>
        </w:rPr>
        <w:footnoteReference w:id="2403"/>
      </w:r>
      <w:r>
        <w:rPr>
          <w:rFonts w:ascii="Amiri" w:hAnsi="Amiri" w:eastAsia="Amiri" w:cs="Amiri"/>
          <w:color w:val="111111"/>
          <w:sz w:val="28"/>
          <w:sz w:val="28"/>
          <w:szCs w:val="28"/>
          <w:rtl w:val="true"/>
          <w:lang w:bidi="ar-SA"/>
        </w:rPr>
        <w:t>نَجِدُ إماماً ظاهراً يَقومُ بذلك و</w:t>
      </w:r>
      <w:r>
        <w:rPr>
          <w:rStyle w:val="FootnoteAnchor"/>
          <w:rtl w:val="true"/>
        </w:rPr>
        <w:footnoteReference w:id="2404"/>
      </w:r>
      <w:r>
        <w:rPr>
          <w:rFonts w:ascii="Amiri" w:hAnsi="Amiri" w:eastAsia="Amiri" w:cs="Amiri"/>
          <w:color w:val="111111"/>
          <w:sz w:val="28"/>
          <w:sz w:val="28"/>
          <w:szCs w:val="28"/>
          <w:rtl w:val="true"/>
          <w:lang w:bidi="ar-SA"/>
        </w:rPr>
        <w:t>يُمكِنُ الرجوعُ إليه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يَسقُطانِ ، و يُرجَعُ </w:t>
      </w:r>
      <w:r>
        <w:rPr>
          <w:rStyle w:val="FootnoteAnchor"/>
          <w:rtl w:val="true"/>
        </w:rPr>
        <w:footnoteReference w:id="2405"/>
      </w:r>
      <w:r>
        <w:rPr>
          <w:rFonts w:ascii="Amiri" w:hAnsi="Amiri" w:eastAsia="Amiri" w:cs="Amiri"/>
          <w:color w:val="111111"/>
          <w:sz w:val="28"/>
          <w:sz w:val="28"/>
          <w:szCs w:val="28"/>
          <w:rtl w:val="true"/>
          <w:lang w:bidi="ar-SA"/>
        </w:rPr>
        <w:t>فيهما إلىٰ ما ذَكَرناه</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مِثلَه في سائرِ الأزمان؛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أنّه لا بُدَّ مِن إمامٍ؟</w:t>
      </w:r>
      <w:r>
        <w:rPr>
          <w:rFonts w:eastAsia="Amiri" w:cs="Amiri" w:ascii="Amiri" w:hAnsi="Amiri"/>
          <w:color w:val="111111"/>
          <w:sz w:val="28"/>
          <w:szCs w:val="28"/>
          <w:rtl w:val="true"/>
          <w:lang w:bidi="ar-SA"/>
        </w:rPr>
        <w:t>]</w:t>
      </w:r>
      <w:r>
        <w:rPr>
          <w:rStyle w:val="FootnoteAnchor"/>
          <w:rtl w:val="true"/>
        </w:rPr>
        <w:footnoteReference w:id="2407"/>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تَسقُطُ</w:t>
      </w:r>
      <w:r>
        <w:rPr>
          <w:rStyle w:val="FootnoteAnchor"/>
          <w:rtl w:val="true"/>
        </w:rPr>
        <w:footnoteReference w:id="2408"/>
      </w:r>
      <w:r>
        <w:rPr>
          <w:rFonts w:ascii="Amiri" w:hAnsi="Amiri" w:eastAsia="Amiri" w:cs="Amiri"/>
          <w:color w:val="111111"/>
          <w:sz w:val="28"/>
          <w:sz w:val="28"/>
          <w:szCs w:val="28"/>
          <w:rtl w:val="true"/>
          <w:lang w:bidi="ar-SA"/>
        </w:rPr>
        <w:t xml:space="preserve">الحُدودُ في الزمانِ الذي لا يَتمكَّنُ الإمامُ فيه مِن الظهورِ و إقامتِها، بل هي ثابتةٌ في جُنوبِ </w:t>
      </w:r>
      <w:r>
        <w:rPr>
          <w:rStyle w:val="FootnoteAnchor"/>
          <w:rtl w:val="true"/>
        </w:rPr>
        <w:footnoteReference w:id="2409"/>
      </w:r>
      <w:r>
        <w:rPr>
          <w:rFonts w:ascii="Amiri" w:hAnsi="Amiri" w:eastAsia="Amiri" w:cs="Amiri"/>
          <w:color w:val="111111"/>
          <w:sz w:val="28"/>
          <w:sz w:val="28"/>
          <w:szCs w:val="28"/>
          <w:rtl w:val="true"/>
          <w:lang w:bidi="ar-SA"/>
        </w:rPr>
        <w:t>مُستَحِقّيها، فإن أدرَكَهم ظهورُه أقامَها عَلَيهم</w:t>
      </w:r>
      <w:r>
        <w:rPr>
          <w:rStyle w:val="FootnoteAnchor"/>
          <w:rtl w:val="true"/>
        </w:rPr>
        <w:footnoteReference w:id="2410"/>
      </w:r>
      <w:r>
        <w:rPr>
          <w:rFonts w:ascii="Amiri" w:hAnsi="Amiri" w:eastAsia="Amiri" w:cs="Amiri"/>
          <w:color w:val="111111"/>
          <w:sz w:val="28"/>
          <w:sz w:val="28"/>
          <w:szCs w:val="28"/>
          <w:rtl w:val="true"/>
          <w:lang w:bidi="ar-SA"/>
        </w:rPr>
        <w:t xml:space="preserve">، و إن لَم يُدرِكْهم ظهورُه فإنّ </w:t>
      </w:r>
      <w:r>
        <w:rPr>
          <w:rStyle w:val="FootnoteAnchor"/>
          <w:rtl w:val="true"/>
        </w:rPr>
        <w:footnoteReference w:id="2411"/>
      </w:r>
      <w:r>
        <w:rPr>
          <w:rFonts w:ascii="Amiri" w:hAnsi="Amiri" w:eastAsia="Amiri" w:cs="Amiri"/>
          <w:color w:val="111111"/>
          <w:sz w:val="28"/>
          <w:sz w:val="28"/>
          <w:szCs w:val="28"/>
          <w:rtl w:val="true"/>
          <w:lang w:bidi="ar-SA"/>
        </w:rPr>
        <w:t>اللّهَ تَعالَى المُتَولّي في القيامةِ الجَزاءَ بها</w:t>
      </w:r>
      <w:r>
        <w:rPr>
          <w:rStyle w:val="FootnoteAnchor"/>
          <w:rtl w:val="true"/>
        </w:rPr>
        <w:footnoteReference w:id="2412"/>
      </w:r>
      <w:r>
        <w:rPr>
          <w:rFonts w:ascii="Amiri" w:hAnsi="Amiri" w:eastAsia="Amiri" w:cs="Amiri"/>
          <w:color w:val="111111"/>
          <w:sz w:val="28"/>
          <w:sz w:val="28"/>
          <w:szCs w:val="28"/>
          <w:rtl w:val="true"/>
          <w:lang w:bidi="ar-SA"/>
        </w:rPr>
        <w:t>أو العفوَ</w:t>
      </w:r>
      <w:r>
        <w:rPr>
          <w:rStyle w:val="FootnoteAnchor"/>
          <w:rtl w:val="true"/>
        </w:rPr>
        <w:footnoteReference w:id="2413"/>
      </w:r>
      <w:r>
        <w:rPr>
          <w:rFonts w:ascii="Amiri" w:hAnsi="Amiri" w:eastAsia="Amiri" w:cs="Amiri"/>
          <w:color w:val="111111"/>
          <w:sz w:val="28"/>
          <w:sz w:val="28"/>
          <w:szCs w:val="28"/>
          <w:rtl w:val="true"/>
          <w:lang w:bidi="ar-SA"/>
        </w:rPr>
        <w:t>عنها، و الإثمُ في تأخيرِ إقامتِها</w:t>
      </w:r>
      <w:r>
        <w:rPr>
          <w:rStyle w:val="FootnoteAnchor"/>
          <w:rtl w:val="true"/>
        </w:rPr>
        <w:footnoteReference w:id="2414"/>
      </w:r>
      <w:r>
        <w:rPr>
          <w:rFonts w:ascii="Amiri" w:hAnsi="Amiri" w:eastAsia="Amiri" w:cs="Amiri"/>
          <w:color w:val="111111"/>
          <w:sz w:val="28"/>
          <w:sz w:val="28"/>
          <w:szCs w:val="28"/>
          <w:rtl w:val="true"/>
          <w:lang w:bidi="ar-SA"/>
        </w:rPr>
        <w:t>و المنعِ مِن استعمالِ الواجبِ فيها لازمٌ لِمَن أخافَ الإمامَ و ألجأَه إلَى الغَيبةِ و الاستتارِ</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لَيسَ </w:t>
      </w:r>
      <w:r>
        <w:rPr>
          <w:rStyle w:val="FootnoteAnchor"/>
          <w:rtl w:val="true"/>
        </w:rPr>
        <w:footnoteReference w:id="2416"/>
      </w:r>
      <w:r>
        <w:rPr>
          <w:rFonts w:ascii="Amiri" w:hAnsi="Amiri" w:eastAsia="Amiri" w:cs="Amiri"/>
          <w:color w:val="111111"/>
          <w:sz w:val="28"/>
          <w:sz w:val="28"/>
          <w:szCs w:val="28"/>
          <w:rtl w:val="true"/>
          <w:lang w:bidi="ar-SA"/>
        </w:rPr>
        <w:t>يَلزَمُ قياساً على هذا أن لا يُقيمَ اللّٰهُ تَعالىٰ إماماً؛ لأنّه إذا لَم يُقِمْه و سَقَطَت الحُدودُ التي تَقتَضيها</w:t>
      </w:r>
      <w:r>
        <w:rPr>
          <w:rStyle w:val="FootnoteAnchor"/>
          <w:rtl w:val="true"/>
        </w:rPr>
        <w:footnoteReference w:id="2417"/>
      </w:r>
      <w:r>
        <w:rPr>
          <w:rFonts w:ascii="Amiri" w:hAnsi="Amiri" w:eastAsia="Amiri" w:cs="Amiri"/>
          <w:color w:val="111111"/>
          <w:sz w:val="28"/>
          <w:sz w:val="28"/>
          <w:szCs w:val="28"/>
          <w:rtl w:val="true"/>
          <w:lang w:bidi="ar-SA"/>
        </w:rPr>
        <w:t xml:space="preserve">المَصلَحةُ ، كانَ تَعالىٰ هو المانعَ للعِبادِ ما فيه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w:t>
      </w:r>
      <w:r>
        <w:rPr>
          <w:rStyle w:val="FootnoteAnchor"/>
          <w:rtl w:val="true"/>
        </w:rPr>
        <w:footnoteReference w:id="2418"/>
      </w:r>
      <w:r>
        <w:rPr>
          <w:rFonts w:ascii="Amiri" w:hAnsi="Amiri" w:eastAsia="Amiri" w:cs="Amiri"/>
          <w:color w:val="111111"/>
          <w:sz w:val="28"/>
          <w:sz w:val="28"/>
          <w:szCs w:val="28"/>
          <w:rtl w:val="true"/>
          <w:lang w:bidi="ar-SA"/>
        </w:rPr>
        <w:t xml:space="preserve">عن الحُدودِ في هذه الأحوالِ التي لا يَتَمكَّنونَ </w:t>
      </w:r>
      <w:r>
        <w:rPr>
          <w:rStyle w:val="FootnoteAnchor"/>
          <w:rtl w:val="true"/>
        </w:rPr>
        <w:footnoteReference w:id="2419"/>
      </w:r>
      <w:r>
        <w:rPr>
          <w:rFonts w:ascii="Amiri" w:hAnsi="Amiri" w:eastAsia="Amiri" w:cs="Amiri"/>
          <w:color w:val="111111"/>
          <w:sz w:val="28"/>
          <w:sz w:val="28"/>
          <w:szCs w:val="28"/>
          <w:rtl w:val="true"/>
          <w:lang w:bidi="ar-SA"/>
        </w:rPr>
        <w:t>فيها مَعشَرُ أهلِ الاختيارِ مِن الاختيارِ؛ ما القَولُ فيها؟ أتَسقُطُ أم هي ثابتةٌ؟</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ثابتةٌ علىٰ مُستَحِقّيها</w:t>
      </w:r>
      <w:r>
        <w:rPr>
          <w:rStyle w:val="FootnoteAnchor"/>
          <w:rtl w:val="true"/>
        </w:rPr>
        <w:footnoteReference w:id="2420"/>
      </w:r>
      <w:r>
        <w:rPr>
          <w:rFonts w:ascii="Amiri" w:hAnsi="Amiri" w:eastAsia="Amiri" w:cs="Amiri"/>
          <w:color w:val="111111"/>
          <w:sz w:val="28"/>
          <w:sz w:val="28"/>
          <w:szCs w:val="28"/>
          <w:rtl w:val="true"/>
          <w:lang w:bidi="ar-SA"/>
        </w:rPr>
        <w:t>، و الإثمُ في تأخيرِ إقامتِها علىٰ مَن مَنَعَ أهلَ</w:t>
      </w:r>
    </w:p>
    <w:p>
      <w:pPr>
        <w:pStyle w:val="BookText"/>
        <w:rPr/>
      </w:pPr>
      <w:r>
        <w:rPr>
          <w:rFonts w:ascii="Amiri" w:hAnsi="Amiri" w:eastAsia="Amiri" w:cs="Amiri"/>
          <w:color w:val="111111"/>
          <w:sz w:val="28"/>
          <w:sz w:val="28"/>
          <w:szCs w:val="28"/>
          <w:rtl w:val="true"/>
          <w:lang w:bidi="ar-SA"/>
        </w:rPr>
        <w:t>الاختيارِ مِن إقامةِ الإمامِ ، فمتىٰ تَمكَّنوا مِن إقامتِه و قامَت عِندَه البيّنةُ بشَيءٍ تَقدَّمَ مِمّا يُستَحَقُّ عليه الحُدودُ أقامَها</w:t>
      </w:r>
      <w:r>
        <w:rPr>
          <w:rStyle w:val="FootnoteAnchor"/>
          <w:rtl w:val="true"/>
        </w:rPr>
        <w:footnoteReference w:id="2421"/>
      </w:r>
      <w:r>
        <w:rPr>
          <w:rFonts w:ascii="Amiri" w:hAnsi="Amiri" w:eastAsia="Amiri" w:cs="Amiri"/>
          <w:color w:val="111111"/>
          <w:sz w:val="28"/>
          <w:sz w:val="28"/>
          <w:szCs w:val="28"/>
          <w:rtl w:val="true"/>
          <w:lang w:bidi="ar-SA"/>
        </w:rPr>
        <w:t xml:space="preserve">علىٰ مُستَحِقّيها، و إلّاكانَ أمرُها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w:t>
      </w:r>
      <w:r>
        <w:rPr>
          <w:rStyle w:val="FootnoteAnchor"/>
          <w:rtl w:val="true"/>
        </w:rPr>
        <w:footnoteReference w:id="2422"/>
      </w:r>
      <w:r>
        <w:rPr>
          <w:rFonts w:ascii="Amiri" w:hAnsi="Amiri" w:eastAsia="Amiri" w:cs="Amiri"/>
          <w:color w:val="111111"/>
          <w:sz w:val="28"/>
          <w:sz w:val="28"/>
          <w:szCs w:val="28"/>
          <w:rtl w:val="true"/>
          <w:lang w:bidi="ar-SA"/>
        </w:rPr>
        <w:t>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الحُدودَ تَسقُطُ إذا لَم يَكُنْ إمامٌ يُقيمُها، كما تَسقُطُ</w:t>
      </w:r>
      <w:r>
        <w:rPr>
          <w:rStyle w:val="FootnoteAnchor"/>
          <w:rtl w:val="true"/>
        </w:rPr>
        <w:footnoteReference w:id="2423"/>
      </w:r>
      <w:r>
        <w:rPr>
          <w:rFonts w:ascii="Amiri" w:hAnsi="Amiri" w:eastAsia="Amiri" w:cs="Amiri"/>
          <w:color w:val="111111"/>
          <w:sz w:val="28"/>
          <w:sz w:val="28"/>
          <w:szCs w:val="28"/>
          <w:rtl w:val="true"/>
          <w:lang w:bidi="ar-SA"/>
        </w:rPr>
        <w:t xml:space="preserve">بالشُّبُهاتِ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أفيَلزَمُ علىٰ ذلكَ سُقوطُها في كُلِّ حالٍ و مع التمَكُّنِ؟</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إنّما سَقَطَت في الأحوالِ التي لا يَتمكَّنُ العاقِدونَ فيها</w:t>
      </w:r>
      <w:r>
        <w:rPr>
          <w:rStyle w:val="FootnoteAnchor"/>
          <w:rtl w:val="true"/>
        </w:rPr>
        <w:footnoteReference w:id="2424"/>
      </w:r>
      <w:r>
        <w:rPr>
          <w:rFonts w:ascii="Amiri" w:hAnsi="Amiri" w:eastAsia="Amiri" w:cs="Amiri"/>
          <w:color w:val="111111"/>
          <w:sz w:val="28"/>
          <w:sz w:val="28"/>
          <w:szCs w:val="28"/>
          <w:rtl w:val="true"/>
          <w:lang w:bidi="ar-SA"/>
        </w:rPr>
        <w:t>مِن العَقدِ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لنا مِن جَوابِكَ هذا، 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الحُدودَ تَسقُطُ في غَيبةِ الإمامِ كما تَسقُطُ بالشُّبُهاتِ ؛ لأنّ حالَ الغَيبةِ حالُ ضَرورةٍ ، و لا يَجِبُ أن تَسقُطَ في كُلِّ حالٍ حتّىٰ يَلزَمَنا تجويزُ خُلوِّ الزمانِ مِن إمامٍ يُقيمُ الحُدودَ جُملةً ؛ قياساً علىٰ ما </w:t>
      </w:r>
      <w:bookmarkStart w:id="692" w:name="pg20044_771070"/>
    </w:p>
    <w:p>
      <w:pPr>
        <w:pStyle w:val="BookText"/>
        <w:rPr/>
      </w:pPr>
      <w:bookmarkEnd w:id="692"/>
      <w:r>
        <w:rPr>
          <w:rFonts w:ascii="Amiri" w:hAnsi="Amiri" w:eastAsia="Amiri" w:cs="Amiri"/>
          <w:color w:val="111111"/>
          <w:sz w:val="28"/>
          <w:sz w:val="28"/>
          <w:szCs w:val="28"/>
          <w:rtl w:val="true"/>
          <w:lang w:bidi="ar-SA"/>
        </w:rPr>
        <w:t>فاتَ مِن إقامتِها في حالِ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يَفصِلُ به</w:t>
      </w:r>
      <w:r>
        <w:rPr>
          <w:rStyle w:val="FootnoteAnchor"/>
          <w:rtl w:val="true"/>
        </w:rPr>
        <w:footnoteReference w:id="2425"/>
      </w:r>
      <w:r>
        <w:rPr>
          <w:rFonts w:ascii="Amiri" w:hAnsi="Amiri" w:eastAsia="Amiri" w:cs="Amiri"/>
          <w:color w:val="111111"/>
          <w:sz w:val="28"/>
          <w:sz w:val="28"/>
          <w:szCs w:val="28"/>
          <w:rtl w:val="true"/>
          <w:lang w:bidi="ar-SA"/>
        </w:rPr>
        <w:t>خُصومُنا بَينَ أحوالِ التمَكُّنِ مِن عَقدِ الإمامةِ و اختيارِ الإمامِ و أحوالِ التعَذُّرِ في معنىٰ سُقوطِ الحُدودِ و ثُبوتِها، هو ما فَصَلنا</w:t>
      </w:r>
      <w:r>
        <w:rPr>
          <w:rStyle w:val="FootnoteAnchor"/>
          <w:rtl w:val="true"/>
        </w:rPr>
        <w:footnoteReference w:id="2426"/>
      </w:r>
      <w:r>
        <w:rPr>
          <w:rFonts w:ascii="Amiri" w:hAnsi="Amiri" w:eastAsia="Amiri" w:cs="Amiri"/>
          <w:color w:val="111111"/>
          <w:sz w:val="28"/>
          <w:sz w:val="28"/>
          <w:szCs w:val="28"/>
          <w:rtl w:val="true"/>
          <w:lang w:bidi="ar-SA"/>
        </w:rPr>
        <w:t xml:space="preserve">بعَينِه بَينَ </w:t>
      </w:r>
      <w:r>
        <w:rPr>
          <w:rStyle w:val="FootnoteAnchor"/>
          <w:rtl w:val="true"/>
        </w:rPr>
        <w:footnoteReference w:id="2427"/>
      </w:r>
      <w:r>
        <w:rPr>
          <w:rFonts w:ascii="Amiri" w:hAnsi="Amiri" w:eastAsia="Amiri" w:cs="Amiri"/>
          <w:color w:val="111111"/>
          <w:sz w:val="28"/>
          <w:sz w:val="28"/>
          <w:szCs w:val="28"/>
          <w:rtl w:val="true"/>
          <w:lang w:bidi="ar-SA"/>
        </w:rPr>
        <w:t>حالِ غَيبةِ الإمامِ و حالِ فَقدِه</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828760_2320776876"/>
      <w:bookmarkStart w:id="694" w:name="_Toc245"/>
      <w:bookmarkEnd w:id="693"/>
      <w:r>
        <w:rPr>
          <w:rtl w:val="true"/>
        </w:rPr>
        <w:t>إشارة إلى الفرق بين عدم إقامة الحدود من قِبَل الظلمة، و من قِبَله تعالىٰ</w:t>
      </w:r>
      <w:bookmarkEnd w:id="694"/>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 الشيءِ علىٰ وجهٍ يَجوزُ أن يَكونَ خَطأً و فاسداً فيما يَتعلَّقُ بالدِّينِ لَيسَ بأكثَرَ مِن عدمِه، فإذا جَوَّزتم أن لا تُقامَ </w:t>
      </w:r>
      <w:r>
        <w:rPr>
          <w:rStyle w:val="FootnoteAnchor"/>
          <w:rtl w:val="true"/>
        </w:rPr>
        <w:footnoteReference w:id="2429"/>
      </w:r>
      <w:r>
        <w:rPr>
          <w:rFonts w:ascii="Amiri" w:hAnsi="Amiri" w:eastAsia="Amiri" w:cs="Amiri"/>
          <w:color w:val="111111"/>
          <w:sz w:val="28"/>
          <w:sz w:val="28"/>
          <w:szCs w:val="28"/>
          <w:rtl w:val="true"/>
          <w:lang w:bidi="ar-SA"/>
        </w:rPr>
        <w:t>الحُدودُ في هذا الزمانِ و في غَيرِه مِن الأزمنةِ التي لَم يَظهَرْ فيها الإمامُ لَو كانَ معلوماً و لا يوجِبَ ذلكَ فَساداً في الدِّينِ ، فما الذي يَمنَعُ مِن</w:t>
      </w:r>
    </w:p>
    <w:p>
      <w:pPr>
        <w:pStyle w:val="BookText"/>
        <w:rPr/>
      </w:pPr>
      <w:r>
        <w:rPr>
          <w:rFonts w:ascii="Amiri" w:hAnsi="Amiri" w:eastAsia="Amiri" w:cs="Amiri"/>
          <w:color w:val="111111"/>
          <w:sz w:val="28"/>
          <w:sz w:val="28"/>
          <w:szCs w:val="28"/>
          <w:rtl w:val="true"/>
          <w:lang w:bidi="ar-SA"/>
        </w:rPr>
        <w:t xml:space="preserve">إثباتِ إمامٍ غيرِ معصومٍ جميلِ الظاهرِ، يَجوزُ عليه الخطأُ فيما يُقيمُه مِن الحُدودِ و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يوجِبَ ذلكَ فَساداً في الدِّينِ؟</w:t>
      </w:r>
      <w:r>
        <w:rPr>
          <w:rFonts w:eastAsia="Amiri" w:cs="Amiri" w:ascii="Amiri" w:hAnsi="Amiri"/>
          <w:color w:val="111111"/>
          <w:sz w:val="28"/>
          <w:szCs w:val="28"/>
          <w:rtl w:val="true"/>
          <w:lang w:bidi="ar-SA"/>
        </w:rPr>
        <w:t>]</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Style w:val="FootnoteAnchor"/>
          <w:rtl w:val="true"/>
        </w:rPr>
        <w:footnoteReference w:id="2431"/>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عدمَ إقامةِ </w:t>
      </w:r>
      <w:r>
        <w:rPr>
          <w:rStyle w:val="FootnoteAnchor"/>
          <w:rtl w:val="true"/>
        </w:rPr>
        <w:footnoteReference w:id="2432"/>
      </w:r>
      <w:r>
        <w:rPr>
          <w:rFonts w:ascii="Amiri" w:hAnsi="Amiri" w:eastAsia="Amiri" w:cs="Amiri"/>
          <w:color w:val="111111"/>
          <w:sz w:val="28"/>
          <w:sz w:val="28"/>
          <w:szCs w:val="28"/>
          <w:rtl w:val="true"/>
          <w:lang w:bidi="ar-SA"/>
        </w:rPr>
        <w:t xml:space="preserve">الحُدودِ في هذا الزمانِ اللَّومُ فيه علَى الظالِمينَ </w:t>
      </w:r>
      <w:bookmarkStart w:id="695" w:name="pg20044_771071"/>
    </w:p>
    <w:p>
      <w:pPr>
        <w:pStyle w:val="BookText"/>
        <w:rPr/>
      </w:pPr>
      <w:bookmarkEnd w:id="695"/>
      <w:r>
        <w:rPr>
          <w:rFonts w:ascii="Amiri" w:hAnsi="Amiri" w:eastAsia="Amiri" w:cs="Amiri"/>
          <w:color w:val="111111"/>
          <w:sz w:val="28"/>
          <w:sz w:val="28"/>
          <w:szCs w:val="28"/>
          <w:rtl w:val="true"/>
          <w:lang w:bidi="ar-SA"/>
        </w:rPr>
        <w:t>المُخيفينَ للإمامِ‌</w:t>
      </w:r>
      <w:r>
        <w:rPr>
          <w:rStyle w:val="FootnoteAnchor"/>
          <w:rtl w:val="true"/>
        </w:rPr>
        <w:footnoteReference w:id="2433"/>
      </w:r>
      <w:r>
        <w:rPr>
          <w:rFonts w:ascii="Amiri" w:hAnsi="Amiri" w:eastAsia="Amiri" w:cs="Amiri"/>
          <w:color w:val="111111"/>
          <w:sz w:val="28"/>
          <w:sz w:val="28"/>
          <w:szCs w:val="28"/>
          <w:rtl w:val="true"/>
          <w:lang w:bidi="ar-SA"/>
        </w:rPr>
        <w:t>، و لَيسَ‌</w:t>
      </w:r>
      <w:r>
        <w:rPr>
          <w:rStyle w:val="FootnoteAnchor"/>
          <w:rtl w:val="true"/>
        </w:rPr>
        <w:footnoteReference w:id="2434"/>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قياساً علىٰ عدمِها مِن قِبَلِ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تُعدَمَ ، أو تَقَعَ </w:t>
      </w:r>
      <w:r>
        <w:rPr>
          <w:rStyle w:val="FootnoteAnchor"/>
          <w:rtl w:val="true"/>
        </w:rPr>
        <w:footnoteReference w:id="2435"/>
      </w:r>
      <w:r>
        <w:rPr>
          <w:rFonts w:ascii="Amiri" w:hAnsi="Amiri" w:eastAsia="Amiri" w:cs="Amiri"/>
          <w:color w:val="111111"/>
          <w:sz w:val="28"/>
          <w:sz w:val="28"/>
          <w:szCs w:val="28"/>
          <w:rtl w:val="true"/>
          <w:lang w:bidi="ar-SA"/>
        </w:rPr>
        <w:t xml:space="preserve">علىٰ وجهٍ يوجِبُ فَساداً في الدِّينِ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بَينَ الأمرَينِ ظاهرٌ؛ لأنّ الحُجّةَ في أحَدِهما للّٰهِ تَعالىٰ ، لا عليه، و في الآخَرِ عليه، لا له؛ تَعالىٰ عن ذلكَ عُلوّاً كَبيراً</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828762_2320776876"/>
      <w:bookmarkStart w:id="697" w:name="_Toc246"/>
      <w:bookmarkEnd w:id="696"/>
      <w:r>
        <w:rPr>
          <w:rtl w:val="true"/>
        </w:rPr>
        <w:t>عدم لزوم عصمة الأُمراء المنصوبين من قِبَل الإمام</w:t>
      </w:r>
      <w:bookmarkEnd w:id="697"/>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Style w:val="FootnoteAnchor"/>
          <w:rtl w:val="true"/>
        </w:rPr>
        <w:footnoteReference w:id="2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عن الحُدودِ و الأحكامِ؛ أيَتَولَّى الإمامُ جميعَها في العالَمِ، أو يَتَولّىٰ بعضَ ذلكَ، و ما عَداه يَتَولّاه</w:t>
      </w:r>
      <w:r>
        <w:rPr>
          <w:rStyle w:val="FootnoteAnchor"/>
          <w:rtl w:val="true"/>
        </w:rPr>
        <w:footnoteReference w:id="2438"/>
      </w:r>
      <w:r>
        <w:rPr>
          <w:rFonts w:ascii="Amiri" w:hAnsi="Amiri" w:eastAsia="Amiri" w:cs="Amiri"/>
          <w:color w:val="111111"/>
          <w:sz w:val="28"/>
          <w:sz w:val="28"/>
          <w:szCs w:val="28"/>
          <w:rtl w:val="true"/>
          <w:lang w:bidi="ar-SA"/>
        </w:rPr>
        <w:t>حُكّامُه و أُمَراؤه؟ فلا بُدَّ مِن أن يَقولوا بالوَجهِ الثاني؛ لأنّه لا بُدَّ في بعضِ ذلكَ مِن</w:t>
      </w:r>
      <w:r>
        <w:rPr>
          <w:rStyle w:val="FootnoteAnchor"/>
          <w:rtl w:val="true"/>
        </w:rPr>
        <w:footnoteReference w:id="2439"/>
      </w:r>
      <w:r>
        <w:rPr>
          <w:rFonts w:ascii="Amiri" w:hAnsi="Amiri" w:eastAsia="Amiri" w:cs="Amiri"/>
          <w:color w:val="111111"/>
          <w:sz w:val="28"/>
          <w:sz w:val="28"/>
          <w:szCs w:val="28"/>
          <w:rtl w:val="true"/>
          <w:lang w:bidi="ar-SA"/>
        </w:rPr>
        <w:t>أن يَتَولّاه الأُمَراءُ و الحُكّامُ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Style w:val="FootnoteAnchor"/>
          <w:rtl w:val="true"/>
        </w:rPr>
        <w:footnoteReference w:id="2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يَكونوا معصومينَ للعِلّةِ التي ذَكَرتموها؛ لأنّها موجودةٌ في كُلِّ مَن يَقومُ بالحُدودِ و الأحكامِ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قالوا بعصمتِهم، لَزِمَهم القَولُ بعصمةِ كُلِّ مَن يَستَعينُ به الإمامُ أو أُمراؤه في كُلِّ أمرٍ </w:t>
      </w:r>
    </w:p>
    <w:p>
      <w:pPr>
        <w:pStyle w:val="BookText"/>
        <w:rPr/>
      </w:pPr>
      <w:r>
        <w:rPr>
          <w:rFonts w:ascii="Amiri" w:hAnsi="Amiri" w:eastAsia="Amiri" w:cs="Amiri"/>
          <w:color w:val="111111"/>
          <w:sz w:val="28"/>
          <w:sz w:val="28"/>
          <w:szCs w:val="28"/>
          <w:rtl w:val="true"/>
          <w:lang w:bidi="ar-SA"/>
        </w:rPr>
        <w:t>يَتَّصِلُ بالدِّينِ ؛ مِن وكيلٍ و وصيٍّ و حارسٍ و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يَبطُلُ ذلكَ أيضاً بما عَلِمناه مِن حالِ أُمَراءِ الرسولِ عليه السلامُ و إقدامِ بعضِهم علىٰ ما لا يَجوزُ، و أُمَراءِ أميرِ المؤمِنينَ عليه السلامُ و إقدامِهم علىٰ ما لا يَحِلُّ </w:t>
      </w:r>
      <w:r>
        <w:rPr>
          <w:rFonts w:eastAsia="Amiri" w:cs="Amiri" w:ascii="Amiri" w:hAnsi="Amiri"/>
          <w:color w:val="111111"/>
          <w:sz w:val="28"/>
          <w:szCs w:val="28"/>
          <w:rtl w:val="true"/>
          <w:lang w:bidi="ar-SA"/>
        </w:rPr>
        <w:t>...]</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أنّكَ إنّما رَتَّبتَ ما حَكَيتَه عنّا مِن الطريقةِ التي كلامُكَ الآنَ عَلَيها علَى الوجهِ الذي رَتَّبتَه؛ لِتُلزِمَ‌</w:t>
      </w:r>
      <w:r>
        <w:rPr>
          <w:rStyle w:val="FootnoteAnchor"/>
          <w:rtl w:val="true"/>
        </w:rPr>
        <w:footnoteReference w:id="2442"/>
      </w:r>
      <w:r>
        <w:rPr>
          <w:rFonts w:ascii="Amiri" w:hAnsi="Amiri" w:eastAsia="Amiri" w:cs="Amiri"/>
          <w:color w:val="111111"/>
          <w:sz w:val="28"/>
          <w:sz w:val="28"/>
          <w:szCs w:val="28"/>
          <w:rtl w:val="true"/>
          <w:lang w:bidi="ar-SA"/>
        </w:rPr>
        <w:t>هذا الإلزامَ و تورِدَ</w:t>
      </w:r>
      <w:r>
        <w:rPr>
          <w:rStyle w:val="FootnoteAnchor"/>
          <w:rtl w:val="true"/>
        </w:rPr>
        <w:footnoteReference w:id="2443"/>
      </w:r>
      <w:r>
        <w:rPr>
          <w:rFonts w:ascii="Amiri" w:hAnsi="Amiri" w:eastAsia="Amiri" w:cs="Amiri"/>
          <w:color w:val="111111"/>
          <w:sz w:val="28"/>
          <w:sz w:val="28"/>
          <w:szCs w:val="28"/>
          <w:rtl w:val="true"/>
          <w:lang w:bidi="ar-SA"/>
        </w:rPr>
        <w:t>هذا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أَورَدتَها علَى الوجهِ الذي ذَكَرناه، لَم يَسُغْ لكَ إيرادُ هذا الإلزامِ؛ لأنّ مَن</w:t>
      </w:r>
      <w:r>
        <w:rPr>
          <w:rStyle w:val="FootnoteAnchor"/>
          <w:rtl w:val="true"/>
        </w:rPr>
        <w:footnoteReference w:id="2444"/>
      </w:r>
      <w:r>
        <w:rPr>
          <w:rFonts w:ascii="Amiri" w:hAnsi="Amiri" w:eastAsia="Amiri" w:cs="Amiri"/>
          <w:color w:val="111111"/>
          <w:sz w:val="28"/>
          <w:sz w:val="28"/>
          <w:szCs w:val="28"/>
          <w:rtl w:val="true"/>
          <w:lang w:bidi="ar-SA"/>
        </w:rPr>
        <w:t>ذَكَرتَه مِن الأُمَراءِ و الحُكّامِ و سائرِ مَن يَتَولّىٰ عملاً</w:t>
      </w:r>
      <w:r>
        <w:rPr>
          <w:rStyle w:val="FootnoteAnchor"/>
          <w:rtl w:val="true"/>
        </w:rPr>
        <w:footnoteReference w:id="2445"/>
      </w:r>
      <w:r>
        <w:rPr>
          <w:rFonts w:ascii="Amiri" w:hAnsi="Amiri" w:eastAsia="Amiri" w:cs="Amiri"/>
          <w:color w:val="111111"/>
          <w:sz w:val="28"/>
          <w:sz w:val="28"/>
          <w:szCs w:val="28"/>
          <w:rtl w:val="true"/>
          <w:lang w:bidi="ar-SA"/>
        </w:rPr>
        <w:t xml:space="preserve">مِن قِبَلِ الإمامِ ، لا يَلزَمُ الاقتداءُ بِهم مِن حَيثُ قالوا و فَعَلوا، بل الاقتداءُ بالإمامِ واجبٌ عَلَيهم في جُملةِ الخَلقِ </w:t>
      </w:r>
      <w:r>
        <w:rPr>
          <w:rStyle w:val="FootnoteAnchor"/>
          <w:rtl w:val="true"/>
        </w:rPr>
        <w:footnoteReference w:id="2446"/>
      </w:r>
      <w:r>
        <w:rPr>
          <w:rFonts w:ascii="Amiri" w:hAnsi="Amiri" w:eastAsia="Amiri" w:cs="Amiri"/>
          <w:color w:val="111111"/>
          <w:sz w:val="28"/>
          <w:sz w:val="28"/>
          <w:szCs w:val="28"/>
          <w:rtl w:val="true"/>
          <w:lang w:bidi="ar-SA"/>
        </w:rPr>
        <w:t>، فكَيفَ يَلزَمُ</w:t>
      </w:r>
    </w:p>
    <w:p>
      <w:pPr>
        <w:pStyle w:val="BookText"/>
        <w:rPr/>
      </w:pPr>
      <w:r>
        <w:rPr>
          <w:rFonts w:ascii="Amiri" w:hAnsi="Amiri" w:eastAsia="Amiri" w:cs="Amiri"/>
          <w:color w:val="111111"/>
          <w:sz w:val="28"/>
          <w:sz w:val="28"/>
          <w:szCs w:val="28"/>
          <w:rtl w:val="true"/>
          <w:lang w:bidi="ar-SA"/>
        </w:rPr>
        <w:t>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أَوجَبنا به عصمةَ الإمامِ في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الاقتداءِ به علَى الوجهِ الذي ذَكَرناه</w:t>
      </w:r>
      <w:r>
        <w:rPr>
          <w:rStyle w:val="FootnoteAnchor"/>
          <w:rtl w:val="true"/>
        </w:rPr>
        <w:footnoteReference w:id="2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فَصلٍ لا طائلَ فيه</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إذا أخطأَ في ذلكَ </w:t>
      </w:r>
      <w:r>
        <w:rPr>
          <w:rStyle w:val="FootnoteAnchor"/>
          <w:rtl w:val="true"/>
        </w:rPr>
        <w:footnoteReference w:id="2449"/>
      </w:r>
      <w:r>
        <w:rPr>
          <w:rFonts w:ascii="Amiri" w:hAnsi="Amiri" w:eastAsia="Amiri" w:cs="Amiri"/>
          <w:color w:val="111111"/>
          <w:sz w:val="28"/>
          <w:sz w:val="28"/>
          <w:szCs w:val="28"/>
          <w:rtl w:val="true"/>
          <w:lang w:bidi="ar-SA"/>
        </w:rPr>
        <w:t xml:space="preserve">فالإمامُ يأخُذُ علىٰ يَدِه، كانَ </w:t>
      </w:r>
    </w:p>
    <w:p>
      <w:pPr>
        <w:pStyle w:val="BookText"/>
        <w:rPr/>
      </w:pPr>
      <w:r>
        <w:rPr>
          <w:rFonts w:ascii="Amiri" w:hAnsi="Amiri" w:eastAsia="Amiri" w:cs="Amiri"/>
          <w:color w:val="111111"/>
          <w:sz w:val="28"/>
          <w:sz w:val="28"/>
          <w:szCs w:val="28"/>
          <w:rtl w:val="true"/>
          <w:lang w:bidi="ar-SA"/>
        </w:rPr>
        <w:t xml:space="preserve">هذا القَولُ مِنهم فَصلاً مع وجودِ العِلّةِ </w:t>
      </w:r>
      <w:r>
        <w:rPr>
          <w:rStyle w:val="FootnoteAnchor"/>
          <w:rtl w:val="true"/>
        </w:rPr>
        <w:footnoteReference w:id="2450"/>
      </w:r>
      <w:r>
        <w:rPr>
          <w:rFonts w:ascii="Amiri" w:hAnsi="Amiri" w:eastAsia="Amiri" w:cs="Amiri"/>
          <w:color w:val="111111"/>
          <w:sz w:val="28"/>
          <w:sz w:val="28"/>
          <w:szCs w:val="28"/>
          <w:rtl w:val="true"/>
          <w:lang w:bidi="ar-SA"/>
        </w:rPr>
        <w:t>لأنّا إنّما ألزَمناهم عصمةَ الأُمَراءِ علىٰ عِلّتِهم، فالفَصلُ الذي قالوه لا يُنجيهم</w:t>
      </w:r>
      <w:r>
        <w:rPr>
          <w:rStyle w:val="FootnoteAnchor"/>
          <w:rtl w:val="true"/>
        </w:rPr>
        <w:footnoteReference w:id="2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w:t>
      </w:r>
      <w:r>
        <w:rPr>
          <w:rStyle w:val="FootnoteAnchor"/>
          <w:rtl w:val="true"/>
        </w:rPr>
        <w:footnoteReference w:id="2452"/>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أخطأ فعُلَماءُ الأُمّةِ تأخُذُ</w:t>
      </w:r>
      <w:r>
        <w:rPr>
          <w:rStyle w:val="FootnoteAnchor"/>
          <w:rtl w:val="true"/>
        </w:rPr>
        <w:footnoteReference w:id="2453"/>
      </w:r>
      <w:r>
        <w:rPr>
          <w:rFonts w:ascii="Amiri" w:hAnsi="Amiri" w:eastAsia="Amiri" w:cs="Amiri"/>
          <w:color w:val="111111"/>
          <w:sz w:val="28"/>
          <w:sz w:val="28"/>
          <w:szCs w:val="28"/>
          <w:rtl w:val="true"/>
          <w:lang w:bidi="ar-SA"/>
        </w:rPr>
        <w:t>علىٰ يَدِه؛ لأنّا لا نُجوِّزُ علىٰ جميعِهم 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لأنّ ما يُخطئُ الأُمَراءُ فيه قد يَخفىٰ علَى الإمامِ ، فالمسألةُ قائمةٌ </w:t>
      </w:r>
      <w:r>
        <w:rPr>
          <w:rFonts w:eastAsia="Amiri" w:cs="Amiri" w:ascii="Amiri" w:hAnsi="Amiri"/>
          <w:color w:val="111111"/>
          <w:sz w:val="28"/>
          <w:szCs w:val="28"/>
          <w:rtl w:val="true"/>
          <w:lang w:bidi="ar-SA"/>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w:t>
      </w:r>
      <w:r>
        <w:rPr>
          <w:rStyle w:val="FootnoteAnchor"/>
          <w:rtl w:val="true"/>
        </w:rPr>
        <w:footnoteReference w:id="2455"/>
      </w:r>
      <w:r>
        <w:rPr>
          <w:rFonts w:ascii="Amiri" w:hAnsi="Amiri" w:eastAsia="Amiri" w:cs="Amiri"/>
          <w:color w:val="111111"/>
          <w:sz w:val="28"/>
          <w:sz w:val="28"/>
          <w:szCs w:val="28"/>
          <w:rtl w:val="true"/>
          <w:lang w:bidi="ar-SA"/>
        </w:rPr>
        <w:t>أنّ الفَصلَ بما ذَكَرتَه مع إطلاقِ القَولِ في أصلِ الاستدلالِ علَى الوجهِ الذي حَكَيتَه نقضٌ ظاهرٌ، غيرَ أنّ مَن يَفصِلُ بهذا الفَصلِ‌</w:t>
      </w:r>
      <w:r>
        <w:rPr>
          <w:rStyle w:val="FootnoteAnchor"/>
          <w:rtl w:val="true"/>
        </w:rPr>
        <w:footnoteReference w:id="2456"/>
      </w:r>
      <w:r>
        <w:rPr>
          <w:rFonts w:ascii="Amiri" w:hAnsi="Amiri" w:eastAsia="Amiri" w:cs="Amiri"/>
          <w:color w:val="111111"/>
          <w:sz w:val="28"/>
          <w:sz w:val="28"/>
          <w:szCs w:val="28"/>
          <w:rtl w:val="true"/>
          <w:lang w:bidi="ar-SA"/>
        </w:rPr>
        <w:t>مِن أصحابِنا بَينَ الإمامِ‌</w:t>
      </w:r>
      <w:r>
        <w:rPr>
          <w:rStyle w:val="FootnoteAnchor"/>
          <w:rtl w:val="true"/>
        </w:rPr>
        <w:footnoteReference w:id="2457"/>
      </w:r>
      <w:r>
        <w:rPr>
          <w:rFonts w:ascii="Amiri" w:hAnsi="Amiri" w:eastAsia="Amiri" w:cs="Amiri"/>
          <w:color w:val="111111"/>
          <w:sz w:val="28"/>
          <w:sz w:val="28"/>
          <w:szCs w:val="28"/>
          <w:rtl w:val="true"/>
          <w:lang w:bidi="ar-SA"/>
        </w:rPr>
        <w:t xml:space="preserve">و خُلَفائه لا يَرتَضي ما أطلَقتَه في الاستدلالِ، بل يقولُ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يوكَلَ </w:t>
      </w:r>
      <w:r>
        <w:rPr>
          <w:rStyle w:val="FootnoteAnchor"/>
          <w:rtl w:val="true"/>
        </w:rPr>
        <w:footnoteReference w:id="2458"/>
      </w:r>
      <w:r>
        <w:rPr>
          <w:rFonts w:ascii="Amiri" w:hAnsi="Amiri" w:eastAsia="Amiri" w:cs="Amiri"/>
          <w:color w:val="111111"/>
          <w:sz w:val="28"/>
          <w:sz w:val="28"/>
          <w:szCs w:val="28"/>
          <w:rtl w:val="true"/>
          <w:lang w:bidi="ar-SA"/>
        </w:rPr>
        <w:t xml:space="preserve">هذه الأحكامُ إلىٰ مَن يُخطئُ فيها خطأً يُثمِرُ فَساداً في الدِّينِ و لَيسَ وَراءَه مَن يَتَلافىٰ خَطأَه و يَستَدرِكُ غلطَه، فلا يَلزَمُ </w:t>
      </w:r>
      <w:r>
        <w:rPr>
          <w:rStyle w:val="FootnoteAnchor"/>
          <w:rtl w:val="true"/>
        </w:rPr>
        <w:footnoteReference w:id="2459"/>
      </w:r>
      <w:r>
        <w:rPr>
          <w:rFonts w:ascii="Amiri" w:hAnsi="Amiri" w:eastAsia="Amiri" w:cs="Amiri"/>
          <w:color w:val="111111"/>
          <w:sz w:val="28"/>
          <w:sz w:val="28"/>
          <w:szCs w:val="28"/>
          <w:rtl w:val="true"/>
          <w:lang w:bidi="ar-SA"/>
        </w:rPr>
        <w:t xml:space="preserve">عصمةُ الأُمَراءِ و الحُكّامِ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460"/>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إذا أخطأَ أخَذَ علىٰ يَدِه علماءُ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فتصريحٌ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بأنّ الأُمّةَ أئمّةٌ للإمامِ، و إيجابٌ لفَرضِ طاعتِها عليه،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الخُروجِ عن أقوالِ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ظاهرٌ؛ لأنّه يَستَحيلُ أن يَقولَ قائلٌ</w:t>
      </w:r>
      <w:r>
        <w:rPr>
          <w:rFonts w:eastAsia="Amiri" w:cs="Amiri" w:ascii="Amiri" w:hAnsi="Amiri"/>
          <w:color w:val="111111"/>
          <w:sz w:val="28"/>
          <w:szCs w:val="28"/>
          <w:rtl w:val="true"/>
          <w:lang w:bidi="ar-SA"/>
        </w:rPr>
        <w:t>:</w:t>
      </w:r>
      <w:r>
        <w:rPr>
          <w:rStyle w:val="FootnoteAnchor"/>
          <w:rtl w:val="true"/>
        </w:rPr>
        <w:footnoteReference w:id="2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لِزَيدٍ علىٰ عَمروٍ طاعةٌ و 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له فيه بعَينِه عليه طاعةٌ و إمرةٌ ، فيَكونَ ذلكَ صحيحاً</w:t>
      </w:r>
      <w:r>
        <w:rPr>
          <w:rStyle w:val="FootnoteAnchor"/>
          <w:rtl w:val="true"/>
        </w:rPr>
        <w:footnoteReference w:id="2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إمامٌ في جميعِ الدِّينِ ، فلَيسَ يَجوزُ أن يَكونَ لبعضِ رعيّتِه عليه في بعضِ الدِّينِ طاعةٌ و لا 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r>
        <w:rPr>
          <w:rStyle w:val="FootnoteAnchor"/>
          <w:rtl w:val="true"/>
        </w:rPr>
        <w:footnoteReference w:id="2464"/>
      </w:r>
      <w:r>
        <w:rPr>
          <w:rFonts w:ascii="Amiri" w:hAnsi="Amiri" w:eastAsia="Amiri" w:cs="Amiri"/>
          <w:color w:val="111111"/>
          <w:sz w:val="28"/>
          <w:sz w:val="28"/>
          <w:szCs w:val="28"/>
          <w:rtl w:val="true"/>
          <w:lang w:bidi="ar-SA"/>
        </w:rPr>
        <w:t>يُمكِنُهم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يَعلَمُ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الإمامَ لا يَزيدُ علَى الرسولِ، فإذا كانَ‌</w:t>
      </w:r>
      <w:r>
        <w:rPr>
          <w:rStyle w:val="FootnoteAnchor"/>
          <w:rtl w:val="true"/>
        </w:rPr>
        <w:footnoteReference w:id="2465"/>
      </w:r>
      <w:r>
        <w:rPr>
          <w:rFonts w:ascii="Amiri" w:hAnsi="Amiri" w:eastAsia="Amiri" w:cs="Amiri"/>
          <w:color w:val="111111"/>
          <w:sz w:val="28"/>
          <w:sz w:val="28"/>
          <w:szCs w:val="28"/>
          <w:rtl w:val="true"/>
          <w:lang w:bidi="ar-SA"/>
        </w:rPr>
        <w:t>قد يَخفىٰ عليه خطأُ عُمّالِه و أُمَرائه، و إنّما كانَ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ما يَنتَهي خبرُه إليه</w:t>
      </w:r>
      <w:r>
        <w:rPr>
          <w:rStyle w:val="FootnoteAnchor"/>
          <w:rtl w:val="true"/>
        </w:rPr>
        <w:footnoteReference w:id="2466"/>
      </w:r>
      <w:r>
        <w:rPr>
          <w:rFonts w:ascii="Amiri" w:hAnsi="Amiri" w:eastAsia="Amiri" w:cs="Amiri"/>
          <w:color w:val="111111"/>
          <w:sz w:val="28"/>
          <w:sz w:val="28"/>
          <w:szCs w:val="28"/>
          <w:rtl w:val="true"/>
          <w:lang w:bidi="ar-SA"/>
        </w:rPr>
        <w:t xml:space="preserve">، فكذلكَ القَولُ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467"/>
      </w:r>
      <w:r>
        <w:rPr>
          <w:rFonts w:ascii="Amiri" w:hAnsi="Amiri" w:eastAsia="Amiri" w:cs="Amiri"/>
          <w:color w:val="111111"/>
          <w:sz w:val="28"/>
          <w:sz w:val="28"/>
          <w:szCs w:val="28"/>
          <w:rtl w:val="true"/>
          <w:lang w:bidi="ar-SA"/>
        </w:rPr>
        <w:t xml:space="preserve">لأنّ الأمرَ في ذلكَ ظاهرٌ في حالِ أميرِ المؤمِنينَ عليه السلامُ مع عُمّالِه، و إذا لَم يَعلَمِ الإمامُ الخطأَ مِن الأُمَراءِ </w:t>
      </w:r>
      <w:r>
        <w:rPr>
          <w:rStyle w:val="FootnoteAnchor"/>
          <w:rtl w:val="true"/>
        </w:rPr>
        <w:footnoteReference w:id="2468"/>
      </w:r>
      <w:r>
        <w:rPr>
          <w:rFonts w:ascii="Amiri" w:hAnsi="Amiri" w:eastAsia="Amiri" w:cs="Amiri"/>
          <w:color w:val="111111"/>
          <w:sz w:val="28"/>
          <w:sz w:val="28"/>
          <w:szCs w:val="28"/>
          <w:rtl w:val="true"/>
          <w:lang w:bidi="ar-SA"/>
        </w:rPr>
        <w:t>فكَيفَ يَستَدرِكُ ذلكَ؟</w:t>
      </w:r>
      <w:r>
        <w:rPr>
          <w:rStyle w:val="FootnoteAnchor"/>
          <w:rtl w:val="true"/>
        </w:rPr>
        <w:footnoteReference w:id="2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يوجِبُ علىٰ علّتِهم وقوعَ الفَسادِ في الدِّينِ لا مَحالةَ ، و لا يُمكِنُهم التخلُّصُ مِن ذلكَ إلّا بما بيّنّاه مِن الأمرِ الذي يَمنَعُ مِن العصمةِ في الإمامِ </w:t>
      </w:r>
      <w:r>
        <w:rPr>
          <w:rFonts w:eastAsia="Amiri" w:cs="Amiri" w:ascii="Amiri" w:hAnsi="Amiri"/>
          <w:color w:val="111111"/>
          <w:sz w:val="28"/>
          <w:szCs w:val="28"/>
          <w:rtl w:val="true"/>
          <w:lang w:bidi="ar-SA"/>
        </w:rPr>
        <w:t>...]</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مِن أصحابِنا بَينَ الإمامِ و حُكّامِه في العصمةِ بالفَصلِ الذي ذَكَرناه يَذهَبُ إلىٰ أنّه لا يَجوزُ أن يَقَعَ مِن أُمَرائه و خُلَفائه</w:t>
      </w:r>
      <w:r>
        <w:rPr>
          <w:rStyle w:val="FootnoteAnchor"/>
          <w:rtl w:val="true"/>
        </w:rPr>
        <w:footnoteReference w:id="2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بَعُدَت دارُه مِن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يَقتَضي</w:t>
      </w:r>
      <w:r>
        <w:rPr>
          <w:rStyle w:val="FootnoteAnchor"/>
          <w:rtl w:val="true"/>
        </w:rPr>
        <w:footnoteReference w:id="2472"/>
      </w:r>
      <w:r>
        <w:rPr>
          <w:rFonts w:ascii="Amiri" w:hAnsi="Amiri" w:eastAsia="Amiri" w:cs="Amiri"/>
          <w:color w:val="111111"/>
          <w:sz w:val="28"/>
          <w:sz w:val="28"/>
          <w:szCs w:val="28"/>
          <w:rtl w:val="true"/>
          <w:lang w:bidi="ar-SA"/>
        </w:rPr>
        <w:t>فَساداً في الدِّينِ فيَخفىٰ عليه، بَل لا بُدَّ مِن أن يَتَّصِلَ به ذلكَ حتّىٰ يَستَدرِكَه و يَتَلافاه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2473"/>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لا يَزيدُ علَى الرسولِ، و قد</w:t>
      </w:r>
      <w:r>
        <w:rPr>
          <w:rStyle w:val="FootnoteAnchor"/>
          <w:rtl w:val="true"/>
        </w:rPr>
        <w:footnoteReference w:id="2474"/>
      </w:r>
      <w:r>
        <w:rPr>
          <w:rFonts w:ascii="Amiri" w:hAnsi="Amiri" w:eastAsia="Amiri" w:cs="Amiri"/>
          <w:color w:val="111111"/>
          <w:sz w:val="28"/>
          <w:sz w:val="28"/>
          <w:szCs w:val="28"/>
          <w:rtl w:val="true"/>
          <w:lang w:bidi="ar-SA"/>
        </w:rPr>
        <w:t>خَفيَ عليه خطأُ عُمّالِه و أُمَرائه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أنّ الإمامَ لا يَزيدُ علَى الرسولِ، و لكِنْ مِن أينَ لكَ أنّه قد خَفيَ علَى الرسولِ خطأُ عُمّالِه و أُمَرائِه؟ و لَم تَتعلَّقْ في ذلك شُبهةً‌</w:t>
      </w:r>
      <w:r>
        <w:rPr>
          <w:rStyle w:val="FootnoteAnchor"/>
          <w:rtl w:val="true"/>
        </w:rPr>
        <w:footnoteReference w:id="2475"/>
      </w:r>
      <w:r>
        <w:rPr>
          <w:rFonts w:ascii="Amiri" w:hAnsi="Amiri" w:eastAsia="Amiri" w:cs="Amiri"/>
          <w:color w:val="111111"/>
          <w:sz w:val="28"/>
          <w:sz w:val="28"/>
          <w:szCs w:val="28"/>
          <w:rtl w:val="true"/>
          <w:lang w:bidi="ar-SA"/>
        </w:rPr>
        <w:t xml:space="preserve">فنَحُلَّها، بل عَوَّلتَ علَى الدَّعوىٰ و إرسالِها حتّىٰ كأنّه لا مُخالِفَ لكَ </w:t>
      </w:r>
      <w:r>
        <w:rPr>
          <w:rStyle w:val="FootnoteAnchor"/>
          <w:rtl w:val="true"/>
        </w:rPr>
        <w:footnoteReference w:id="2476"/>
      </w:r>
      <w:r>
        <w:rPr>
          <w:rFonts w:ascii="Amiri" w:hAnsi="Amiri" w:eastAsia="Amiri" w:cs="Amiri"/>
          <w:color w:val="111111"/>
          <w:sz w:val="28"/>
          <w:sz w:val="28"/>
          <w:szCs w:val="28"/>
          <w:rtl w:val="true"/>
          <w:lang w:bidi="ar-SA"/>
        </w:rPr>
        <w:t>فيما حَكَمتَ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في أميرِ المؤمِنينَ عليه السلامُ كالقَولِ في الرسولِ </w:t>
      </w:r>
      <w:r>
        <w:rPr>
          <w:rStyle w:val="FootnoteAnchor"/>
          <w:rtl w:val="true"/>
        </w:rPr>
        <w:footnoteReference w:id="2477"/>
      </w:r>
      <w:r>
        <w:rPr>
          <w:rFonts w:ascii="Amiri" w:hAnsi="Amiri" w:eastAsia="Amiri" w:cs="Amiri"/>
          <w:color w:val="111111"/>
          <w:sz w:val="28"/>
          <w:sz w:val="28"/>
          <w:szCs w:val="28"/>
          <w:rtl w:val="true"/>
          <w:lang w:bidi="ar-SA"/>
        </w:rPr>
        <w:t xml:space="preserve">صَلَّى اللّٰهُ عليه و آلِه في أنّه لا يَجوزُ أن يَخفىٰ عليه مِن خطإ عُمّالِه و خُلَفائه ما يَقتَضي الفَسادَ في الدِّينِ </w:t>
      </w:r>
      <w:r>
        <w:rPr>
          <w:rStyle w:val="FootnoteAnchor"/>
          <w:rtl w:val="true"/>
        </w:rPr>
        <w:footnoteReference w:id="2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يَجِبُ أن يُستَبعَدَ ذلكَ و نَحنُ نَجِدُ حَزَمَةَ </w:t>
      </w:r>
      <w:r>
        <w:rPr>
          <w:rStyle w:val="FootnoteAnchor"/>
          <w:rtl w:val="true"/>
        </w:rPr>
        <w:footnoteReference w:id="2479"/>
      </w:r>
      <w:r>
        <w:rPr>
          <w:rFonts w:ascii="Amiri" w:hAnsi="Amiri" w:eastAsia="Amiri" w:cs="Amiri"/>
          <w:color w:val="111111"/>
          <w:sz w:val="28"/>
          <w:sz w:val="28"/>
          <w:szCs w:val="28"/>
          <w:rtl w:val="true"/>
          <w:lang w:bidi="ar-SA"/>
        </w:rPr>
        <w:t xml:space="preserve">المُلوكِ و ذوي القُدرةِ و السُّلطانِ مِنهم </w:t>
      </w:r>
    </w:p>
    <w:p>
      <w:pPr>
        <w:pStyle w:val="BookText"/>
        <w:rPr/>
      </w:pPr>
      <w:r>
        <w:rPr>
          <w:rFonts w:ascii="Amiri" w:hAnsi="Amiri" w:eastAsia="Amiri" w:cs="Amiri"/>
          <w:color w:val="111111"/>
          <w:sz w:val="28"/>
          <w:sz w:val="28"/>
          <w:szCs w:val="28"/>
          <w:rtl w:val="true"/>
          <w:lang w:bidi="ar-SA"/>
        </w:rPr>
        <w:t>يُراعونَ مِن أحوالِ خُلَفائهم و أُمَرائهم</w:t>
      </w:r>
      <w:r>
        <w:rPr>
          <w:rStyle w:val="FootnoteAnchor"/>
          <w:rtl w:val="true"/>
        </w:rPr>
        <w:footnoteReference w:id="2480"/>
      </w:r>
      <w:r>
        <w:rPr>
          <w:rFonts w:ascii="Amiri" w:hAnsi="Amiri" w:eastAsia="Amiri" w:cs="Amiri"/>
          <w:color w:val="111111"/>
          <w:sz w:val="28"/>
          <w:sz w:val="28"/>
          <w:szCs w:val="28"/>
          <w:rtl w:val="true"/>
          <w:lang w:bidi="ar-SA"/>
        </w:rPr>
        <w:t xml:space="preserve">و عُمّالِهم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يَنتَهونَ فيه إلىٰ حَدٍّ لا يَخفىٰ عَلَيهم معه شيءٌ مِن أحوالِهم المُتَعلِّقةِ بسُلطانِهم و تدبيرِهم و ما يَحتاجونَ إلىٰ معرفتِه، و قد عَرَفنا هذا مِن أحوالِ كثيرٍ مِن المُلوكِ المُتقدِّمينَ، و</w:t>
      </w:r>
      <w:r>
        <w:rPr>
          <w:rStyle w:val="FootnoteAnchor"/>
          <w:rtl w:val="true"/>
        </w:rPr>
        <w:footnoteReference w:id="2481"/>
      </w:r>
      <w:r>
        <w:rPr>
          <w:rFonts w:ascii="Amiri" w:hAnsi="Amiri" w:eastAsia="Amiri" w:cs="Amiri"/>
          <w:color w:val="111111"/>
          <w:sz w:val="28"/>
          <w:sz w:val="28"/>
          <w:szCs w:val="28"/>
          <w:rtl w:val="true"/>
          <w:lang w:bidi="ar-SA"/>
        </w:rPr>
        <w:t>شاهَدناه مِمّن عاصَرناه أيضاً</w:t>
      </w:r>
      <w:r>
        <w:rPr>
          <w:rStyle w:val="FootnoteAnchor"/>
          <w:rtl w:val="true"/>
        </w:rPr>
        <w:footnoteReference w:id="2482"/>
      </w:r>
      <w:r>
        <w:rPr>
          <w:rFonts w:ascii="Amiri" w:hAnsi="Amiri" w:eastAsia="Amiri" w:cs="Amiri"/>
          <w:color w:val="111111"/>
          <w:sz w:val="28"/>
          <w:sz w:val="28"/>
          <w:szCs w:val="28"/>
          <w:rtl w:val="true"/>
          <w:lang w:bidi="ar-SA"/>
        </w:rPr>
        <w:t>، و كانَ بالصفةِ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تَمَّ مِثلُ ما ذَكَرناه لِمَن لَيسَ بحُجّةٍ للّٰهِ تَعالىٰ علىٰ خَلقِه، و لا حافِظٍ لشَريعتِه و دِينِه، و</w:t>
      </w:r>
    </w:p>
    <w:p>
      <w:pPr>
        <w:pStyle w:val="BookText"/>
        <w:rPr/>
      </w:pPr>
      <w:r>
        <w:rPr>
          <w:rFonts w:ascii="Amiri" w:hAnsi="Amiri" w:eastAsia="Amiri" w:cs="Amiri"/>
          <w:color w:val="111111"/>
          <w:sz w:val="28"/>
          <w:sz w:val="28"/>
          <w:szCs w:val="28"/>
          <w:rtl w:val="true"/>
          <w:lang w:bidi="ar-SA"/>
        </w:rPr>
        <w:t>لا مادّةَ بَينَه و بَينَه تَعالىٰ، و لا سَببَ و لا وُصلةَ، لَمْ نُنكِرْ</w:t>
      </w:r>
      <w:r>
        <w:rPr>
          <w:rStyle w:val="FootnoteAnchor"/>
          <w:rtl w:val="true"/>
        </w:rPr>
        <w:footnoteReference w:id="2483"/>
      </w:r>
      <w:r>
        <w:rPr>
          <w:rFonts w:ascii="Amiri" w:hAnsi="Amiri" w:eastAsia="Amiri" w:cs="Amiri"/>
          <w:color w:val="111111"/>
          <w:sz w:val="28"/>
          <w:sz w:val="28"/>
          <w:szCs w:val="28"/>
          <w:rtl w:val="true"/>
          <w:lang w:bidi="ar-SA"/>
        </w:rPr>
        <w:t>تَمامَه و انتظامَه لِمَن كانَ علىٰ جميعِ هذه الصِّفاتِ التي نَفَيناها عن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صاحبُ الكتابِ فُصولاً</w:t>
      </w:r>
      <w:r>
        <w:rPr>
          <w:rStyle w:val="FootnoteAnchor"/>
          <w:rtl w:val="true"/>
        </w:rPr>
        <w:footnoteReference w:id="2484"/>
      </w:r>
      <w:r>
        <w:rPr>
          <w:rFonts w:ascii="Amiri" w:hAnsi="Amiri" w:eastAsia="Amiri" w:cs="Amiri"/>
          <w:color w:val="111111"/>
          <w:sz w:val="28"/>
          <w:sz w:val="28"/>
          <w:szCs w:val="28"/>
          <w:rtl w:val="true"/>
          <w:lang w:bidi="ar-SA"/>
        </w:rPr>
        <w:t xml:space="preserve">لا حاجةَ بنا إلىٰ نَقضِها؛ لأنّه سألَ نَفسَه في بَعضِها عمّا لا نَسألُه عنه، و بَنىٰ بَعضَها علىٰ مَذاهبَ قد تَقدَّمَ إفسادُها؛ إلىٰ أن قالَ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يَلزَمُهم أن يَكونَ الشاهدُ الذي يَشهَدُ علَى الزِّنا و السَّرِقةِ </w:t>
      </w:r>
      <w:r>
        <w:rPr>
          <w:rStyle w:val="FootnoteAnchor"/>
          <w:rtl w:val="true"/>
        </w:rPr>
        <w:footnoteReference w:id="2485"/>
      </w:r>
      <w:r>
        <w:rPr>
          <w:rFonts w:ascii="Amiri" w:hAnsi="Amiri" w:eastAsia="Amiri" w:cs="Amiri"/>
          <w:color w:val="111111"/>
          <w:sz w:val="28"/>
          <w:sz w:val="28"/>
          <w:szCs w:val="28"/>
          <w:rtl w:val="true"/>
          <w:lang w:bidi="ar-SA"/>
        </w:rPr>
        <w:t xml:space="preserve">معصوماً، و إلّاأدّىٰ إلَى الفَسادِ في الدِّينِ ؛ بأن يُقيمَ الحَدَّ علىٰ مَن لا يَستَحِقُّه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غَلِطَ في الشهادةِ أو زَوَّرَ فيها، و هذا يوجِبُ عصمةَ الشُّهودِ، بل يوجِبُ عصمةَ السارِقِ إذا أقاموا عليه الحَدَّ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يُبطِلُ تَعلُّقَهم بهذه الطريقةِ ، و يُبيِّنُ طريقةَ الكلامِ في هذه الشهادةِ و ما جانَسَها</w:t>
      </w:r>
      <w:r>
        <w:rPr>
          <w:rFonts w:eastAsia="Amiri" w:cs="Amiri" w:ascii="Amiri" w:hAnsi="Amiri"/>
          <w:color w:val="111111"/>
          <w:sz w:val="28"/>
          <w:szCs w:val="28"/>
          <w:rtl w:val="true"/>
          <w:lang w:bidi="ar-SA"/>
        </w:rPr>
        <w:t>.]</w:t>
      </w:r>
      <w:r>
        <w:rPr>
          <w:rStyle w:val="FootnoteAnchor"/>
          <w:rtl w:val="true"/>
        </w:rPr>
        <w:footnoteReference w:id="2486"/>
      </w:r>
      <w:bookmarkStart w:id="698" w:name="pg20044_771077"/>
    </w:p>
    <w:p>
      <w:pPr>
        <w:pStyle w:val="Heading5"/>
        <w:numPr>
          <w:ilvl w:val="4"/>
          <w:numId w:val="1"/>
        </w:numPr>
        <w:rPr/>
      </w:pPr>
      <w:bookmarkStart w:id="699" w:name="__RefHeading___Toc828764_2320776876"/>
      <w:bookmarkStart w:id="700" w:name="_Toc247"/>
      <w:bookmarkEnd w:id="698"/>
      <w:bookmarkEnd w:id="699"/>
      <w:r>
        <w:rPr>
          <w:rtl w:val="true"/>
        </w:rPr>
        <w:t>عدم لزوم عصمة الشاهد</w:t>
      </w:r>
      <w:bookmarkEnd w:id="700"/>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الفَصلُ بَينَ الشاهدِ و الإمامِ علَى الطريقةِ التي رَتَّبناها فواضِحٌ‌</w:t>
      </w:r>
      <w:r>
        <w:rPr>
          <w:rStyle w:val="FootnoteAnchor"/>
          <w:rtl w:val="true"/>
        </w:rPr>
        <w:footnoteReference w:id="2487"/>
      </w:r>
      <w:r>
        <w:rPr>
          <w:rFonts w:ascii="Amiri" w:hAnsi="Amiri" w:eastAsia="Amiri" w:cs="Amiri"/>
          <w:color w:val="111111"/>
          <w:sz w:val="28"/>
          <w:sz w:val="28"/>
          <w:szCs w:val="28"/>
          <w:rtl w:val="true"/>
          <w:lang w:bidi="ar-SA"/>
        </w:rPr>
        <w:t>لأنّ غلَطَ الشاهدِ لا يَتعدّىٰ إلىٰ غيرِه، مِن حَيثُ لا يَجِبُ الاقتداءُ به و الاتّباعُ لقَولِه و فِعلِه، و الإمامُ مُقتدىً به، مُتَّبَعٌ في أقوالِه و أفعالِه، فجَوازُ الغلطِ علىٰ أحَدِهما يُخالِفُ جَوازَه علَى الآخَرِ</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 أصحابِنا مَن يَذهَبُ إلىٰ أنّ للإمامِ أمارةً نَصَبَها اللّٰهُ تَعالىٰ </w:t>
      </w:r>
      <w:r>
        <w:rPr>
          <w:rStyle w:val="FootnoteAnchor"/>
          <w:rtl w:val="true"/>
        </w:rPr>
        <w:footnoteReference w:id="2489"/>
      </w:r>
      <w:r>
        <w:rPr>
          <w:rFonts w:ascii="Amiri" w:hAnsi="Amiri" w:eastAsia="Amiri" w:cs="Amiri"/>
          <w:color w:val="111111"/>
          <w:sz w:val="28"/>
          <w:sz w:val="28"/>
          <w:szCs w:val="28"/>
          <w:rtl w:val="true"/>
          <w:lang w:bidi="ar-SA"/>
        </w:rPr>
        <w:t xml:space="preserve">علىٰ لسانِ رسولِه صلَّى اللّٰهُ عليه و آلِه يُفرِّقُ بَينَ الصادِقِ مِن الشُّهودِ و الكاذِبِ ، فمتىٰ شَهِدَ عِندَه كاذِبٌ </w:t>
      </w:r>
      <w:r>
        <w:rPr>
          <w:rStyle w:val="FootnoteAnchor"/>
          <w:rtl w:val="true"/>
        </w:rPr>
        <w:footnoteReference w:id="2490"/>
      </w:r>
      <w:r>
        <w:rPr>
          <w:rFonts w:ascii="Amiri" w:hAnsi="Amiri" w:eastAsia="Amiri" w:cs="Amiri"/>
          <w:color w:val="111111"/>
          <w:sz w:val="28"/>
          <w:sz w:val="28"/>
          <w:szCs w:val="28"/>
          <w:rtl w:val="true"/>
          <w:lang w:bidi="ar-SA"/>
        </w:rPr>
        <w:t>رَدَّ شَهادتَه و لَم يُمضِها و إن كانَ في الظاهرِ عَدلاً</w:t>
      </w:r>
      <w:r>
        <w:rPr>
          <w:rStyle w:val="FootnoteAnchor"/>
          <w:rtl w:val="true"/>
        </w:rPr>
        <w:footnoteReference w:id="2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سَلَكَ هذه الطريقةَ لَم يَلزَمْه ما ألزَمتَه</w:t>
      </w:r>
      <w:r>
        <w:rPr>
          <w:rStyle w:val="FootnoteAnchor"/>
          <w:rtl w:val="true"/>
        </w:rPr>
        <w:footnoteReference w:id="2492"/>
      </w:r>
      <w:r>
        <w:rPr>
          <w:rFonts w:ascii="Amiri" w:hAnsi="Amiri" w:eastAsia="Amiri" w:cs="Amiri"/>
          <w:color w:val="111111"/>
          <w:sz w:val="28"/>
          <w:sz w:val="28"/>
          <w:szCs w:val="28"/>
          <w:rtl w:val="true"/>
          <w:lang w:bidi="ar-SA"/>
        </w:rPr>
        <w:t xml:space="preserve">أيضاً مِن هذا الوجهِ </w:t>
      </w:r>
      <w:r>
        <w:rPr>
          <w:rFonts w:eastAsia="Amiri" w:cs="Amiri" w:ascii="Amiri" w:hAnsi="Amiri"/>
          <w:color w:val="111111"/>
          <w:sz w:val="28"/>
          <w:szCs w:val="28"/>
          <w:rtl w:val="true"/>
          <w:lang w:bidi="ar-SA"/>
        </w:rPr>
        <w:t xml:space="preserve">. </w:t>
      </w:r>
      <w:bookmarkStart w:id="701" w:name="pg20044_771078"/>
    </w:p>
    <w:p>
      <w:pPr>
        <w:pStyle w:val="Heading4"/>
        <w:numPr>
          <w:ilvl w:val="3"/>
          <w:numId w:val="1"/>
        </w:numPr>
        <w:rPr/>
      </w:pPr>
      <w:bookmarkStart w:id="702" w:name="__RefHeading___Toc828766_2320776876"/>
      <w:bookmarkStart w:id="703" w:name="_Toc248"/>
      <w:bookmarkEnd w:id="701"/>
      <w:bookmarkEnd w:id="702"/>
      <w:r>
        <w:rPr>
          <w:rtl w:val="true"/>
        </w:rPr>
        <w:t>الدليل الثامن في بيان أنّ الحافظ للشرع هو الإمام، لا الأُمّة</w:t>
      </w:r>
      <w:bookmarkEnd w:id="703"/>
    </w:p>
    <w:p>
      <w:pPr>
        <w:pStyle w:val="Heading5"/>
        <w:numPr>
          <w:ilvl w:val="4"/>
          <w:numId w:val="1"/>
        </w:numPr>
        <w:rPr/>
      </w:pPr>
      <w:bookmarkStart w:id="704" w:name="__RefHeading___Toc828768_2320776876"/>
      <w:bookmarkStart w:id="705" w:name="_Toc249"/>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 أُخرىٰ لهم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إمامٍ معصومٍ يَحفَظُ الشرعَ و يَقومُ به؛ لأنّه لا بُدَّ فيه مِن حافظٍ، و لَيسَ إلّاالإمامَ علىٰ ما نَقولُ ، أو الأُمّةَ علىٰ ما تَقولونَ </w:t>
      </w:r>
      <w:r>
        <w:rPr>
          <w:rStyle w:val="FootnoteAnchor"/>
          <w:rtl w:val="true"/>
        </w:rPr>
        <w:footnoteReference w:id="2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الأُمّةَ لا يَجوزُ ذلكَ عَلَيها</w:t>
      </w:r>
      <w:r>
        <w:rPr>
          <w:rStyle w:val="FootnoteAnchor"/>
          <w:rtl w:val="true"/>
        </w:rPr>
        <w:footnoteReference w:id="2494"/>
      </w:r>
      <w:r>
        <w:rPr>
          <w:rFonts w:ascii="Amiri" w:hAnsi="Amiri" w:eastAsia="Amiri" w:cs="Amiri"/>
          <w:color w:val="111111"/>
          <w:sz w:val="28"/>
          <w:sz w:val="28"/>
          <w:szCs w:val="28"/>
          <w:rtl w:val="true"/>
          <w:lang w:bidi="ar-SA"/>
        </w:rPr>
        <w:t>لأنّ كُلَّ واحدٍ مِنها يَجوزُ عليه الغلطُ و السهوُ، و جميعُها لَيسَ إلّاكُلَّ واحدٍ مِنها، فيَجِبُ جوازُ الغلطِ علَى الجميعِ ، و إلّاانتَقَضَ القَولُ بجَوازِ ذلكَ علىٰ آحادِها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يَصِحَّ كَونُ الشريعةِ محفوظةً بالأُمّةِ فلا بُدَّ مِن إثباتِ معصومٍ </w:t>
      </w:r>
      <w:r>
        <w:rPr>
          <w:rStyle w:val="FootnoteAnchor"/>
          <w:rtl w:val="true"/>
        </w:rPr>
        <w:footnoteReference w:id="2495"/>
      </w:r>
      <w:r>
        <w:rPr>
          <w:rFonts w:ascii="Amiri" w:hAnsi="Amiri" w:eastAsia="Amiri" w:cs="Amiri"/>
          <w:color w:val="111111"/>
          <w:sz w:val="28"/>
          <w:sz w:val="28"/>
          <w:szCs w:val="28"/>
          <w:rtl w:val="true"/>
          <w:lang w:bidi="ar-SA"/>
        </w:rPr>
        <w:t xml:space="preserve">في كُلِّ زمانٍ يَحفَظُها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بها، علىٰ ما نَقولُ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أنّا قد بيّنّا في بابِ الإجماعِ مِن هذا الكتابِ‌</w:t>
      </w:r>
      <w:r>
        <w:rPr>
          <w:rStyle w:val="FootnoteAnchor"/>
          <w:rtl w:val="true"/>
        </w:rPr>
        <w:footnoteReference w:id="2497"/>
      </w:r>
      <w:r>
        <w:rPr>
          <w:rFonts w:ascii="Amiri" w:hAnsi="Amiri" w:eastAsia="Amiri" w:cs="Amiri"/>
          <w:color w:val="111111"/>
          <w:sz w:val="28"/>
          <w:sz w:val="28"/>
          <w:szCs w:val="28"/>
          <w:rtl w:val="true"/>
          <w:lang w:bidi="ar-SA"/>
        </w:rPr>
        <w:t>أنّه لا يَمتَنِعُ جوازُ الخطإ علىٰ كُلِّ واحدٍ مِن الجَماعةِ و يؤمَنُ ذلكَ في جميعِهم</w:t>
      </w:r>
      <w:r>
        <w:rPr>
          <w:rStyle w:val="FootnoteAnchor"/>
          <w:rtl w:val="true"/>
        </w:rPr>
        <w:footnoteReference w:id="2498"/>
      </w:r>
      <w:r>
        <w:rPr>
          <w:rFonts w:ascii="Amiri" w:hAnsi="Amiri" w:eastAsia="Amiri" w:cs="Amiri"/>
          <w:color w:val="111111"/>
          <w:sz w:val="28"/>
          <w:sz w:val="28"/>
          <w:szCs w:val="28"/>
          <w:rtl w:val="true"/>
          <w:lang w:bidi="ar-SA"/>
        </w:rPr>
        <w:t>لأنّ انفرادَ كُلِّ واحدٍ مِن الجماعةِ بقَولٍ لا يؤمَنُ ذلكَ فيه و يؤمَنُ في جميعِهم</w:t>
      </w:r>
      <w:r>
        <w:rPr>
          <w:rStyle w:val="FootnoteAnchor"/>
          <w:rtl w:val="true"/>
        </w:rPr>
        <w:footnoteReference w:id="2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w:t>
      </w:r>
      <w:r>
        <w:rPr>
          <w:rStyle w:val="FootnoteAnchor"/>
          <w:rtl w:val="true"/>
        </w:rPr>
        <w:footnoteReference w:id="2500"/>
      </w:r>
      <w:r>
        <w:rPr>
          <w:rFonts w:ascii="Amiri" w:hAnsi="Amiri" w:eastAsia="Amiri" w:cs="Amiri"/>
          <w:color w:val="111111"/>
          <w:sz w:val="28"/>
          <w:sz w:val="28"/>
          <w:szCs w:val="28"/>
          <w:rtl w:val="true"/>
          <w:lang w:bidi="ar-SA"/>
        </w:rPr>
        <w:t>لا يَمتَنِعُ أن يؤمَنَ علىٰ زَيدٍ الخطأُ في شيءٍ‌</w:t>
      </w:r>
      <w:r>
        <w:rPr>
          <w:rStyle w:val="FootnoteAnchor"/>
          <w:rtl w:val="true"/>
        </w:rPr>
        <w:footnoteReference w:id="2501"/>
      </w:r>
      <w:r>
        <w:rPr>
          <w:rFonts w:ascii="Amiri" w:hAnsi="Amiri" w:eastAsia="Amiri" w:cs="Amiri"/>
          <w:color w:val="111111"/>
          <w:sz w:val="28"/>
          <w:sz w:val="28"/>
          <w:szCs w:val="28"/>
          <w:rtl w:val="true"/>
          <w:lang w:bidi="ar-SA"/>
        </w:rPr>
        <w:t>دونَ شيءٍ بحَسَبِ الدليلِ، أو في حالٍ دونَ حالٍ، و لا يَتَناقَضُ ذلكَ، فكذلكَ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w:t>
      </w:r>
      <w:r>
        <w:rPr>
          <w:rStyle w:val="FootnoteAnchor"/>
          <w:rtl w:val="true"/>
        </w:rPr>
        <w:footnoteReference w:id="2502"/>
      </w:r>
      <w:r>
        <w:rPr>
          <w:rFonts w:ascii="Amiri" w:hAnsi="Amiri" w:eastAsia="Amiri" w:cs="Amiri"/>
          <w:color w:val="111111"/>
          <w:sz w:val="28"/>
          <w:sz w:val="28"/>
          <w:szCs w:val="28"/>
          <w:rtl w:val="true"/>
          <w:lang w:bidi="ar-SA"/>
        </w:rPr>
        <w:t xml:space="preserve">أنّ النبيَّ صَلَّى اللّٰهُ عليه و آلِه و سَلَّمَ لَو قالَ في عَشرةٍ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مِنهم يَجوزُ أن يَرتَدَّ</w:t>
      </w:r>
      <w:r>
        <w:rPr>
          <w:rStyle w:val="FootnoteAnchor"/>
          <w:rtl w:val="true"/>
        </w:rPr>
        <w:footnoteReference w:id="2503"/>
      </w:r>
      <w:r>
        <w:rPr>
          <w:rFonts w:ascii="Amiri" w:hAnsi="Amiri" w:eastAsia="Amiri" w:cs="Amiri"/>
          <w:color w:val="111111"/>
          <w:sz w:val="28"/>
          <w:sz w:val="28"/>
          <w:szCs w:val="28"/>
          <w:rtl w:val="true"/>
          <w:lang w:bidi="ar-SA"/>
        </w:rPr>
        <w:t>و لا يَجوزُ اجتماعُهم</w:t>
      </w:r>
      <w:r>
        <w:rPr>
          <w:rStyle w:val="FootnoteAnchor"/>
          <w:rtl w:val="true"/>
        </w:rPr>
        <w:footnoteReference w:id="2504"/>
      </w:r>
      <w:r>
        <w:rPr>
          <w:rFonts w:ascii="Amiri" w:hAnsi="Amiri" w:eastAsia="Amiri" w:cs="Amiri"/>
          <w:color w:val="111111"/>
          <w:sz w:val="28"/>
          <w:sz w:val="28"/>
          <w:szCs w:val="28"/>
          <w:rtl w:val="true"/>
          <w:lang w:bidi="ar-SA"/>
        </w:rPr>
        <w:t xml:space="preserve">علىٰ ذلك، لَم يَمتَنِعْ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بيّنّا أنّ التجويزَ مُفارِقٌ للإثباتِ و الصحّةِ ، و لا يَجوزُ أن يَصِحَّ مِن كُلِّ </w:t>
      </w:r>
    </w:p>
    <w:p>
      <w:pPr>
        <w:pStyle w:val="BookText"/>
        <w:rPr/>
      </w:pPr>
      <w:r>
        <w:rPr>
          <w:rFonts w:ascii="Amiri" w:hAnsi="Amiri" w:eastAsia="Amiri" w:cs="Amiri"/>
          <w:color w:val="111111"/>
          <w:sz w:val="28"/>
          <w:sz w:val="28"/>
          <w:szCs w:val="28"/>
          <w:rtl w:val="true"/>
          <w:lang w:bidi="ar-SA"/>
        </w:rPr>
        <w:t>واحدٍ مِنهم الخطأُ بمعنَى</w:t>
      </w:r>
      <w:r>
        <w:rPr>
          <w:rStyle w:val="FootnoteAnchor"/>
          <w:rtl w:val="true"/>
        </w:rPr>
        <w:footnoteReference w:id="2506"/>
      </w:r>
      <w:r>
        <w:rPr>
          <w:rFonts w:ascii="Amiri" w:hAnsi="Amiri" w:eastAsia="Amiri" w:cs="Amiri"/>
          <w:color w:val="111111"/>
          <w:sz w:val="28"/>
          <w:sz w:val="28"/>
          <w:szCs w:val="28"/>
          <w:rtl w:val="true"/>
          <w:lang w:bidi="ar-SA"/>
        </w:rPr>
        <w:t>القُدرةِ، و لا يَصِحَّ مِن</w:t>
      </w:r>
      <w:r>
        <w:rPr>
          <w:rStyle w:val="FootnoteAnchor"/>
          <w:rtl w:val="true"/>
        </w:rPr>
        <w:footnoteReference w:id="2507"/>
      </w:r>
      <w:r>
        <w:rPr>
          <w:rFonts w:ascii="Amiri" w:hAnsi="Amiri" w:eastAsia="Amiri" w:cs="Amiri"/>
          <w:color w:val="111111"/>
          <w:sz w:val="28"/>
          <w:sz w:val="28"/>
          <w:szCs w:val="28"/>
          <w:rtl w:val="true"/>
          <w:lang w:bidi="ar-SA"/>
        </w:rPr>
        <w:t xml:space="preserve">سائرِهم؛ لأنّ ذلكَ يَتناقَضُ،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فلا يَجوزُ أن يَثبُتَ لكُلِّ واحدٍ مِنهم صفةٌ و لا يَثبُتَ لجميعِهم؛ لأنّ ذلكَ يَتناقَضُ</w:t>
      </w:r>
      <w:r>
        <w:rPr>
          <w:rFonts w:eastAsia="Amiri" w:cs="Amiri" w:ascii="Amiri" w:hAnsi="Amiri"/>
          <w:color w:val="111111"/>
          <w:sz w:val="28"/>
          <w:szCs w:val="28"/>
          <w:rtl w:val="true"/>
          <w:lang w:bidi="ar-SA"/>
        </w:rPr>
        <w:t>]</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2509"/>
      </w:r>
      <w:r>
        <w:rPr>
          <w:rFonts w:ascii="Amiri" w:hAnsi="Amiri" w:eastAsia="Amiri" w:cs="Amiri"/>
          <w:color w:val="111111"/>
          <w:sz w:val="28"/>
          <w:sz w:val="28"/>
          <w:szCs w:val="28"/>
          <w:rtl w:val="true"/>
          <w:lang w:bidi="ar-SA"/>
        </w:rPr>
        <w:t>التجويزُ فهو بمعنَى</w:t>
      </w:r>
      <w:r>
        <w:rPr>
          <w:rStyle w:val="FootnoteAnchor"/>
          <w:rtl w:val="true"/>
        </w:rPr>
        <w:footnoteReference w:id="2510"/>
      </w:r>
      <w:r>
        <w:rPr>
          <w:rFonts w:ascii="Amiri" w:hAnsi="Amiri" w:eastAsia="Amiri" w:cs="Amiri"/>
          <w:color w:val="111111"/>
          <w:sz w:val="28"/>
          <w:sz w:val="28"/>
          <w:szCs w:val="28"/>
          <w:rtl w:val="true"/>
          <w:lang w:bidi="ar-SA"/>
        </w:rPr>
        <w:t>الشكِّ، و غيرُ مُمتَنِعٍ أن يُشَكَّ فيما يأتيه كُلُّ</w:t>
      </w:r>
    </w:p>
    <w:p>
      <w:pPr>
        <w:pStyle w:val="BookText"/>
        <w:rPr/>
      </w:pPr>
      <w:r>
        <w:rPr>
          <w:rFonts w:ascii="Amiri" w:hAnsi="Amiri" w:eastAsia="Amiri" w:cs="Amiri"/>
          <w:color w:val="111111"/>
          <w:sz w:val="28"/>
          <w:sz w:val="28"/>
          <w:szCs w:val="28"/>
          <w:rtl w:val="true"/>
          <w:lang w:bidi="ar-SA"/>
        </w:rPr>
        <w:t>واحدٍ مِنهم إذا انفَرَدَ لفَقدِ</w:t>
      </w:r>
      <w:r>
        <w:rPr>
          <w:rStyle w:val="FootnoteAnchor"/>
          <w:rtl w:val="true"/>
        </w:rPr>
        <w:footnoteReference w:id="2511"/>
      </w:r>
      <w:r>
        <w:rPr>
          <w:rFonts w:ascii="Amiri" w:hAnsi="Amiri" w:eastAsia="Amiri" w:cs="Amiri"/>
          <w:color w:val="111111"/>
          <w:sz w:val="28"/>
          <w:sz w:val="28"/>
          <w:szCs w:val="28"/>
          <w:rtl w:val="true"/>
          <w:lang w:bidi="ar-SA"/>
        </w:rPr>
        <w:t>الدليلِ، و لا يُشَكَّ فيما اجتَمَعوا عليه، بَل يُعلَمَ صَواباً لحُصولِ‌</w:t>
      </w:r>
      <w:r>
        <w:rPr>
          <w:rStyle w:val="FootnoteAnchor"/>
          <w:rtl w:val="true"/>
        </w:rPr>
        <w:footnoteReference w:id="2512"/>
      </w:r>
      <w:r>
        <w:rPr>
          <w:rFonts w:ascii="Amiri" w:hAnsi="Amiri" w:eastAsia="Amiri" w:cs="Amiri"/>
          <w:color w:val="111111"/>
          <w:sz w:val="28"/>
          <w:sz w:val="28"/>
          <w:szCs w:val="28"/>
          <w:rtl w:val="true"/>
          <w:lang w:bidi="ar-SA"/>
        </w:rPr>
        <w:t>الدليلِ‌</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الغرضُ بما أَورَدناه إبطالُ التوَصُّلِ إلَى القَدحِ في الإجماعِ مِن جهةِ العقلِ علىٰ ما يَسلُكُه القَومُ، فأمّا الكلامُ في إثباتِه فموقوفٌ علَى السمعِ ، و قد دَلَّلنا مِن قَبلُ علىٰ صحّةِ الإجماعِ و أنّه لا يُعدَلُ عنه</w:t>
      </w:r>
      <w:r>
        <w:rPr>
          <w:rStyle w:val="FootnoteAnchor"/>
          <w:rtl w:val="true"/>
        </w:rPr>
        <w:footnoteReference w:id="2514"/>
      </w:r>
      <w:r>
        <w:rPr>
          <w:rFonts w:ascii="Amiri" w:hAnsi="Amiri" w:eastAsia="Amiri" w:cs="Amiri"/>
          <w:color w:val="111111"/>
          <w:sz w:val="28"/>
          <w:sz w:val="28"/>
          <w:szCs w:val="28"/>
          <w:rtl w:val="true"/>
          <w:lang w:bidi="ar-SA"/>
        </w:rPr>
        <w:t>، فإذا صَحَّ كَونُه حُجّةً ، فمِن أينَ أنّه لا بُدَّ مِن إمامٍ معصومٍ؟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تَوصَّلوا إلىٰ إثباتِه بإبطالِ الإجماعِ و قد صَحَّ ، فإذَن يَجِبُ إبطالُ معصومٍ للعِلّةِ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يَمتَنِعُ إثباتُ معصومٍ لغيرِ هذه العِلّةِ ؛ لأنّه لا يَمتَنِعُ أن تَكونَ الأُمّةُ فيما تَجتَمِعُ عليه معصومةً و في جُملتِها </w:t>
      </w:r>
      <w:bookmarkStart w:id="706" w:name="pg20044_771081"/>
    </w:p>
    <w:p>
      <w:pPr>
        <w:pStyle w:val="BookText"/>
        <w:rPr/>
      </w:pPr>
      <w:bookmarkEnd w:id="706"/>
      <w:r>
        <w:rPr>
          <w:rFonts w:ascii="Amiri" w:hAnsi="Amiri" w:eastAsia="Amiri" w:cs="Amiri"/>
          <w:color w:val="111111"/>
          <w:sz w:val="28"/>
          <w:sz w:val="28"/>
          <w:szCs w:val="28"/>
          <w:rtl w:val="true"/>
          <w:lang w:bidi="ar-SA"/>
        </w:rPr>
        <w:t>مَن يَكونُ معصوماً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أرَدنا بما قَدَّمناه إبطالَ هذه الطريقةِ في إثباتِ إمامٍ معصومٍ </w:t>
      </w:r>
      <w:r>
        <w:rPr>
          <w:rFonts w:eastAsia="Amiri" w:cs="Amiri" w:ascii="Amiri" w:hAnsi="Amiri"/>
          <w:color w:val="111111"/>
          <w:sz w:val="28"/>
          <w:szCs w:val="28"/>
          <w:rtl w:val="true"/>
          <w:lang w:bidi="ar-SA"/>
        </w:rPr>
        <w:t>]</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828770_2320776876"/>
      <w:bookmarkStart w:id="708" w:name="_Toc250"/>
      <w:bookmarkEnd w:id="707"/>
      <w:r>
        <w:rPr>
          <w:rtl w:val="true"/>
        </w:rPr>
        <w:t>جواز ورود السمع الدالّ علىٰ حجّيّة إجماع الأُمّة، و عدم استحالة ذلك</w:t>
      </w:r>
      <w:bookmarkEnd w:id="708"/>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Style w:val="FootnoteAnchor"/>
          <w:rtl w:val="true"/>
        </w:rPr>
        <w:footnoteReference w:id="251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عجيبِ الأُمورِ أنّكَ تُناقِضُ في الإجماعِ مَن لا تَعرِفُ‌</w:t>
      </w:r>
      <w:r>
        <w:rPr>
          <w:rStyle w:val="FootnoteAnchor"/>
          <w:rtl w:val="true"/>
        </w:rPr>
        <w:footnoteReference w:id="2517"/>
      </w:r>
      <w:r>
        <w:rPr>
          <w:rFonts w:ascii="Amiri" w:hAnsi="Amiri" w:eastAsia="Amiri" w:cs="Amiri"/>
          <w:color w:val="111111"/>
          <w:sz w:val="28"/>
          <w:sz w:val="28"/>
          <w:szCs w:val="28"/>
          <w:rtl w:val="true"/>
          <w:lang w:bidi="ar-SA"/>
        </w:rPr>
        <w:t>مَذهبَه فيه؛ لأنّ كلامَكَ يَدُلُّ علىٰ أنّ مُخالِفيكَ‌</w:t>
      </w:r>
      <w:r>
        <w:rPr>
          <w:rStyle w:val="FootnoteAnchor"/>
          <w:rtl w:val="true"/>
        </w:rPr>
        <w:footnoteReference w:id="2518"/>
      </w:r>
      <w:r>
        <w:rPr>
          <w:rFonts w:ascii="Amiri" w:hAnsi="Amiri" w:eastAsia="Amiri" w:cs="Amiri"/>
          <w:color w:val="111111"/>
          <w:sz w:val="28"/>
          <w:sz w:val="28"/>
          <w:szCs w:val="28"/>
          <w:rtl w:val="true"/>
          <w:lang w:bidi="ar-SA"/>
        </w:rPr>
        <w:t>في الإجماعِ مِنّا يَذهَبونَ إلىٰ أنّ الأُمّةَ يَجِبُ‌</w:t>
      </w:r>
      <w:r>
        <w:rPr>
          <w:rStyle w:val="FootnoteAnchor"/>
          <w:rtl w:val="true"/>
        </w:rPr>
        <w:footnoteReference w:id="2519"/>
      </w:r>
      <w:r>
        <w:rPr>
          <w:rFonts w:ascii="Amiri" w:hAnsi="Amiri" w:eastAsia="Amiri" w:cs="Amiri"/>
          <w:color w:val="111111"/>
          <w:sz w:val="28"/>
          <w:sz w:val="28"/>
          <w:szCs w:val="28"/>
          <w:rtl w:val="true"/>
          <w:lang w:bidi="ar-SA"/>
        </w:rPr>
        <w:t>أن تَجتَمِعَ‌</w:t>
      </w:r>
      <w:r>
        <w:rPr>
          <w:rStyle w:val="FootnoteAnchor"/>
          <w:rtl w:val="true"/>
        </w:rPr>
        <w:footnoteReference w:id="2520"/>
      </w:r>
      <w:r>
        <w:rPr>
          <w:rFonts w:ascii="Amiri" w:hAnsi="Amiri" w:eastAsia="Amiri" w:cs="Amiri"/>
          <w:color w:val="111111"/>
          <w:sz w:val="28"/>
          <w:sz w:val="28"/>
          <w:szCs w:val="28"/>
          <w:rtl w:val="true"/>
          <w:lang w:bidi="ar-SA"/>
        </w:rPr>
        <w:t>علَى الخطإ مِن طريقِ العُقولِ، و أنّه</w:t>
      </w:r>
      <w:r>
        <w:rPr>
          <w:rStyle w:val="FootnoteAnchor"/>
          <w:rtl w:val="true"/>
        </w:rPr>
        <w:footnoteReference w:id="2521"/>
      </w:r>
      <w:r>
        <w:rPr>
          <w:rFonts w:ascii="Amiri" w:hAnsi="Amiri" w:eastAsia="Amiri" w:cs="Amiri"/>
          <w:color w:val="111111"/>
          <w:sz w:val="28"/>
          <w:sz w:val="28"/>
          <w:szCs w:val="28"/>
          <w:rtl w:val="true"/>
          <w:lang w:bidi="ar-SA"/>
        </w:rPr>
        <w:t>يَستَحيلُ عِندَهم أن تَقومَ‌</w:t>
      </w:r>
      <w:r>
        <w:rPr>
          <w:rStyle w:val="FootnoteAnchor"/>
          <w:rtl w:val="true"/>
        </w:rPr>
        <w:footnoteReference w:id="2522"/>
      </w:r>
      <w:r>
        <w:rPr>
          <w:rFonts w:ascii="Amiri" w:hAnsi="Amiri" w:eastAsia="Amiri" w:cs="Amiri"/>
          <w:color w:val="111111"/>
          <w:sz w:val="28"/>
          <w:sz w:val="28"/>
          <w:szCs w:val="28"/>
          <w:rtl w:val="true"/>
          <w:lang w:bidi="ar-SA"/>
        </w:rPr>
        <w:t>دَلالةٌ سمعيّةٌ علىٰ أنّهم لا يَختارونَ الخطأَ في حالِ الإجماعِ‌</w:t>
      </w:r>
      <w:r>
        <w:rPr>
          <w:rStyle w:val="FootnoteAnchor"/>
          <w:rtl w:val="true"/>
        </w:rPr>
        <w:footnoteReference w:id="2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يَتَوهَّمُ عَلَينا مِثلَ هذا مَن أَنعَمَ النظَرَ</w:t>
      </w:r>
      <w:r>
        <w:rPr>
          <w:rStyle w:val="FootnoteAnchor"/>
          <w:rtl w:val="true"/>
        </w:rPr>
        <w:footnoteReference w:id="2524"/>
      </w:r>
      <w:r>
        <w:rPr>
          <w:rFonts w:ascii="Amiri" w:hAnsi="Amiri" w:eastAsia="Amiri" w:cs="Amiri"/>
          <w:color w:val="111111"/>
          <w:sz w:val="28"/>
          <w:sz w:val="28"/>
          <w:szCs w:val="28"/>
          <w:rtl w:val="true"/>
          <w:lang w:bidi="ar-SA"/>
        </w:rPr>
        <w:t xml:space="preserve">في مَذهَبِنا، و إنّما نورِدُ الحِجاجَ الذي حَكَيتَ </w:t>
      </w:r>
      <w:r>
        <w:rPr>
          <w:rStyle w:val="FootnoteAnchor"/>
          <w:rtl w:val="true"/>
        </w:rPr>
        <w:footnoteReference w:id="2525"/>
      </w:r>
      <w:r>
        <w:rPr>
          <w:rFonts w:ascii="Amiri" w:hAnsi="Amiri" w:eastAsia="Amiri" w:cs="Amiri"/>
          <w:color w:val="111111"/>
          <w:sz w:val="28"/>
          <w:sz w:val="28"/>
          <w:szCs w:val="28"/>
          <w:rtl w:val="true"/>
          <w:lang w:bidi="ar-SA"/>
        </w:rPr>
        <w:t xml:space="preserve">بعضَه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جميعَهم هُم آحادُهم، فما يَجوزُ علَى الآحادِ يَجِبُ جوازُه علَى الجميعِ </w:t>
      </w:r>
      <w:r>
        <w:rPr>
          <w:rStyle w:val="FootnoteAnchor"/>
          <w:rtl w:val="true"/>
        </w:rPr>
        <w:footnoteReference w:id="2526"/>
      </w:r>
      <w:r>
        <w:rPr>
          <w:rFonts w:ascii="Amiri" w:hAnsi="Amiri" w:eastAsia="Amiri" w:cs="Amiri"/>
          <w:color w:val="111111"/>
          <w:sz w:val="28"/>
          <w:sz w:val="28"/>
          <w:szCs w:val="28"/>
          <w:rtl w:val="true"/>
          <w:lang w:bidi="ar-SA"/>
        </w:rPr>
        <w:t xml:space="preserve">، إلىٰ نَظائرِ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يَذهَبُ إلىٰ أنّ الأُمّةَ لا يَجوزُ أن تَجتَمِعَ </w:t>
      </w:r>
    </w:p>
    <w:p>
      <w:pPr>
        <w:pStyle w:val="BookText"/>
        <w:rPr/>
      </w:pPr>
      <w:r>
        <w:rPr>
          <w:rFonts w:ascii="Amiri" w:hAnsi="Amiri" w:eastAsia="Amiri" w:cs="Amiri"/>
          <w:color w:val="111111"/>
          <w:sz w:val="28"/>
          <w:sz w:val="28"/>
          <w:szCs w:val="28"/>
          <w:rtl w:val="true"/>
          <w:lang w:bidi="ar-SA"/>
        </w:rPr>
        <w:t>علىٰ خطإٍ مِن طريقِ العُقولِ و لا يَعتَبِرُ فيه السمعَ، و يُجري اجتماعَها علَى الخطإ بالشُّبهةِ في امتناعِه عَلَيها مَجرَى اجتماعِها علَى السهوِ عن شيءٍ واحدٍ في</w:t>
      </w:r>
      <w:r>
        <w:rPr>
          <w:rStyle w:val="FootnoteAnchor"/>
          <w:rtl w:val="true"/>
        </w:rPr>
        <w:footnoteReference w:id="2527"/>
      </w:r>
      <w:r>
        <w:rPr>
          <w:rFonts w:ascii="Amiri" w:hAnsi="Amiri" w:eastAsia="Amiri" w:cs="Amiri"/>
          <w:color w:val="111111"/>
          <w:sz w:val="28"/>
          <w:sz w:val="28"/>
          <w:szCs w:val="28"/>
          <w:rtl w:val="true"/>
          <w:lang w:bidi="ar-SA"/>
        </w:rPr>
        <w:t>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w:t>
      </w:r>
      <w:r>
        <w:rPr>
          <w:rStyle w:val="FootnoteAnchor"/>
          <w:rtl w:val="true"/>
        </w:rPr>
        <w:footnoteReference w:id="2528"/>
      </w:r>
      <w:r>
        <w:rPr>
          <w:rFonts w:ascii="Amiri" w:hAnsi="Amiri" w:eastAsia="Amiri" w:cs="Amiri"/>
          <w:color w:val="111111"/>
          <w:sz w:val="28"/>
          <w:sz w:val="28"/>
          <w:szCs w:val="28"/>
          <w:rtl w:val="true"/>
          <w:lang w:bidi="ar-SA"/>
        </w:rPr>
        <w:t>محُصِّلاً مِن أصحابِنا و لا مِن غيرِهم يَذهَبُ إلىٰ أنّ السمعَ يَستَحيلُ أن يَرِدَ علىٰ سَبيلِ التقديرِ بأنّ الأُمّةَ أو جماعةً مِنها لا تَختارُ الخطأَ في حالٍ دونَ حالٍ، أو</w:t>
      </w:r>
      <w:r>
        <w:rPr>
          <w:rStyle w:val="FootnoteAnchor"/>
          <w:rtl w:val="true"/>
        </w:rPr>
        <w:footnoteReference w:id="2529"/>
      </w:r>
      <w:r>
        <w:rPr>
          <w:rFonts w:ascii="Amiri" w:hAnsi="Amiri" w:eastAsia="Amiri" w:cs="Amiri"/>
          <w:color w:val="111111"/>
          <w:sz w:val="28"/>
          <w:sz w:val="28"/>
          <w:szCs w:val="28"/>
          <w:rtl w:val="true"/>
          <w:lang w:bidi="ar-SA"/>
        </w:rPr>
        <w:t>علىٰ وجهٍ دونَ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أن نَتَشاغَلَ‌</w:t>
      </w:r>
      <w:r>
        <w:rPr>
          <w:rStyle w:val="FootnoteAnchor"/>
          <w:rtl w:val="true"/>
        </w:rPr>
        <w:footnoteReference w:id="2530"/>
      </w:r>
      <w:r>
        <w:rPr>
          <w:rFonts w:ascii="Amiri" w:hAnsi="Amiri" w:eastAsia="Amiri" w:cs="Amiri"/>
          <w:color w:val="111111"/>
          <w:sz w:val="28"/>
          <w:sz w:val="28"/>
          <w:szCs w:val="28"/>
          <w:rtl w:val="true"/>
          <w:lang w:bidi="ar-SA"/>
        </w:rPr>
        <w:t>به بَعدَ هذا الكلامِ في صحّةِ ما يُدَّعىٰ مِن السمعِ الوارِدِ بأنّ الأُمّةَ لا تَجتَمِعُ علَى خطإٍ</w:t>
      </w:r>
      <w:r>
        <w:rPr>
          <w:rStyle w:val="FootnoteAnchor"/>
          <w:rtl w:val="true"/>
        </w:rPr>
        <w:footnoteReference w:id="2531"/>
      </w:r>
      <w:r>
        <w:rPr>
          <w:rFonts w:ascii="Amiri" w:hAnsi="Amiri" w:eastAsia="Amiri" w:cs="Amiri"/>
          <w:color w:val="111111"/>
          <w:sz w:val="28"/>
          <w:sz w:val="28"/>
          <w:szCs w:val="28"/>
          <w:rtl w:val="true"/>
          <w:lang w:bidi="ar-SA"/>
        </w:rPr>
        <w:t>، و لَم نَجِدْه ذَكَرَ هاهُنا شَيئاً مِن الاستدلالِ بالسمعِ، و إنّما أحالَ علىٰ ما ذَكَرَه فيما مضىٰ مِن كتابِه</w:t>
      </w:r>
      <w:r>
        <w:rPr>
          <w:rStyle w:val="FootnoteAnchor"/>
          <w:rtl w:val="true"/>
        </w:rPr>
        <w:footnoteReference w:id="2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نُتْبِعُ ما ذَكَرَه</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هُناكَ ، و نُبيِّنُ فَسادَه، علىٰ طريقتِنا في الإيجازِ و الاختصارِ، بمَشيئةِ اللّٰهِ تَعالىٰ </w:t>
      </w:r>
      <w:r>
        <w:rPr>
          <w:rStyle w:val="FootnoteAnchor"/>
          <w:rtl w:val="true"/>
        </w:rPr>
        <w:footnoteReference w:id="2534"/>
      </w:r>
      <w:r>
        <w:rPr>
          <w:rFonts w:ascii="Amiri" w:hAnsi="Amiri" w:eastAsia="Amiri" w:cs="Amiri"/>
          <w:color w:val="111111"/>
          <w:sz w:val="28"/>
          <w:sz w:val="28"/>
          <w:szCs w:val="28"/>
          <w:rtl w:val="true"/>
          <w:lang w:bidi="ar-SA"/>
        </w:rPr>
        <w:t>و تَوفيقِه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التجويز في المجموع؛ لاختلاف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يتمّ منعاً علىٰ دليل من أوجب عقلاً حجّيّة الإجماع، كما نقله قُدّس سرّه؛ فتأمَّل</w:t>
      </w:r>
      <w:r>
        <w:rPr>
          <w:rFonts w:eastAsia="Amiri" w:cs="Amiri" w:ascii="Amiri" w:hAnsi="Amiri"/>
          <w:color w:val="111111"/>
          <w:sz w:val="28"/>
          <w:szCs w:val="28"/>
          <w:rtl w:val="true"/>
          <w:lang w:bidi="ar-SA"/>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20044_771084"/>
      <w:bookmarkStart w:id="710" w:name="pg20044_771084"/>
      <w:bookmarkEnd w:id="710"/>
    </w:p>
    <w:p>
      <w:pPr>
        <w:pStyle w:val="Heading2"/>
        <w:numPr>
          <w:ilvl w:val="1"/>
          <w:numId w:val="1"/>
        </w:numPr>
        <w:rPr/>
      </w:pPr>
      <w:bookmarkStart w:id="711" w:name="pg20044_771084"/>
      <w:bookmarkStart w:id="712" w:name="__RefHeading___Toc828772_2320776876"/>
      <w:bookmarkStart w:id="713" w:name="_Toc251"/>
      <w:bookmarkEnd w:id="711"/>
      <w:bookmarkEnd w:id="712"/>
      <w:r>
        <w:rPr>
          <w:rtl w:val="true"/>
        </w:rPr>
        <w:t>فهرس المطالب</w:t>
      </w:r>
      <w:bookmarkEnd w:id="713"/>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المؤلّفة في الإمامة قبل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و كتابه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الشروح</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التكملات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النقض على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مسائل وردت على غيره، لكنه تكلّم في 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الكلام على أهل الأهواء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المغني في أبواب التوحيد و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أجزاء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نكت الكتاب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جزء الإمامة من كتاب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مصادر كتاب المغني في مباحث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أبواب و فصول مباحث الإمامة في كتاب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 تلخيصه للشافي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و كتابه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جمل الثناء علىٰ كتاب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من تأثّر بالشافي و نقل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إرجاع الشريف المرتضىٰ إلى الشافي في كتبه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تاريخ تأليف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فصول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منهجيّة البحث في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بعض آراء الشريف المرتضى في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فوائد من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مصادر الشافي، و النصوص المنقولة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آراء أصحاب الإماميّة في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الأعمال التي دارت حول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رسائل جامعيّة حول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طبعات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وصيّة الشريف المرتضى لقارئ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الكتاب و العمل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كلمة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نماذج من تصاوير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الشافي في الإمامة</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تتبّع ما ذكره ممّا يتعلّق بوجوب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دخولُ الإماميّة في النزاع حول الإمامة،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فسا إلزام الإماميّة بما قاله الشذّاذ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بيانُ ما يتميّز به النبيّ عن المعرفة و الإمام و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بيانُ اعتقاد الإماميّة بأفضليّة النبيّ على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وجوه وجوب الإمامة، و بيان الصحيح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الإمام تمكيناً، و بيان المعنىٰ الصحيح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بقاء السماء و الأرض بوجود الإمام، و مناقشةُ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الإمام بياناً، و عدمُ استلزام ذلك وجوبُ الإمام في كلّ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الإمام منبِّهاً على الأدلّة و النظرِ فيها، و عدمُ اختصاص ذلك بالإمام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نفيُ أن يكونَ المكلّفُ معذوراً إذا فرّط في 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عدم وجوب عدد معيّن في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كيفيّة إزاحة علّة المكلّفين في 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عدم التلازم بين ثبوت الفترة في الرسل، و ثبوتها في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في بيان أنّ الإمامة 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عدم لزوم التسوية بين الإمامة و المعرفة من كلّ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عدم دلالة العقل علىٰ عدد الرؤساء و لا صفاتهم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إمكان معرفة الجميع بالإمام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الفرق بين خبر الإمام في حياته، و خبر الرسول بعد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عودة إلى البحث عن المقارنة بين المعرفة و الإمامة في كونهما لطفاً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حاجة الإمام إلى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عدم اقتصار الحاجة إلى الإمام علىٰ دفع 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استغناء المعصوم عن إمام يَصرفه عن فعل القبيح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لزوم الرئاسة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نفي الدليل العقلي علىٰ عدد الأئمّة، و معنىٰ لزوم وجود رئيس في كلّ 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تجويز العقل أن يكون لكلّ بلد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الفرق بين دليل وجوب النصّ على الإمام، و دليل وجوب الرئاسة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إلزام صاحبِ المغني القولَ بتبعيّة الإمام للرعيّة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بيان أنّ الحاجة إلى الرئيس من الضروريّات البديهيّة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إشارة إلىٰ ما تقدّم من عدم دلالة العقل علىٰ عدد الأئمّة و صفاتهم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تأكيد ما تقدّم من ذهاب العقلاء إلىٰ ضرورة وجود رئيس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بيان أنّ الحاجة إلى الإمام عامّة لجميع الأحوال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تجويز ترك العقلاءِ نصبَ الإمام مع إدراكهم لقبح ذلك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إشارة إلىٰ ما تقدّم من عدم التلازم بين دليل إثبات الإمامة، و إثبات صفات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بيان أنّنا نحتجّ بما يعلمه العقلاء من وجوب الإمامة، لا بفعلهم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نفي معرفة مَن يستغني بتناصُف الناس عن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عدم التنافي بين القول بالشورىٰ ، و القول بوجوب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شمول الإمامة لشؤون الدين و الدنيا، و عدم اختصاصها بالدنيا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بيان وجوب نصب الإمام علىٰ اللّٰه تعالىٰ ، لا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بيان الفرق بين الحاجة إلى الإمام، و الحاجة إلى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عدم المنافاة بين جواز اجتماع الناس علىٰ رئيس كافر، و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نفي بعض الوجوه المذكورة لإثبات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الخاطر و التنبيه على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 و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السموم و الأغذية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كتمان الناس لمضارّ السموم و فوائد الأغذية، خلافاً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الحاجة إلى الإمام على العادات، و جواز ارتفاع الحاجة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وجوه الحاجة إلى الإمام في الأُمور المتواترة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بيان الفرق بين سماع كلام الرسول صلّى اللّٰه عليه و آلِه،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عدم المنافاة بين تجويز إعراض المتواتِرين عن النقل، و بين حجّيّة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إبطال ما ادّعاه صاحب الكتاب من لوازم تلزم الإماميّة القائلين بالحاجة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الكتمان على الخلق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العقليّات أو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أشخاص لا أصل لهم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ادّعاء الضرورة في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تَعرُّضُ صاحبِ الكتاب لهشام بن الحَكَم و ابن الراونديّ و أبي عيسى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المؤلِّفِ عن هِشامِ بنِ الحَكَمِ و دَفعُه لما نُسِبَ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المؤلِّفِ عن ابنِ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تَعرُّضُ المؤلّف لآراء الجاحظ و كُتُبه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نفي نسبة أبي حفص الحدّاد إلى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المؤلّف عن أبي عيسى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نَماذِجُ مِن العقائدِ الباطلةِ لأبي الهُذَيلِ، و النَّظّامِ، و مُعَمَّرٍ،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اعتمادُ الإماميّةٍ علَى العقلِ في وجوبِ الإمامةِ و أوصافِ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بيانُ تناقضِ كلام صاحب الكتاب و خطئِه فيما نَسَبَه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بيانُ أنّ بعضَ وجوهِ الحاجةِ إلى الإمام تتعلّق بواجبات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بعض وجوه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أداء الشريعة، و عدم الاستغناءِ بالتواتر و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بيان أنّ فائدة التواتر إثبات أعيان الأئمّة، لا ضرورة وجودهم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السهو و الخطإ</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الاختلافِ في الدياناتِ ، و بيانُ وجوهِ الاختلافِ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في تتبّع كلامه في الاستدلال علىٰ وجوب الإمامة من جهة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إقامة الحدود علىٰ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إبطال الاستدلال بوجوب إقامة الحدود علىٰ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عدم دلالة اشتراط الإيجاب بصفة، علىٰ وجوب تحصيل تلك الصفة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بيان الفرق بين إيجاب السبب، و إيجاب إقامة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بيان الفرق بين إيجاب العبادات، و إيجاب 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مُناقَشةُ دَعوىٰ صاحبِ المغني من أنّ الإمامة إن لَم تَكُن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مُناقَشةُ دَعوىٰ صاحبِ المُغني في أنّ الإمامَ قَبلَ أن يَصيرَ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حرمة تضييع الحدود على الإمام دون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دليل وجوب إزالة الغلبة عن الإمام على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عدم وجوب نصب الأُمراء على الأُمّة لأجل إقامة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عدم التلازم بين وجوب قبول الإمامة و وجوب الثبات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الوجوه التي تجب لها الإمامة، و بطلان قياس الإمامة على الأمر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عدم دلالة سلوك الصحابة علىٰ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مناقشة وجود إجماع علىٰ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جوابٌ نقضيّ للمصنّف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تأمير خالد بن الوليد يومَ 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اعتماد صاحب الكتاب في كلامه علىٰ طريقة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 أبا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عدم دلالة الحديث المذكور علىٰ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بيان عدم الحاجة إلى النصّ علىٰ وجوبِ الإمامة و معرفةِ صفات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عدم جواز خفاء النصّ علىٰ صفات الإمام على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عدم دلالة القرآن علىٰ صفات الإمام و ما يتولّاه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بيان أنّ أُصول الصلاة و الزكاة ثابتة بالاضطرار، لا بالأخبار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تناقض كلام صاحب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الكلام على اعتراضه علىٰ ما حكاه من أدلّتنا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النقص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بيان التقرير الصحيح لدليل اللطف علىٰ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عدم دلالة جواز السهو على الحاجة إلى الإمام، علىٰ تفصيل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التقرير الصحيح للاستدلال بجواز الشُّبَه علىٰ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استلزام وجودِ النقص بين الناس حاجتَهم إلى الإمام، على تفصيل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عدم اقتضاء كون الإمام لطفاً نفيَ القدرة عن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بيان دقيق في كيفيّة الاستدلال بالنقص علىٰ وجوب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عدم المنافاة بين العلم الضروريّ بأُمور الدين، و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اختلاف أنواع الألطاف من حيث الخصوص و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استحالة توقّف معرفة جميع الأئمّة علىٰ 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عدم تساوي وجود الإمام و عدمه في معرفة الناس التكاليفَ و قيامهم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إشكالٌ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غَيبةِ الإمامِ ، و 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بيان الفرق بين عدم ظهور الإمام و عدم 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بيان المانع الحقيقي من ظهور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بيان الفرق بين علّة الاستتار من الأعداء و من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عدم لزوم كون الإمام في كلّ بلد و 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تمكُّن المكلَّفين من أداء التكليف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نفي السهو عن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جواز عدول الناقلين للأخبار عن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عدم التلازم بين سقوط التكليف عن الناقل إذا سها، و بين سقوطه عن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وجه دلالة جواز دخول الشبهة على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وجه دلالة اتّباع الشهوات على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السهو و الغفلة و الشبهة و التقصير على المكلّفين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إشارات إلىٰ مسألة كون الإمامة لطفاً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وجوب كون الإمام لطفاً في كلّ 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وجوب كون الإمام لطفاً في كلّ تكليف و جواز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هل يوجِبُ اللُّطفُ في الإمامةِ كَونَ الناسِ مُلجَئينَ إلَى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عدم قيام غير الإمام مقامه فيما هو لطف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عدم استغناء المكلّفين عن الإمام فيما هو لطف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الاختلاف في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الاختلاف في الفقه و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إبطال صحّة الاجتهاد بمعنىٰ طلب غلبة الظنّ فيما لا دليل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عدم وجود أدلّة قاطعة علىٰ كلّ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عدم بطلان فتاوى الشيعة و عدم استغنائهم عن إمام يكون من ورائهم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منعُ أمير المؤمنين من الاجتهاد و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ما يتّصل بمصالح أبدان المكلّفين و معايشهم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الإمام مقام الرسول في حفظ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تقرير المصنّف للدليل السادس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ضرورة وجود حجّةٍ يقف من وراء الناقلين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وجوب معرفة الإمام لأجل معرفة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بيان الطريق إلىٰ معرفة الإمام، و عدم الاستغناء بالتواتر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عدم الاستغناء عن الإمام في معرفة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إبطال ما ادّعاه صاحب الكتاب من أدلّةٍ تُغني عن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جواز سهو العقلاء عن بعض العلوم الضروريّة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بيان ما يجوز كتمانه و السهو عنه من الأُمور المتواترة، و ما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عدم جواز كتمان معارضة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عدم الاستغناء بالإجماع عن الإمام في حفظ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بيان الطريق إلىٰ معرفة عين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بحث مفصّل حول جواز ظهور المعجزات علىٰ يد غير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نفي أن يكون العلمُ بأكثر الشرع أظهرَ من النصّ على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لصاحبِ المُغني في رُجوعِ الإمامِ أميرِ المؤمِنينَ في معرفةِ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رفض المصنّف لدلالة الدليل السابع علىٰ وجوب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إمكان الاستدلال بالدليل السابع علىٰ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تناقض كلام صاحب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حالُ الحدود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إشارة إلى الفرق بين عدم إقامة الحدود من قِبَل الظلمة، و من قِبَله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عدم لزوم عصمة الأُمراء المنصوبين من قِبَل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عدم لزوم عصمة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الحافظ للشرع هو الإمام، لا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ورود السمع الدالّ علىٰ حجّيّة إجماع الأُمّة، و عدم استحالة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الالتفات إلى أنّ هذا العمل يطبع بعنوان ترتيب ديوان الشريف المرتضى ضمن دراسات حول الشريف المرتضى، لكن أصل الديوان يطبع لأوّل مرّة مستنداً إلى جميع نسخه و مخطوطاته المتوفّرة في ضمن مؤلّفات الشريف المرتضى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تشتمل بمجلّداتها الأربعة في الطبعة السابقة على الرسائل التالية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تفصيل الكلام عن هذه الرسائل و ترتيبها و ما حذف منها و ما يطبع لأوّل مرّة فيها في مقدّمة تحقيق الرسائل و المسائل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أن نقوم هنا بنقل حكاية طريفة نقلها الشيخ أبو الحسين السوسنجردي في هذا المجال،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مضيتُ إلى أبي القاسم البلخي إلى بلخ، بعد زيارتي الرضا عليه السلام بطوس، فسلّمتُ عليه، و كان عارفاً بي، و معي كتاب أبي جعفر ابن قِبَة في الإمامة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فوقف عليه و نقضه بالمسترشد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إلى الريّ ، فدفعتُ الكتاب إلى ابن قِبَة، فنقضه بالمستثبت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فحملتُه إلى أبي القاسم، فنقضه بنقض المستثبت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 إلى الريّ فوجدتُ أبا جعفر قد مات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أفكار المتقدّمين و المتأخّرين،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طبقات الشافعيّة للسبكي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طبقات الشافعيّة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رسالة طبعت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نسبت إلى القاضي، حقّقها فيصل بدير عون، جامعة الكويت،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نشر محمّد عمارة رسالةً أُخرى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حاول أن يسوق الأدلّة لإثبات نسبتها إلى القاضي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الرافعي أنّ وفاته كانت في جمادى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الصفدي أنّ وفاته كانت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أضاف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 الجشمي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سنة خمس عشرة أو ست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ابتدأنا بإملائه في مسجدشيخنا أبي محمّد عبد اللّٰه ابن العبّاس بن أمهرمز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رامهرمز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أتمّه بعث به إلى الصاحب، فقام الأخير بتقريظ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نصّ التقريظ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العيون،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الكتاب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اعتمدنا في التعريف بنسخ المغني، و كيفية العثور عليها، و أسماء المحقّقين لكلّ جزءٍ من أجزاء الكتاب، على مقدّمة تحقيق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الكتاب المغني، و الذي سوف يأتي التعريف به بعد قليل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الأجزاء الثلاثة الأُولى مفقودة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تحقيق لقسمٍ من هذا الجزء قام به ديفيد توماس مع ترجمة باللغة الإنجليزية، و ذلك تحت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Christian Doctrines Islamic Theology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النصارى من المغني في باب التوحيد و 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Leiden</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العاشر مفقود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الجزءان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الكتاب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الصفحات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الصفحات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 في أُصول الدين،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العثور على شيء مختصر من محتوى هذه الفصول في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ذلك مقدّمة الشافي و خاتمته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الصافي من سلاف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محفوظة في مكتبة مجلس الشورى بطهران، رقم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رسالة مفقودة يدور موضوعها حول شبهة متعلقة بحديث 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 المسائل الموصليّات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مفقودة أيضاً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قد يدلّ على تغيّر في أُسلوب عرض البحث، أو حتّى علىٰ نضج في بيان المطالب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أوائل المقالات،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تصحيح اعتقادات الإماميّة،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في الغيبة،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في الغيبة،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المتبقي من تراث ابن قبة الرازي،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المتبقي من تراث ابن قبة الرازي،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في الغيبة،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مسألة في الإجماع للشريف المرتضى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قارن مع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مطاعن أبي بكر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مطاعن عمر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تشييد ما يُثبته و ينفيه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شُطب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الشريف المرتضى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السيّد المرعشي النجفي،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نصف كتاب الارتشاف، و كلّ الكتاب الذي في أنساب العلويّين قد سقطا من هذه المجموعة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هنا سقط لعله بمقدار أربع أو خمس كلمات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هاى خطى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أوراق عتيق،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سلامُه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النقباء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أنواع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مواضيع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من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حوّل القارئ إلى شيء قريب، و يدلّ هذا على أنّ المغني كان سهل التناول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بالجميع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 نحوتُه، أي قصدتُه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المصنّف رحمه اللّٰه عدل عن هذا، و جعل يذكر كلام صاحب المغني الذي يريد نقضه على وجهه بعد أن مضت قطعة من الكتاب على الرأي الأوّل، و لم يمكنه تلافي ذلك بإعادة المحذوف؛ و ذلك لأنّ الكتاب خرج منه و سار في البلاد و تناوله الناس قبل كمال الكتاب و تمامه، فأشفق من أن تتغيّر النسخ و تختلف، كما أشار إلى ذلك في خاتمة الكتاب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لطفه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 ذكر ما ينقسم إليه الخلاف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في الإمامة على وجوه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النبيّ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حذفه السيّد المرتضى من كلام القاضي يتعلّق بالغلاة و المفوّضة و القائلين بالتناسخ ممّن وُصفوا بالتشيّع و ما هم منه بفتيل و لا نقير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سيّدنا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فالكلام معه و إن لم يسقط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يجعل جميع صفات النبيّ للإمام، إمّا أن يعمّم الصفات بحيث تشمل الأداء عن اللّٰه سبحانه بغير واسطة أو بواسطة هو المَلَك كما هو الظاهر،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الأوّل يُثبت للنبيّ اسماً آخر هو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يجعلهما مترادفين، و هذا نزاع في التسمية و اللفظ لا يليق بأحد التعرّض له، فالكلام معه فيه ساقط، و إن كان ثبوت الكلام معه من حيث إنّه لا يُثبت الإمام بالمعنى الذي يتولّىٰ أهل الكلام البحث عنه و ينفي وجوب الإمامة بالمعنى المشهور بينهم فالمسألة يجب أن يُبحث عنها في باب الإمامة؛ كيف لا، و من جملة الكلام فيها إثباتها و بيان وجوبها أو عدم وجوبها؟ فلم يصحّ 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لا يكون كلاماً في الإمامة، بل في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الثاني فهو ممّن يجعل للإمام بعض صفات النبيّ أو أكثرها، و سيذكر قدّس سرّه أنّ الكلام معه كلام في الإمامة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جعل للإمام بعض صفات النبيّ أو أكثرها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من يُثبت للإمام بعض صفات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فإمّا أن يخصَّ ذلك البعض بما يثبت للنبيّ من حيث هو نبيّ كالأداء عن اللّٰه سبحانه بلا توسّط أو توسّط مَلَك، أو لا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في حيّز الضرورات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من عشرين صفحة من الصفحات التالية، ساقط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يتجاوز و لا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صفات الإمام و ما يتولّاه من الأُمور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ما يَتولّاه و يقوم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بفعله من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عائد إلى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 أصحاب العدل و التوحيد و يلقّبون بالقدريّة و العدليّة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يعمّ طائفة المعتزلة من الاعتقاد القول بأن اللّٰه تعالىٰ قديم، و نفوا الصفات القديمة، و اتّفقوا على أنّ كلامه محدث مخلوق في محلّ ، و أنّ الإرادة و السمع و البصر ليست معاني قائمة بذاته،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فرق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لا يشترطون العصمة في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المنتمون إلى الشهيد زيد بن عليّ بن الحسين عليه السلام، ساقوا الإمامة في أولاد فاطمة عليها السلام، سواء كان من أولاد الحسن أو الحسين عليهما السلام، فكلّ فاطميّ عالِم شجاع سخيّ إذا خرج بالسيف و دعا لنفسه كان إماماً واجب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جوّزوا خروج إمامين في قطرين في وقت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أصناف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جارودية، و سليمانية، و بترية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خرج عن هذا الباب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الإمامة، و إن لم يسقط البحث معه في باب آخر؛ فلا يرد أنّ نفي الجسميّة عنه تعالىٰ ممّا يُبحث عنه في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تقدّم ذكره في المغني من الغلاة و أمثالهم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لكنّهم يستترون بهذه المذاهب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المذهب؛ لأنّهم يكفّرون الغلاة و إن نُسبوا إليهم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 يرتضيه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يختارونه و لا يرضون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 الشُّذّاذِ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الخارجين عنهم المنتحلين لطريقتهم المتسمّين بِاسمهم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يحيى بن محمّد بن إسحاق الراوندي، من أهل مرو الروذ، سكن بغداد، و كان من متكلّمي المعتزلة، ثمّ فارقهم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 الكتب المصنَّفة نحو من مائة و أربعة</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فضائح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كقولهم بالثابتات الأزليّة الغنيّة عن العلّة، و قولهم بالأحوال المنسلخة عن النقيضين، و قولهم بالتفويض المُفضي إلى المُحالات الكثيرة، و قول طائفة منهم بتناهي مقدورات اللّٰه تعالىٰ و معلوماته مع قولهم أنّ علم اللّٰه هو اللّٰه، و قول بعضهم بعدم شمول قدرته للممكنات، و بالمداخلة و الطفرة، و قول بعضهم أنّ اللّٰه لا يعلم نفسه لوجوب المغايرة بين العالم و المعلوم، و إنكارهم لبعض المتواترات كوجود الجنّة و النار و انشقاق القمر للنبيّ صلّى اللّٰه عليه و آله، و تفضيلهم الملائكة على الأنبياء عليهم السلام، إلىٰ غير ذلك ممّا هو مذكور في الكتب الكلاميّة، و سيُذكر في كلام السيِّد قدّس سرّه بعض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يُشرف، أي يَطَّلع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أعود، أي أنفع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 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بالطبقة الثانية من يوجبون نصب الإمام على اللّٰه تعالىٰ من باب اللطف، و هم الإماميّة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لمعرفة ما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بمعرفة ما معهم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يبلغ</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 أن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بالخصوم هنا المعتزلة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تَجعلَ الأُمّة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مجموعهم الموجودين، كما هو المعتبر في الإجماع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الأنبياء باعتبار تعدُّد المجموع بحسب انعدام 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بعدم أحد أجزائه؛ سواء قام مقامه آخر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حصول مجموع آخر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 منهم على ما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أُمّتي على ضلالة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جعلتَه نبيّاً من حيث أداء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مطلقاً، لا مقيّداً بما يكون بلاتوسّط البشر، و إلّالم يرد النقض بكلّ الأُمّة؛ لأنّ حجّيّة أدائهم مستندة إلى السمع، فهو بتوسّط النبيّ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إن جعلت الوصف المشترك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فالنقضُ السابق الذي كان مبنيّاً على الاشتراك في العصمة وارد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هذا ردّاً علىٰ من يدفع النقض السابق بأنّ مجرّد الاشتراك في العصمة لا يكفي في كون مشارك النبيّ فيها نبيّاً، بل لا بدّ من أداء الشرع كما في الإمام علىٰ قولكم؛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القاضي عبد الجبّار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قالوا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طريفة، أي 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من الثمر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 المحيط الأعظم،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فحوى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و قد يمدّ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يقول الإماميّة هذا، و هم إذا أفرغوا وسعهم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يُستفسر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أ نّهم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كلّ إمام يزيد علىٰ كلّ رسول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كما قال قدّس سرّه بَهْت و افتراء قاده التعصّب الباطل إليه، و إن أردت زيادة إمام مّا على رسول مّا فلا استنكار فيه علىٰ 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قدّس سرّه رأىٰ من كلامه ما يدلّ على التعليل الأوّل كما يُشعر به التعليل المنقول، أو أ نّه أراد بالرسول نبيّنا صلّى اللّٰه عليه و آله، و لذا لم يتعرّض للترديد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النبيّ لا بدّ مِن أن يكون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أ نّه لا بدّ أن يكون فيه ما يكون في الإمام من الفضل و الكمال، فعطفُ ما بعدَه عليه تفسيريّ ، و لم يرد باللام معناه اللغويّ ؛ لأنّه خارج عن المبحث</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النبوّة و الإمامة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يدلّ علىٰ أفضليّة مولانا أمير المؤمنين عليه السلام بالنسبة إلى الأنبياء السابقين آية المباهلة؛ حيث عبّر عنه هناك بنفس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السند رضي اللّٰه عنه في كتاب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ليس في تفضيل سيّد الوصيّين و إمام المتّقين و أخي رسول ربّ العالمين و سيّد المرسلين و نفسه بحكم التنزيل و ناصره في الدين و أبي ذرّيّته الأئمّة الراشدين الميامين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بعض الأنبياء المتقدّمين أمر يحيله العقل، و لا يمنع منه السنّة، و لا يردّه القياس، و لا يبطله الإجماع؛ إذ عليه جمهور شيعته، و قد نقلوا ذلك عن الأئمّة من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 أنّ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الإمام حجّة و أنّ الزمان لا يخلو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يدخل في الكلام في الإمامة؛ من حيث إنّه من صفات النبيّ و قد أُثبتَ للإمام، و تقدّم أنّ مشاركة النبيّ للإمام في صفة له توجب أن يكون الإمام نبيّاً، فالكلام فيه من تلك الحيثيّة كلام في النبوّة؛ لكِنّا نتكلّم في ذلك في باب الإمامة من جهة أنّ من أَوجبَ الإمامة قد يتمسّك به لإثبات وجوبها فيتعلّل الوجوب به، و الكلام في إثبات وجوب الإمامة و تزييف أدلّته و ارتضائها كلام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من تمسّك بذلك خصّ الحجّيّة بكونها ناشئة من إيصاء الرسول إليه و تعليمه إيّاه معالم الدِّين و أحكام الشرع حتّىٰ يرجع الناس إليه و يكون لطفاً خاصّاً لهم في تكاليفهم الشرعيّة نيابةً عن النبيّ ، فهذا الوصف ليس ممّا يشرك فيه النبيّ و الإمام، بل هو مختصٌّ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يريد أنّ أصل الحجّيّة في الدِّين من صفات النبيّ ، و المشاركة في القَدْر المشترك توجب الاشتراك في النبوّة؛ و فساده أظهر من أن يخفىٰ ، كيف ؟ و كونه مُطاعاً واجب الاتّباع في الدِّين كما يدلّ عليه آية أُولي الأمر ممّا لا نزاع فيه، و في الآية تشريك الأئمّة له تعالىٰ و لرسوله صلّى اللّٰه عليه و آله في وجوب الاتّباع و الإطاعة، و أمثال هذه الترّهات ممّا لا يليق بأحد أن يتعرّض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الزمان لا يخلو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تتمّة التعليل، لا أنّ المنتزَع منه وصفٌ تثبت به الإمامة، كما قد يُتوهّم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يتولّاه من أُمور الإمامة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كنّا نمنع من إطلاق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تخطئة للقاضي في النقل بأ نّه غير مطابق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أنّه تمكين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صحّ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صحّ من العبد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المراد من الصحّة الإجزاء و القبول؛ فإنّ الإيمان شرط صحّة العمل، و معرفة الإمام من أُصول الإيمان كمعرفة النبيّ صلّى اللّٰه عليه و آله؛ و يدلّ عليه الحديث المشهور، أعني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مات و لم يعرف إمام زمانه مات مِيتةً جاهليّةً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نعرفه قولاً لأحد من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حمل القاضي هذا القول علىٰ أ نّه مبنيّ علىٰ كون الإمام خالقاً موجداً للسماوات و الأرض، و أنّ العلّة لهما هو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يقوله من يجعل صفة الإله 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زالت العلّة زال المعلول، و إذا لم تتحقّق العلّة لم يتحقّق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هذا القول إلى الشيعة الإماميّة، فأنكره السيِّد و نفىٰ أن يكون ذلك قولاً لأحد منهم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جعلوا للإمام صفات الإله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صاحب الكتاب إنّما شَرَعَ في حكاية تعليل من أَوجبَ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كلامه في حكاية ما يثبت به وجوب الإمامة و يعلّل به، و هذا خارج عنه؛ لأنّ من قال بذلك لا يريد به إثبات وجوب الإمامة، بل إنّما قال ذلك لاعتقاده أ نّه إله، و تقدّم في كلامه أنّ الكلام في مثله لو لم يكن من جهة التعليل كان خارجاً من باب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يتّصل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يؤدّي مؤدّاه، ككونه كاشفاً عن غوامض الشرع حلّالاً لمشكلاته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يناسبه في هذه الطريقة؛ أعني ما يتوقّف علىٰ ورود الشريعة، ككونه حافظاً لأحكام الشرع من السهو و الخطأ في النقل و تعمّد التحريف و التبديل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يلزم كونه بياناً، ككونه لطفاً في الأحكام الشرعيّة من حيث كونه لطفاً فيها؛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احتجّ به إلى الإمام كونه بياناً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 الأمرُ، أي اختلط و أشكل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أنّ هذه العلّة ليست الموجبةَ للحاجة إلى الإمام في كلّ زمان و في كلّ حال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الشرع إذا كان قد أجاز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قد أجاز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يدعو إلى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يبعث الالتفات إليه على الفكر فيه و يحوج إليه من النظريّات، من غير خاطرٍ سابقٍ حصل في الذهن من المقدّمات؛ فالأمر علىٰ تقدير الخاطر أَوّليّ و من غير تنبيه من الغير على المادّة و الصورة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تنبيه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ينقلونه و يروونه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ينقلونه و يؤدّونه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هذه الكلمات في المغني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التنبيه على الأدلّة و النظر فيها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المكلّفون و إن لم يجز على الجماعة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لتوهّم الاكتفاء بالسماع الشفاهيّ فيما تسمعه الجماعة أو ما وقفوا عليه ممّا تأكّد العلم به من الإخبار عن وجود الإمام بعد النبيّ أو الإمام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 الدفع جواز تعمّد الخطأ عليهم أو الإعراض عن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لأغراض تدعوهم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فيفضي استمرار الغلط أو الإعراض إلىٰ بطلان الحجّة بالشرع علىٰ من عداهم مع كونهم مكلَّفين به، بخلاف ما إذا كان الإمام موجوداً من ورائهم؛ فإنّه يتدارك ما يقع منهم، فيحفظ الشرع، و يتّصل أحكامه إلىٰ من يأتي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الكلام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يؤكّد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سماعهم، و حال ما يتأكّد علمهم 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الإمام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الإمام أن يتداركه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الفرق من جهة أُخرى أيضاً متحقّق؛ و هو أنّ مع وجود الإمام و تمكّن الوصول إلى خدمته لم يُجترأ على تعمّد الخطأ إلّانادراً، بخلاف ما إذا لم يكن موجوداً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استمرّ منهم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جاز استمراره جاز بطلان الحجّة بالشرع؛ لأنّه بنى الأمر على الجواز، فوجوب الإمامة مترتّب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يصحّ هنا بناء الدليل على جواز وقوع الغلط و استمراره، و لم يصحّ بناء وجوب الإمامة علىٰ جواز عدم تحقّق التنبّه للنظر في دليل التنبيه على النظر كما مرّ؟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الأمر كون جواز عدم تحقّق التنبّه دالّاً علىٰ وجوب المنبّه، و هو لا يلزم أن يكون إماماً؛ بخلاف إبقاء الحجّة بالشرع، فإنّه لا يكون إلّابالإمام المعصوم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يجيء بعد من مضى، إلّاأنّه بالتحريك في الخير و بالتسكين في الشرّ،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صدق، و خَلْفُ 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بعد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علمنا أنّ كونه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مع الجهل به غير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يُعتبر الإمام لطفاً و يُنتفع به إذا كان معروفاً لكي يُرجع إليه و يحصل ما يتوقّف وجوده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جهلناه، سواء كان</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ويتمكّن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 تمكّن عن إزالته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سبيل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له سبيل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لموضع عمدتنا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قصدناه في هذا المقام من الرياسة في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عدداً مخصوصاً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بنزع الخافض؛ أي بعدد مخصوص، فهومعطوف علىٰ ما بعد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معطوفاً علىٰ محلّ الجارّ و المجرور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يمتنع قيام الدليل على أنّ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جوابٌ آخر عمّا أورده القاضي، و محصوله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تمسّكنا به من دليل اللطف لا يقتضي تعدّد الأئمّة؛ لأنّ اللطف حاصل بوجود إمام واحد في العالم مع نوّاب له في الأطراف، و يكون هو من ورائهم يتدارك الخَلَل الناشئ من قِبلهم، كما جاز ذلك في زمن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دليل اللطف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يجوز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إقامة أئمّة عدّة؛ لتكون علّة الجميع مُزاحةً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 الإمام لا يزيد علىٰ أمر النبيّ في ذلك، فإذا ظهر النبيّ في أوّل أمره و لم يتمكّن الجميع من العلم به لم يجب بعث أنبياء عدّة، فمن كان في أطراف العالم متديّنين بدين النبيّ السابق عاملين بشريعته وجبَ عليهم البقاء علىٰ ذلك حتّىٰ تبلغهم دعوته و تصير عِللُهم مُزاحة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فُرض ذلك في أوّل الأنبياء، فالواجب عليهم هو العمل بالأحكام العقليّة فحسب حتّىٰ يبلغهم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الحال في أوّل الأئمّة بعد النبيّ يجب عليهم متابعة من أرسله إليهم من نوّابه حتّىٰ يبلغهم أمر الإمام بعده و تصير عِللهم مُزاحة؛ فلا يجب على اللّٰه تعالىٰ إقامة أئمّة عدّة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أن ينتقض باللطف في نبوّة سيّد المرسلين صلّى اللّٰه عليه و آله بأنّ إزاحة علّة النائين عن مستقرّه صلّى اللّٰه عليه و آله لا يكون إلّابوصول الخبر إليهم، فكما لم يجب بعث أنبياء في الأصقاع لم يجب نصب أئمّة فيها؛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يسأل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علىٰ إمامة النبيّ صلّى اللّٰه عليه و آله، و لو خصّ الكلام بالخلفاء و الأوصياء فنصّ النبيّ المستخلف عليهم كاف، كما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الأحوال التي تلي الابتداء؛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فظهوره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قيامه مقامه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قيامه بهم مقامه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شرائط الإمامة عند الإماميّة نصّ المتقدّم على المتأخّر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يلزمهم على هذه الطريقة القول بأن لا فترة بين الرسل؛ لأنّ في حال الفترة يجب أن لا تكون العلّة مزاحة، و هذا يوجب الاتّصال و زوال الانقطاع، و قد ثبت بالقرآن و غيره الفترة بين الرسل و حصول نذير لقوم وقتهم بعد ما لم يحصل النذير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يبطل ما ذهبوا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تعلّقه بالفترة بين الرُّسُل فبعيد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تمّ دليلكم لكان في زمان الفترة نبيّ أو إمام، و ليس فيه نبيّ و لا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توهَّم أ نّه إذا جاز خلوّ زمان من الرسول كزمان الفترة جاز خلوّ الزمان من الإمام قياساً للإمام على الرسول، أو قاس غير زمان الفترة علىٰ زمانها بناءً علىٰ أنّ زمان الفترة خالٍ من الإمام أيضاً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اعتبر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إنّما يلزم من جعل النبوّة في كلّ حال واجبةً ، دون من اعتبر ما اعتبرناه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النقض بزمان الفترة إنّما يردُ علىٰ مَن أوجبَ النبوّة في كلّ حال و زمان،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ذلك لم يتحقّق زمان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يردُ علىٰ من أوجبَ الإمام بعد النبيّ في كلّ زمان؛ لأنّ خلوّ زمان الفترة من الإمام ممنوع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يعمّ جميع الأزمنة و المكلّفين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المغني و لذا ترك المحقّقون مكانها فارغاً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يعمّ كون الإمامة لطفاً بالنظر إلى المكلّفين لخروج الإمام نفسه عنه، و لا التكاليف لخروج التكاليف القلبيّة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رحمه اللّٰه تعالىٰ خصّه بمن يجوز منه فعل القبيح من المكلّفين و بالتكاليف البدنيّة، و تردّد في كونه لطفاً في القلبيّة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أمكنكم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بوجوب الإمامة من حيث كونه لطفاً، أو القول بكون الإمام لطفاً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الأخير أنسب بما سيفرَّع عليه؛ حيث يُفهم منه أنّ الإمامة إنّما تكون لطفاً إذا كان كالمعرفة في العموم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الإمام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قالوا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الإمامة واجبة من حيث كانت لطفاً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يمتنع في اللطف أن يعمّ كلّ التكليف و كلّ المكلّفين، كما يقولونه في المعرفة باللّٰه تعالىٰ ،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نقل إنّ هذه المعرفة لطف إلّابدليل، فبيّنوا أنّ مثله من الأدلّة قائم فيما ذكرتم من الإمامة ليتمّ ما ذكرتم، و إلّافقولكم مطَّرح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إيجابه علينا إلحاق الإمامة بها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هذا الاقتراح من القاضي من الشناعة؛ وهل فيمن يقول بوجوب اللطف على اللّٰه تعالىٰ من المعتزلة و من يجري مجراهم من قال باستواء الألطاف في العموم ؟ كيف، و لم يجعلوا لطف النبوّة كلطف المعرفة، و لطف الواجبات الشرعيّة كغيرها؟ و أنت بعد الوقوف علىٰ هذا و أمثاله تعلم أنّ غرض القاضي ليس إلّاالتمويه و التلبيس على الجَهَلَة و العوامّ من أبناء نِحلته، فيُزري بالمذهب الحقّ بما لا حقيقة له، و يخيّل إليهم أ نّه ليس مبنيّاً علىٰ أصل و 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بممتنع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تعمّ كلّ مكلّف و تكليف أمكن أن تكون لطفاً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إشعار بأنّ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 بعضها عامّاً من كلّ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بما أمكن أن يكون ذلك العامّ لطفاً فيه؛ فإنّ المعرفة ليست لطفاً في نفسها و لا فيما يتقدّمها من التكاليف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المناقشة بأنّه علىٰ هذا يكون كلّ لطف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ما من لطف إلّاو هو لطف في كلّ ما أمكن أن يكون لطفاً فيه، فما معنى التقسيم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وقع له؛ لظهور المقصود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كالصلاة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كالحيض و النفاس للمرأة، و فقد الطهورين على قول من يقول بمعذوريّة فاقدهما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حصول عموم كلّ مكلّف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عموم كلّ مكلّف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عموم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الصلاة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للأحوال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المطلوب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كوَعَدَ و 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يَجِدُهُ وَجْداً وجِدَةً و 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يوقّت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حضور تلك الحال، كصلاة السكارىٰ ، و قد نهىٰ سبحانه عن الصلاة في تلك الحال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مكلّف كان علىٰ صفة من يجوز فيه فعل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يلزم أن يكون للإمام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قيل لطف الإمام لا ينحصر في التبعيد عن القبيح، فجوابه ما سيشير إليه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شروط وجوب الرئاسة و الإمامة ارتفاع العصمة عن المكلّف، أي تجويز فعل القبيح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لم يكن معصوماً فلو قُدِّر أن يكون أهل عصر معصومين جميعاً لم يكونوا مفتقرين إلى الإمامة من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سيصرِّح به السيّد من بعد هذا، فانتظر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ظرف أو علّة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يلزمنا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إذا سوّينا بين وجود الإمام و المعرفة فليس يجب أن يلزمنا التسوية من كلّ وجه؛ لأنّا أثبتنا الفرق لمّا ألزمنا الخصوم أن يكون وجود الإمام مختصّاً بمكلّف دون آخر و بحال دون حال، و إلّالا يمكن تخصيصها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قصدنا بالتسوية إلحاقه بالمعرفة في شمول من اختصّ بالصفة التي ذكرناها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يلزمنا التسوية بينه و بين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أ نّه لو وقع تشبيه في كلامنا فهو لا يقتضي مشاركة المشبَّه للمشبَّه به من جميع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لظهوره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الإمام لطفاً في أفعال الجوارح، و هي ألطاف في أفعال القلوب، كان لطفاً فيها حتّىٰ في المعرفة و لو بوسط؛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الإمام لطفاً فيما يختصّ القلوب من الاعتقادات و القُصود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بالتجويز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يمكن أن يُعترض بالتجويز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يمكن التجويز للقاضي و وظيفته الإثبات؛ إذ هو في مقام النقض ؟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 دليلكم لزم أن يكون الإمام لطفاً في كلّ تكليف كالمعرفة؛ فيجوز لنا أن نمنع الملازمة بناءً علىٰ أنّ اللطف لا يجب أن يكون عامّاً كالمعرفة، و أن نسلّم الملازمة و نمنع بطلان التالي و نستند إلى جواز عموم اللطف في كلّ الأفعال و التكاليف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دليل اللطف المتقدّم في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أنّنا لو استدللنا باللطف علىٰ وجوب أصل الإمامة و صفاتها معاً، للزم ما قاله القاضي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دليل اللطف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قالوا لنا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يوم دون يوم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فيمكّن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 نّهم قادرون علىٰ إزالة خوفه، فيتمكّن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نعلم أنّ في أوليائه من الشيعة الإماميّة من له خلوص الموالاة له عليه السلام و الانتظار لظهوره مع رسوخ العزيمة على اتّباعه و بذل النصرة له بمنتهىٰ مقدرته و هو لا يقدر علىٰ أكثر من ذلك، فعدم ظهوره له يدلّ على أ نّه ليس لطفاً له في تكاليفه، و إلّاكان ينبغي سقوط التكليف عنه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خبر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من المصنّف رحمه اللّٰه، حيث لا توجد في المغني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أغنى النائين عنه الذين لا يصلون إليه؛ لبُعد المسافة بينه و بينهم أو لغيبته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أعفى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خبرهم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خبر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أغنىٰ عن مشاهدة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لجواب أصحابنا عمّا أورده الخصم من أ نّه يلزم عليكم في غيبة الإمام إبطال الفتاوىٰ من</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يعفى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متمكّناً من استدراك ما يقع فيها من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يقتضي أن لايقع الاختلاف بينكم في مسائل الشريعة، و الأمر بخلاف ذلك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مصلحة من حيث ظننتم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أنّكم لوعدلتم عن إثبات الإمامة من جهة تعليم الشرع و ما يتعلّق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أوردناه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إثباتها من جهة كون الإمام لطفاً يقرّب من الخير و الطاعة و يقلّل وقوع الظلم و الفساد، وَرَدَ عليكم أنّ كونه لطفاً باطل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لو كان لطفاً لَعَلمه كلّ العقلاء كما يعلمون كون المعرفة لطفاً؛ إذ ما من أحد منهم إلّاو يعلم أنّ خوف المضرّة صارف عن القبيح، و رجاء المنفعة داعٍ إلى الخير و الحَسَن، بخلاف ما تدّعونه في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لو كان لطفاً لكان عامّاً كالمعرفة، و ليس كذلك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لأنّ المراد المعرفة، لا الإمام، كما فسّر الشريف المرتضى ذلك في جملته المعترضة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المتعالم أنّه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 ذلك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إلى المعرفة كما تقدّم في عبارة المغني الأخيرة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نصرة لمذهب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الدفع و الإنكار فيما ذكر في مسألة المعرفة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يذكر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يبيّن عدم كون الإمام لطفاً لعدم العموم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المعرفة لطف؛ لأنّها تعمّ كلّ تكليف و كلّ مكلّف، و الإمام لو كان كذلك لكان لطفاً في نفس الإمام، و إذ امتنع أن يكون الشخص إماماً لنفسه وجبَ أن يكون له إمام آخر، و ننقل الكلام إليه، فيتسلسل؛ فالإمام ليس له إمام قطعاً، فبطل أن يكون لطفاً، فيلزم استغناء الناس عنه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كان في المكلَّفين غيرُ معصوم فقد تكون المصلحة مقتضيةً لرياسته عامّةً لتشمله والمعصوم؛ لأنّ اتّفاق الكلمة أجمع يشمل الأُمّة، بل يمكن أن يُدَّعىٰ ذلك لو فُرض عصمتهم جميعاً؛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يكون لطفاً لمن لا يؤمَن منه فعل القبيح، دون مَن كان ذلك مأموناً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الحصر إنّما يتمّ إذا كان لطف الإمامة منحصراً في التبعيد عن القبيح، و إلّافما المانع من أن يكون الإمام مفتقراً إلىٰ من يكون لطفاً له في غير ذلك ؟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 نّه كلام على السند الأخصّ ، مقابلة المنع بالمنع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قياساً علىٰ حاجة الرعيّة التي لا يؤمَن منها كلُّ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قدّس سرّه كلامه على القياس، و فيما ذكرناه مندوحة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لو بنىٰ عليه فإنّما قاس استغناء الرعيّة عن الإمام على استغناء الإمام عن الإمام كما قرّره الشيخ رحمه اللّٰه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 علىٰ حاجتهم إلى الإمام؛ لأنّ الدوران وجوداً و عدماً معتبر في القياس، و الجامع هنا اللطف المستند إلى التكليف، فوجوده في الرعيّة يوجب الحاجة إلى الإمام، فيقاس عليهم الإمام، و عدمه في الإمام يوجب استغناءه عن الإمام، فيقاس عليه الرعيّة، فيتعاكس الطرفان وجوداً و عدماً، فيجوز اعتبار الأمرين كليهما؛ فتأمَّل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قيل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آخر استند فيه إلىٰ سند آخر يصحّ أن يبطل به حاجة الإمام إلىٰ إمام آخر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يدلّ علىٰ أنّ الإمام لا يجوز أن يحتاج إلى غيره في ضروب العلم و الفضل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فَمَنْ يَهْدِي إِلَى الْحَقِّ أَحَقُّ أَنْ يُتَّبَعَ أَمَّنْ لاٰ يَهِدِّي إِلّاٰ أَنْ يُهْدىٰ فَمٰا لَكُمْ كَيْفَ تَحْكُمُونَ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أنكر أن يكون المحتاج إلىٰ غيره في الاهتداء إلىٰ شيء من الحقّ مُتَّبَعاً مُطاعاً، و سيجيء الكلام فيما يتعلّق بهذه الآية إن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تجعلها محالاً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جرىٰ 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المعرفة لطف في كلّتكليف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فيه إشارة إلىٰ نقضٍ و حلٍّ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قام لهم غير الإمامة في اللطف مقامها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للجنس، أي في أفراده، و هو اللطف الذي يقتضي العصمة، و الحكمة اقتضت عدم عمومه، و إلّاكان كلّ واحدٍ من الناس في مرتبة النبوّة أو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استلزام وجود ذلك اللطف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فُرض اقتضاء الحكمة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استغناءَهم عن الإمام لا ينافي احتياجهم إلى الإمام و حالهم ما هو معروف، و بناء الدليل عليه، و سيجيء في كلامه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قيام غير الإمامة مقامها في اللطف في غير الإمام أيضاً، فلا يتمّ الدلالة علىٰ وجوب الإمامة بخصوصها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وجود الرئيس لطفاً فيمن لا يمتنع بالنظر إليه ضروريّ ، و أمّا من امتنع فيه ذلك فلقيام غيره مقامه مجال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قيل أيضاً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خلق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لاستغنىٰ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و المستحدث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 أنّ الأُلفة والفرقة إنّما تصحّان في الجماعة و لا تصحّان في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قدّس سرّه لم يُرِد به التسليم و التنزّل بعد المنع حتّىٰ يَردَ أنّ المنع 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يُتكلّف بأنّ الواحد يجوز انضمام غيره إليه، و الجواز كافٍ فيما نحن بصدده، فيُجزي في الواحد أيضاً؛ فتأمّل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المراد بالأُلفة ما يشمل الاستيناس باللّٰه سبحانه و الملائكة و نحوهم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إمام يكون لطفاً له في الامتناع من القبيح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قيَّدَ به للإشعار بأنّ العصمة لا تقتضي الاستغناء عن الإمام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استغناء الإمام عنه رأساً فلاستجماعه لصفات أُخر نوجبها فيه تقتضي عدم الاحتياج إليه مطلقاً كالأنبياء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في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أن يُبطل كون الإمام لطفاً بطريق النقض أوالمنع و السند، وَرَدَ 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إن أردت بالصلاح صلاح أُمورهم في معاشهم بالتوافق و الائتلاف و عدم الافتراق و التنازع، فعلىٰ تقدير تسليمه لا يقدح فيما تمسّكنا به؛ لأنّا لم نكتف بهذا القدر في كون الإمام لطفاً، كيف و من غاياته فعل الطاعات و التجنُّب عن المعاصي كما تقدّم في كلامه قدّس سرّه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 ما يشمل ذلك فممنوع، إلّاأن يُدّعى اتّصافهم بالعصمة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إن منعت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التوافق و الائتلاف و فعل الخيرات و الطاعات و اجتناب الظلم و العدوان و المعاصي، فالمنع مكابرة فاحشة، و السند لا ينفعك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منعت كونه لطفاً في الاتّفاق و الائتلاف، فنحن لم نكتف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أراد إبطال التمسّك بما يفعله العقلاء، فما يذكره السيّد قدّس سرّه فيما يأتي يكفي في دفعه، و يرد عليه أيضاً أنّ التمسّك بفعل العقلاء إنّما هو لتأييد ما تقتضيه العقول من وجوب اللطف، و ما ذكرتَه لا يدفع وجوب اللطف و هو ظاهر، و لا أصل التأييد كما لا يخفىٰ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الموضع الذي يُحتاج إلىٰ تحصيله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المقصود هنا ليس إلّا إثبات وجوب رئيس في الجملة بما تحكم به العقول من أنّ حالهم في الصلاح معه ليس كحالهم مع عدمه، و لا ندّعي أنّ الصلاح حاصل مع وجود كلّ رئيس كائناً مَن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أوردته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حالهم مع القهر على الاتّباع للرئيس كان أبعد عن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أنّ حالهم مع الرئيس مطلقاً كذلك فباطل؛ ضرورة أنّ الذين قُهروا علىٰ رئيسٍ يكرهون رياسته و لا يميلون إليه لو نُصب لهم مَن يرتضونه و يميلون بأنفسهم إليه لم يكن الأمر كذلك، بل يحصل لهم من السكون إليه ما يقرّبهم إلى الصلاح و يبعّدهم عن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 أنّ حالهم مع بعض الرؤساء كذلك، فهو غير قادح فيما أثبتناه من وجوب رئيس في الجملة؛ فظهر أنّ الفساد لم يحصل من مطلق الاتّباع و لم يستند إلىٰ أصل الرياسة، بل إلىٰ خصوص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إثبات صفات الرئيس و ما يجب أن يكون عليه، فليس هنا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يرضونه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استفرغ</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خرج على الإمام الحقّ الذي اتّفقت الجماعة عليه يسمّى خارجيّاً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خرج على أمير المؤمنين عليّ عليه السلام جماعة ممّن كان معه في حرب صفّين، و أشدّهم خروجاً عليه الأشعث بن قيس الكندي، و مسعر بن فدكي التميمي، و زيد بن حصين الطائي حين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يدعوننا إلى كتاب اللّٰه و أنت تدعوننا إلى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ما حصل من أمر الحكمين، خرجوا علىٰ أمير المؤمنين عليه السلام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حكّمت الرجال ؟ لا حكم إلّاللّٰه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المارقة الذين اجتمعوا بالنهروان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يجمعهم القول بالتبرّي من عثمان و أمير المؤمنين عليه السلام، و يقدّمون ذلك على كلّ طاعة، و لا يصحِّحون المناكحات إلّاعلى ذلك، و يكفّرون أصحاب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عدّة فِرق، و لكلّ فرقة فروع، و كبار الفرق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 و الأزارقة، و النجدات، و البيهسية، و العجاردة، و الثعالبة، و الإباضية، و الصفرية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للبغدادي،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جملته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 الفسق و الخبث، كالدَّعارة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دَعِرٌ، أي خبيث مفسد بيّن الدَّعارة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من دَعِرَ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كثر دخانه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 و اللُّصُّ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لصص</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هنا بمعنىٰ عدم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أنّ هذه الكلمة تكرّرت في الكتاب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طريقتنا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تعالَمَ الناسُ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به، فهو متعالم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التعالم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من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شَتَّ الأمر شَتّاً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اعتبار ما يوجب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علىٰ سبيل الاحتمال فهو خروج عن منصب الناقض، فلابدّ من حمله علىٰ دعوى ظهوره؛ و قد نبَّه عليه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يتميّز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جاز لبعضهم أن يكون تابعاً لبعض جاز في أوّلهم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أراد أ نّه إذا جازلبعض الرؤساء أن يتّبع بعضهم بعضاً و لم تَأبَ الرياسة التبعيّة للغير، جاز لأوّلهم و هو إمام الكلّ أن يتّبع الجماعة الذين يريدون نصبه، فلا يجب نصبه على اللّٰه سبحانه كما هو مذهب الشيعة؛ قياساً لعدم وجوب نصب إمام الكلّ عليه تعالىٰ علىٰ عدم وجوب نصب الرئيس الذي من قِبل الإمام عليه تعالىٰ بجامع الرياسة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غاية ما في الباب أنّ الرياسة لا تقتضي وجوب النصب من قِبله تعالىٰ، و نحن لم نُثبت ذلك بمحض الرياسة، بل بدليل آخر كما قاله السيِّد قدّس سرّه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ذكرنا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نوجب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فصريح</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تصريح منه باتّباع الإمام و انقياده لمن يريد نصبه من الرعيّة علىٰ آكد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على الوجه الأوّل و الثاني من الوجوه الثلاثة التي ذكرناها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 نّه ألزم عدم وجوب نصب الإمام من قِبله تعالىٰ بناءً علىٰ جواز تبعيّة الإمام للجماعة الناصبين له، فإن لم تصحّ هذه التبعيّة لم يصحّ ما ألزمه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آكد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أقام عليه الدليل، و هو زائد علىٰ مجرّد الاعتراف و الالتزام الذي كان أصحابنا يطلبونه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آكد الوجوه و أشدّها في الشناعة، و 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الأمرَ 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إيّاه أو أولاه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فيمتنعون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أجاب الجاحظ و غيره عمّا أورده جماعة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يرىٰ وجوب نصب الإمام على الرعيّة، بعد ما قرّروا أنّ الإمام يجب أن يكون متبوعاً على الاستقلال، متصرِّفاً بالأمر و النهي و الوعد و الوعيد، متسلّطاً على الرعيّة بالردع و الزجر و إجراء الأحكام، مُهاباً بالقهر و السلطنة؛ حتّىٰ تحصل منه فائدة الرياسة و انتظام الشمل و استقامة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 نّه لو كان نصب الإمام مفوَّضاً إلى الرعيّة لدار حيثما داروا، وكان تابعاً لهم يميل مع أهوائهم عند النصب و العزل، و يحوم حول ما يريدون منهما، فينتفي ما يحكم العقل بكونه غاية لوجوده و موجباً لرياسته، و يكون منحطّاً عمّا يقتضيه العقل من علوّ المرتبة و مزيد القدر و الشرف و الفضل علىٰ غيره، و لا يحصل ما يجب من التعظيم و الإجلال، و لا ما ينبغي من معنى الاقتداء و الاهتداء به، و يفوت اللطف المطلوب منه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للعمل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ينصب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 شَمْلَهم، أي ما تشتَّتَ من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الموجود في عقل العقلاء عند الحوادث و 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من كلام السائل و هو بعيد الحصر؛ فلو أراد القاضي بسلامة الأحوال في قوله في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 الاختلاف في ذلك ممكن مع سلامة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يشمل خلوّها من الحوادث و النوائب كما هو الظاهر، لم يتوجّه على السائل ذلك، و حمل سلامة الأحوال علىٰ ما لا ينافي طروّ الحوادث و النوائب بعيد، و كذا جعل الظرف لحكم العقل لا لمتعلّقه، فلا ينافي عموم متعلّقه، و كونه من كلام القاضي أقحمه في كلام السائل أبعد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إلّاأن يكون حمل كلام السائل علىٰ أ نّه بُنيَ علىٰ مجرّد جواز طروّ الحوادث و النوائب، أو يكون الغرض من الإيراد أنّ المدّعىٰ عامّ للأحوال كلّها، و ما ذكرته علىٰ ما صرّحت به من التخصيص لا ينطبق عليه؛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المتصوّر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ممّا لا سبيل إليه؛ لأنّا نجد من أنفسنا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كونه مكابرة، خصوصاً مع وجود ذلك التقيّد في كلام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هذا منافر لما يعتذرون به عن استباق المبايعين في السقيفة بعد النبيّ صلّى اللّٰه عليه و آله و مسارعتهم إلىٰ نصب الإمام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 نّه لم يدهمهم عدوّ، و لم يغشهم طارق، و لم يطرأهم حادثة و لا نائبة، و لم تلجئهم ضرورة إلى المبادرة إلى البيعة و عدم التوقّف ريثما فُرغ من أمر النبيّ صلّى اللّٰه عليه و آله و تجهيزه و دفنه و تعزية أهل بيته، مع اشتراكهم معهم في إجالة الرأي و الاختيار و النظر في أمر الأُمّة، بل كونهم</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واحد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مدّعي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جملته أنّ المعلوم ضرورة هو أنّ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فائدة في بيان</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هو</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هو ممّا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تبيّن الدليل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ذكره في بداية البحث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المعلوم 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قدَّمه على المشتَبِه الذي يُرجع فيه إلىٰ طريقة الاستدلال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 نّه في حيّز الضرورات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ضروريّاً لم يقع فيه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الضروريّ قد يحتاج إلىٰ منبّه لولاه لربّما ذُهل عنه و ذُهب إلىٰ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الاختلاف فيه من العقلاء غير مسلَّم، بل ما وقع فيه الخلاف يرجع إلىٰ ما يُدرك بالنظر و الاكتساب، و قد مرّت الإشارة إليه في كلامه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نعتقده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 على الشيء هو 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التقصير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ملوك الطوائف، و كان على إصطخر، و كان جدّه ساسان و هو أوّل ملوك الساسانيّة، استولى على ملك الفرس، و استقامت له الأُمور فيها، و هو أوّل من وضع السكك و أوّل من رتّب المراتب في الملك و اقتدى به المتأخّرون من الملوك و الخلفاء، و حُفظت عنه وصايا في الملك و السياسة، ثمّ تخلّى عن الملك و انقطع للعبادة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الصنّف رحمه اللّٰه في المتن جزء من وصيّته لولده سابور عندما نصبه ملكاً بعده، و تتمّة ما ذكر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فالدِّين أسّ الملك، و الملك حارسه، و ما لم يكن له أسّ فمهدوم، و ما لم يكن له حارس فضائع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عهده جالينوس المشهور بالطبّ ، و كانت مدّة ملكه أربع عشرة سنةً و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مع غيره في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تَوائمُ و تُؤامٌ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و الإيجاز،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صلاءة بن عمرو بن مالك، كان الأفوه من كبار الشعراء القدماء في الجاهليّة، و كان سيّد قومه و قائدهم في حروبهم، و العرب تعدّه من حكمائها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الأفوه الأَوْديّ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الأفوَه من الفَوَه بالتحريك و هو سَعة الفم، والصفة علىٰ أفعَل فَعلاء، صار عَلَماً للشاعر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الأَوديّ بفتح الهمزة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قاله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فَوضىٰ، أي متساوون لا رئيس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 جمع سَريّ، علىٰ 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البناء للمفعول،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الفاعل بعد حذف الخافض و هو اللام أو إلىٰ؛ قاله شارح المقامات، و كأنّه لا حاجة إليه؛ لأنّ الفعل قد يتعدّىٰ إلى الثاني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الفعل بفتح المضارعة علىٰ أن يكون من الهَدْء بالهمزة و هو السكون ثمّ خُفّفت بالقلب، و المراد استقامة الأُمور و خلوّها من الفساد و 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 الحذر من فواته و الأخذ بالثقة،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حزمت الشيء، أي شددته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توقيتيّة؛ أي ما دامت 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إلى الأُمور، و المراد ضدّ الصلاح؛ قال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الشيء و 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 هارباً و مُدْبراً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يرجع الضمير إلىٰ أهل الحزم؛ لتضمّنه معنى الجماعة، و على التقديرين يدلّ الكلام علىٰ ضرورة وجود ذي رياسةٍ في الحالين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فَوْضىٰ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متساوون لا رئيس لهم، أو متفرّقون، أو مختلط بعضهم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أسرِياء و سُرَواء و 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السَّراة اسم جمع، 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صلاح الأُمور يكون برئاسة العقلاء، و فسادها بغلبة الجُهّال؛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أرادوا، نحو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أَكٰادُ أُخْفِيهٰا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بهجة المَجالس و أُنس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للراغب،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أساس البلاغة،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شمس العلوم،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يدّعى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لم نحتجّ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المقصود أنّ وجوب الرياسة و كونها ممّا يُحتاج إليه مطلقاً ممّا تحكم به العقول ضرورة، و لا يختصّ بهذا الحكم أحد دون أحد، و ما نقلناه من قول من صحّت حكمته و عُلمت خبرته بأحوال الرياسة و ما يتعلّق بالحزم و التدبير ممّا يؤيّده و ينبّه عليه أبلغ تنبيه، و ليس المقصود من النقل إلّاتقوية المطلوب و التنبيه عليه كي لا يُذهب عنه، لا الإثبات بالدليل؛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ثبتت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بأن يدّعى معصوماً أولى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بالمتقرّر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اختيارهم بأنفسهم رئيساً جامعاً للكلم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جامع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نبطل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خلط صاحب الكتاب بين وجوب النصّ على الإمام، و وجوب أصل الإمامة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سلف من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المعنى المتكرّر ما يُغني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أنّ ما يثبت به أصل الرياسة غير ما يثبت به صفات الإمام من كونه منصوصاً و نحوه، فبطل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فيجب أن يبطل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الإمام بنصّ أو معجز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لو ورد فإنّما يرِد لو كان طريقهما واحداً، و ليس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فإنّهم إنّما فزعوا إلىٰ نصب رئيس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إيراد آخر عليه بعد التنزّل، وملخّصه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ذكرتَ لا يُبطل ما ادّعيناه من وجوب كون الإمام منصوصاً مثلاً؛ فإنّ الفزع إلى اختيار أنفسهم لا يكون إلّاعند الجهل بالإمام المنصوص، أو عند النفور عنه و العصيان له</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الاتّباع لمن نصب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ثابَرَ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واظب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تعالم الناسُ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به، فهومتعالم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التعالم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وقعوا في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محادثة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 فكيف يجوز الاستغناء عن الإمام في حال الأمن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الأمر في الجواب الأوّل علىٰ أنّ مقتضى دليل اللطف عموم الحاجة إلى الإمام فيما يتعلّق به الإمامة، و أ نّه لا اختصاص لها بحال من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الجواب تعرَّض قدّس سرّه لإثبات الحاجة إليه في خصوص حال الأمن التي أنكرها القاضي، و أ نّه لا فرق بينها و بين غيرها كما يقتضيه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 نّه لا فرق بين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معارضة له؛ فإنّ تخصيص الحاجة بحال المحاربة دون حال الأمن كتخصيص من يعكس؛ لاشتراك الحالين حسب ما يقتضيه العقل في الحاجة إلى الإمام علىٰ حدٍّ سواء، فما نجيب به فهو جوابنا عمّا زعمت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لمّا كان عموم الدعوىٰ بديهيّاً و ذهل المعترض عن بعض أفرادها، أجاب أوّلاً بأنّ التخصيص ليس مقتضىٰ حكم العقل كلّيّاً، ثمّ تعرَّض للتنبيه علىٰ ما ذهل عنه و أنكره بما يزيل الخفاء عنه؛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يعدم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 مستحيلاً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يدّعى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بقطعهم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احتجاجنا أنّهم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بقبيح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كفزعهم إلى الاستبدال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حكم العقول بوجوب الرئيس مثل حكمهابجواز الاستبدال به لغيره إذا كرهوا منه أمراً، فلو كان مقتضى العقول وجوب الرئيس المنصوص عليه من اللّٰه تعالىٰ تعارَضَ الحكمان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كون ما يقتضي الصفات المخصوصة للإمام مقتضياً لجواز الاستبدال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يُدرك بالضرورة من وجوب رئيسٍ مّا لا يُنافي جواز الاستبدال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أورده مبنيّ على اتّحاد الطريقين، و هو وهم فاحش كما أشار إليه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قوله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قرية و إمام لكلّ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فرقة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بيّنّا أنّهم عالمون بالحاجة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أبطل أُموراً يدلّ عليها كلام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الحاجة إلى الإمام مظنوناً لا معلوماً، و أنّ الحاجة إليه كالحاجة إلى الوكيل في عدم استمرارها و الغنىٰ عنها في بعض الأوقات، و أنّ معها يجوز أن يتولّى الرجل الأمر بنفسه، فالرجوع إليه للإرفاق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الدفع قد ظهر من كلامه قدّس سرّه فيما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فرق بين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غرضه أنّ العقل إنّما يدلّ على الرياسة في الجملة، و</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المتصوّر في العقل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 المطبوع، و لذا وقع محقّقه في حيرة؛ لعدم ظهور الطرف الآخر من المقارنة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يثبت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وجوبها لهذه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وجوبهما بهذه 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للخضوع المطلق فتحصل بانضمامها إليه الصلاة و الصيام، لا للصلاة و الصيام؛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في الموضعين من المصدر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أُخرىٰ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 ما دلّ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أشار بذلك إلىٰ ما سيصرّح به،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كانت من جملة طرق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في المطبوع في آخر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المعقوفين، فصارت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فنسبة صاحب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صحيحة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العقلاء يعقلون ذلك، فقد يعقلون ما هو واجب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المورد و المورد القادم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سببه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سببه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بما يعلمونه من وجوب ذلك الفعل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للإضراب، والباء صلة للتعلّق، و يُحتمل كونها للملابسة، و هو أظهر بالنسبة إلىٰ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لم يكن تعلّقنا بفعلهم منفرداً عن علمهم بالوجوب، بل بفعلهم مع ما يعلمونه من وجوب ذلك عليهم، و لولاه لم يكن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و لا ينافره قوله قُدّس سرّه فيما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زاد ذلك علىٰ إثبات حسنه؛ لأنّ الواجب في العقول لا يكون إلّاحسناً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حاجة إلىٰ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تعلّقه بالوجه الأكمل الأحسن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وجه له؛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زاد ذلك علىٰ إثبات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طالب القاضي بيان الوجوب تارةً وبيان الحُسن أُخرىٰ ، ذكر قدّس سرّه أنّ بعد بيان الوجوب و إثباته لا حاجة إلى إثبات الحسن؛ لأنّ إثبات الوجوب يتضمّن إثبات الحسن و زيادة؛ فإنّ الواجب في العقول لا يكون إلّاحسناً، و الحسن أعمّ مطلقاً من الواجب، و ثبوت الأخصّ يستلزم ثبوت الأعمّ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ما ذكره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تقدّم فصلنا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يُتوهَّم من فساد الدعوىٰ بما نعلم من عدم معرفتهم لما تعتبرون من خصوصيّات الإمام و صفاته، و تقريره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قد تقدّم التفصيل فيما يحكم به العقل في الإمام؛ فمنه ما يُعلم ضرورة و من غير اكتساب، و منه ما يُعلم بالنظر و الاكتساب، و نحن إنّما ادّعينا اشتراك الجميع في معرفة سبب وجوب الأوّل دون الثاني، و بناء كلام القاضي علىٰ توهُّم اتّحاد الطريقين كما مرّ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على ما نعلمه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يرى أنّه إذا علم من الناس التناصف، فلا حاجة للإمامة حينئذ</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طريقته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وجه 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عرفنا و 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فاعل الفعل الثاني هو الضمير المستكنّ الراجع إلى القاضي، لا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المثابرة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المواظبة عليه و الملازمة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البناء للمفعول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الذي يعوّل علىٰ بذل النصفة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 يعوّل علىٰ إنصاف كلّ واحد من الناس من نفسه، فيظنّ استغناءَهم عن الرؤساء و الأئمّة ؟ لا ما هو ظاهر اللفظ من عود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الموصول؛ فلا يناسب ما قاله القاضي و لا كلامه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الذي يعوّل علىٰ بذل النصفة من نفسه من آحاد الرعيّة مع كونه أعرف بحال نفسه فضلاً عن غيره ؟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مضى الكلام علىٰ فساد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الناس مهمَلين مستغنين عن الرئيس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استقصى فلان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أنّ الذي يفعله العقلاء لا مدخل له في باب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أراد الإمامة بالشرائطو الخصوصيّات المعتبرة عند الإماميّة،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الاستدلال بفعل العقلاء ليس لإثبات ذلك، بل له طريق آخر، كما مرّ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 الرياسة في الجملة، فلا ريب في كونه مكابرة؛ كيف لا؟ و قد أزمعت الحكماء علىٰ إثبات وجوب الرياسة بأنّ الناس لمّا جُبلوا على القوّتين الشهويّة و الغضبيّة، و مقتضاهما التجاذب و التدافع و التنازع ممّا يقتضيه طباع كلّ واحد من اجتلاب المنافع و استلاب المشتهيات و دفع المضرّات و الغضب لها و عليها، فيقع بينهم الهرج و المرج و الفساد المُفضي إلى اختلال النظام المنافي للحكمة، وجب وجود رئيس يردعهم عن القبيح، و يزجرهم عن العدوان، و يحثّهم على العدل و الإحسان، و يأخذ النَّصَفة للمظلوم من الظالم؛ فما دام الناس علىٰ تلك الحال، و لم يكن فيهم ما يمنع من مقتضاها كمَلَكة العصمة، يحكم العقل بوجوب إقامة رئيس يبقىٰ معه النظام سالماً من الاختلال؛ فظهر أنّ تنزيل الإمام منزلة الوكيل و غيره ممّن يُحتاج إليه في وقت و يُستغنىٰ عنه في آخر منافٍ لما تقتضيه عقول العقلاء و ما فعلوه مع العلم بوجوبه، فلو قُطع النظر عن أمر الدِّين و خُصّ الافتقار بكونه في أمر الدُّنيا لتمّ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ذكره قدّس سرّه في الجواب لعلّه مبنيّ علىٰ نوع من التنزّل؛ اللّهمّ إلّاأن يُحمل أمر الدِّين في كلامه قدّس سرّه علىٰ ما يوافق ما ثبت في الدِّين من الأحكام العقليّة الصرفة ممّا أُخبر في الشرع بترتّب الثواب و العقاب عليه، فيلائم طريقة الحكماء في إثبات الرياسة؛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أي النخل و الكَرْم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ما منه معاش الرجل كالصنعة و التجارة و الزراعة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أطلق على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بأمين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بخصوصه في اجتلاب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مخصوصة باجتلاب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الدنيويّة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باجتلاب المنافع و دفع المضارّ الدنياويّة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مدخل له في الدِّين ممّا يُستعان في حصوله بنحو الوكيل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الإقلاع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المطبوع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بأثر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تقليلها لوقوع كثير من المقبَّحات، و تكثيرها لفعل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يحكم العقل بقبحها و حسنها من غير توقّف علىٰ كشف الشرع عن قبحها أو حسنها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فساد ذلك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يُمنع ذلك؛ فإنّ العقل يحكم بحسن دفع الظلم عن الغير و قبح خذلان المظلوم و ترك نصرته للقادر؛ فإنّ من رأىٰ ظالماً يلطم وجه اليتيم و الضعيف و يضربه فوق طاقته و يجور عليه و هو قادر على الذبّ عنه و النصرة له فلم يفعل، استحقّ الذمّ و اللوم من العقلاء، و ليس معنى الوجوب العقليّ إلّاذلك؛ فكأنّ السيِّد قدّس سرّه بنى الجواب على التنزّل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علىٰ أن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و لأن لا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الأسترابادي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 نّه لا أحد من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آخر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 على الناس إقامة الرؤساء؛ لعدم وجوب اللطف للغير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إنّما يَرِد لو قلنا بوجوب نصب الإمام على الناس، و نحن لا نقول به و لا نوجب علىٰ أحد من العقلاء نصب الرئيس؛ و إنّما نوجب ذلك على اللّٰه سبحانه، و اللطف للغير يحكم العقل بوجوبه عليه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التسرّع في الفعل و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و المبادرة إليهما من دون تأمّل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إقامة الوكيل و الاستعانة به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دلّنا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اللّٰه تعالىٰ على سبيل الافتراض، و لذلك قال رحمه اللّٰه بعدذلك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 أن يفعله، بل لا يحسن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مجراه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صلاحه و لطفه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يفعله اللّٰه تعالىٰ داخل سمع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أوضحنا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 لما لا يحقّ و لا يجوز تناوله، و الجرأة على الشيء و الخوض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يبيّنه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وقوعه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معنى كلام القاضي، لا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بيان الرسول الواحد إذا انتشر بالتواتر في كيفية الشكر أغنى عن حجّة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المتبقّية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وجب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نبّه الرسول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بيّنه الرسول عليه السلام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أخلّائهم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مضرّته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فطبائع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نستغني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نستقبل الكعبة و أن نصلّي بطهارة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أنّ وجود طريق موصِل إلى العلم بهذه الأُمور لو كان مستلزماً للاستغناءعن الإمام فيها، لكان وجود العقل مغنياً عن الرسول فيما للعقل إليه سبيل؛ و القول به 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مدّ ظلّه العالي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جهة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نتج</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الإماميّة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نستغني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نحتاج</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سماع كلامه على من يكتم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فيستغني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الرازيّ في الملخّص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المتواترات ففي كونها مفيدة للعلم إشكالات؛ و بتقدير التسليم فالأصحّ أنّ إفادتها العلم نظريّة، علىٰ ما بيّنّا هذين المقامين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مدّ ظلّه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أخبروا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لتواتر عدم النقل، و لو صحّ فإنّما يفيد العلم بعدم كونه منقولاً؛ إمّا لعدمه أولإعراضهم عنه أو نحو ذلك، و لا يتعيّن عدم ثبوته من ذلك؛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محقّق المغني على هذه الجملة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 أن تحذف هذه الكلمة، أو يضاف إليها ماتكمل به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الجملة كاملة؛ و هي أنّ بعضهم يرى أنّ الخلق و إن عظموا كثرة يجوز عليهم كتمان ما سمعوه من الرسول صلّى اللّٰه عليه و آله لأمرٍ ما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لعامتهم لما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يكشف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بالشبهة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أُمّتي على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ليتمّ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الغنى عن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طريقنا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لو يثبت لكانت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لو ثبت 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قد سقط من المغني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تقاضى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قد سقط من المغني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 ينجح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يصحّ لهم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التحكّم و سؤال الشيء من غير رويّة، أو ارتجال الكلام من غير تدبّر؛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مسموع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إلّافيلزم علىٰ صاحب الكتاب إنكار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إن لم نشاهده سبحانه، لكنّا شاهدنا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الآثار إليه تعالىٰ ليس ضروريّاً، كما هو ظاهر من براهين إثبات الصانع؛ بل ثابت بالنظر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يجري في آثار الإمام؛ و لولاه لحلّ علىٰ صاحب الكتاب و حزبه و أهل مقالته في الدنيا عذاب أليم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كثير من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ضروريّة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طرق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يعترف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بحر بن محبوب الكناني، أبو عثمان الجاحظ، أحد شيوخ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البصرة، و أقام ببغداد و تردّد على سامرّاء و فلج في آخر عمره، و مات و الكتاب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مشوّه الخلقه حتّى أنّ المتوكّل العبّاسي أراده لتأديب ولده، و لكنّه رجع عن ذلك لدمامته و قبح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في فنون من العلم و خلّف آثاراً تشهد له بذلك، غير أنّ الانحراف عن أمير المؤمنين عليه السلام يبدو واضحاً في بعض كتبه، و لعلّه فعل ذلك تقرّباً إلى المنحرفين عنه ممّن رفع منزلته و كفاه مؤونته أمثال محمّد بن عبد الملك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فلج عاد إلى البصرة و مات بها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الحيوان، البيان و التبيين، كتاب المعرفة، كتاب العثمانية، كتاب العبّاسيّة، نظم القرآن، الفتيان، اللصوص، الوكلاء و الموكّلين، المعلّمين، الجواري، البخلاء، العرجان و البرصان، أخلاق الملوك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6669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كشاف آثار الجاحظ</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 إلىٰ ضروريّة المعارف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 اللام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الاحتجاجات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يكاد يصحّ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بن سلام بن خالد بن حمران بن أبان، مولىٰ عثمان بن عفّان، المعروف بالجبّائيّ أحد أئمّة المعتزلة، كان إماماً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انتهت رئاسة البصريّين من المعتزلة في زمانه لا يدافَع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قاضي القضاة في شرح المقامات لأبي القاسم البلخيّ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عليّ ما مات حتى قال بتفضيل عليّ عليه السلام و أنّه ألقىٰ بذلك إلىٰ ولده أبي هاشم عند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التكملة،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فتسلّق، أي توصّل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فإذن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إلحاده لقلّ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هشام بن الحكم، مولىٰ كندة، كوفيّ تحوّل إلىٰ بغداد من الكوفة، من أصحاب أبي عبد اللّٰه جعفر بن محمّد الصادق و أبي الحسن موسى بن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متكلّمي الشيعة ممّن فتق الكلام في الإمامة، كان حاذقاً بصناعة الكلام، سريع البديهة، و كانت له مباحثات كثيرة مع المخالفين في الأُصول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رجاله و وثّقه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الروايات، حسن التحقيق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الكشّي روايات كثيرة في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أصل، و 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 و كتاب الدلالات على حدوث الأشياء، و الردّ على الزنادقة، و كتاب التوحيد، و كتاب التديّن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الفهرست للطوسيّ ،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رجال البرقيّ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13358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أبو عيسى الورّاق، من المتكلّمين؛ له كتاب الإمامة، و كتاب السقيفة، و كتاب الحكم علىٰ سورة لم يكن، و كتاب اختلاف الشيعة و المقالات، و كتاب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وفاته ببغداد في الجانب الغربيّ سنة سبع و أربعين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الفهرست لابن النديم،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الجاروف في تكافؤ الأدلّة، نقضه عليه أبو عليّ الجبّائي و الخيّاط و الحارث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الخيّاط من الملحدين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أبي حفص الحدّاد الصوفي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الانتصار للخيّاط المعتزلي،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الحسين أحمد بن يحيى بن إسحاق، من أهل مرو الروذ، و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أنّه كان من متكلّمي المعترلة ثمّ فارقهم و صار ملحداً زنديقاً، و لمّا عوتب علىٰ ملازمته للملاحدة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أريد أن أعرف مذاهبهم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أباه كان يهوديّاً فأسلم هو، و كانت اليهود ترميه بالإلحاد و يقولون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يُفسدنّ عليكم هذا كتابكم كما أفسد أبوه علينا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العبّاس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لا يستقرّ علىٰ مذهب، و صنَّف لليهود كتاباً لأربعمائة درهم أعطوه، ثمّ أراد نقضه فأعطوه مائتي درهم فأمسك عن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أكثر كتبه الكفريّة صنّفها لأبي عيسى اليهوديّ</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الإكراه و 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اصطلاح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الفعل حقيقةً عن العبد و إضافته إلى اللّٰه تعالىٰ ، أي العبد مُجبَرٌ على فِعلِه؛ حسناً كان أو سيّئاً، خيراً أو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للنسخ و المغني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بضرب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المغني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انتَحَلَ مذهبَ كذا و قبيلة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تَحامَلَ علَيَّ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القول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ليرجع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هشام بن الحكم صاحب غور في الأُصول، لا يجوز أن يُغفل عن إلزاماته على المعتزلة؛ فإنّ الرجل وراء ما يُلزمه على الخصم و دونَ ما يُظهره من التشبيه؛ و ذلك</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اسحاق، إبراهيم بن سيّار بن هانئ البصريّ ، ابن أُخت أبي الهُذيل العلّاف، شيخ المعتزلة و من أئمّتهم، و كان الجاحظ من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بآراء خاصّة، تابعته فيها فرقة من المعتزلة سُمّيت النظّاميّة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أعلم بالكلام و الفقه من النظّام، و 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ألف سنة رجل لا نظير له، فإن كان ذلك صحيحاً فهو أبو إسحاق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الطبقة السادسة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يرجع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التجسّم يوجب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هكذا في الموارد التالية، و الصحيح ما أثبتناه في الموردَين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داود الجواربي، حكي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اعفوني عن الفرج و اللحية، و اسألوني عما وراء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و لا نجد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الجسم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قَرَفَه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سائر المصادر؛ إلّاأنّ النبيّ صلّى اللّٰه عليه و آله قاله لحسّان بن ثابت، أو قاله أبو جعفر الباقر عليه السلام للكُميت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إعلام الورىٰ ،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 السنّ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إعلام الورىٰ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بصدقنا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13358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نسبٌ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نَحَلَه القولَ يَنحَلُه نَحلاً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الإمام الصادق عليه السلام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للإنكار الذي يعنىٰ به التغيّر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التغيّر عن حالٍ تسرّك إلىٰ حالٍ تكرهها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اللّٰه تعالىٰ لا يعلم الأشياء إلّابعد كونها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حفلتُ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يُحفَل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اجتباه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اختاره و 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 قَولَه أو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فَنَّدَه و أَظهَرَ باطِلَه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النهي عن نفس ما وقع الأمر به أو الأمر بنفس ما حصل النهي عنه، و إنّما يكون كذلك بأن يكون ما تعلّق به النهي و الأمر واحداً، و المأمور و المنهي واحداً، و الوقت واحداً، و الوجه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اختلف الوقت كان نسخاً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الكافي لأبي الصلاح الحلبي،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الاقتصاد للشيخ الطوسي،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تلقّبه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الألفاظ</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استقصوا معرّته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مكروهه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فيه الجاحظ علىٰ إمامة أبي بكر و أثبت له فضائل، و ردَّ علىٰ إمامة أمير المؤمنين عليه السلام و أنكر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نُقض عليه بعدّة نقوض، منها نقض العثمانية للإسكافي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منه نصوص نقلها ابن أبي الحديد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 بناء المقالة الفاطميّة في نقض الرسالة العثمانيّة للسيّد أحمد ابن طاووس، و هذا النقض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كتاب العثمانية بتحقيق عبد السلام محمّد هارون، كما طبع في ضمن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مفقود، لكن بقيت رسالة مختصرة أرسلها الجاحظ إلىٰ عبد اللّٰه أحمد بن أبي دؤاد يخبره فيها بكتاب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عدّة صفحات منه نشرت في ضمن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قام الجاحظ في هذه الصفحات بتخطئة أبي بكر في منعه فاطمة عليها السلام</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و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فصول منه نشرت في ضمن رسائل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الكلاميّة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استحقاق الإمامة، و نشرت في رسائل الجاحظ،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صور كتابه في مقالة الزيديّة و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النشرة الأخيرة أكثر اختصاراً من الأُولىٰ، فقد حذفت منها بعض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ناقش الجاحظ في هذا الكتاب آراء الإمامية و الزيدية حول الإمامية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و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ابن الراونديّ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القائلون ببقاء الدهر و قدم العالم و لا يؤمنون بالحياة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المشارإليهم 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هِيَ إِلّاٰ حَيٰاتُنَا الدُّنْيٰا نَمُوتُ وَ نَحْيٰا وَ مٰا يُهْلِكُنٰا إِلَّا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التعطيل مذهب قوم من العرب، بعضهم أنكر الخالق و البعث، فجعلوا الجامع لهم الطبع و المهلك لهم الدهر، و بعضهم اعترف بالخالق و أنكر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أنكرت بعثة الأنبياء و زعموا أنّه لا فائدة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انتسبوا إلىٰ رجل منهم</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سُمّيت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لخروجهم عن الدين، كما في حديث أبي سعيد الخدري عن رسول اللّٰه صلّى اللّٰه عليه و آله و ذكر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يمرقون من الدين كما يمرق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يجوزونه و يخرقونه و يتعدّونه كما يخرق السهم المرميّ به و يخرج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بقتال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بإخراجه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فتزولنّ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الشين و الياء و الدال أصلٌ واحد يدلّ علىٰ رفع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الحكاية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الطرق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يفضي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التثنية هي القول بالاثنين الأزَليَّين، و يقال لأصحاب هذه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 لأنّهم يزعمون أنّ النور و الظلمة أزليّان قديمان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 الرئيسيّة في مجال معرفة المذاهب و الأديان، فقد تطرّق فيه إلىٰ عقائدفرق الشيعة كالكيسانيّة و الزيديّة، و عقائد اليهود و عرب الجاهليّة كما قام بتفصيل البحث عن عقائد الثنويّة، و قد قام ابن الملاحمي المعتزلي بنقل الكثير ممّا نقله الورّاق من عقائد الثنويّة و ناقشها، و ذلك في كتابه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كتاب المقالات مفقود، و لكن بقيت منه نصوص منثورة في ثنايا الكتب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شبهتهم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محّضها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المشرقي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النوح علىٰ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كتابان في بيان عقائد الثنويّة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سبب تسمية الكتاب الثاني بهذا الاسم هو أنّ الثنويّة لا يجيزون قتل الحيوانات و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 أبو محمّد النوبختي كتاباً نقض فيه علىٰ كتاب الغريب المشرقي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الفهرست للطوسيّ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قَرَفَه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يكن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النقص، و أصلها الكسر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ينسب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يكن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يقدح</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الهُذيل بن عبد اللّٰه بن مكحول العبديّ ، من أئمّة المعتزلة، وُلد في البصرة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اشتهر بعلم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يُلقَّب بالعلّاف لأنّ داره بالبصرة كانت في العلّافين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سمّاه على اسم مجوسيّ أسلم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اعتقادات فِرق المسلمين و المشركين للفخر الرازي،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قبل قليل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أُصول الإيمان،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الروح جسم لطيف مشابك للبدن، مداخل للقلب بأجزائه مداخلة الدهينة بالسمسم و السمنة باللبن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الجسم الواحد قد يصير في المكان الثالث، دون أن يمرّ 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أحال أصحاب النظّام أن يصير الجسم إلىٰ مكان دون أن يمرّ بما قبله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الجوهر مؤلَّف من أعراض، و إنّ الألوان و الطعوم و الروايح 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يقضي بكون الأجسام أعراضاً، و تارة يقضي بكون الأعراض أجساماً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النظّام حجّيّة التواتر و 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عبّاد السلميّ ، يكنّى أبا عمرو، معتزليّ من أهل البصرة، تفرّد بمذاهب، سكن بغداد، ناظر النظّام و كان أعظم القدريّة 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المعتمر و هشام بن عمرو و أبو الحسين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حكى الشهرستانيّ في الملل و النحل عن معمّر بن عبّاد السلميّ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لم يخلق شيئاً غير الأجسام، فأمّا الأعراض فإنّها من اختراعات الأجسام؛ إمّا طبعاً كالنار التي تحدث الإحراق، و الشمس التي تحدث الحرارة، و القمر الذي يحدث التلوين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اختياراً كالحيوان يحدث الحركة و السكون و الاجتماع و الافتراق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عمرو الفوَطيّ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شيبانيّ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مبالغته في القدر أشدّ و أكثر من مبالغة أصحابه، و كان يمتنع من إطلاق إضافات أفعال إلى الباري تعالىٰ و إن ورد بهما التنزيل، و حرَّم على الناس أن يقولوا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حسبنا اللّٰه و 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التمهيد لقواعد التوحيد،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أبكار الأفكار،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للخيّاط،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المنية و الأمل،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 و</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اعتقاده لازم للمكلّف ممّا يتوقّف عليه إثبات التكليف والعلم به، نحو إثبات الصانع و صفاته و النبوّات، ضروريّ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عليه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ضروريّاً لكان العبد مكلَّفاً بتحصيله و أنّه تكليف الغافل عن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بحر الجاحظ؛ كان من فضلاء المعتزلة و المصنّفين لهم، و كان في أيّام المعتصم و المتوكّل، و انفرد</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إفنائها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جاوزتها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الإيمان،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أبكار الأفكار،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 بن أشرس، أبو معن النميريّ ، أحد المعتزلة البصريّين، ورد بغداد و اتّصل بهارون الرشيد و غيره من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أخبار و نوادر، يحكيها عنه أبو عثمان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المأمون منزلةً جليلةً و أراده على الوزارة فامتنع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التكملة،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ماني بن فاتك، الحكيم الذي ظهر في زمان سابور بن أردشير و قتله بهرام بن هرمز بن سابور، و ذلك بعد عيسى بن مريم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ديناً بين المجوسيّة و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أنّ العالم مصنوع مركّب من أصلين قديمين، أحدهما نور و الآخر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لعلّ الصحيح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المانيّة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المغني للقاضي،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أُصول الإيمان،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حذيفة، واصل بن عطاء الغزّال رأس الاعتزال و أصله، كان تلميذاً للحسن البصريّ ، يقرأعليه العلوم و الأخبار ثمّ اعتزل عنه و أسّس مذهب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بالمدينة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عبيد بن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لبني تميم، و يكنّىٰ أبا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معتزليّ صاحب رأي، و كان كثير الحديث عن الحسن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دُفن بمَرّان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يطمّ ، أي يدفن و يغطّي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الجاحظ</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بانفراده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وافقه عمرو بن عُبيد علىٰ مذهبه، و زاد عليه في تفسيق أحد الفريقين لابعَينه بأن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شهد رجلان من أحد الفريقين، مثل عليّ و رجل من عسكره، أو طلحة و الزبير، لم تُقبل شهادتهما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تفسيقُ الفريقين و كونُهما 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يتولّون كلّ مستور، و مع ذلك لم يقبلوا شهادة كلّ أحد إلّابعد الفحص والتفتيش عنه؛ فيُعلم منه أنّ التولّي لا يستلزم قبول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الأنسب في التمثيل ذكر الشهادة على الأراذل لا الأعاظم عنده؛ لأنّه أقرب إلى القبول؛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عُرض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سَفِلَتِهم، أو من العامّة، أو من أوساطهم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 بكر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فِرَق الشيعة،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أُصول الإيمان،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الكشف عن مناهج الأدلّة في عقائد الملّة،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المعتزلة أو فضيلة المعتزلة كتاب من كتب الجاحظ، كتب الشيخ المفيد النقض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واصل بن عطاء و عمرو بن عبيد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ذكر هذه الحكاية أيضاً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البلخيّ الكعبيّ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رؤوس معتزلة بغداد و هو</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للأجسام طبائع، كمال قال الطبيعيّون من الفلاسفة، وأثبت لها أفعالاً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القاضي عبدُ الجبّار ذلك عن الجاحظِ في مجلّد النظر و المعارف من المغني، و أطال الكلام في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المتأوّل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يتحاسن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تشيّخهم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شيخاً تبجيلاً؛ و هو قولهم عند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المعتزلة مع ما يعلمون من آراء الجاحظ و أقواله التي لا يقدم عليها مسلم و لا يتظاهربها، يذكرون الجاحظ بأحسن الذكر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بعض الفقهاء كالشافعيّ و أحمد من أنّ مسَّ الذكر بلا حائل ناقض للوضوء، و ألحق بعضهم فرج المرأة بذلك، و ذهبت الإماميّة إلىٰ أنّه غير ناقض و لكنّهم ذهبوا إلىٰ تجديد الوضوء استحباباً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الأُمّة علىٰ مشروعيّة رفع اليدين عند تكبيرة الإحرام، علىٰ خلاف بين الوجوب و الاستحباب، و كونه قبلها أو بعدها أو مقارناً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مشروعيّة الرفع فيما عدا ذلك عند التكبير قبل الركوع و السجود و 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الإماميّة المشروعيّة في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بدائع الصانع،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يريد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ذكائه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تمزيق نصرتنا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تلزيق نصرتها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غَثَّتِ 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غَثٌّ و 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أساس البلاغة،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اعتماد العقل في إثبات الإمامة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يتحقّق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فيسلك</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أسد بن أعفر، أبو الأحوَص المصريّ ، شيخ جليل، فقيه ثقة متكلّم من أصحاب الحديث، لقيه الحسن بن موسى النوبختيّ و أخذ عنه؛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الإمامة علىٰ سائر من خالفه من الأُمم، و الآخر مجرّد الدلائل و 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الفهرست للطوسيّ ،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نوبخت، و هو اسم لبعض أجداد أبي محمّد الحسن بن الحسين بن عليّ بن العبّاس بن إسماعيل بن أبي سهل بن نوبخت، الكاتب النوبختي،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نوبخت معروفون بولاية أمير المؤمنين و ولده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الأنساب للسمعاني،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إنكار 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قذفهم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يُقرَفُ بكذا، أي يُتَّهَمُ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يُقرَفُ بالسوء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يُريٰبه و يُظَنُّ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بإبطاله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يبرأ</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موسى 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أُخت أبي سهل بن نوبخت، متكلّم فيلسوف، كان يجتمع إليه جماعة من نقلة كتب الفلسفة مثل أبي عثمان الدمشقيّ و إسحاق و ثابت و غيرهم، و كانت المعتزلة تدّعيه و الشيعة تدّعيه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و الديانات، الردّ علىٰ أصحاب التناسخ، التوحيد و حدث العلل، نقض كتاب أبي عيسىٰ في الغريب المشرقي؛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الفهرست للطوسيّ ،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إسماعيل بن عليّ بن نوبخت، من كبار الشيعة، و كان فاضلاً له مجلس يحضره المتكلّمون، و كان عالماً متكلّماً كاتباً شاعراً بليغاً راوية للأخبار، روىٰ عنه أبو بكر الصوليّ و أبو عليّ الكوكبيّ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توفّي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الاستيفاء في الإمامة، التنبيه في الإمامة، الردّ على الغلاة، الخواطر، المجالس،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أن يكون لأمرٍ ما؛ فإمّا أن يكون لما ذكرناه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نحتاج</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الإجماع و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المتواتر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أعيان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طريق ذلك</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يكون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الإمام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الإمام لا يُحتاج إليه في ذلك</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يُعتبر في مفهوم الإجماع عدم إمكان تواطؤ المجمعين على الكذب، بخلاف التواتر؛ ولذا سبق منه رحمه اللّٰه أنّ الخبر المتواتر مأمون عندنا أيضاً؛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تحتاج</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ثبات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المغني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علمنا مع ثبات الإمام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الخلاف قائم، فوجوده تقدّمه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مغلوطة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بتبيانه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وقع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فليلحق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يناقش المصنّف رحمه اللّٰه في هذا الفصل الأدلّةَ السمعيّةَ التي أقامها صاحب المغني علىٰ وجوب الإمامة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بهما أبا عليّ و ابنه أبا هاشم الجبّائيَّين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أنّ إقامة الحدود واجبة على الإمام من حيث الإمامة، كما اعترف به و تقرّر في مقرّه، و وجوب المقدّمة إنّما هو علىٰ من وجب عليه ذو المقدّمة؛ فاللازم وجوب النصب على الإمام نفسه، و هو فاسد؛ لتوقّفه على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واجب على الإمام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مخالفته لمطلوبه من وجوبه على الرعيّة و منافاته لما يَدَّعي هو و أهل مقالته و نظراؤهم من عدم نصّ النبيّ صلّى اللّٰه عليه و آله على الإمام بعده و دعواهم إجماع مردة الصحابة علىٰ إمارة لصوص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إذ الإمام إنّما تجب عليه إقامة الحدود الكائنة في زمانه لا ما يكون بعد زمانه، و هذا ظاهر، و بعد ما تفطّنت به وجدته في تعليقات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أُصول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واضح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لا يتمّ الواجب إلّابه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يصير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الاشتراط أوّلاً، ثمّ منع وجوب الشرطبوجوب المشروط؛ فتدبّر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الكفاية هو ما لو قام به بعض المكلّفين سقط عن الآخرين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الأئمّة من حيث هم أئمّة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أوّلاً توجُّه الخطاب بإقامة الحدود إلىٰ غير الإمام حتّىٰ يجب عليهم التوصّل إليه، ثمّ تنزَّل عن ذلك و سلَّم توجُّه الخطاب فيها إليهم لكن منع وجوب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بُعده عن العبارة،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حينئذ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 لا يجب تمليك رجل لآخر النصاب و الزاد و الراحلة ليجب عليه الزكاة و الحجّ ، فكذلك 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يأبىٰ عنه كلامه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تملّك</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الوقف على الدليل و تعليق الحكم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بالتزامه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كأنّه تفصيل و تأكيد لما سبق، و تنبيه علىٰ تقرير الاعتراض بعد تحقيق الحقّ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لأوجب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محلّ تأمّل؛ إذ من الظاهر أنّ الأمر بشيء يقتضي إيجابه مطلقاً ما لم يُعلم التقييد؛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أمر السيّد عبده بأن يسقيه فلم يُطعه وَبَّخه العقلاء، و ليس له الاعتذار بأنّ من شرائط الإتيان بالمأمور به المشي نحو الماء، و الكلام لمّا احتمل التقييد بالشرط فلا يفيد وجوب الشرط، و لذلك ما مشيتُ و لا سقيتُ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لولا ظهور الإطلاق لم يتوجّه التوبيخ لمّا كان الاعتذار بما ذكرناه؛ فتأمّل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ميرزا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ابتدأ به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يكون صاحب الكتاب حصَّل مقدّمة يصحّ وقوعها من الإمام و هي قبوله بمنصب الإمامة و تحمّله لها، و استدلّ بوجوب إقامة الحدود علىٰ وجوب قبول الإمامة، ثمّ لمّا توقّف القبول علىٰ نصب القوم له و تحميلهم لها عليه أوجبه عليهم، و غفل عن أنّ هذا السؤال باق بعينه فيه، و غفل عن أنّ ذلك لا يوجب النصب على الأمّة؛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ما لا يتمّ الشيء إلّابه على ضربَين عندك</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قبل قليل 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ذكرتموه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فدفعتموه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كضرب السيف، فإنّه لا يتخلّف عنه حزّ الرقبة إلّامن باب خرق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التكليف بالمسبّب يرجع إلى التكليف بالسبب؛ إذ لا يتمكّن المكلَّف من فعله إلّابفعل السبب؛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لسببٍ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أنّ العبادات الشرعيّة تجب لكونها ألطافاً في العقليّات تقف عليها، فكذا شروطالعبادات تجب لكونها ممّا يتوقّف عليه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المطبوع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الشروط و المقدّمات التي تحتمل الوجوب و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ما هي لطف فيه واجباً وجبت، و إن كان ندباً استُحبّت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كوجوب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القائل فرض في المسألة صورة يُستشكل بها، و هو ما لو صلحت الجماعة بأجمعهم للإمامة، فلمّا لم يجب علىٰ صالح الإمامة غير القبول، يلزم حينئذ سقوط وجوب التوصّل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مرجع الجواب الأوّل، و العِلاوة حينئذ إلىٰ واحد؛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يلزمه قبول العقد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حينئذ يلزم سقوط لزوم التوصّل إلىٰ ذلك بصلاحية الجماعة للإمامة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لانتقاضه بمن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صاحب الكتاب لمّا جعل المقدّمة الواجبة هي القبول، فإنّما يلزم من وجوب مقدّمة الواجب وجوبه، لا وجوب الإقامة و النصب الذي هو المطلوب؛ فكيف تدّعون وجوبه ؟ 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أوّلاً فبأنّ وجوب القبول يستلزم وجوب نصب الإمام؛ لأنّه فرعه، و لا يخفىٰ أنّه حينئذ يعود السائل السابق المذكور في كلام صاحب الكتاب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يصحّ ذلك إذا وجب كلاهما علىٰ مكلَّف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ثانياً فبأنّ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 عليه غير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ممنوع؛ إذ قد يجب عليه التوصّل إلىٰ نصب الإمام مع وجوب القبول، كما لا يخفىٰ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يلزمه ذلك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 لو فُرض صلوح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وجوب القبول منوط بإقامة الباقين له و اتّفاقهم عليه؛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السؤال علىٰ أحد التقريرَين اللذَين ذكرناهما وارد لا مدفع له، و جوابه الذي ذكره عدول إلىٰ ما استشكله سابقاً؛ فتدبَّر تفهم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ينفصل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 ليس وجوبه من حيث</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لا نعلم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إقدار العبد و تمكينه على الفعل مثلاً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تلك الأمثلة كان المكلَّف بالأمرين واحداً، و المطابق لما ألزمه صاحب الكتاب استحباب السلام و التسميت و وجوب ردّهما؛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مخاطب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اختاره جماعة في الشرائع بالنظر إلى الموجودين بعد زمن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شمول التكليف لهم بالتبع، و للموجودين الحاضرين حال الخطاب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حال غيرهم بالمقايسة عليهم، أو 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حُكمي على الواحد حُكمي على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الأظهر كما اختاره المحقّقون أنّ الخطاب يتعلّق بهم بعد كمالهم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أَوجَبَ علىٰ من يصلُح للإمامة إذا كان المعلوم أنّه يصيرإماماً إقامة الحدود الشرعيّة و التوصّل اليها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كأنّه أشار إلىٰ جريان مثل السؤال فيما أوجبه صاحب الكتاب على الأمّة؛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نوجب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بداية الفصل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وجوب الشرط و التوصّل إليه إلّابدليل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جواز أن يُعكس ذلك</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يتناوله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بإقامة الحدود لم يتعلّق بمن له صلوح الإمامة، بل بمن كان إماماً، و غاية الأمر تعلُّقه بمن يصير إماماً؛ فلابدّ في العلم بالوجوب من العلم بأنّه ممّن سيصير إماماً؛ و إلّافتعلُّق الخطاب به غير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لم يقبل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انحصر الصالح لها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منه أنّه غير مخاطب بها؛ لأنّ عدم قبوله لها كاشف عن مكنون علمه سبحانه، ففيه شبه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إذا كان الصالح لها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عليهم كفايةً قبوله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يجب إذا عُلم صيرورة واحد منهم إماماً، و أمّا إذا لم يقبلوا جميعاً فيظهر منه أنّ أحداً منهم غير مخاطب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المعتبر علىٰ ما ذكره هو ما قبل الإمامة قبليّةً تتعقّب صيرورته إماماً، و لم يُعلم ذلك؛ فتأمَّل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بالتوصّل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بفعلها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إنّما يلزم إذا كان الخطاب به متوجّهاً إلىٰ مرتكب ذلك الفعل، و أمّا إذا كان الخطاب إلى البالغ العاقل المتمكّن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الخطاب بإقامة الحدود فمتوجّه إلى الإمام علىٰ رأي صاحب الكتاب؛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الحالتين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المعتمدة،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موصولة أو مصدريّة، و علىٰ نسخة الأمّ تحتمل الزيادة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عندنا، و أمّا عند صاحب الكتاب فليس الكلام إلّافيه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يُطلق لفظ</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التلبيس و المخادعة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موّه فلانٌ باطلَه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زيّنه و أراه في صورة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و المستحدَث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لمّا قصد دعوى المساواة بين الحالين ساق الكلام علىٰ نهج لا يُشعر بالاتّفاق على الأوّل و الاختلاف في الثاني؛ و ذلك من فرط تلبيسه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 يقيم الحدود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أوّلاً أنّ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المخاطَب بها إنّما هو الإمام المتمكّن لا الإمام المحبوس و المأسور أيضاً، فإذا كان محبوساً عُلم أنّه غير مخاطَب بها؛ لعدم تمكّنه منها، كما في العبادات لمن لا يقدر عليها؛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الوجه الثاني من الاعتراض الذي أومأ إليه أوّلاً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 بعد تسليم أنّ إزالة الغلبة عنه لأن يقوم بالحدود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بين الحالين ظاهر؛ إذ المكلَّف بإقامة الحدود في إحداهما موجود، و إنّما منعه الأعداء عن الإقامة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أُمر به، فكان كالممنوع ظلماً عن إقامة الفرائض اليوميّة يجب التوصّل إلىٰ دفع الأعداء عنه ليتمكّن من الإقامة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افتُرض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الثانية؛ إذ الخطاب لمّا توجّه إلى الأئمّة و ليس هناك إمام، فالمكلّف بإقامة الحدود مفقود، فلا يجب التوصّل إليها علىٰ أحد؛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من باب الأمر بالمعروف و النهي عن المنكر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المصلحين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تعلّق لإقامته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أيضاً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كانت العلّة ما ذكره لسقط عنّا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ليقوم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لأنّ إقامة الأمير من قِبَل الإمام قد تعذّرت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بالحقوق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بالأصل الإمام، و بالفرع الأمير، و من يقوم بتعيينهم و نصبهم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رأي صاحب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أنّ الإمامة لمّا جاز لها نصب الأئمّة جاز لها نصب الأُمراء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توابع نصب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إقامة الإمام بيد الأُمّة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فلزمه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يمكنه النظر فيها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علّة وجوب نصب الأمراء على الإمام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نصبه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 إقامة الحدود فيما تصل إليه يده من فروضه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أوجب صاحب الكتاب علىٰ أهل الحلّ و العقد التوصّل إلىٰ إقامة الحدود بإقامة الإمام؛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هذا فالقياس يقتضي أنّ اللازم علىٰ أهل الحلّ و العقد 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القيام بإقامة الحدود، أو إقامة من يقيمها؛ و إذا امتنع منهم الأوّل فليمتنع الثاني؛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الذي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إقامة الإمام غير واجب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ينفصل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على التنزّل، و إلّافيمكن منع بطلان التالي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طائل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يجب قبول الإمامة علىٰ من يصلح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الفقرة من المغني هي في الحقيقة استمرار لما قبلها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وجب الثبات عليه حرم الإقالة من الناصبين له أيضاً، و إلّالجاز له أيضاً إقالة عقد الإمامة بنصب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ثبت أنّ عزله عن منصب الإمامة غير جائز من غيره أيضاً، فقول الأوّل من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أقيلوني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بالقبيح و تكليف بالمعصية و حثّ عليها؛ فهو من أهل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يَأْمُرُونَ بِالْمُنْكَرِ وَ يَنْهَوْنَ عَنِ الْمَعْرُوفِ وَ يَقْبِضُونَ أَيْدِيَهُمْ نَسُوا اللّٰهَ فَنَسِيَهُمْ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 فتأمَّل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كان مخيّراً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كان من قبل مخيّراً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المبيع</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إذا كانت إقامة الإمام غير واجبة على الأُمّة، لم يجب على الإمام قبولها، و لو قبلها لم يجب عليه الثبات عليها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كان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مخيَّر في العدول عن إقامة أميرإلىٰ تولّي الأمر بنفسه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توليته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أمير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الأمير يجوز له الفسخ و الإقالة، و ما ذلك إلّالكون إقامته علىٰ سبيل التخيير و كذاقبوله لها؛ و يلزم منه أنّ من كان قبوله واجباً و إقالته محرَّمة يجب إقامته أيضاً على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علىٰ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فيها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للأمير أن يخرج عن الإمارة ما لم يُلزِمْه الإمام صفةً زائدةً علىٰ مجرّد الإمارة مانعةً عن الخروج عنها،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ابتداءُ قياس حال الإمام علىٰ حال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نسخة الفاء فمن هنا ابتداءُ القياس، 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لم يكن للإمامة صفة زائدة على الإمارة لجاز له ما يجوز للأمير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الأوّل إلزام الثبات، و على الثاني الوجوب؛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يجب أن يكون مخيّراً بين البقاء في منصب الإمامة أو الخروج منه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المغني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بطلان ذلك يبيّن صحّة ما قدّمناه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لم تجب الإقامة لم يجب الثبات، و بحُكم عكس النقيض يحصل ما 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بمنع صدق الكلّيّة الأولىٰ و إبطالها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الاضطلاعُ من الضَّلاعة، و هي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اضطلع بهذا الأمر، أي قدر عليه، كأنّه قويت عليه ضلوعه بحمله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مُضطَلِعٌ 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يجز</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تكامل شروط الإمامة فيهما، و صلاحهما لها، من دون مزيّة لأحدهما على الآخر في معنى الصلاح للإمامة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قد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الشرع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الدين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تلك المنافع لا تختصّ بواحد من الرعيّة دون واحد، و كذا دفع المضارّ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و لا أحد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له في ذلك حظّ ما، أو قويّ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بالعقول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الدنيويّة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يستقلّ العقل بإدراك وجوبها و التحرّز عنها، أو يكون وجوبها مطلقاً غير مقيّد بحصول مقدّمة؛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الاجتلاب و التحرّز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سمعيّاً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يستدلّ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بعض المعارف مندوبة، فكذا الأمر بها؛ فإن ثبت وجوب الإمامة ثبت أنّ إقامة الإمام من قبيل الأمر بالمعروف الواجب لا المندوب، و إلّافلا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يلزمه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بالواجب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بهما أبا عليّ و ابنه أبا هاشم الجبّائيّين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اجتماع</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لصوص الخلافة استبدلوا الحبور بالثبور، حتّىٰ إنّهم أعرضوا عن تجهيز النبيّ صلّى اللّٰه عليه و آله و لم ينتظروا حضور بني هاشم و لم يحتفلوا بهم، بل انتهزوا الفرصة باشتغالهم بأُمور النبيّ صلّى اللّٰه عليه و آله و تراكم همومهم، و شهروا سيوفاً كانت في زمن النبيّ صلّى اللّٰه عليه و آله في أغمادها و دعوا الناس إلى البيعة و إن كانوا كارهين، و أوقدوا نيراناً أطفأها اللّٰه تعالىٰ ببراهين إمامة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يبدو أنّ ما في المتن من إضافات نُسّاخ الشافي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بعده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يخفىٰ أنّه حينئذ يكون من الواجبات العقليّة، فلا ينفع صاحب الكتاب؛ فتدبّر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متفرّع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فيمن يخالف في وجوب الإمامة مَن ينفي حُسنها، حتّىٰ يكون ما ذكره دليلاً لمدّعاه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محتاجاً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 من جملة قول من يخالف في وجوب الإمام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يلتزمون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 المعتزليّ ، إليه تُنسب الفرقة الضراريّة من المعتزلة،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جميع من في الأرض ممّن يظهر الإسلام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بعد رسول اللّٰه صلّى اللّٰه عليه و آله في الإجماع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أنّ الإمامة تصلح في غير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يذهب إلىٰ أنّ أفعال العباد مخلوقة للباري حقيقة، و أنّ للّٰه تعالىٰ ماهيّة لا يعلمها إلّاهو، و أنّ للإنسان حاسّة سادسة يرىٰ بها الباري تعالىٰ في الجنّة، و أنّه لا يجب على اللّٰه تعالىٰ شيء بحكم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حدود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الملل و النحل للشهرستانيّ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الرحمن بن كيسان الأصمّ ؛ كان من المعتزلة، و له مقالات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طبقة أبي الهذيل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يخطّئ أمير المؤمنين عليه السلام في كثير من أفعاله و يصوّب معاوية في بعض أفعاله، و له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 الأمل،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طبقات المعتزلة،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 المغني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بحيلة و 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إجماع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فرقتهم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لحدوث</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المعتزلة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مقالتهم، أي مقالة المعتزلة؛ لأنّه من مستحدَثات واصل بن عطاء، كما سبق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يرد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 منهم قد خالف أحداً من الإجماعات، و بذلك خرج عن أن يُعتَدَّ بشأنه و يُعتنىٰ بأقواله و أفعاله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من أصحابكم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بصحيح</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المبالاة، و ما أحْفِلُ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حجّيّة الإجماع عندنا إنّما هو لدخول المعصوم في جُملة المجمعين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وجود الإمام المعصوم في جُملة هذه الفرقة؛ فإنّ هذه الخصوصيّة تجعل إجماعَ الإماميّة حجّة، دون إجماع سائر الفرق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الإجماع عندهم اتّفاق أهل الحلّ و العقد، و ينتقض ذلك بمخالفة واحد منهم، كما لا يخفىٰ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أبي الحديد باختصارٍ في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صاحب الكتاب بهذا الدليل و الذي يليه للاستدلال بهما علىٰ وجوب الإمامة، و إنّما جاء بهما للردّ عليهما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إثبات وجوب إقامة الإمام بالسمع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القاضي عبد الجبّار قد تعرّض قبل ذلك إلى استدلال البعض علىٰ وجوب إقامة الإمام بوجوب صلاة الجمعة، و أنّها لا تُقام إلّابحضور الإمام، لكنّه لم يرتضِ هذا الاستدلال و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يتعرّض المصنّف رحمه اللّٰه إلىٰ ذلك، و لعلّه يعود إلىٰ موافقته علىٰ رأي القاضي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الأئمّة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15356/541</w:t>
      </w:r>
      <w:r>
        <w:rPr>
          <w:rFonts w:ascii="IRNazanin" w:hAnsi="IRNazanin" w:eastAsia="IRNazanin"/>
          <w:b w:val="false"/>
          <w:b w:val="false"/>
          <w:bCs w:val="false"/>
          <w:i w:val="false"/>
          <w:i w:val="false"/>
          <w:iCs w:val="false"/>
          <w:color w:val="333333"/>
          <w:sz w:val="20"/>
          <w:sz w:val="20"/>
          <w:szCs w:val="20"/>
          <w:rtl w:val="true"/>
        </w:rPr>
        <w:t xml:space="preserve">، حديث إسلام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 الإقامة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إمكان الاعتماد في إثبات وجوب إقامة الإمام على الأُمّة على هذا الخبر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تكون نفلاً، كما قد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نقلاً لما قد 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تبيّن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 غيرهم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أن يريد الإمامة المستحقّة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يلزمكم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الاحتجاج بالخبر عليهم بأنّ النبيّ الكريم عليه السلام أخبر بأنّ الأئمّة يكونون من قريش، فلا يستتبّ الأمر لغيرهم؛ فيفيد الكلام أن ييأس الأنصار من التسلّق إليه بإخبار الصادق المصدَّق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السارق</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كان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 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نسّاخ الشافي، فلا حاجة إلى التنبيه علىٰ ذلك في الموارد القادمة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قد سمّىٰ لإمارة الجيش الذي بعثه إلىٰ مؤتة جعفر بن أبي طالب و زيد بن حارثة و عبد اللّٰه بن رواحة، و قال صلوات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أُصيب ابن رواحة فليرتضِ المسلمون من بينهم رجلاً فليجعلوه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عبد اللّٰه بن رواحة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آخر من سمّاهم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 المسلمون في كلّ وجه، ثمّ تراجعوا، فأخذ ثابت بن أرقم اللواء و دفعه إلىٰ خالد، فحمل به ساعة فانحاز بالمسلمين و انكشفوا راجعين، و ليس فيما رواه علماء السيرة استصواب النبيّ صلّى اللّٰه عليه و آله لإمارته، إلّاأنّه لمّا رجع بالناس إلى المدينة استقبلهم أهلها باللوم و التثريب و عيّروهم بالفرار حتّىٰ جلس الكبراء منهم في بيوتهم استحياء من الناس، فأراد رسول اللّٰه صلّى اللّٰه عليه و آله أن يخفّف عنهم و يكفّ الناس عن لومهم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ليسوا بالفرّار و لكنّهم كرّار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ابن أبي الحديد في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مغازي الواقدي، و كذلك هو في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بنىٰ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فيتوصّلوا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عليّ الجبّائيّ و ابنه أبو هاشم، كما تقدّم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المجتمعين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راجعون إلىٰ ذلك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راجعون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ولّيتم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لم يَرد في المغني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المجتمعين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شيء، و الأولى ترك لفظ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بالقول أو الفعل، كما سيجيء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يُستدلّ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للإمامة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الإمارة، و لذلك فالأنسب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الفرض</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وقفهم عليه من الأحكام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مستحقّها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معلوم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يلحق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يختصّ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يكون اقتصار الخليفة علىٰ بعض ما يتولّاه المستخلِف إلّالأمر خارج عن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الخلافة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الفضلاء</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نحتاج</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أي لمكان توليته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لولايته و من أجلها، لا ما يتولّاه من غير تلك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غفلته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سؤالهم من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سؤالهم له عمّن يقوم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شكّ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مجيزون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أغنينا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الإجماع قد أغنىٰ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المغني</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حكاه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للنفي ظاهراً، لا أنّه بيان للمنفيّ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الدليل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هناك نصٌّ أغنانا الإجماع عن نقله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بصفات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فقد لزمكم الاعتراف بجواز التعمّد عليه منهم، و قد أنكرتموه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الموالاة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المشايعة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صفات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السهو</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ارتكبوا ما ارتكبوا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تجويز الجحد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علىٰ ما سيجيء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امتناع الإجماع على الخطأ قبل ثبوت المعصوم، أو علىٰ منع تحقّق الإجماع بذلك لخروج جماعات منهم؛ و كلاهما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السهو</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شنَّع</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جاز أيضاً أن يكون النصُّ علىٰ أمير المؤمنين عليه السلام ممّا لم يسمعه المهاجرون و لا الأنصار، بل إنّما ذكره النبيُّ صلّى اللّٰه عليه و آله لعليّ عليه السلام فقط، أو لبني هاشم دون غيرهم، كما سيجيء عن قريب؛ فتدبَّر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الحلّ 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الحلّ والعقد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الأَولىٰ بيانه للأنصار دون المهاجرين؛ ليقطع به أطماع الأنصار عن أمر الإمامة، و أمّا بيان الدعوىٰ للمدّعي فممّا لا نفع فيه كثيراً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نسينا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 و أظهر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التكليف</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يظنّون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أسهبَ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أكثر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سائغاً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ممّا يُقضىٰ منه العجب أنّ الأنصار اكتفوا في مثل هذا الخطب الملمّ برواية رواها أحد المدّعين ليُرجع اللوم عليهم فيه؛ و كان الأليق بنبيّ الرحمة صلّى اللّٰه عليه و آله أن يُلقي هذه الأوصاف إلى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للاكتفاء بإحدى الفرقتين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المهاجرين، و سيّما من تسلَّق إلى الإمارة و نصب نفسه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المطبوع، 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يقف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يَتعاطىٰ كذا، أي يخوضُ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يذهب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أغنينا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ممّا يمكن أن يُتوهّم له معنىً و إن لم يكن صحيحاً، بخلاف الكتاب؛ إذ لا معنى للاستنادبه أصلاً؛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صاحب الكتاب يكتفي فيها أيضاً بالفعل المتكرّر المفيد، فيرتفع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عصره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 وجود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الظاهرة كتحدّيه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غزواته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شتّان ما بينهما، أي بَعُدَ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معروف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ترجمتها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بمعرفة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يجوز</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الضروري من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فبطل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ما لا أصل له، أو ادّعاءُ ما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تنقله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و اشتهر، يَنْبُهُ نَباهَةً ، فهو نَبيهٌ و نابِهٌ ، و هو خلاف 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التشييدُ هنا ليس بمعنى إحكامِ البِناء و لا بمعنى الرفعِ و الإعلاء، بل بمعنى الطَّلْيِ بالشِّيدِ و هو كلّ ما طُلي به الحائط من جصّ أو 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ترفيعه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تحتاج</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مناقضة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يُتعلّق</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بعد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استعرض صاحب الكتاب في هذا الفصل أربعة عشر دليلاً، معظمها أدلّة على الإمامة و بعضها على العصمة، و سمّىٰ هذه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العمل و العلم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ينصب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يفسَّر بعدّة وجوه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من تعلّق أصحابنا به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قارَفَ فلانٌ الخطيئةَ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استَشَمّ من كلام صاحب الكتاب أنّه أسنَد إلينا الحاجة إلى الإمام من جهة</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نوجب</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نوجب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يلحقهم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للآحاد، و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فالضمير للجماعة المتواترين؛ و يتعاكس المقصود من الضمائر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أخلّوا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التفصيل الذي ذكرناه بين العقليّات و الشرعيّات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جواز الشبهة فلم نعرف</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المشار إليه يشكّل نصف صفحة فقط من كتاب المغني، و لذا فالمقصود بالفصل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 من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المعنى المصطلح للفصل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يمكنهم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كلّفوه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انتقاض أكثر ما ذكره من الطاعات ببعث الرسول و النبيّ و إنزال الكتب، و الجواب مشترك بيننا 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لا يخفىٰ علىٰ ذي لبّ ؛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إزالة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طريق رفعه نصب الإمام ليرتفع به؛ فلا يلزم نفي القدرة عنه</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بالإمام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العجب أنّ النظّام من المعتزلة نفىٰ قدرته تعالىٰ على القبيح، و الجبّائيّان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يقدر علىٰ عين فعل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البلخيّ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يقدر علىٰ مثل فعل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هذه الآراء الفاسدة من مشايخ صاحب الكتاب، لو أمسك عن مثل هذا الإلزام الواهي لكان خيراً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نظنّ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مصلحة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 المعرفة من الحظّ و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صلاح المكلّف، فقد جعلت للمعرفة ما لم تجعله للّٰه تعالىٰ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تظنّ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فنقصهم لا يؤثّر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ينافي العلمَ به 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الكلام من قبيل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جوّزتم أن يكون امتناع اجتماع السلب و</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القول بأنّه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بتصديقه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 من القول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كُلّفتموه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نعلمه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نمنع</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الرسول و غيره من الألطاف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فعل جميع الواجبات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تتقدّم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العُري، و المراد أنّه لا يخلو من اللطف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التكليفات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قنعنا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يكفي أن يكون بدلها شيء آخر، و لا يغني عنها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الكلام في غاية السخافة؛ لأنّ كفاية التفكّر إنّما يلزم أن لو كان المجهول</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 و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 مع وجوده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كلّفوه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المعرفة و نصب الرسول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يغيّر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بالمنفيّ ، لا النفي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بحث ظاهر؛ لأنّ الإمام حينئذ كالشمس المستتر دون الغيوم، ينتفع به المكلّفون كثيراً؛ لأنّ وجوده عليه السلام أيضاً يؤثّر في فعل الواجبات و ترك المقبّحات؛ لأنّه عالم بأفعال العباد فيستحيون منه، إلىٰ غير ذلك من المنافع المذكورة في كتب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يؤيّده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التكليف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عدم وجوده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كانوا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أحوجوا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لأنّهم ما فعلوه و قد منعوا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تركهم لذلك التكليف إنّما وقع في حال فقدانهم اللطف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يفرق</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يشتبه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التمكين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مقدوراته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المخيفين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إزالته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تمكينهم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قانعاً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تقدّم على الإمام الغائب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فساد بعض المكلّفين أو أكثرهم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يلزم الاستتار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 هو خلاف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أباح</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التصبّر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يتّجه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إنّما يلزم إذا لم يتمكّنوا من ذلك الفعل بدون ذلك اللطف، و مع كون ظهور الإمام لطفاً في طاعته و مقرّباً منها يمكن بدونه أداؤها بمشقّة، و التبعة في ذلك علىٰ من ألجأه إلى الاستتار؛ ألا ترىٰ أنّ تسلّط المخالفين علىٰ مكّة و المشاهد المقدّسة أوجب مشقّة التقيّة على الحجيج و الزائرين، و لا يسقط بها عنهم الحجّ و رجحان الزيارة، بل يتضاعف بذلك أجرهم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تركبوا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ورد أنّ الإمام في غيبته كالشمس يوم الغيم؛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نفعه لا ينقطع عن الأُمّة و الأولياء؛ كيف ؟ و هم لاعتقادهم وجوده و تجويزهم ظهوره في كلّ وقت، و لعرض الأعمال عليه عليه السلام في كلّ غدوّ و رواح، يخافون منه و من تأديبه، فيكون ذلك لطفاً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بحالهم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كما ترىٰ أنّ بعض الشيعة لا يجتهد في التقيّة في بلاد المخالفين، و لايتحمّل أعباءها، فتصدر عنه أفعال و أقوال تُطير الرءوس و تذهب بالنفوس؛ و قد يصدر مثل ذلك من غير تعمّد و لا تقصير، بل لسبق اللسان و الجوارح إلىٰ ما يُثمر ذلك، مع جدّه و اجتهاده في التستّر و الاتّقاء من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تنشروا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فيؤدّي</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أجاب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بالقلب باستتار النبيّصلّى اللّٰه عليه و آله في الغار فلم يعرف مكانه غير أبي بكر من أصحابه المؤمنين، و الجواب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بأنّ أولياءه عليه السلام فرقتان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تؤتمن عن الارتداد فيكون في خفائه عليه السلام عنهم زيادة في مثوبتهم و علوّ منزلة لاكتسابهم الأعمال بالمشاقّ الشديدة، و فرقة يعتقدون الديانة علىٰ ظاهر القول بالتقليد و الاسترسال دون النظر في الأدلّة فليسوا بمأمونين لو ظهر عليهم الإمام أو عرفوا مكانه من أن يدعوهم حبّهم للعاجلة إلى الإغراء به و السعي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عاند قوم موسىٰ إمامهم هارون و ارتدّوا و اتّبعوا السامريّ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خفائه عنهم صيانة لنفسه و دينهم؛ فتبصَّر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يجب دوام استتاره لئلّا ينتقص أجر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يعلم اللّٰه من حال كثير من أوليائه في بعض الأعصار ارتكاب فسوق يستحقّون بها من العقاب ما لا يفي به أضعاف ما يفوتهم من الثواب فيقتضي اللطف ظهوره، أو يعلم من حال كثير من أعدائه أنّهم يؤمنون به عند ظهوره و يعترفون بالحقّ عند مشاهدته فيظهره لعموم الصلاح؛ فتثبَّت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يرضىٰ بهذا التفصيل، كما مرّ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المعجزات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المعجز يدخل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المنحرفين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المخرّفين من الخرافة، و المخرّف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بما يُستملح و لا يصدَّق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 الاعتقاد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فيما يُظهروهم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ينظرون فيما يظهره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 مثله في بعث الأنبياء، و يلزم منه إنكار الرسل المبعوثة علىٰ أزيد من في قراهم؛ فتأمّل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يعلم تعالىٰ بعدم وجود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التعبير في المتن مثل قول أميرالمؤمنين عليه السلام في نهج البلاغة من جملة كتابه إلى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يَدَّعِيَ مُدَّعٍ ما لا أعرِفُه و لا أظُنُّ اللهَ يَعرِفُه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لا يُعرف لأنّه غير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تتعدّد الأئمّة في آن واحد كما تعدّدت الأُمراء من قبل الإمام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فلا يلزم فيهم مزيّة على ما يلزم في الأُمراء</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كلام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مدبّرون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إبلاغك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أنهيت إليه السهم، أي أوصلته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يتمّ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نظنّ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وجه له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السهو</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زمان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فيوجب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كانوا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يمكن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و المستحدث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يظنّ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بالحجّة 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يبيّن لنا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يتبيّنه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الرسول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ما فيه من الخبط؛ إذ التواتر إنّما يفيد العلم الضروريّ ببيان الرسول والحجّة، و إذا لم يستقلّ البيان بل يفتقر إلى النظر و الاستدلال كان الافتقار باقياً مع التواتر أيضاً؛ و هذا مع تواتر البيان، لا إذا تواتر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افتقار البيان مطلقاً إلى النظر نظر؛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 ينقل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ريب أنّ العمل بجميع التكاليف واجب، فيجب تحصيل العلم بها، كما سيجيء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يرد أنّ الوثوق غير واجب؛ إذ ليس لنا إلّاالعمل بما وصل إلينا و وثقنا به؛ إذ لا تكليف بما لا 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أنّا مكلّفون بكلّ ما أتىٰ به الرسول؛ فتأمّل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سلّمنا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يدّعيه و يقترحه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أُكَلِّمُك إلى عَشرٍ من ذي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 و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أستأنف، أو معنى المحرّكة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عشرٍ تستقبلها، و معنى المكسورة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عشرٍ ممّا تشاهده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نحتاج</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الأَولىٰ أن يُجاب بأنّ كلامنا فيما إذا كانت الخلائق علىٰ ما هم عليه من وقوع السهو منهم كثيراً، و أمّا إذا أزال اللّٰه عنهم تلك الطبيعة بقدرته فلا نسلك في إثبات ما نحن بصدده هذه الطريقة؛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طروّها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يظنّه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لتقصير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 أن يعترض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 أن تعتريهم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أوجبناه فيه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يفضي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تحصل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نحتاج</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نعتمد بما رووه إلينا؛ لجواز السهو و الخطإ في النقل، فيرتفع به الوثوق على المنقول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قِبل المكلّفين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أضفناه من المصدر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انتفاء الوثوق عن غير الناقلين؛ لاحتمال طريان الشبهة و السهو على الناقلين فلم ينقلوا لذلك؛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الآلة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امتناع صدور مثل هذه الأُمور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ثبتت العصمة فيه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يجوز بمعنى القدرة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بالدلالة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جميع الوجوه، فكيف من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المكلّف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إيجاب الإمام لأجل دفع الشُّبَه؛ و قد تقدّم هذا التوهّم في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قبله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نقول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فالتعلّق بهما بعيد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تمكن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المرتئسين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القسط</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قد يعدى المكلَّف عن التنبيه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تؤثّر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لا يفعلها اللّٰه تعالىٰ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يزيلها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مثله لازم في بعث الرسل؛ إذ يمكنه سبحانه أن يجعل كلّ أحد عالماً بما يحتاج إلى الرسول له؛ فتدبَّر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يفعلها بالابتداء</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كون المكلّف متردّد الدواعي فيما كُلّف به تركاً و إتياناً بأن يعلم قبحه أو وجوبه أو ندبه فيدعوه الداعي إلىٰ تركه و إتيانه، و أن يكون له صارف عنه لعلمه بمشقّة الترك أو الإتيان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بالتكليف بالشرائع،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غرض صاحب الكتاب ليس جواز ذلك حتّىٰ يلزم التناقض، بل المرادأنّ ذلك لو جاز من الإمام لجاز منه سبحانه لأنّه أقدر، و إن لم يجز في الحقيقة إزالة الشهوة منه سبحانه كما لا يجوز من الإمام؛ فالكلام منه جدليّ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الحجّة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الحجري و المغني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محقّق الكتاب عليها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 عارض نسخته من المغني بما نقله المصنّف رحمه اللّٰه منه في الشافي لكُفي مؤونة التوجيه، و لظهرت له معانٍ كثيرة قد التبست عليه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الغلط</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جائزين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تأثير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المكلّفين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زمان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و 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سَربه، أي طريقه يذهب حيث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في سِربه، أي آمِنٌ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الوجه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مثالاً للنفي، و إلّافيجب استثناء نفس المعرفة من بين التكاليف؛ لأنّها ليست لطفاً في 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 يكون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يكون في أن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مضى الكلام فيه قبل هذا بثلاثين ورقة، و لكنّ فيما زاده هنا 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إقامة الإمام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 بعضه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لزمت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فيلزم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يقتضي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المعرفة ليست لطفاً في نفسها، و إلّالزم التسلسل أيضاً، فحاله كحال المعرفة بعينها؛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 تأثير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يوجب</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 مامته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كان ما قدّرناه معلوماً للّٰه تعالىٰ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القبيح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للعقاب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تكون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اجتنابهم عن القبائح مع هذه المعرفة إنّما هو لقبحها، و تلك المعرفة مسهّلة للاجتناب؛ فهم يستحقّون الثواب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بأنّ مثله جارٍ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الناس يتركون القبائح</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انبساطهم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الإمام لطفاً في بعض التكاليف دون بعض</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 التكاليف دون بعض</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بمثل ما ذكره يمكن نفي العلّيّة عن كلّ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لمّا لم تكن علّة لغير معلولها، فجاز أن لاتكون علّة لمعلولها؛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ألطافاً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يخرجها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لزمته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ألزمته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واضح</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آخر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صاحب الكتاب بعد ذلك إشكالاً خامساً على الدليل الثاني المتقدّم الذي 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الإشكال هو أنّ وجود إمام و حجّة في كلّ بلد أبلغ، فيجب أن يقولوا بوجوبه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يتعرّض المصنّف رحمه اللّٰه لهذا الإشكال و جوابه، و قد يرجع ذلك إلىٰ تعرّضه سابقاً للجواب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الحجّة الأُخرىٰ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وجدنا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 مامة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العصمة و الكمال المشار إليهما آنفاً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لطفه ممّن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الفِتنة تطلق على الضلال و الإثم و الكفر و العذاب و غير ذلك، ولعلّ هذه المعاني هي المرادة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المحكم و المحيط الأعظم،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لطفٍ آخر غير وجود الأئمّة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يكونوا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الرؤساء</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يجوز</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الاضطرار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شبهة لهم أُخرىٰ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مقدار صفحتين كاملتين من المغني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مثمر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التي حكاها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شبهة أُخرىٰ لهم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المتأخّرين و لا المتقدّمين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السمعيّات ما يُتلقّىٰ سمعاً، كنصوص الكتاب و السنّة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الشرعيّات هي ما بيّن الشارع حكمها و حدّد موضوعها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الحجج</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متكلّم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متكلّم من أصحابنا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سهل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أئمّة و أعلام الفقه و الاجتهاد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موافق للمغني و المطبوع</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قالوا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لتقطع</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يمكن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يمسّ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 يجري مجراهما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اختلف</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الظنّ لا مجال له في الشريعة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يغلب في الظنّ تحريم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تحليله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مصلحتنا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لم يكن لنا طريق مقطوع عليه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 الشيء يَعطَبُ عَطَباً، أي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ننكر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تجربة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يجوز</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ربحاً أو خسراناً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لوجدان، أي أنّهم لم يكذبوا فيما وجدوا عليه أنفسَهم من الاعتقاد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تلخيص الشافي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اعتقادها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يبطلون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منشأ له بحسب الواقع، بل هو من باب التخيلات الفاسدة؛</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تدّعونه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أحد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بمذاهبك</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مسألة الاختلاف في الفقه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قرأناها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المسائل التي وقع فيها الاختلاف</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 مِن جهة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الضرر من تلك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فالاستدلال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النظر و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 محقّق المغني ألف التثنية من الكلمتين في المتن بعد أن صرّح بوجودهما في نسخته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شكّ أنّه تصحيف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الاستغناء</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الاستحسان و الاجتهاد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ذكرنا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الجندُ على قائدهم و اعتَرَضَهم القائد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عرضهم واحداً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المرادالوقوف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أشبهها بما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يمكن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أئمّتها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يتكلّف</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خصومنا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وجوب قطع الاختلاف بواسطة الإمام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يقيم الحدود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بالظنّ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تفعيل من 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رَجَمَه؛ أي قذفه و شتمه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رَجَم بالظنّ و رَجَّم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به، ثم كثر حتّى وضعوا الرَّجم و الترجيم موضع الظنّ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رَجماً؛ أي ظنّاً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مُرَجَّم؛ أي مظنون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استفدته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العدول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وقوع</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يعرف الإمام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الأحكام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يلزم لو كان الإمام مبسوط اليد، نافذ الأمر، و مع ذلك لا يرتفع الخلاف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كذلك؛ إذ الخلاف إنّما نشأ من الاستتار و غلبة الفجّار، و التبعة عليهم؛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ينكر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عن طريقه بعضهم و وصل إليه بعضهم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امتحنته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امتحن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فيه و 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اختلفوا في مُجامِعٍ لم يُنزِل؛ فقال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من الماء، و 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توجبون عليه الرجم و الحدّ، و لا توجبون عليه صاعاً من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فالثابت</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المذهب</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يختلف</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فللاستقصاء به موضع غير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جعلنا لاستقصائه موضعاً غير هذا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اعتمدته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الاختلاف</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السبّ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مخالفيهم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الملاعنة، و معنى المباهلة أن يجتمع القوم إذا اختلفوا في شيء، فيقولوا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على الظالم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تُجمع السهام كلّها، و تُقسّم الفريضة عليها؛ ليدخل النقص علىٰ 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مسألة وقع فيها العول في الإسلام في زمن عمر، حين ماتت امرأة في عهده عن زوج و أختين، فجمع الصحابة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تعالىٰ للزوج النصف و للأختين الثلثين، فإن بدأت بالزوج لم يبق للأختين الثلثان، و إن بدأت بهما لم يبق له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فاتّفق رأي أكثرهم على العول، ثمّ أظهر ابن عبّاس الخلاف و بالغ فيه؛ و اتّفقت الإمامية علىٰ عدمه، و أنّ الزوجين يأخذان تمام حقّهما، و كذا الأبوان، و يدخل النقص علىٰ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في إبطال العول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بطلان العول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أكثر من تعرّض لهذه المسألة من الفريقين،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المسالك،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12237</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روضة الطالبيّين للنووي،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يجعل ابن الابن الذي توفّي أبوه في حياة جدّه مشاركاً لأخوة أبيه في ميراثهم من أبيهم، و لا يجعل جدّه مشاركاً له في ميراث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أبو حنيفة إلىٰ أنّ الجدّ يحجب الإخوة و الأخوات، و هو رأي أبي بكر و جماعة من الصحابة؛ نظراً إلىٰ أنّ الجدّ قائم مقام الأب؛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أَخْرَجَ أَبَوَيْكُمْ مِنَ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يستحقّ ما يستحقّه الأب إلّاأنّه أبعد من الأب، كابن 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هم يُحجبون بابن الابن، فكذا بأب الأب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للفضل بن شاذان،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العدّة في أُصول الفقه،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معارج الأُصول</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نمنع</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ثُنِيَت</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 أبو هاشم في الحكم بالكتب المتقدّمة بأنّه منسوخ لا يجوز الحكم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علمه بأحكامها و علمه بالأحكام الواردة في القرآن الناسخ لها، و أنّه يعرف ما حرِّف منها فيقضي بينهم بغيره، أو يمكنه استخراج النصوص الواردة في حقّ النبيّ و أهل بيته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أهل القرآن بقرآنهم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يزهَرُ، أي يضيءُ و يتلألأُ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خطبة خطبها بعد بيعة الناس له بالخلافة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المسائل العكبريّة،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تزهر تلك القضايا إلى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المحجّة،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ينطق كلّ كتاب بأنّك قد حكمت بما أنزل اللّٰه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للاسترآبادي،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تنطق الكتب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الإرشاد</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المسائل العكبريّة،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تنزيه الأنبياء والأئمة،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الاقتصاد للطوسيّ ،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عمدة القارئ،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7073</w:t>
      </w:r>
      <w:r>
        <w:rPr>
          <w:rFonts w:ascii="IRNazanin" w:hAnsi="IRNazanin" w:eastAsia="IRNazanin"/>
          <w:b w:val="false"/>
          <w:b w:val="false"/>
          <w:bCs w:val="false"/>
          <w:i w:val="false"/>
          <w:i w:val="false"/>
          <w:iCs w:val="false"/>
          <w:color w:val="333333"/>
          <w:sz w:val="20"/>
          <w:sz w:val="20"/>
          <w:szCs w:val="20"/>
          <w:rtl w:val="true"/>
        </w:rPr>
        <w:t xml:space="preserve">؛ مسند ابن الجعد،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حيلة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بالثقة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الدليل علىٰ أنّه عليه السلام لم يكن يرجع عن اجتهاد إلىٰ اجتهاد، مع قطع النظر عن إمامته و عصمته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أجمع الخاصّ و العامّ عن النبيّ صلّى اللّٰه عليه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أقضاكم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أقضى القوم لا يختلف قوله في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الحقّ ، و الحقّ مع عليّ ، يدور حيث 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 الحقّ معه بشهادة الرسول صلّى اللّٰه عليه</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 ما يدّعيه المخالفون حديث عبيدة</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السلماني المرادي الهمداني،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عبادة بن قيس،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عمرو،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قيس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مسلم،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وفاة رسول اللّٰه صلّى اللّٰه عليه و آله بسنتين أيّام الفتح و لم يلقه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المدينة أيّام عمر بن الخطاب، و سمع منه، و حضر كثيراً من الوقائع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عريف قومه و رأسهم و صاحب الرأي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عن كثير من الصحابة كالإمام عليّ بن أبي طالب عليه السلام، و ابن مسعود، و ابن الزبير، و اشتهر بصحبته لأمير المومنين عليه السلام بالخصوص، و لذلك عدّ من التابعين و إن كان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كثير الاطّلاع في الفقه و الحديث حتّى روى عنه عدد غفير، كعبد اللّٰه بن سلمة المرادي، و إبراهيم النخعي، و أبي إسحاق السبيعي، و محمّد بن سيرين، و أبي إسحاق الأعرج، و أبي البختري الطائر، و عامر الشعبي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شريح أعلمهم بالقضاء، و كان عبيدة يوازيه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الأشعث عن محمّد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الكوفة و بها أربعة ممّن يعدّ بالفقه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بدأ بالحارث ثنّى بعبيدة أو بالعكس، ثمّ علقمة الثالث، و شريح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رأيك في الجماعة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مغني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الشواهد علىٰ كذب الرواية أنّ عَبيدة السلمانيّ كان في زمنه عليه السلام صغير السنّ صغير القدر، فكيف يُقدم مَن هذا شأنه بكلام علىٰ مثل أمير المؤمنين الذي كان أعظم قدراً في نفوس المهاجرين و الأنصار من أن يتجاسر عليه كبار الصحابة بمثله ؟ و لا سيما في حال بسطة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عن ابن عبّاس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 عليه السلام يجلس بيننا كأحدنا و يداعبنا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ملأتُ طرفي منه قطّ هيبةً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فإنّ من خالفه عليه السلام و حاربه لم يحتجّ عليه بأنّه لا فضل لك في العلم لأنّك تتناقض في الأحكام و تختلف آراؤك، و زيد أفحمك، و عثمان أسكتك، و أنّك تحكم و تندم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كان بعضهم يتعلّق عليه بإيوائه قتلة عثمان و هم أهل البصرة و الشام، و بعضهم بقضيّة التحكيم و هم أهل النهروان، و آخرون بقتل أهل القبلة و هم المتخلّفون عن نصرته القاعدون عن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يُحفظ عن أحد من بني أُميّة و آل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هلعهما علىٰ تنفير العامّة من ولايته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نقصه في العلم و جهله بالأحكام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شدّة مهابته مانع أن يجترئ عليه أحد بمثل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خصومنا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مذهبنا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الحكم يومئذ لمكان التقيّة و لزومها أن لا يُبعن، و إذا ازال المانع و ارتفعت التقيّة انقلب الحكم؛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يثمر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كحاله حاله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فكثرة المخالفة يورث البغضاء و يثير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كان في عقيب مخالفة، فلزم الموافقة؛ لئلّا يتتابع المخالفات؛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يشهدها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أنّه يبقى الكلام في الرأي المعدول عنه، فإنّه لا يجوز أن يكون عن قاطع إذا كان المعدول إليه كذلك؛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يكون ذلك لعدم الاطّلاع على الناسخ، فيكونان قاطعين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علىٰ رأي المخالفين من قصور علم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ينافيه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زمان على المكلّفين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يعرفوا ما اتّضح لهم ممّا يتّصل بمصالح أبدانهم و معاشهم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مكاسبهم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اختلفوا في حكم الأفعال قبل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من البغداديّين من المعتزلة و طائفة من الإماميّة على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المتكلّمين من أهل البصرة على الإباحة، و هو مختار السيّد المرتضىٰ و العلّامة الحلّيّ و كثير من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آخرون منّا و منهم توقّفوا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بدا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دلالة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قد صحّ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يغني عن إمام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يقوم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قِبله</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مؤدّيها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 خلوّ التكليف</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لا يصحّ أيضاً</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يشاهده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يكون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إيراد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يرتضيه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نرتضيه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المتعمّد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شريعته صلّى اللّٰه عليه و آله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 غير منقطع</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يطاق</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الحافظ غير معصوم أو يكون معصوماً</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نؤمن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تغييره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تغيير الشريعة و تبديل الأحكام</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مطابق للمطبوع</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مطابق للمطبوع</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مطابق للمطبوع</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جماعاتها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بكر الأصمّ من المعتزلة و الخوارج، فقد كانوا يقولون بذلك و يذهبون إلىٰ أنّه لا حاجة إلى الإمام، و جعلوا شعارهم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إمرة إلّاللّٰه، فقال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حقّ يراد بها باطل، نعم إنّه لا حكم إلّاللّٰه، و لكنّ هؤلاء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إمرة إلّاللّٰه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أُصول الإيمان،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شرح المواقف للإيجي،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اللوامع الإلهيّة للفاضل المقداد،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يحاجّه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وفاقنا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أصحاب صاحب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كان واصلاً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صارت واصلة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يتمّ </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 واجب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 واجب</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فكيف يظنّ </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كلام صاحب الكتاب فيمن غاب عنه صلّى اللّٰه عليه و آله، و أنّه يلزم وجود حجّة آخر لهم في زمن حياته صلّى اللّٰه عليه و آله؛ اذ لا يحفظ التواتر للغُيَّب من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عنه ما ذكره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و أشار إليه هنا؛ بأنّ التواتر إنّما يُحفظ إذا كان المعصوم من وراء الناقلين، فهو محفوظ للغائبين و لا حاجة لهم إلىٰ إمامٍ آخر، بخلاف ما نحن فيه؛ فتدبَّر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ليؤدّيه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الناس</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لبعضه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التزمت</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نحدو، أي نحثّ ، كأنّه مأخوذ من حدو الإبل، أي سوقها و الغناء لها و زجرها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وراء الناقلين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الناقلين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تفرط</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واضح</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لم 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بناءً على هذه النسخ جواب الشرط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لكفىٰ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يعرفها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ما يُعرف بالتواتر أيضاً يجوز فيه إعراض الناقلين بعد هذا عن نقله، فيجب أن يكون من ورائهم حجّة يتدارك ما يفرّطون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ليثق</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هامش المطبوع في توجيهه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بدّ من الجواب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بالتواتر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هذه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من الشريعة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فطريقنا فيه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نفتقر</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ادّعائه</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مبنيّ علىٰ توهُّمه أنّ استفادة معرفة الإمام ممتنعة من الإمام نفسه، و قد عرفت أنّها ممكنة اذا صدّقته المعجزة؛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للتواتر،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و وجه الحاجة إلى الإمام أنّه يكون من وراء المتواترين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يفعلوا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يعلمه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فإذن 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فتسقط</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مستغنى</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بمتواترة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بمتواتر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عند صاحب الكتاب، و أمّا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فادّعىٰ في الذريعة و غيره أنّ المسائل عندنا إمّا متواترة أو إجماعيّة ليس غيرهما، و به تفصّىٰ عن اعتراض من يعمل بخبر الآحاد؛ فتدبَّر وفّقك اللّٰه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مستغنى</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حفظ الشريعة بوجود الإمام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فليجوّزنّ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تبطل</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واضح</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يعرفها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العالمة</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الحافظ</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بعدوله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نقضي</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نعرف</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بعده و إن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أنّ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أي سارَ على غير هُدىً ، و 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عشواء، و هي الناقة التي في بصرها ضعف إذامشت لا تتوقّى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نعلم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يجوز عدوله عن النقل بعد ذلك، فلا يعلم ذلك المنقول في المستقبل</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استعمله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الاستغناء عن الإمام بالتواتر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فبعيد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أيضاً في الموارد الآتية في العبارة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ما نقلته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ما تلقّته الأُمّة بالقبول</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يجتمعون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ما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أيضاً في الموارد الآتية</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بخبر تقام صحّته بالاستدلال و 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بخبر يعلم صحّته باستدلال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 المغني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باستدلال</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قدّمناه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بطريق</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 فيها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تقطع</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واضح</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إجماعها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ترىٰ أنّ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منعه عن إحضار الدواة و الكتف بحضرة النبيّ صلّى اللّٰه عليه و آله، مخافة كتابته النصّ على الوصيّ ، معتذراً بكفاية كتاب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كثير من الحوادث متحيّراً؛ إمّا سائلاً و إمّا مخترعاً؟ و اشتمال الكتاب لكلّ حكم من الأحكام لا ينافي ذلك؛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الأحكام</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فلانٌ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بيّنه و أوضحه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تفصيله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يدفع، عليٰبناء المجهول،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مستأنف؛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لابدّ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على البناء للمعلوم،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المستثنىٰ فيه بدل عن الفاعل؛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يُبطله شيء إلّاذلك الكلام؛ فتدبَّر</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الإجماع</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يحفظ بهما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ظنّه عدم حجّيّة أخبار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في زمانه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لإمكان تحصيل القرائن المعاضدة، و كثرة التواتر و الإجماع و شيوعهما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زماننا فلا يُعمل إلّابأخبار الآحاد؛ لعدم نيل ما يفيد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تفصيله مذكور في كتب أصحابنا الأُصوليّة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يسهوا و لا ينسوا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يحلّ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يختلّ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فتحيل</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تجويز</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 المصدر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العاقل و</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واحدٍ</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شابهه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شابه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شاهده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شاكل هذه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أبويه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جعلته محالاً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آحادهم و لا في جماعاتهم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ما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هناك داعٍ و لا غرضٌ يُعرَفُ للعقلاء في تعمُّدِ الكتمان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يهمّ </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كانت</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يقطع</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لداع</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يقوي</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اتّساعه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إفشائه غيره</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نقل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الإخبار عن كون الرسول صلّى اللّٰه عليه و آله كان موجوداً في هذه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الكلام في نهاية عبارة المغني الأخيرة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لناقل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بجواز</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حال</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معجزات الرسول صلّى اللّٰه عليه و آله</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بالنقل</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الدعوة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ينفر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يأمن</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يستدركه غيره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أشبهها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عن جهة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كانت لَذكرها مخالفونا من اليهود و النصارىٰ في كتبهم، و لاشتهر فيهم و في أهل الإفرنج؛ و ليس، فليس؛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يجوز أن يقعدوا معه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 عدوّنا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يمنعهم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دواعي الكتمان و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دواعي الكتمان أو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دواعي النقل و دواعي الكتمان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حفظ الجماعة له إمّا أن تكون كلّ مسألة محفوظة عند واحد منهم بأن يعلم كلّ منهم مسألة دون ما علمه الآخر، أو تكون جميع مسائل الشرع محفوظة في كلّ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الشقّ الأخير،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كلّ أحد حافظاً لجميع الشرع فإذا ذهب إلخ، و إلّافعلىٰ تقدير حفظ واحد بعينه له أو حفظ كلّ واحد منهم مسألة من المسائل لا يمكن المعرفة بمن يحفظه بعد اعتبار ذهابه عن البعض الحافظ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مجرّد احتمال هذا القسم كاف في نفي الحاجة إلى الإمام، فلا يرد النقض بالشقّين الأوّلين؛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ينبّهه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إمام</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 فيما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بيّنّاه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المطلب المشار إليه في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إجماعهم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فننقض</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اقتنع بالدعوىٰ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تجمع</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عنه</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يدّعىٰ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يدّعيه من</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اجتماعها</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آخر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يُحتمل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فهو متعلّق بالمنفيّ ، كما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 نافية، و الجملة مرتبطة بالنفي؛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ذلك إذا لم يقع اجتماع الأُمّة؛ فتدبَّر</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يحفظ الشرع</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فيه 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المطلب المشار إليه 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ثبت من الأمارات كالإجماع و التواتر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بفعله</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يقدح</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نفي العذر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نثق و نسكن</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ظهر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ظهر علىٰ يده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بصيغة اسم الفاعل أو المفعول؛ فالضمير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للموصول أو للدعوىٰ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المعجز يدلّ على النبوّة علىٰ سبيل الإبانة و التخصيص؛ وفُسّر بوجوه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المعجز هو المميِّز للنبيّ من غيره، و إنّما يكون مميِّزاً إذا لم يجز ظهوره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ظهور المعجز لأمرٍ مدار لذلك الأمر وجوداً و عدماً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بحث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كالصدق في دعوى النبوّة؛ فلو جاز ظهوره على الصالحين لكان مداراً لصلاحه وجوداً و عدماً؛ و ليس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منع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المعجز متىٰ جاز ظهوره 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بحث؛ لأنّه كلّيّة ممنوعة، و إنّما يسلّم مثله في الأنبياء من غير ملازمة؛ 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حقّ الأنبياء، و لا يجب في حقّ الأولياء فلا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 ذلك لجرىٰ في كرامات الأولياء أيضاً، و يلزم منه عدم جوازها؛ تأمّل</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حصولها</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يخفىٰ أنّ ظهور المعجزة علىٰ يد النبيّ إنّما يلزم إذا لم يكن نبوّته بعينه منصوصاً عليه من نبيّ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الإمام، فإنّ ولايته من اللّٰه سبحانه، و هي منوطة بما لا تدركه عقولنا؛ فإنّ العصمة أمر لا يُطّلع عليه إلّابتوقيف من اللّٰه تعالىٰ ؛ إمّا بنصّ من النبيّ أو الإمام السابق أو بالمعجزة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فظهورها علىٰ يد الإمام أيضاً لازم كلزوم ظهوره علىٰ يد النبيّ ؛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لأنّهم</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تخرجها</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الفاعل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يخرجها</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لصيرورتها من الأُمور المعتادة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نتمكّن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يقطع</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يعرف</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يتعلّق</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حكاه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تخرجها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التلخيص</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كفلق الحبّ و النوىٰ، و خلق الحيوان من النطف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يدلّ </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يؤثّر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يتغيّر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كان بينها الاختلاف الذي ذكرناه</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تجويز</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أن تتغيّر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جواز ظهور العَلَم علىٰ يد من ليس نبيّاً يوجب جواز ظهوره علىٰ يد من لا يكون متحمّلاً لمصالحنا، و جواز ذلك يوجب التنفير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أوّلاً بمنع الملازمة الثانية من غير تعرُّض للفرق بين ما يظهر علىٰ يد الصلحاء و غيره، و ثانياً بالفرق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أدرج في جوابه الإشعار بأنّ الحامل لمصالحنا لا ينحصر في النبيّ ؛ و هو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شبيه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الآية و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بالمعجز</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نقف</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ظهر العلم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ظهر علىٰ يده العلم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 من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الحركات السريعة التي تجعل الرأي يتخيّل الأشياء على غير حقيقتها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الفروق في اللغة،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 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الشعبدة و السحر كما يظهر من استعمالاتهم و إن لم نجد في اللغة، و لعلّها من الخرق بمعنى السفه و الكذب، أو من المخراق الذي يضرب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العقل، و المخرفة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مفعلة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لذلك المعنىٰ و إن لم 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شمس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دالّة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فالتجوّز</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يكون نبيّاً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مسقطاً</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تتعلّق</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يظهر</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يدعونا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ممخرفاً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ممخرقاً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متخرّقاً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التمزيق و كثرة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يجوز كونه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المصنّف لم يقم بتأليف رسالة خاصّة بهذا الموضوع، لكنّه تعرّض له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تجويز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المعرفة بكونه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 كون</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صفات الإمام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لكلّ </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جهة أُخرىٰ و هو</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 مطلبين؛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الاضطرار إلىٰ وجود إمام في الجملة في جميع الأعصار؛ و هو ثابت بقواطع العقول، و عليه نعتمد في وصول جميع الشرع الينا، كما مرّ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طريقنا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اعتقاد الإماميّة</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قد كان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قد يرجع</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يجترئ عليه عاقل حكيم إلّابعد الوثوق من نفسه على الإحاطة بالأحكام الشرعيّة، بل بأحوال الكائنات قاطبة؛ و هذا ظاهر، لاسيّما مع وفور الأعداء و المعاندين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الإرشاد للمفيد،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32979</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رجال الكشّي،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الأمالي للطوسيّ ،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تبعثني</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الطبقات الكبرىٰ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الثلاثة الأخيرة مع اختلاف في اللفظ</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يرجع إلىٰ غيره في الأحكام</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الحاجة إلى غيره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يعزب، أي يغيب و يبعد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يعزب عنه شيء علم من شيء</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كونه عالماً بحكم اللّٰه تعالىٰ في كلّ ما يرد عليه، و إلّالكان غيره أقضىٰ منه في ذلك؛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يستهدون</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يظهر من هذا الكلام أنّ عمر كان معتقداً أنّ أمير المؤمنين عليه السلام حلّال المعضلات طرّاً و هو يكفي عن غيره و لا يكفي غيره عنه، و لو جاز عنده أن تتحقّق معضلة لا يكون علمها عنده عليه السلام بل عند غيره لم يصحّ هذا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29509</w:t>
      </w:r>
      <w:r>
        <w:rPr>
          <w:rFonts w:ascii="IRNazanin" w:hAnsi="IRNazanin" w:eastAsia="IRNazanin"/>
          <w:b w:val="false"/>
          <w:b w:val="false"/>
          <w:bCs w:val="false"/>
          <w:i w:val="false"/>
          <w:i w:val="false"/>
          <w:iCs w:val="false"/>
          <w:color w:val="333333"/>
          <w:sz w:val="20"/>
          <w:sz w:val="20"/>
          <w:szCs w:val="20"/>
          <w:rtl w:val="true"/>
        </w:rPr>
        <w:t xml:space="preserve">؛ ذخائر العقبىٰ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مع اختلاف في الألفاظ</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المناقب لابن مردويّه،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تذكرة الخواصّ ،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جواهر العقدين،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الحدائق الورديّة،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إضافة إلى الكثير من المصادر الأُخرىٰ </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أحدنا</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ذكر صاحب الكتاب شيئاً</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النقل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كان عليه السلام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الدعوة إلى اللّٰه تعالىٰ </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 عليه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شبهة لهم أُخرىٰ </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الغلط فيها</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يؤمن السهو و الغلط</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تجب</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إنّما أُمرنا باتّباع الإمام في الاتّباع له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زنادقة و زناديق جمع 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الزنديق من الثنويّة، أو القائل بالنور و الظلمة، أو من لا يؤمن بالآخرة، أو منكر الربوبيّة، أو من يبطن الكفر و يظهر الإيمان، أو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كان دينه دين المرأة في الضعف، أو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يقول بدوام الدهر، أو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زِند، كتاب زردشت الذي أظهره مزدك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توافق</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من حيث عُلم أنّه بالدليل صحيح</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إذا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يجب</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لازم عليكم في اعتلالكم؛ فما هو جوابكم فهو جوابنا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و أشار محقّق المغني في الهامش إلىٰ أنّهافي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نصبها على التمييز، و إلّافكونها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يجب</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رتّبته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يأمرنا</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جاز أيضاً أن يأمر بإقامة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تصحيف، و لم توجد هذه الزيادة في نسخة أُخرىٰ </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يجب</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يتمّ </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بإقامته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بإقامة الإمام</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الزمان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حالها</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فلسنا</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نرجع</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بما ذكرناه، ما تقدّم في عبارة المغني السابقة من العدول في باب الأحكام إلى الصلح و التراضي عند سقوط الحدود</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يسقط</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مأخوذ من القول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ذنبه في جنبه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أدركهم ظهور الإمام أقامتها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أدركهم ظهور الإمام و أقامتها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واضح</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العفو</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تأخيرها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تأخير إقامتها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الاستتار</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يقتضيها</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خبّرونا</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تتمكّنون</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مستحقّها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أقامتها</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لم يكن إمام يقيمها كما تسقط</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فصلناه</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حال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يلزم من سقوط الحدود حال تعذُّر إقامة الإمام سقوطها حال التمكّن من إقامته، فكذا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من سقوطها حال غيبة الإمام و إخافة الظالمين له سقوطها حال عدم الإمام و فقده، فوجب عليه تعالىٰ نصبُه توسّلاً إلىٰ ما أوجبه من إقامة الحدود و تنفيذ الأحكام؛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المطبوع و المغني</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الإقامة في</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يُعدم أو يقع</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يتولّىٰ </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المغني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عداه يتولّاه حكّامه و أُمراؤه، فلا بدّ من أعوان له ؟ 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بدّ في بعض ذلك من أن يتولّاه الأُمراء و الحكّام، 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لجميع نسخ الشافي بلا اختلاف فيها</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لنلزم</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للمطبوع و الحجري</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جملة الخلائق</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حيث قال و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هذا الفاصل أكثر بقليل من نصف صفحة من صفحات المغني</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إقامة الحدود و تنفيذ الأحكام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أنّه لا يجوز أن توكل الحدود و الأحكام لمن يجوز عليه الخطأ</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ينفعهم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يأخذون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في الهامش بأنّ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مابين المعقوفين من المصدر</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بهذا الفصل</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يفصل بين أصحابنا و بين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واضح</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توكل</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فصريح</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هذه الزيادة في نسخة أُخرىٰ حتّى النسخة الحجريّة</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فيكون ذلك صحيحاً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خبره</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يستدلّ بذلك</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خلفائه و أُمرائه</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يتعلّق بذلك في شبهة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يعلم بالعلم الإلهي الباطني، فإنّه لا يفوت عنهم الاستدراك و التلافي، فيرتفع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حازم، و هو العاقل المميّز ذو الحُنكة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و التجربة و البَصَربالأُمور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 أخذه فيه بالثقة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المحيط في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أُمرائهم</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شاهدناه أيضاً ممّن عاصرناه</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ينكر</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حجمها مقدار صفحة و شيء من صفحات المغني</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السرقة و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السرقة و الربا و غيرهما</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فجواز الغلط عليه يخالف جواز الغلط على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كنّا مأمورين بمتابعة الإمام و الاقتداء به لم يجز لنا التسويف و التروّي و المعارضة فيما أمر به، بخلاف الشاهد فإنّه يجوز جرحه و معارضته و نحو ذلك؛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الكاذب</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صحّ عندنا أنّ الأئمّة عليهم السلام كانوا محدَّثين؛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الحاشية عليه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محدَّثين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ردّ شهادة الكاذب بمجرّد العلم الباطنيّ و التحديث، بل إنّما يهتدي الإمام بحيلة يظهر بها كذب الشاهد؛ فتدبَّر</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التزمته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ما قلناه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أيضاً صاحب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صاحب الكتاب</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فصل في أنّه لا يمتنع في إجماع أُمّة أو جماعة أن يكون صواباً، دون آحادهم و أبعاضهم</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فالانفراد بالقول و التميّز به عن الأغيار يجوز في كلّ واحد و لا يجوز في الجماعة، فحكم الآحاد غير حكم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 انفراد 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يؤمن في جميعهم</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أن يريد القبيح</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إجماعهم</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معنى</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بفقد</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بحصول</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لا معدل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يعوّل عليه</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مخالفيك</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يجتمع</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يقوم</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أطال التفكّر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نقضته</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لا يتمّ علىٰ هذا أيضاً لو أُريد به الحجاج؛ إذ التجويز في الآحاد لا يستلزم</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نعرف</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يتشاغل</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الحجري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الخطإ</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فصل في بيان الدلالة علىٰ أنّ الإجماع حجّة و ما يتّصل بذلك</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فيما مضىٰ من كتابه، و نحن نتبع ما ذكره</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3.jpeg"/><Relationship Id="rId194" Type="http://schemas.openxmlformats.org/officeDocument/2006/relationships/image" Target="media/image3.jpeg"/><Relationship Id="rId195" Type="http://schemas.openxmlformats.org/officeDocument/2006/relationships/footer" Target="footer188.xml"/><Relationship Id="rId196" Type="http://schemas.openxmlformats.org/officeDocument/2006/relationships/image" Target="media/image4.jpeg"/><Relationship Id="rId197" Type="http://schemas.openxmlformats.org/officeDocument/2006/relationships/image" Target="media/image4.jpeg"/><Relationship Id="rId198" Type="http://schemas.openxmlformats.org/officeDocument/2006/relationships/footer" Target="footer189.xml"/><Relationship Id="rId199" Type="http://schemas.openxmlformats.org/officeDocument/2006/relationships/image" Target="media/image5.jpeg"/><Relationship Id="rId200" Type="http://schemas.openxmlformats.org/officeDocument/2006/relationships/image" Target="media/image5.jpeg"/><Relationship Id="rId201" Type="http://schemas.openxmlformats.org/officeDocument/2006/relationships/footer" Target="footer190.xml"/><Relationship Id="rId202" Type="http://schemas.openxmlformats.org/officeDocument/2006/relationships/image" Target="media/image6.jpeg"/><Relationship Id="rId203" Type="http://schemas.openxmlformats.org/officeDocument/2006/relationships/image" Target="media/image6.jpeg"/><Relationship Id="rId204" Type="http://schemas.openxmlformats.org/officeDocument/2006/relationships/footer" Target="footer191.xml"/><Relationship Id="rId205" Type="http://schemas.openxmlformats.org/officeDocument/2006/relationships/image" Target="media/image7.jpeg"/><Relationship Id="rId206" Type="http://schemas.openxmlformats.org/officeDocument/2006/relationships/image" Target="media/image7.jpeg"/><Relationship Id="rId207" Type="http://schemas.openxmlformats.org/officeDocument/2006/relationships/footer" Target="footer192.xml"/><Relationship Id="rId208" Type="http://schemas.openxmlformats.org/officeDocument/2006/relationships/image" Target="media/image8.jpeg"/><Relationship Id="rId209" Type="http://schemas.openxmlformats.org/officeDocument/2006/relationships/image" Target="media/image8.jpeg"/><Relationship Id="rId210" Type="http://schemas.openxmlformats.org/officeDocument/2006/relationships/footer" Target="footer193.xml"/><Relationship Id="rId211" Type="http://schemas.openxmlformats.org/officeDocument/2006/relationships/image" Target="media/image9.jpeg"/><Relationship Id="rId212" Type="http://schemas.openxmlformats.org/officeDocument/2006/relationships/image" Target="media/image9.jpeg"/><Relationship Id="rId213" Type="http://schemas.openxmlformats.org/officeDocument/2006/relationships/footer" Target="footer194.xml"/><Relationship Id="rId214" Type="http://schemas.openxmlformats.org/officeDocument/2006/relationships/image" Target="media/image10.jpeg"/><Relationship Id="rId215" Type="http://schemas.openxmlformats.org/officeDocument/2006/relationships/image" Target="media/image10.jpeg"/><Relationship Id="rId216" Type="http://schemas.openxmlformats.org/officeDocument/2006/relationships/footer" Target="footer195.xml"/><Relationship Id="rId217" Type="http://schemas.openxmlformats.org/officeDocument/2006/relationships/image" Target="media/image11.jpeg"/><Relationship Id="rId218" Type="http://schemas.openxmlformats.org/officeDocument/2006/relationships/image" Target="media/image11.jpeg"/><Relationship Id="rId219" Type="http://schemas.openxmlformats.org/officeDocument/2006/relationships/footer" Target="footer196.xml"/><Relationship Id="rId220" Type="http://schemas.openxmlformats.org/officeDocument/2006/relationships/image" Target="media/image12.jpeg"/><Relationship Id="rId221" Type="http://schemas.openxmlformats.org/officeDocument/2006/relationships/image" Target="media/image12.jpeg"/><Relationship Id="rId222" Type="http://schemas.openxmlformats.org/officeDocument/2006/relationships/footer" Target="footer197.xml"/><Relationship Id="rId223" Type="http://schemas.openxmlformats.org/officeDocument/2006/relationships/image" Target="media/image13.jpeg"/><Relationship Id="rId224" Type="http://schemas.openxmlformats.org/officeDocument/2006/relationships/image" Target="media/image13.jpeg"/><Relationship Id="rId225" Type="http://schemas.openxmlformats.org/officeDocument/2006/relationships/footer" Target="footer198.xml"/><Relationship Id="rId226" Type="http://schemas.openxmlformats.org/officeDocument/2006/relationships/image" Target="media/image14.jpeg"/><Relationship Id="rId227" Type="http://schemas.openxmlformats.org/officeDocument/2006/relationships/image" Target="media/image14.jpeg"/><Relationship Id="rId228" Type="http://schemas.openxmlformats.org/officeDocument/2006/relationships/footer" Target="footer199.xml"/><Relationship Id="rId229" Type="http://schemas.openxmlformats.org/officeDocument/2006/relationships/image" Target="media/image15.jpeg"/><Relationship Id="rId230" Type="http://schemas.openxmlformats.org/officeDocument/2006/relationships/image" Target="media/image15.jpeg"/><Relationship Id="rId231" Type="http://schemas.openxmlformats.org/officeDocument/2006/relationships/footer" Target="footer200.xml"/><Relationship Id="rId232" Type="http://schemas.openxmlformats.org/officeDocument/2006/relationships/image" Target="media/image16.jpeg"/><Relationship Id="rId233" Type="http://schemas.openxmlformats.org/officeDocument/2006/relationships/image" Target="media/image16.jpeg"/><Relationship Id="rId234" Type="http://schemas.openxmlformats.org/officeDocument/2006/relationships/footer" Target="footer201.xml"/><Relationship Id="rId235" Type="http://schemas.openxmlformats.org/officeDocument/2006/relationships/image" Target="media/image17.jpeg"/><Relationship Id="rId236" Type="http://schemas.openxmlformats.org/officeDocument/2006/relationships/image" Target="media/image17.jpeg"/><Relationship Id="rId237" Type="http://schemas.openxmlformats.org/officeDocument/2006/relationships/footer" Target="footer202.xml"/><Relationship Id="rId238" Type="http://schemas.openxmlformats.org/officeDocument/2006/relationships/image" Target="media/image18.jpeg"/><Relationship Id="rId239" Type="http://schemas.openxmlformats.org/officeDocument/2006/relationships/image" Target="media/image18.jpeg"/><Relationship Id="rId240" Type="http://schemas.openxmlformats.org/officeDocument/2006/relationships/footer" Target="footer203.xml"/><Relationship Id="rId241" Type="http://schemas.openxmlformats.org/officeDocument/2006/relationships/image" Target="media/image19.jpeg"/><Relationship Id="rId242" Type="http://schemas.openxmlformats.org/officeDocument/2006/relationships/image" Target="media/image19.jpeg"/><Relationship Id="rId243" Type="http://schemas.openxmlformats.org/officeDocument/2006/relationships/footer" Target="footer204.xml"/><Relationship Id="rId244" Type="http://schemas.openxmlformats.org/officeDocument/2006/relationships/image" Target="media/image20.jpeg"/><Relationship Id="rId245" Type="http://schemas.openxmlformats.org/officeDocument/2006/relationships/image" Target="media/image20.jpeg"/><Relationship Id="rId246" Type="http://schemas.openxmlformats.org/officeDocument/2006/relationships/footer" Target="footer205.xml"/><Relationship Id="rId247" Type="http://schemas.openxmlformats.org/officeDocument/2006/relationships/image" Target="media/image21.jpeg"/><Relationship Id="rId248" Type="http://schemas.openxmlformats.org/officeDocument/2006/relationships/image" Target="media/image21.jpeg"/><Relationship Id="rId249" Type="http://schemas.openxmlformats.org/officeDocument/2006/relationships/footer" Target="footer206.xml"/><Relationship Id="rId250" Type="http://schemas.openxmlformats.org/officeDocument/2006/relationships/image" Target="media/image22.jpeg"/><Relationship Id="rId251" Type="http://schemas.openxmlformats.org/officeDocument/2006/relationships/image" Target="media/image22.jpeg"/><Relationship Id="rId252" Type="http://schemas.openxmlformats.org/officeDocument/2006/relationships/footer" Target="footer207.xml"/><Relationship Id="rId253" Type="http://schemas.openxmlformats.org/officeDocument/2006/relationships/image" Target="media/image23.jpeg"/><Relationship Id="rId254" Type="http://schemas.openxmlformats.org/officeDocument/2006/relationships/image" Target="media/image23.jpeg"/><Relationship Id="rId255" Type="http://schemas.openxmlformats.org/officeDocument/2006/relationships/footer" Target="footer208.xml"/><Relationship Id="rId256" Type="http://schemas.openxmlformats.org/officeDocument/2006/relationships/image" Target="media/image24.jpeg"/><Relationship Id="rId257" Type="http://schemas.openxmlformats.org/officeDocument/2006/relationships/image" Target="media/image24.jpeg"/><Relationship Id="rId258" Type="http://schemas.openxmlformats.org/officeDocument/2006/relationships/footer" Target="footer209.xml"/><Relationship Id="rId259" Type="http://schemas.openxmlformats.org/officeDocument/2006/relationships/image" Target="media/image25.jpeg"/><Relationship Id="rId260" Type="http://schemas.openxmlformats.org/officeDocument/2006/relationships/image" Target="media/image25.jpeg"/><Relationship Id="rId261" Type="http://schemas.openxmlformats.org/officeDocument/2006/relationships/footer" Target="footer210.xml"/><Relationship Id="rId262" Type="http://schemas.openxmlformats.org/officeDocument/2006/relationships/footer" Target="footer211.xml"/><Relationship Id="rId263" Type="http://schemas.openxmlformats.org/officeDocument/2006/relationships/footer" Target="footer212.xml"/><Relationship Id="rId264" Type="http://schemas.openxmlformats.org/officeDocument/2006/relationships/footer" Target="footer213.xml"/><Relationship Id="rId265" Type="http://schemas.openxmlformats.org/officeDocument/2006/relationships/footer" Target="footer214.xml"/><Relationship Id="rId266" Type="http://schemas.openxmlformats.org/officeDocument/2006/relationships/footer" Target="footer215.xml"/><Relationship Id="rId267" Type="http://schemas.openxmlformats.org/officeDocument/2006/relationships/footer" Target="footer216.xml"/><Relationship Id="rId268" Type="http://schemas.openxmlformats.org/officeDocument/2006/relationships/footer" Target="footer217.xml"/><Relationship Id="rId269" Type="http://schemas.openxmlformats.org/officeDocument/2006/relationships/footer" Target="footer218.xml"/><Relationship Id="rId270" Type="http://schemas.openxmlformats.org/officeDocument/2006/relationships/footer" Target="footer219.xml"/><Relationship Id="rId271" Type="http://schemas.openxmlformats.org/officeDocument/2006/relationships/footer" Target="footer220.xml"/><Relationship Id="rId272" Type="http://schemas.openxmlformats.org/officeDocument/2006/relationships/footer" Target="footer221.xml"/><Relationship Id="rId273" Type="http://schemas.openxmlformats.org/officeDocument/2006/relationships/footer" Target="footer222.xml"/><Relationship Id="rId274" Type="http://schemas.openxmlformats.org/officeDocument/2006/relationships/footer" Target="footer223.xml"/><Relationship Id="rId275" Type="http://schemas.openxmlformats.org/officeDocument/2006/relationships/footer" Target="footer224.xml"/><Relationship Id="rId276" Type="http://schemas.openxmlformats.org/officeDocument/2006/relationships/footer" Target="footer225.xml"/><Relationship Id="rId277" Type="http://schemas.openxmlformats.org/officeDocument/2006/relationships/footer" Target="footer226.xml"/><Relationship Id="rId278" Type="http://schemas.openxmlformats.org/officeDocument/2006/relationships/footer" Target="footer227.xml"/><Relationship Id="rId279" Type="http://schemas.openxmlformats.org/officeDocument/2006/relationships/footer" Target="footer228.xml"/><Relationship Id="rId280" Type="http://schemas.openxmlformats.org/officeDocument/2006/relationships/footer" Target="footer229.xml"/><Relationship Id="rId281" Type="http://schemas.openxmlformats.org/officeDocument/2006/relationships/footer" Target="footer230.xml"/><Relationship Id="rId282" Type="http://schemas.openxmlformats.org/officeDocument/2006/relationships/footer" Target="footer231.xml"/><Relationship Id="rId283" Type="http://schemas.openxmlformats.org/officeDocument/2006/relationships/footer" Target="footer232.xml"/><Relationship Id="rId284" Type="http://schemas.openxmlformats.org/officeDocument/2006/relationships/footer" Target="footer233.xml"/><Relationship Id="rId285" Type="http://schemas.openxmlformats.org/officeDocument/2006/relationships/footer" Target="footer234.xml"/><Relationship Id="rId286" Type="http://schemas.openxmlformats.org/officeDocument/2006/relationships/footer" Target="footer235.xml"/><Relationship Id="rId287" Type="http://schemas.openxmlformats.org/officeDocument/2006/relationships/footer" Target="footer236.xml"/><Relationship Id="rId288" Type="http://schemas.openxmlformats.org/officeDocument/2006/relationships/footer" Target="footer237.xml"/><Relationship Id="rId289" Type="http://schemas.openxmlformats.org/officeDocument/2006/relationships/footer" Target="footer238.xml"/><Relationship Id="rId290" Type="http://schemas.openxmlformats.org/officeDocument/2006/relationships/footer" Target="footer239.xml"/><Relationship Id="rId291" Type="http://schemas.openxmlformats.org/officeDocument/2006/relationships/footer" Target="footer240.xml"/><Relationship Id="rId292" Type="http://schemas.openxmlformats.org/officeDocument/2006/relationships/footer" Target="footer241.xml"/><Relationship Id="rId293" Type="http://schemas.openxmlformats.org/officeDocument/2006/relationships/footer" Target="footer242.xml"/><Relationship Id="rId294" Type="http://schemas.openxmlformats.org/officeDocument/2006/relationships/footer" Target="footer243.xml"/><Relationship Id="rId295" Type="http://schemas.openxmlformats.org/officeDocument/2006/relationships/footer" Target="footer244.xml"/><Relationship Id="rId296" Type="http://schemas.openxmlformats.org/officeDocument/2006/relationships/footer" Target="footer245.xml"/><Relationship Id="rId297" Type="http://schemas.openxmlformats.org/officeDocument/2006/relationships/footer" Target="footer246.xml"/><Relationship Id="rId298" Type="http://schemas.openxmlformats.org/officeDocument/2006/relationships/footer" Target="footer247.xml"/><Relationship Id="rId299" Type="http://schemas.openxmlformats.org/officeDocument/2006/relationships/footer" Target="footer248.xml"/><Relationship Id="rId300" Type="http://schemas.openxmlformats.org/officeDocument/2006/relationships/footer" Target="footer249.xml"/><Relationship Id="rId301" Type="http://schemas.openxmlformats.org/officeDocument/2006/relationships/footer" Target="footer250.xml"/><Relationship Id="rId302" Type="http://schemas.openxmlformats.org/officeDocument/2006/relationships/footer" Target="footer251.xml"/><Relationship Id="rId303" Type="http://schemas.openxmlformats.org/officeDocument/2006/relationships/footer" Target="footer252.xml"/><Relationship Id="rId304" Type="http://schemas.openxmlformats.org/officeDocument/2006/relationships/footer" Target="footer253.xml"/><Relationship Id="rId305" Type="http://schemas.openxmlformats.org/officeDocument/2006/relationships/footer" Target="footer254.xml"/><Relationship Id="rId306" Type="http://schemas.openxmlformats.org/officeDocument/2006/relationships/footer" Target="footer255.xml"/><Relationship Id="rId307" Type="http://schemas.openxmlformats.org/officeDocument/2006/relationships/footer" Target="footer256.xml"/><Relationship Id="rId308" Type="http://schemas.openxmlformats.org/officeDocument/2006/relationships/footer" Target="footer257.xml"/><Relationship Id="rId309" Type="http://schemas.openxmlformats.org/officeDocument/2006/relationships/footer" Target="footer258.xml"/><Relationship Id="rId310" Type="http://schemas.openxmlformats.org/officeDocument/2006/relationships/footer" Target="footer259.xml"/><Relationship Id="rId311" Type="http://schemas.openxmlformats.org/officeDocument/2006/relationships/footer" Target="footer260.xml"/><Relationship Id="rId312" Type="http://schemas.openxmlformats.org/officeDocument/2006/relationships/footer" Target="footer261.xml"/><Relationship Id="rId313" Type="http://schemas.openxmlformats.org/officeDocument/2006/relationships/footer" Target="footer262.xml"/><Relationship Id="rId314" Type="http://schemas.openxmlformats.org/officeDocument/2006/relationships/footer" Target="footer263.xml"/><Relationship Id="rId315" Type="http://schemas.openxmlformats.org/officeDocument/2006/relationships/footer" Target="footer264.xml"/><Relationship Id="rId316" Type="http://schemas.openxmlformats.org/officeDocument/2006/relationships/footer" Target="footer265.xml"/><Relationship Id="rId317" Type="http://schemas.openxmlformats.org/officeDocument/2006/relationships/footer" Target="footer266.xml"/><Relationship Id="rId318" Type="http://schemas.openxmlformats.org/officeDocument/2006/relationships/footer" Target="footer267.xml"/><Relationship Id="rId319" Type="http://schemas.openxmlformats.org/officeDocument/2006/relationships/footer" Target="footer268.xml"/><Relationship Id="rId320" Type="http://schemas.openxmlformats.org/officeDocument/2006/relationships/footer" Target="footer269.xml"/><Relationship Id="rId321" Type="http://schemas.openxmlformats.org/officeDocument/2006/relationships/footer" Target="footer270.xml"/><Relationship Id="rId322" Type="http://schemas.openxmlformats.org/officeDocument/2006/relationships/footer" Target="footer271.xml"/><Relationship Id="rId323" Type="http://schemas.openxmlformats.org/officeDocument/2006/relationships/footer" Target="footer272.xml"/><Relationship Id="rId324" Type="http://schemas.openxmlformats.org/officeDocument/2006/relationships/footer" Target="footer273.xml"/><Relationship Id="rId325" Type="http://schemas.openxmlformats.org/officeDocument/2006/relationships/footer" Target="footer274.xml"/><Relationship Id="rId326" Type="http://schemas.openxmlformats.org/officeDocument/2006/relationships/footer" Target="footer275.xml"/><Relationship Id="rId327" Type="http://schemas.openxmlformats.org/officeDocument/2006/relationships/footer" Target="footer276.xml"/><Relationship Id="rId328" Type="http://schemas.openxmlformats.org/officeDocument/2006/relationships/footer" Target="footer277.xml"/><Relationship Id="rId329" Type="http://schemas.openxmlformats.org/officeDocument/2006/relationships/footer" Target="footer278.xml"/><Relationship Id="rId330" Type="http://schemas.openxmlformats.org/officeDocument/2006/relationships/footer" Target="footer279.xml"/><Relationship Id="rId331" Type="http://schemas.openxmlformats.org/officeDocument/2006/relationships/footer" Target="footer280.xml"/><Relationship Id="rId332" Type="http://schemas.openxmlformats.org/officeDocument/2006/relationships/footer" Target="footer281.xml"/><Relationship Id="rId333" Type="http://schemas.openxmlformats.org/officeDocument/2006/relationships/footer" Target="footer282.xml"/><Relationship Id="rId334" Type="http://schemas.openxmlformats.org/officeDocument/2006/relationships/footer" Target="footer283.xml"/><Relationship Id="rId335" Type="http://schemas.openxmlformats.org/officeDocument/2006/relationships/footer" Target="footer284.xml"/><Relationship Id="rId336" Type="http://schemas.openxmlformats.org/officeDocument/2006/relationships/footer" Target="footer285.xml"/><Relationship Id="rId337" Type="http://schemas.openxmlformats.org/officeDocument/2006/relationships/footer" Target="footer286.xml"/><Relationship Id="rId338" Type="http://schemas.openxmlformats.org/officeDocument/2006/relationships/footer" Target="footer287.xml"/><Relationship Id="rId339" Type="http://schemas.openxmlformats.org/officeDocument/2006/relationships/footer" Target="footer288.xml"/><Relationship Id="rId340" Type="http://schemas.openxmlformats.org/officeDocument/2006/relationships/footer" Target="footer289.xml"/><Relationship Id="rId341" Type="http://schemas.openxmlformats.org/officeDocument/2006/relationships/footer" Target="footer290.xml"/><Relationship Id="rId342" Type="http://schemas.openxmlformats.org/officeDocument/2006/relationships/footer" Target="footer291.xml"/><Relationship Id="rId343" Type="http://schemas.openxmlformats.org/officeDocument/2006/relationships/footer" Target="footer292.xml"/><Relationship Id="rId344" Type="http://schemas.openxmlformats.org/officeDocument/2006/relationships/footer" Target="footer293.xml"/><Relationship Id="rId345" Type="http://schemas.openxmlformats.org/officeDocument/2006/relationships/footer" Target="footer294.xml"/><Relationship Id="rId346" Type="http://schemas.openxmlformats.org/officeDocument/2006/relationships/footer" Target="footer295.xml"/><Relationship Id="rId347" Type="http://schemas.openxmlformats.org/officeDocument/2006/relationships/footer" Target="footer296.xml"/><Relationship Id="rId348" Type="http://schemas.openxmlformats.org/officeDocument/2006/relationships/footer" Target="footer297.xml"/><Relationship Id="rId349" Type="http://schemas.openxmlformats.org/officeDocument/2006/relationships/footer" Target="footer298.xml"/><Relationship Id="rId350" Type="http://schemas.openxmlformats.org/officeDocument/2006/relationships/footer" Target="footer299.xml"/><Relationship Id="rId351" Type="http://schemas.openxmlformats.org/officeDocument/2006/relationships/footer" Target="footer300.xml"/><Relationship Id="rId352" Type="http://schemas.openxmlformats.org/officeDocument/2006/relationships/footer" Target="footer301.xml"/><Relationship Id="rId353" Type="http://schemas.openxmlformats.org/officeDocument/2006/relationships/footer" Target="footer302.xml"/><Relationship Id="rId354" Type="http://schemas.openxmlformats.org/officeDocument/2006/relationships/footer" Target="footer303.xml"/><Relationship Id="rId355" Type="http://schemas.openxmlformats.org/officeDocument/2006/relationships/footer" Target="footer304.xml"/><Relationship Id="rId356" Type="http://schemas.openxmlformats.org/officeDocument/2006/relationships/footer" Target="footer305.xml"/><Relationship Id="rId357" Type="http://schemas.openxmlformats.org/officeDocument/2006/relationships/footer" Target="footer306.xml"/><Relationship Id="rId358" Type="http://schemas.openxmlformats.org/officeDocument/2006/relationships/footer" Target="footer307.xml"/><Relationship Id="rId359" Type="http://schemas.openxmlformats.org/officeDocument/2006/relationships/footer" Target="footer308.xml"/><Relationship Id="rId360" Type="http://schemas.openxmlformats.org/officeDocument/2006/relationships/footer" Target="footer309.xml"/><Relationship Id="rId361" Type="http://schemas.openxmlformats.org/officeDocument/2006/relationships/footer" Target="footer310.xml"/><Relationship Id="rId362" Type="http://schemas.openxmlformats.org/officeDocument/2006/relationships/footer" Target="footer311.xml"/><Relationship Id="rId363" Type="http://schemas.openxmlformats.org/officeDocument/2006/relationships/footer" Target="footer312.xml"/><Relationship Id="rId364" Type="http://schemas.openxmlformats.org/officeDocument/2006/relationships/footer" Target="footer313.xml"/><Relationship Id="rId365" Type="http://schemas.openxmlformats.org/officeDocument/2006/relationships/footer" Target="footer314.xml"/><Relationship Id="rId366" Type="http://schemas.openxmlformats.org/officeDocument/2006/relationships/footer" Target="footer315.xml"/><Relationship Id="rId367" Type="http://schemas.openxmlformats.org/officeDocument/2006/relationships/footer" Target="footer316.xml"/><Relationship Id="rId368" Type="http://schemas.openxmlformats.org/officeDocument/2006/relationships/footer" Target="footer317.xml"/><Relationship Id="rId369" Type="http://schemas.openxmlformats.org/officeDocument/2006/relationships/footer" Target="footer318.xml"/><Relationship Id="rId370" Type="http://schemas.openxmlformats.org/officeDocument/2006/relationships/footer" Target="footer319.xml"/><Relationship Id="rId371" Type="http://schemas.openxmlformats.org/officeDocument/2006/relationships/footer" Target="footer320.xml"/><Relationship Id="rId372" Type="http://schemas.openxmlformats.org/officeDocument/2006/relationships/footer" Target="footer321.xml"/><Relationship Id="rId373" Type="http://schemas.openxmlformats.org/officeDocument/2006/relationships/footer" Target="footer322.xml"/><Relationship Id="rId374" Type="http://schemas.openxmlformats.org/officeDocument/2006/relationships/footer" Target="footer323.xml"/><Relationship Id="rId375" Type="http://schemas.openxmlformats.org/officeDocument/2006/relationships/footer" Target="footer324.xml"/><Relationship Id="rId376" Type="http://schemas.openxmlformats.org/officeDocument/2006/relationships/footer" Target="footer325.xml"/><Relationship Id="rId377" Type="http://schemas.openxmlformats.org/officeDocument/2006/relationships/footer" Target="footer326.xml"/><Relationship Id="rId378" Type="http://schemas.openxmlformats.org/officeDocument/2006/relationships/footer" Target="footer327.xml"/><Relationship Id="rId379" Type="http://schemas.openxmlformats.org/officeDocument/2006/relationships/footer" Target="footer328.xml"/><Relationship Id="rId380" Type="http://schemas.openxmlformats.org/officeDocument/2006/relationships/footer" Target="footer329.xml"/><Relationship Id="rId381" Type="http://schemas.openxmlformats.org/officeDocument/2006/relationships/footer" Target="footer330.xml"/><Relationship Id="rId382" Type="http://schemas.openxmlformats.org/officeDocument/2006/relationships/footer" Target="footer331.xml"/><Relationship Id="rId383" Type="http://schemas.openxmlformats.org/officeDocument/2006/relationships/footer" Target="footer332.xml"/><Relationship Id="rId384" Type="http://schemas.openxmlformats.org/officeDocument/2006/relationships/footer" Target="footer333.xml"/><Relationship Id="rId385" Type="http://schemas.openxmlformats.org/officeDocument/2006/relationships/footer" Target="footer334.xml"/><Relationship Id="rId386" Type="http://schemas.openxmlformats.org/officeDocument/2006/relationships/footer" Target="footer335.xml"/><Relationship Id="rId387" Type="http://schemas.openxmlformats.org/officeDocument/2006/relationships/footer" Target="footer336.xml"/><Relationship Id="rId388" Type="http://schemas.openxmlformats.org/officeDocument/2006/relationships/footer" Target="footer337.xml"/><Relationship Id="rId389" Type="http://schemas.openxmlformats.org/officeDocument/2006/relationships/footer" Target="footer338.xml"/><Relationship Id="rId390" Type="http://schemas.openxmlformats.org/officeDocument/2006/relationships/footer" Target="footer339.xml"/><Relationship Id="rId391" Type="http://schemas.openxmlformats.org/officeDocument/2006/relationships/footer" Target="footer340.xml"/><Relationship Id="rId392" Type="http://schemas.openxmlformats.org/officeDocument/2006/relationships/footer" Target="footer341.xml"/><Relationship Id="rId393" Type="http://schemas.openxmlformats.org/officeDocument/2006/relationships/footer" Target="footer342.xml"/><Relationship Id="rId394" Type="http://schemas.openxmlformats.org/officeDocument/2006/relationships/footer" Target="footer343.xml"/><Relationship Id="rId395" Type="http://schemas.openxmlformats.org/officeDocument/2006/relationships/footer" Target="footer344.xml"/><Relationship Id="rId396" Type="http://schemas.openxmlformats.org/officeDocument/2006/relationships/footer" Target="footer345.xml"/><Relationship Id="rId397" Type="http://schemas.openxmlformats.org/officeDocument/2006/relationships/footer" Target="footer346.xml"/><Relationship Id="rId398" Type="http://schemas.openxmlformats.org/officeDocument/2006/relationships/footer" Target="footer347.xml"/><Relationship Id="rId399" Type="http://schemas.openxmlformats.org/officeDocument/2006/relationships/footer" Target="footer348.xml"/><Relationship Id="rId400" Type="http://schemas.openxmlformats.org/officeDocument/2006/relationships/footer" Target="footer349.xml"/><Relationship Id="rId401" Type="http://schemas.openxmlformats.org/officeDocument/2006/relationships/footer" Target="footer350.xml"/><Relationship Id="rId402" Type="http://schemas.openxmlformats.org/officeDocument/2006/relationships/footer" Target="footer351.xml"/><Relationship Id="rId403" Type="http://schemas.openxmlformats.org/officeDocument/2006/relationships/footer" Target="footer352.xml"/><Relationship Id="rId404" Type="http://schemas.openxmlformats.org/officeDocument/2006/relationships/footer" Target="footer353.xml"/><Relationship Id="rId405" Type="http://schemas.openxmlformats.org/officeDocument/2006/relationships/footer" Target="footer354.xml"/><Relationship Id="rId406" Type="http://schemas.openxmlformats.org/officeDocument/2006/relationships/footer" Target="footer355.xml"/><Relationship Id="rId407" Type="http://schemas.openxmlformats.org/officeDocument/2006/relationships/footer" Target="footer356.xml"/><Relationship Id="rId408" Type="http://schemas.openxmlformats.org/officeDocument/2006/relationships/footer" Target="footer357.xml"/><Relationship Id="rId409" Type="http://schemas.openxmlformats.org/officeDocument/2006/relationships/footer" Target="footer358.xml"/><Relationship Id="rId410" Type="http://schemas.openxmlformats.org/officeDocument/2006/relationships/footer" Target="footer359.xml"/><Relationship Id="rId411" Type="http://schemas.openxmlformats.org/officeDocument/2006/relationships/footer" Target="footer360.xml"/><Relationship Id="rId412" Type="http://schemas.openxmlformats.org/officeDocument/2006/relationships/footer" Target="footer361.xml"/><Relationship Id="rId413" Type="http://schemas.openxmlformats.org/officeDocument/2006/relationships/footer" Target="footer362.xml"/><Relationship Id="rId414" Type="http://schemas.openxmlformats.org/officeDocument/2006/relationships/footer" Target="footer363.xml"/><Relationship Id="rId415" Type="http://schemas.openxmlformats.org/officeDocument/2006/relationships/footer" Target="footer364.xml"/><Relationship Id="rId416" Type="http://schemas.openxmlformats.org/officeDocument/2006/relationships/footer" Target="footer365.xml"/><Relationship Id="rId417" Type="http://schemas.openxmlformats.org/officeDocument/2006/relationships/footer" Target="footer366.xml"/><Relationship Id="rId418" Type="http://schemas.openxmlformats.org/officeDocument/2006/relationships/footer" Target="footer367.xml"/><Relationship Id="rId419" Type="http://schemas.openxmlformats.org/officeDocument/2006/relationships/footer" Target="footer368.xml"/><Relationship Id="rId420" Type="http://schemas.openxmlformats.org/officeDocument/2006/relationships/footer" Target="footer369.xml"/><Relationship Id="rId421" Type="http://schemas.openxmlformats.org/officeDocument/2006/relationships/footer" Target="footer370.xml"/><Relationship Id="rId422" Type="http://schemas.openxmlformats.org/officeDocument/2006/relationships/footer" Target="footer371.xml"/><Relationship Id="rId423" Type="http://schemas.openxmlformats.org/officeDocument/2006/relationships/footer" Target="footer372.xml"/><Relationship Id="rId424" Type="http://schemas.openxmlformats.org/officeDocument/2006/relationships/footer" Target="footer373.xml"/><Relationship Id="rId425" Type="http://schemas.openxmlformats.org/officeDocument/2006/relationships/footer" Target="footer374.xml"/><Relationship Id="rId426" Type="http://schemas.openxmlformats.org/officeDocument/2006/relationships/footer" Target="footer375.xml"/><Relationship Id="rId427" Type="http://schemas.openxmlformats.org/officeDocument/2006/relationships/footer" Target="footer376.xml"/><Relationship Id="rId428" Type="http://schemas.openxmlformats.org/officeDocument/2006/relationships/footer" Target="footer377.xml"/><Relationship Id="rId429" Type="http://schemas.openxmlformats.org/officeDocument/2006/relationships/footer" Target="footer378.xml"/><Relationship Id="rId430" Type="http://schemas.openxmlformats.org/officeDocument/2006/relationships/footer" Target="footer379.xml"/><Relationship Id="rId431" Type="http://schemas.openxmlformats.org/officeDocument/2006/relationships/footer" Target="footer380.xml"/><Relationship Id="rId432" Type="http://schemas.openxmlformats.org/officeDocument/2006/relationships/footer" Target="footer381.xml"/><Relationship Id="rId433" Type="http://schemas.openxmlformats.org/officeDocument/2006/relationships/footer" Target="footer382.xml"/><Relationship Id="rId434" Type="http://schemas.openxmlformats.org/officeDocument/2006/relationships/footer" Target="footer383.xml"/><Relationship Id="rId435" Type="http://schemas.openxmlformats.org/officeDocument/2006/relationships/footer" Target="footer384.xml"/><Relationship Id="rId436" Type="http://schemas.openxmlformats.org/officeDocument/2006/relationships/footer" Target="footer385.xml"/><Relationship Id="rId437" Type="http://schemas.openxmlformats.org/officeDocument/2006/relationships/footer" Target="footer386.xml"/><Relationship Id="rId438" Type="http://schemas.openxmlformats.org/officeDocument/2006/relationships/footer" Target="footer387.xml"/><Relationship Id="rId439" Type="http://schemas.openxmlformats.org/officeDocument/2006/relationships/footer" Target="footer388.xml"/><Relationship Id="rId440" Type="http://schemas.openxmlformats.org/officeDocument/2006/relationships/footer" Target="footer389.xml"/><Relationship Id="rId441" Type="http://schemas.openxmlformats.org/officeDocument/2006/relationships/footer" Target="footer390.xml"/><Relationship Id="rId442" Type="http://schemas.openxmlformats.org/officeDocument/2006/relationships/footer" Target="footer391.xml"/><Relationship Id="rId443" Type="http://schemas.openxmlformats.org/officeDocument/2006/relationships/footer" Target="footer392.xml"/><Relationship Id="rId444" Type="http://schemas.openxmlformats.org/officeDocument/2006/relationships/footer" Target="footer393.xml"/><Relationship Id="rId445" Type="http://schemas.openxmlformats.org/officeDocument/2006/relationships/footer" Target="footer394.xml"/><Relationship Id="rId446" Type="http://schemas.openxmlformats.org/officeDocument/2006/relationships/footer" Target="footer395.xml"/><Relationship Id="rId447" Type="http://schemas.openxmlformats.org/officeDocument/2006/relationships/footer" Target="footer396.xml"/><Relationship Id="rId448" Type="http://schemas.openxmlformats.org/officeDocument/2006/relationships/footer" Target="footer397.xml"/><Relationship Id="rId449" Type="http://schemas.openxmlformats.org/officeDocument/2006/relationships/footer" Target="footer398.xml"/><Relationship Id="rId450" Type="http://schemas.openxmlformats.org/officeDocument/2006/relationships/footer" Target="footer399.xml"/><Relationship Id="rId451" Type="http://schemas.openxmlformats.org/officeDocument/2006/relationships/footer" Target="footer400.xml"/><Relationship Id="rId452" Type="http://schemas.openxmlformats.org/officeDocument/2006/relationships/footer" Target="footer401.xml"/><Relationship Id="rId453" Type="http://schemas.openxmlformats.org/officeDocument/2006/relationships/footer" Target="footer402.xml"/><Relationship Id="rId454" Type="http://schemas.openxmlformats.org/officeDocument/2006/relationships/footer" Target="footer403.xml"/><Relationship Id="rId455" Type="http://schemas.openxmlformats.org/officeDocument/2006/relationships/footer" Target="footer404.xml"/><Relationship Id="rId456" Type="http://schemas.openxmlformats.org/officeDocument/2006/relationships/footer" Target="footer405.xml"/><Relationship Id="rId457" Type="http://schemas.openxmlformats.org/officeDocument/2006/relationships/footer" Target="footer406.xml"/><Relationship Id="rId458" Type="http://schemas.openxmlformats.org/officeDocument/2006/relationships/footer" Target="footer407.xml"/><Relationship Id="rId459" Type="http://schemas.openxmlformats.org/officeDocument/2006/relationships/footer" Target="footer408.xml"/><Relationship Id="rId460" Type="http://schemas.openxmlformats.org/officeDocument/2006/relationships/footer" Target="footer409.xml"/><Relationship Id="rId461" Type="http://schemas.openxmlformats.org/officeDocument/2006/relationships/footer" Target="footer410.xml"/><Relationship Id="rId462" Type="http://schemas.openxmlformats.org/officeDocument/2006/relationships/footer" Target="footer411.xml"/><Relationship Id="rId463" Type="http://schemas.openxmlformats.org/officeDocument/2006/relationships/footer" Target="footer412.xml"/><Relationship Id="rId464" Type="http://schemas.openxmlformats.org/officeDocument/2006/relationships/footer" Target="footer413.xml"/><Relationship Id="rId465" Type="http://schemas.openxmlformats.org/officeDocument/2006/relationships/footer" Target="footer414.xml"/><Relationship Id="rId466" Type="http://schemas.openxmlformats.org/officeDocument/2006/relationships/footer" Target="footer415.xml"/><Relationship Id="rId467" Type="http://schemas.openxmlformats.org/officeDocument/2006/relationships/footer" Target="footer416.xml"/><Relationship Id="rId468" Type="http://schemas.openxmlformats.org/officeDocument/2006/relationships/footer" Target="footer417.xml"/><Relationship Id="rId469" Type="http://schemas.openxmlformats.org/officeDocument/2006/relationships/footer" Target="footer418.xml"/><Relationship Id="rId470" Type="http://schemas.openxmlformats.org/officeDocument/2006/relationships/footer" Target="footer419.xml"/><Relationship Id="rId471" Type="http://schemas.openxmlformats.org/officeDocument/2006/relationships/footer" Target="footer420.xml"/><Relationship Id="rId472" Type="http://schemas.openxmlformats.org/officeDocument/2006/relationships/footer" Target="footer421.xml"/><Relationship Id="rId473" Type="http://schemas.openxmlformats.org/officeDocument/2006/relationships/footer" Target="footer422.xml"/><Relationship Id="rId474" Type="http://schemas.openxmlformats.org/officeDocument/2006/relationships/footer" Target="footer423.xml"/><Relationship Id="rId475" Type="http://schemas.openxmlformats.org/officeDocument/2006/relationships/footer" Target="footer424.xml"/><Relationship Id="rId476" Type="http://schemas.openxmlformats.org/officeDocument/2006/relationships/footer" Target="footer425.xml"/><Relationship Id="rId477" Type="http://schemas.openxmlformats.org/officeDocument/2006/relationships/footer" Target="footer426.xml"/><Relationship Id="rId478" Type="http://schemas.openxmlformats.org/officeDocument/2006/relationships/footer" Target="footer427.xml"/><Relationship Id="rId479" Type="http://schemas.openxmlformats.org/officeDocument/2006/relationships/footer" Target="footer428.xml"/><Relationship Id="rId480" Type="http://schemas.openxmlformats.org/officeDocument/2006/relationships/footer" Target="footer429.xml"/><Relationship Id="rId481" Type="http://schemas.openxmlformats.org/officeDocument/2006/relationships/footer" Target="footer430.xml"/><Relationship Id="rId482" Type="http://schemas.openxmlformats.org/officeDocument/2006/relationships/footer" Target="footer431.xml"/><Relationship Id="rId483" Type="http://schemas.openxmlformats.org/officeDocument/2006/relationships/footer" Target="footer432.xml"/><Relationship Id="rId484" Type="http://schemas.openxmlformats.org/officeDocument/2006/relationships/footer" Target="footer433.xml"/><Relationship Id="rId485" Type="http://schemas.openxmlformats.org/officeDocument/2006/relationships/footer" Target="footer434.xml"/><Relationship Id="rId486" Type="http://schemas.openxmlformats.org/officeDocument/2006/relationships/footer" Target="footer435.xml"/><Relationship Id="rId487" Type="http://schemas.openxmlformats.org/officeDocument/2006/relationships/footer" Target="footer436.xml"/><Relationship Id="rId488" Type="http://schemas.openxmlformats.org/officeDocument/2006/relationships/footer" Target="footer437.xml"/><Relationship Id="rId489" Type="http://schemas.openxmlformats.org/officeDocument/2006/relationships/footer" Target="footer438.xml"/><Relationship Id="rId490" Type="http://schemas.openxmlformats.org/officeDocument/2006/relationships/footer" Target="footer439.xml"/><Relationship Id="rId491" Type="http://schemas.openxmlformats.org/officeDocument/2006/relationships/footer" Target="footer440.xml"/><Relationship Id="rId492" Type="http://schemas.openxmlformats.org/officeDocument/2006/relationships/footer" Target="footer441.xml"/><Relationship Id="rId493" Type="http://schemas.openxmlformats.org/officeDocument/2006/relationships/footer" Target="footer442.xml"/><Relationship Id="rId494" Type="http://schemas.openxmlformats.org/officeDocument/2006/relationships/footer" Target="footer443.xml"/><Relationship Id="rId495" Type="http://schemas.openxmlformats.org/officeDocument/2006/relationships/footer" Target="footer444.xml"/><Relationship Id="rId496" Type="http://schemas.openxmlformats.org/officeDocument/2006/relationships/footer" Target="footer445.xml"/><Relationship Id="rId497" Type="http://schemas.openxmlformats.org/officeDocument/2006/relationships/footer" Target="footer446.xml"/><Relationship Id="rId498" Type="http://schemas.openxmlformats.org/officeDocument/2006/relationships/footer" Target="footer447.xml"/><Relationship Id="rId499" Type="http://schemas.openxmlformats.org/officeDocument/2006/relationships/footer" Target="footer448.xml"/><Relationship Id="rId500" Type="http://schemas.openxmlformats.org/officeDocument/2006/relationships/footer" Target="footer449.xml"/><Relationship Id="rId501" Type="http://schemas.openxmlformats.org/officeDocument/2006/relationships/footer" Target="footer450.xml"/><Relationship Id="rId502" Type="http://schemas.openxmlformats.org/officeDocument/2006/relationships/footer" Target="footer451.xml"/><Relationship Id="rId503" Type="http://schemas.openxmlformats.org/officeDocument/2006/relationships/footer" Target="footer452.xml"/><Relationship Id="rId504" Type="http://schemas.openxmlformats.org/officeDocument/2006/relationships/footer" Target="footer453.xml"/><Relationship Id="rId505" Type="http://schemas.openxmlformats.org/officeDocument/2006/relationships/footer" Target="footer454.xml"/><Relationship Id="rId506" Type="http://schemas.openxmlformats.org/officeDocument/2006/relationships/footer" Target="footer455.xml"/><Relationship Id="rId507" Type="http://schemas.openxmlformats.org/officeDocument/2006/relationships/footer" Target="footer456.xml"/><Relationship Id="rId508" Type="http://schemas.openxmlformats.org/officeDocument/2006/relationships/footer" Target="footer457.xml"/><Relationship Id="rId509" Type="http://schemas.openxmlformats.org/officeDocument/2006/relationships/footer" Target="footer458.xml"/><Relationship Id="rId510" Type="http://schemas.openxmlformats.org/officeDocument/2006/relationships/footer" Target="footer459.xml"/><Relationship Id="rId511" Type="http://schemas.openxmlformats.org/officeDocument/2006/relationships/footer" Target="footer460.xml"/><Relationship Id="rId512" Type="http://schemas.openxmlformats.org/officeDocument/2006/relationships/footer" Target="footer461.xml"/><Relationship Id="rId513" Type="http://schemas.openxmlformats.org/officeDocument/2006/relationships/footer" Target="footer462.xml"/><Relationship Id="rId514" Type="http://schemas.openxmlformats.org/officeDocument/2006/relationships/footer" Target="footer463.xml"/><Relationship Id="rId515" Type="http://schemas.openxmlformats.org/officeDocument/2006/relationships/footer" Target="footer464.xml"/><Relationship Id="rId516" Type="http://schemas.openxmlformats.org/officeDocument/2006/relationships/footer" Target="footer465.xml"/><Relationship Id="rId517" Type="http://schemas.openxmlformats.org/officeDocument/2006/relationships/footer" Target="footer466.xml"/><Relationship Id="rId518" Type="http://schemas.openxmlformats.org/officeDocument/2006/relationships/footer" Target="footer467.xml"/><Relationship Id="rId519" Type="http://schemas.openxmlformats.org/officeDocument/2006/relationships/footer" Target="footer468.xml"/><Relationship Id="rId520" Type="http://schemas.openxmlformats.org/officeDocument/2006/relationships/footer" Target="footer469.xml"/><Relationship Id="rId521" Type="http://schemas.openxmlformats.org/officeDocument/2006/relationships/footer" Target="footer470.xml"/><Relationship Id="rId522" Type="http://schemas.openxmlformats.org/officeDocument/2006/relationships/footer" Target="footer471.xml"/><Relationship Id="rId523" Type="http://schemas.openxmlformats.org/officeDocument/2006/relationships/footer" Target="footer472.xml"/><Relationship Id="rId524" Type="http://schemas.openxmlformats.org/officeDocument/2006/relationships/footer" Target="footer473.xml"/><Relationship Id="rId525" Type="http://schemas.openxmlformats.org/officeDocument/2006/relationships/footer" Target="footer474.xml"/><Relationship Id="rId526" Type="http://schemas.openxmlformats.org/officeDocument/2006/relationships/footer" Target="footer475.xml"/><Relationship Id="rId527" Type="http://schemas.openxmlformats.org/officeDocument/2006/relationships/footer" Target="footer476.xml"/><Relationship Id="rId528" Type="http://schemas.openxmlformats.org/officeDocument/2006/relationships/footer" Target="footer477.xml"/><Relationship Id="rId529" Type="http://schemas.openxmlformats.org/officeDocument/2006/relationships/footer" Target="footer478.xml"/><Relationship Id="rId530" Type="http://schemas.openxmlformats.org/officeDocument/2006/relationships/footer" Target="footer479.xml"/><Relationship Id="rId531" Type="http://schemas.openxmlformats.org/officeDocument/2006/relationships/footer" Target="footer480.xml"/><Relationship Id="rId532" Type="http://schemas.openxmlformats.org/officeDocument/2006/relationships/footer" Target="footer481.xml"/><Relationship Id="rId533" Type="http://schemas.openxmlformats.org/officeDocument/2006/relationships/footer" Target="footer482.xml"/><Relationship Id="rId534" Type="http://schemas.openxmlformats.org/officeDocument/2006/relationships/footer" Target="footer483.xml"/><Relationship Id="rId535" Type="http://schemas.openxmlformats.org/officeDocument/2006/relationships/footer" Target="footer484.xml"/><Relationship Id="rId536" Type="http://schemas.openxmlformats.org/officeDocument/2006/relationships/footer" Target="footer485.xml"/><Relationship Id="rId537" Type="http://schemas.openxmlformats.org/officeDocument/2006/relationships/footer" Target="footer486.xml"/><Relationship Id="rId538" Type="http://schemas.openxmlformats.org/officeDocument/2006/relationships/footer" Target="footer487.xml"/><Relationship Id="rId539" Type="http://schemas.openxmlformats.org/officeDocument/2006/relationships/footer" Target="footer488.xml"/><Relationship Id="rId540" Type="http://schemas.openxmlformats.org/officeDocument/2006/relationships/footer" Target="footer489.xml"/><Relationship Id="rId541" Type="http://schemas.openxmlformats.org/officeDocument/2006/relationships/footer" Target="footer490.xml"/><Relationship Id="rId542" Type="http://schemas.openxmlformats.org/officeDocument/2006/relationships/footer" Target="footer491.xml"/><Relationship Id="rId543" Type="http://schemas.openxmlformats.org/officeDocument/2006/relationships/footer" Target="footer492.xml"/><Relationship Id="rId544" Type="http://schemas.openxmlformats.org/officeDocument/2006/relationships/footer" Target="footer493.xml"/><Relationship Id="rId545" Type="http://schemas.openxmlformats.org/officeDocument/2006/relationships/footer" Target="footer494.xml"/><Relationship Id="rId546" Type="http://schemas.openxmlformats.org/officeDocument/2006/relationships/footer" Target="footer495.xml"/><Relationship Id="rId547" Type="http://schemas.openxmlformats.org/officeDocument/2006/relationships/footer" Target="footer496.xml"/><Relationship Id="rId548" Type="http://schemas.openxmlformats.org/officeDocument/2006/relationships/footer" Target="footer497.xml"/><Relationship Id="rId549" Type="http://schemas.openxmlformats.org/officeDocument/2006/relationships/footer" Target="footer498.xml"/><Relationship Id="rId550" Type="http://schemas.openxmlformats.org/officeDocument/2006/relationships/footer" Target="footer499.xml"/><Relationship Id="rId551" Type="http://schemas.openxmlformats.org/officeDocument/2006/relationships/footer" Target="footer500.xml"/><Relationship Id="rId552" Type="http://schemas.openxmlformats.org/officeDocument/2006/relationships/footer" Target="footer501.xml"/><Relationship Id="rId553" Type="http://schemas.openxmlformats.org/officeDocument/2006/relationships/footer" Target="footer502.xml"/><Relationship Id="rId554" Type="http://schemas.openxmlformats.org/officeDocument/2006/relationships/footer" Target="footer503.xml"/><Relationship Id="rId555" Type="http://schemas.openxmlformats.org/officeDocument/2006/relationships/footer" Target="footer504.xml"/><Relationship Id="rId556" Type="http://schemas.openxmlformats.org/officeDocument/2006/relationships/footer" Target="footer505.xml"/><Relationship Id="rId557" Type="http://schemas.openxmlformats.org/officeDocument/2006/relationships/footer" Target="footer506.xml"/><Relationship Id="rId558" Type="http://schemas.openxmlformats.org/officeDocument/2006/relationships/footer" Target="footer507.xml"/><Relationship Id="rId559" Type="http://schemas.openxmlformats.org/officeDocument/2006/relationships/footer" Target="footer508.xml"/><Relationship Id="rId560" Type="http://schemas.openxmlformats.org/officeDocument/2006/relationships/footer" Target="footer509.xml"/><Relationship Id="rId561" Type="http://schemas.openxmlformats.org/officeDocument/2006/relationships/footer" Target="footer510.xml"/><Relationship Id="rId562" Type="http://schemas.openxmlformats.org/officeDocument/2006/relationships/footer" Target="footer511.xml"/><Relationship Id="rId563" Type="http://schemas.openxmlformats.org/officeDocument/2006/relationships/footer" Target="footer512.xml"/><Relationship Id="rId564" Type="http://schemas.openxmlformats.org/officeDocument/2006/relationships/footer" Target="footer513.xml"/><Relationship Id="rId565" Type="http://schemas.openxmlformats.org/officeDocument/2006/relationships/footer" Target="footer514.xml"/><Relationship Id="rId566" Type="http://schemas.openxmlformats.org/officeDocument/2006/relationships/footer" Target="footer515.xml"/><Relationship Id="rId567" Type="http://schemas.openxmlformats.org/officeDocument/2006/relationships/footer" Target="footer516.xml"/><Relationship Id="rId568" Type="http://schemas.openxmlformats.org/officeDocument/2006/relationships/footer" Target="footer517.xml"/><Relationship Id="rId569" Type="http://schemas.openxmlformats.org/officeDocument/2006/relationships/footer" Target="footer518.xml"/><Relationship Id="rId570" Type="http://schemas.openxmlformats.org/officeDocument/2006/relationships/footer" Target="footer519.xml"/><Relationship Id="rId571" Type="http://schemas.openxmlformats.org/officeDocument/2006/relationships/footer" Target="footer520.xml"/><Relationship Id="rId572" Type="http://schemas.openxmlformats.org/officeDocument/2006/relationships/footer" Target="footer521.xml"/><Relationship Id="rId573" Type="http://schemas.openxmlformats.org/officeDocument/2006/relationships/footer" Target="footer522.xml"/><Relationship Id="rId574" Type="http://schemas.openxmlformats.org/officeDocument/2006/relationships/footer" Target="footer523.xml"/><Relationship Id="rId575" Type="http://schemas.openxmlformats.org/officeDocument/2006/relationships/footer" Target="footer524.xml"/><Relationship Id="rId576" Type="http://schemas.openxmlformats.org/officeDocument/2006/relationships/footer" Target="footer525.xml"/><Relationship Id="rId577" Type="http://schemas.openxmlformats.org/officeDocument/2006/relationships/footer" Target="footer526.xml"/><Relationship Id="rId578" Type="http://schemas.openxmlformats.org/officeDocument/2006/relationships/footer" Target="footer527.xml"/><Relationship Id="rId579" Type="http://schemas.openxmlformats.org/officeDocument/2006/relationships/footer" Target="footer528.xml"/><Relationship Id="rId580" Type="http://schemas.openxmlformats.org/officeDocument/2006/relationships/footer" Target="footer529.xml"/><Relationship Id="rId581" Type="http://schemas.openxmlformats.org/officeDocument/2006/relationships/footer" Target="footer530.xml"/><Relationship Id="rId582" Type="http://schemas.openxmlformats.org/officeDocument/2006/relationships/footer" Target="footer531.xml"/><Relationship Id="rId583" Type="http://schemas.openxmlformats.org/officeDocument/2006/relationships/footer" Target="footer532.xml"/><Relationship Id="rId584" Type="http://schemas.openxmlformats.org/officeDocument/2006/relationships/footer" Target="footer533.xml"/><Relationship Id="rId585" Type="http://schemas.openxmlformats.org/officeDocument/2006/relationships/footer" Target="footer534.xml"/><Relationship Id="rId586" Type="http://schemas.openxmlformats.org/officeDocument/2006/relationships/footer" Target="footer535.xml"/><Relationship Id="rId587" Type="http://schemas.openxmlformats.org/officeDocument/2006/relationships/footer" Target="footer536.xml"/><Relationship Id="rId588" Type="http://schemas.openxmlformats.org/officeDocument/2006/relationships/footer" Target="footer537.xml"/><Relationship Id="rId589" Type="http://schemas.openxmlformats.org/officeDocument/2006/relationships/footer" Target="footer538.xml"/><Relationship Id="rId590" Type="http://schemas.openxmlformats.org/officeDocument/2006/relationships/footer" Target="footer539.xml"/><Relationship Id="rId591" Type="http://schemas.openxmlformats.org/officeDocument/2006/relationships/footer" Target="footer540.xml"/><Relationship Id="rId592" Type="http://schemas.openxmlformats.org/officeDocument/2006/relationships/footer" Target="footer541.xml"/><Relationship Id="rId593" Type="http://schemas.openxmlformats.org/officeDocument/2006/relationships/footer" Target="footer542.xml"/><Relationship Id="rId594" Type="http://schemas.openxmlformats.org/officeDocument/2006/relationships/footer" Target="footer543.xml"/><Relationship Id="rId595" Type="http://schemas.openxmlformats.org/officeDocument/2006/relationships/footer" Target="footer544.xml"/><Relationship Id="rId596" Type="http://schemas.openxmlformats.org/officeDocument/2006/relationships/footer" Target="footer545.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46.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34525</Words>
  <Characters>136784</Characters>
  <CharactersWithSpaces>170223</CharactersWithSpaces>
  <Paragraphs>1286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2026-08-26T07:01:39Z</dcterms:created>
  <dc:creator>ghaemiyeh.com</dc:creator>
  <dc:description/>
  <dc:language>en-US</dc:language>
  <cp:lastModifiedBy/>
  <dcterms:modified xsi:type="dcterms:W3CDTF">2026-08-26T10:32:07Z</dcterms:modified>
  <cp:revision>1</cp:revision>
  <dc:subject/>
  <dc:title>الشافی فی الإمامة المجلد 1</dc:title>
</cp:coreProperties>
</file>

<file path=docProps/custom.xml><?xml version="1.0" encoding="utf-8"?>
<Properties xmlns="http://schemas.openxmlformats.org/officeDocument/2006/custom-properties" xmlns:vt="http://schemas.openxmlformats.org/officeDocument/2006/docPropsVTypes"/>
</file>