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المکاسب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148512_2314609296">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5148514_2314609296">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5148516_2314609296">
            <w:r>
              <w:rPr>
                <w:webHidden/>
                <w:rStyle w:val="IndexLink"/>
                <w:rtl w:val="true"/>
              </w:rPr>
              <w:t>[</w:t>
            </w:r>
            <w:r>
              <w:rPr>
                <w:rStyle w:val="IndexLink"/>
                <w:rtl w:val="true"/>
              </w:rPr>
              <w:t>مقدمة التحقیق</w:t>
            </w:r>
            <w:r>
              <w:rPr>
                <w:rStyle w:val="IndexLink"/>
                <w:rtl w:val="true"/>
              </w:rPr>
              <w:t>]</w:t>
              <w:tab/>
            </w:r>
            <w:r>
              <w:rPr>
                <w:rStyle w:val="IndexLink"/>
              </w:rPr>
              <w:t>10</w:t>
            </w:r>
          </w:hyperlink>
        </w:p>
        <w:p>
          <w:pPr>
            <w:pStyle w:val="Contents2"/>
            <w:tabs>
              <w:tab w:val="clear" w:pos="8743"/>
              <w:tab w:val="right" w:pos="9026" w:leader="dot"/>
            </w:tabs>
            <w:rPr/>
          </w:pPr>
          <w:hyperlink w:anchor="__RefHeading___Toc5148518_2314609296">
            <w:r>
              <w:rPr>
                <w:webHidden/>
                <w:rStyle w:val="IndexLink"/>
                <w:rtl w:val="true"/>
              </w:rPr>
              <w:t>القول فی الخیار و أقسامه و أحکامه</w:t>
            </w:r>
            <w:r>
              <w:rPr>
                <w:rStyle w:val="IndexLink"/>
                <w:rtl w:val="true"/>
              </w:rPr>
              <w:tab/>
            </w:r>
            <w:r>
              <w:rPr>
                <w:rStyle w:val="IndexLink"/>
              </w:rPr>
              <w:t>12</w:t>
            </w:r>
          </w:hyperlink>
        </w:p>
        <w:p>
          <w:pPr>
            <w:pStyle w:val="Contents3"/>
            <w:tabs>
              <w:tab w:val="clear" w:pos="8459"/>
              <w:tab w:val="right" w:pos="9026" w:leader="dot"/>
            </w:tabs>
            <w:rPr/>
          </w:pPr>
          <w:hyperlink w:anchor="__RefHeading___Toc5148520_2314609296">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5148522_2314609296">
            <w:r>
              <w:rPr>
                <w:webHidden/>
                <w:rStyle w:val="IndexLink"/>
                <w:rtl w:val="true"/>
              </w:rPr>
              <w:t>مقدّمتان</w:t>
            </w:r>
            <w:r>
              <w:rPr>
                <w:rStyle w:val="IndexLink"/>
                <w:rtl w:val="true"/>
              </w:rPr>
              <w:t>:</w:t>
              <w:tab/>
            </w:r>
            <w:r>
              <w:rPr>
                <w:rStyle w:val="IndexLink"/>
              </w:rPr>
              <w:t>14</w:t>
            </w:r>
          </w:hyperlink>
        </w:p>
        <w:p>
          <w:pPr>
            <w:pStyle w:val="Contents4"/>
            <w:tabs>
              <w:tab w:val="clear" w:pos="8176"/>
              <w:tab w:val="right" w:pos="9026" w:leader="dot"/>
            </w:tabs>
            <w:rPr/>
          </w:pPr>
          <w:hyperlink w:anchor="__RefHeading___Toc5148524_2314609296">
            <w:r>
              <w:rPr>
                <w:webHidden/>
                <w:rStyle w:val="IndexLink"/>
                <w:rtl w:val="true"/>
              </w:rPr>
              <w:t xml:space="preserve">الاُولی </w:t>
            </w:r>
            <w:r>
              <w:rPr>
                <w:rStyle w:val="IndexLink"/>
                <w:rtl w:val="true"/>
              </w:rPr>
              <w:t>[</w:t>
            </w:r>
            <w:r>
              <w:rPr>
                <w:rStyle w:val="IndexLink"/>
                <w:rtl w:val="true"/>
              </w:rPr>
              <w:t>فی معنی الخیار</w:t>
            </w:r>
            <w:r>
              <w:rPr>
                <w:rStyle w:val="IndexLink"/>
                <w:rtl w:val="true"/>
              </w:rPr>
              <w:t>]</w:t>
              <w:tab/>
            </w:r>
            <w:r>
              <w:rPr>
                <w:rStyle w:val="IndexLink"/>
              </w:rPr>
              <w:t>14</w:t>
            </w:r>
          </w:hyperlink>
        </w:p>
        <w:p>
          <w:pPr>
            <w:pStyle w:val="Contents4"/>
            <w:tabs>
              <w:tab w:val="clear" w:pos="8176"/>
              <w:tab w:val="right" w:pos="9026" w:leader="dot"/>
            </w:tabs>
            <w:rPr/>
          </w:pPr>
          <w:hyperlink w:anchor="__RefHeading___Toc5148526_2314609296">
            <w:r>
              <w:rPr>
                <w:webHidden/>
                <w:rStyle w:val="IndexLink"/>
                <w:rtl w:val="true"/>
              </w:rPr>
              <w:t xml:space="preserve">الثانیة </w:t>
            </w:r>
            <w:r>
              <w:rPr>
                <w:rStyle w:val="IndexLink"/>
                <w:rtl w:val="true"/>
              </w:rPr>
              <w:t>[</w:t>
            </w:r>
            <w:r>
              <w:rPr>
                <w:rStyle w:val="IndexLink"/>
                <w:rtl w:val="true"/>
              </w:rPr>
              <w:t>الأصل فی البیع اللزوم</w:t>
            </w:r>
            <w:r>
              <w:rPr>
                <w:rStyle w:val="IndexLink"/>
                <w:rtl w:val="true"/>
              </w:rPr>
              <w:t>]</w:t>
              <w:tab/>
            </w:r>
            <w:r>
              <w:rPr>
                <w:rStyle w:val="IndexLink"/>
              </w:rPr>
              <w:t>16</w:t>
            </w:r>
          </w:hyperlink>
        </w:p>
        <w:p>
          <w:pPr>
            <w:pStyle w:val="Contents5"/>
            <w:tabs>
              <w:tab w:val="clear" w:pos="7892"/>
              <w:tab w:val="right" w:pos="9026" w:leader="dot"/>
            </w:tabs>
            <w:rPr/>
          </w:pPr>
          <w:hyperlink w:anchor="__RefHeading___Toc5148528_2314609296">
            <w:r>
              <w:rPr>
                <w:webHidden/>
                <w:rStyle w:val="IndexLink"/>
                <w:rtl w:val="true"/>
              </w:rPr>
              <w:t>اشاره</w:t>
            </w:r>
            <w:r>
              <w:rPr>
                <w:rStyle w:val="IndexLink"/>
                <w:rtl w:val="true"/>
              </w:rPr>
              <w:tab/>
            </w:r>
            <w:r>
              <w:rPr>
                <w:rStyle w:val="IndexLink"/>
              </w:rPr>
              <w:t>16</w:t>
            </w:r>
          </w:hyperlink>
        </w:p>
        <w:p>
          <w:pPr>
            <w:pStyle w:val="Contents5"/>
            <w:tabs>
              <w:tab w:val="clear" w:pos="7892"/>
              <w:tab w:val="right" w:pos="9026" w:leader="dot"/>
            </w:tabs>
            <w:rPr/>
          </w:pPr>
          <w:hyperlink w:anchor="__RefHeading___Toc5148530_2314609296">
            <w:r>
              <w:rPr>
                <w:webHidden/>
                <w:rStyle w:val="IndexLink"/>
                <w:rtl w:val="true"/>
              </w:rPr>
              <w:t>[</w:t>
            </w:r>
            <w:r>
              <w:rPr>
                <w:rStyle w:val="IndexLink"/>
                <w:rtl w:val="true"/>
              </w:rPr>
              <w:t>معانی الأصل</w:t>
            </w:r>
            <w:r>
              <w:rPr>
                <w:rStyle w:val="IndexLink"/>
                <w:rtl w:val="true"/>
              </w:rPr>
              <w:t>]</w:t>
              <w:tab/>
            </w:r>
            <w:r>
              <w:rPr>
                <w:rStyle w:val="IndexLink"/>
              </w:rPr>
              <w:t>16</w:t>
            </w:r>
          </w:hyperlink>
        </w:p>
        <w:p>
          <w:pPr>
            <w:pStyle w:val="Contents6"/>
            <w:tabs>
              <w:tab w:val="clear" w:pos="7609"/>
              <w:tab w:val="right" w:pos="9026" w:leader="dot"/>
            </w:tabs>
            <w:rPr/>
          </w:pPr>
          <w:hyperlink w:anchor="__RefHeading___Toc5148532_2314609296">
            <w:r>
              <w:rPr>
                <w:webHidden/>
                <w:rStyle w:val="IndexLink"/>
                <w:rtl w:val="true"/>
              </w:rPr>
              <w:t>اشاره</w:t>
            </w:r>
            <w:r>
              <w:rPr>
                <w:rStyle w:val="IndexLink"/>
                <w:rtl w:val="true"/>
              </w:rPr>
              <w:tab/>
            </w:r>
            <w:r>
              <w:rPr>
                <w:rStyle w:val="IndexLink"/>
              </w:rPr>
              <w:t>16</w:t>
            </w:r>
          </w:hyperlink>
        </w:p>
        <w:p>
          <w:pPr>
            <w:pStyle w:val="Contents6"/>
            <w:tabs>
              <w:tab w:val="clear" w:pos="7609"/>
              <w:tab w:val="right" w:pos="9026" w:leader="dot"/>
            </w:tabs>
            <w:rPr/>
          </w:pPr>
          <w:hyperlink w:anchor="__RefHeading___Toc5148534_2314609296">
            <w:r>
              <w:rPr>
                <w:webHidden/>
                <w:rStyle w:val="IndexLink"/>
                <w:rtl w:val="true"/>
              </w:rPr>
              <w:t>الأوّل</w:t>
            </w:r>
            <w:r>
              <w:rPr>
                <w:rStyle w:val="IndexLink"/>
                <w:rtl w:val="true"/>
              </w:rPr>
              <w:t>:</w:t>
            </w:r>
            <w:r>
              <w:rPr>
                <w:rStyle w:val="IndexLink"/>
                <w:rtl w:val="true"/>
              </w:rPr>
              <w:t>الراجح،</w:t>
            </w:r>
            <w:r>
              <w:rPr>
                <w:rStyle w:val="IndexLink"/>
                <w:rtl w:val="true"/>
              </w:rPr>
              <w:tab/>
            </w:r>
            <w:r>
              <w:rPr>
                <w:rStyle w:val="IndexLink"/>
              </w:rPr>
              <w:t>16</w:t>
            </w:r>
          </w:hyperlink>
        </w:p>
        <w:p>
          <w:pPr>
            <w:pStyle w:val="Contents6"/>
            <w:tabs>
              <w:tab w:val="clear" w:pos="7609"/>
              <w:tab w:val="right" w:pos="9026" w:leader="dot"/>
            </w:tabs>
            <w:rPr/>
          </w:pPr>
          <w:hyperlink w:anchor="__RefHeading___Toc5148536_2314609296">
            <w:r>
              <w:rPr>
                <w:webHidden/>
                <w:rStyle w:val="IndexLink"/>
                <w:rtl w:val="true"/>
              </w:rPr>
              <w:t>الثانی</w:t>
            </w:r>
            <w:r>
              <w:rPr>
                <w:rStyle w:val="IndexLink"/>
                <w:rtl w:val="true"/>
              </w:rPr>
              <w:t>:</w:t>
            </w:r>
            <w:r>
              <w:rPr>
                <w:rStyle w:val="IndexLink"/>
                <w:rtl w:val="true"/>
              </w:rPr>
              <w:t>القاعدة المستفادة من العمومات التی یجب الرجوع إلیها عند الشکّ فی بعض الأفراد أو بعض الأحوال</w:t>
            </w:r>
            <w:r>
              <w:rPr>
                <w:rStyle w:val="IndexLink"/>
                <w:rtl w:val="true"/>
              </w:rPr>
              <w:tab/>
            </w:r>
            <w:r>
              <w:rPr>
                <w:rStyle w:val="IndexLink"/>
              </w:rPr>
              <w:t>17</w:t>
            </w:r>
          </w:hyperlink>
        </w:p>
        <w:p>
          <w:pPr>
            <w:pStyle w:val="Contents6"/>
            <w:tabs>
              <w:tab w:val="clear" w:pos="7609"/>
              <w:tab w:val="right" w:pos="9026" w:leader="dot"/>
            </w:tabs>
            <w:rPr/>
          </w:pPr>
          <w:hyperlink w:anchor="__RefHeading___Toc5148538_2314609296">
            <w:r>
              <w:rPr>
                <w:webHidden/>
                <w:rStyle w:val="IndexLink"/>
                <w:rtl w:val="true"/>
              </w:rPr>
              <w:t>الثالث</w:t>
            </w:r>
            <w:r>
              <w:rPr>
                <w:rStyle w:val="IndexLink"/>
                <w:rtl w:val="true"/>
              </w:rPr>
              <w:t>:</w:t>
            </w:r>
            <w:r>
              <w:rPr>
                <w:rStyle w:val="IndexLink"/>
                <w:rtl w:val="true"/>
              </w:rPr>
              <w:t>الاستصحاب</w:t>
            </w:r>
            <w:r>
              <w:rPr>
                <w:rStyle w:val="IndexLink"/>
                <w:rtl w:val="true"/>
              </w:rPr>
              <w:tab/>
            </w:r>
            <w:r>
              <w:rPr>
                <w:rStyle w:val="IndexLink"/>
              </w:rPr>
              <w:t>17</w:t>
            </w:r>
          </w:hyperlink>
        </w:p>
        <w:p>
          <w:pPr>
            <w:pStyle w:val="Contents6"/>
            <w:tabs>
              <w:tab w:val="clear" w:pos="7609"/>
              <w:tab w:val="right" w:pos="9026" w:leader="dot"/>
            </w:tabs>
            <w:rPr/>
          </w:pPr>
          <w:hyperlink w:anchor="__RefHeading___Toc5148540_2314609296">
            <w:r>
              <w:rPr>
                <w:webHidden/>
                <w:rStyle w:val="IndexLink"/>
                <w:rtl w:val="true"/>
              </w:rPr>
              <w:t>الرابع</w:t>
            </w:r>
            <w:r>
              <w:rPr>
                <w:rStyle w:val="IndexLink"/>
                <w:rtl w:val="true"/>
              </w:rPr>
              <w:t>:</w:t>
            </w:r>
            <w:r>
              <w:rPr>
                <w:rStyle w:val="IndexLink"/>
                <w:rtl w:val="true"/>
              </w:rPr>
              <w:t>المعنی اللغوی،</w:t>
            </w:r>
            <w:r>
              <w:rPr>
                <w:rStyle w:val="IndexLink"/>
                <w:rtl w:val="true"/>
              </w:rPr>
              <w:tab/>
            </w:r>
            <w:r>
              <w:rPr>
                <w:rStyle w:val="IndexLink"/>
              </w:rPr>
              <w:t>17</w:t>
            </w:r>
          </w:hyperlink>
        </w:p>
        <w:p>
          <w:pPr>
            <w:pStyle w:val="Contents6"/>
            <w:tabs>
              <w:tab w:val="clear" w:pos="7609"/>
              <w:tab w:val="right" w:pos="9026" w:leader="dot"/>
            </w:tabs>
            <w:rPr/>
          </w:pPr>
          <w:hyperlink w:anchor="__RefHeading___Toc5148542_2314609296">
            <w:r>
              <w:rPr>
                <w:webHidden/>
                <w:rStyle w:val="IndexLink"/>
                <w:rtl w:val="true"/>
              </w:rPr>
              <w:t>بقی الکلام فی معنی قول العلّامة فی القواعد و التذکرة</w:t>
            </w:r>
            <w:r>
              <w:rPr>
                <w:rStyle w:val="IndexLink"/>
                <w:rtl w:val="true"/>
              </w:rPr>
              <w:t>:</w:t>
              <w:tab/>
            </w:r>
            <w:r>
              <w:rPr>
                <w:rStyle w:val="IndexLink"/>
              </w:rPr>
              <w:t>18</w:t>
            </w:r>
          </w:hyperlink>
        </w:p>
        <w:p>
          <w:pPr>
            <w:pStyle w:val="Contents5"/>
            <w:tabs>
              <w:tab w:val="clear" w:pos="7892"/>
              <w:tab w:val="right" w:pos="9026" w:leader="dot"/>
            </w:tabs>
            <w:rPr/>
          </w:pPr>
          <w:hyperlink w:anchor="__RefHeading___Toc5148544_2314609296">
            <w:r>
              <w:rPr>
                <w:webHidden/>
                <w:rStyle w:val="IndexLink"/>
                <w:rtl w:val="true"/>
              </w:rPr>
              <w:t>[</w:t>
            </w:r>
            <w:r>
              <w:rPr>
                <w:rStyle w:val="IndexLink"/>
                <w:rtl w:val="true"/>
              </w:rPr>
              <w:t>الأدلة علی أصالة اللزوم</w:t>
            </w:r>
            <w:r>
              <w:rPr>
                <w:rStyle w:val="IndexLink"/>
                <w:rtl w:val="true"/>
              </w:rPr>
              <w:t>]</w:t>
              <w:tab/>
            </w:r>
            <w:r>
              <w:rPr>
                <w:rStyle w:val="IndexLink"/>
              </w:rPr>
              <w:t>20</w:t>
            </w:r>
          </w:hyperlink>
        </w:p>
        <w:p>
          <w:pPr>
            <w:pStyle w:val="Contents6"/>
            <w:tabs>
              <w:tab w:val="clear" w:pos="7609"/>
              <w:tab w:val="right" w:pos="9026" w:leader="dot"/>
            </w:tabs>
            <w:rPr/>
          </w:pPr>
          <w:hyperlink w:anchor="__RefHeading___Toc5148546_2314609296">
            <w:r>
              <w:rPr>
                <w:webHidden/>
                <w:rStyle w:val="IndexLink"/>
                <w:rtl w:val="true"/>
              </w:rPr>
              <w:t>اشاره</w:t>
            </w:r>
            <w:r>
              <w:rPr>
                <w:rStyle w:val="IndexLink"/>
                <w:rtl w:val="true"/>
              </w:rPr>
              <w:tab/>
            </w:r>
            <w:r>
              <w:rPr>
                <w:rStyle w:val="IndexLink"/>
              </w:rPr>
              <w:t>20</w:t>
            </w:r>
          </w:hyperlink>
        </w:p>
        <w:p>
          <w:pPr>
            <w:pStyle w:val="Contents6"/>
            <w:tabs>
              <w:tab w:val="clear" w:pos="7609"/>
              <w:tab w:val="right" w:pos="9026" w:leader="dot"/>
            </w:tabs>
            <w:rPr/>
          </w:pPr>
          <w:hyperlink w:anchor="__RefHeading___Toc5148548_2314609296">
            <w:r>
              <w:rPr>
                <w:webHidden/>
                <w:rStyle w:val="IndexLink"/>
                <w:rtl w:val="true"/>
              </w:rPr>
              <w:t>[</w:t>
            </w:r>
            <w:r>
              <w:rPr>
                <w:rStyle w:val="IndexLink"/>
                <w:rtl w:val="true"/>
              </w:rPr>
              <w:t>الاستدلال بآیة أوفوا بالعقود</w:t>
            </w:r>
            <w:r>
              <w:rPr>
                <w:rStyle w:val="IndexLink"/>
                <w:rtl w:val="true"/>
              </w:rPr>
              <w:t>]</w:t>
              <w:tab/>
            </w:r>
            <w:r>
              <w:rPr>
                <w:rStyle w:val="IndexLink"/>
              </w:rPr>
              <w:t>20</w:t>
            </w:r>
          </w:hyperlink>
        </w:p>
        <w:p>
          <w:pPr>
            <w:pStyle w:val="Contents6"/>
            <w:tabs>
              <w:tab w:val="clear" w:pos="7609"/>
              <w:tab w:val="right" w:pos="9026" w:leader="dot"/>
            </w:tabs>
            <w:rPr/>
          </w:pPr>
          <w:hyperlink w:anchor="__RefHeading___Toc5148550_2314609296">
            <w:r>
              <w:rPr>
                <w:webHidden/>
                <w:rStyle w:val="IndexLink"/>
                <w:rtl w:val="true"/>
              </w:rPr>
              <w:t>[</w:t>
            </w:r>
            <w:r>
              <w:rPr>
                <w:rStyle w:val="IndexLink"/>
                <w:rtl w:val="true"/>
              </w:rPr>
              <w:t>الاستدلال بآیة أحل الله البیع</w:t>
            </w:r>
            <w:r>
              <w:rPr>
                <w:rStyle w:val="IndexLink"/>
                <w:rtl w:val="true"/>
              </w:rPr>
              <w:t>]</w:t>
              <w:tab/>
            </w:r>
            <w:r>
              <w:rPr>
                <w:rStyle w:val="IndexLink"/>
              </w:rPr>
              <w:t>22</w:t>
            </w:r>
          </w:hyperlink>
        </w:p>
        <w:p>
          <w:pPr>
            <w:pStyle w:val="Contents6"/>
            <w:tabs>
              <w:tab w:val="clear" w:pos="7609"/>
              <w:tab w:val="right" w:pos="9026" w:leader="dot"/>
            </w:tabs>
            <w:rPr/>
          </w:pPr>
          <w:hyperlink w:anchor="__RefHeading___Toc5148552_2314609296">
            <w:r>
              <w:rPr>
                <w:webHidden/>
                <w:rStyle w:val="IndexLink"/>
                <w:rtl w:val="true"/>
              </w:rPr>
              <w:t>[</w:t>
            </w:r>
            <w:r>
              <w:rPr>
                <w:rStyle w:val="IndexLink"/>
                <w:rtl w:val="true"/>
              </w:rPr>
              <w:t>الاستدلال بآیة تجارة عن تراض</w:t>
            </w:r>
            <w:r>
              <w:rPr>
                <w:rStyle w:val="IndexLink"/>
                <w:rtl w:val="true"/>
              </w:rPr>
              <w:t>]</w:t>
              <w:tab/>
            </w:r>
            <w:r>
              <w:rPr>
                <w:rStyle w:val="IndexLink"/>
              </w:rPr>
              <w:t>22</w:t>
            </w:r>
          </w:hyperlink>
        </w:p>
        <w:p>
          <w:pPr>
            <w:pStyle w:val="Contents6"/>
            <w:tabs>
              <w:tab w:val="clear" w:pos="7609"/>
              <w:tab w:val="right" w:pos="9026" w:leader="dot"/>
            </w:tabs>
            <w:rPr/>
          </w:pPr>
          <w:hyperlink w:anchor="__RefHeading___Toc5148554_2314609296">
            <w:r>
              <w:rPr>
                <w:webHidden/>
                <w:rStyle w:val="IndexLink"/>
                <w:rtl w:val="true"/>
              </w:rPr>
              <w:t>[</w:t>
            </w:r>
            <w:r>
              <w:rPr>
                <w:rStyle w:val="IndexLink"/>
                <w:rtl w:val="true"/>
              </w:rPr>
              <w:t>الاستدلال بآیة أکل المال بالباطل</w:t>
            </w:r>
            <w:r>
              <w:rPr>
                <w:rStyle w:val="IndexLink"/>
                <w:rtl w:val="true"/>
              </w:rPr>
              <w:t>]</w:t>
              <w:tab/>
            </w:r>
            <w:r>
              <w:rPr>
                <w:rStyle w:val="IndexLink"/>
              </w:rPr>
              <w:t>23</w:t>
            </w:r>
          </w:hyperlink>
        </w:p>
        <w:p>
          <w:pPr>
            <w:pStyle w:val="Contents6"/>
            <w:tabs>
              <w:tab w:val="clear" w:pos="7609"/>
              <w:tab w:val="right" w:pos="9026" w:leader="dot"/>
            </w:tabs>
            <w:rPr/>
          </w:pPr>
          <w:hyperlink w:anchor="__RefHeading___Toc5148556_2314609296">
            <w:r>
              <w:rPr>
                <w:webHidden/>
                <w:rStyle w:val="IndexLink"/>
                <w:rtl w:val="true"/>
              </w:rPr>
              <w:t>[</w:t>
            </w:r>
            <w:r>
              <w:rPr>
                <w:rStyle w:val="IndexLink"/>
                <w:rtl w:val="true"/>
              </w:rPr>
              <w:t>الاستدلال بروایتی لا یحل مال امرئ مسلم و الناس مسلطون</w:t>
            </w:r>
            <w:r>
              <w:rPr>
                <w:rStyle w:val="IndexLink"/>
                <w:rtl w:val="true"/>
              </w:rPr>
              <w:t>]</w:t>
              <w:tab/>
            </w:r>
            <w:r>
              <w:rPr>
                <w:rStyle w:val="IndexLink"/>
              </w:rPr>
              <w:t>23</w:t>
            </w:r>
          </w:hyperlink>
        </w:p>
        <w:p>
          <w:pPr>
            <w:pStyle w:val="Contents6"/>
            <w:tabs>
              <w:tab w:val="clear" w:pos="7609"/>
              <w:tab w:val="right" w:pos="9026" w:leader="dot"/>
            </w:tabs>
            <w:rPr/>
          </w:pPr>
          <w:hyperlink w:anchor="__RefHeading___Toc5148558_2314609296">
            <w:r>
              <w:rPr>
                <w:webHidden/>
                <w:rStyle w:val="IndexLink"/>
                <w:rtl w:val="true"/>
              </w:rPr>
              <w:t>[</w:t>
            </w:r>
            <w:r>
              <w:rPr>
                <w:rStyle w:val="IndexLink"/>
                <w:rtl w:val="true"/>
              </w:rPr>
              <w:t>الاستدلال بروایة المؤمنون عند شروطهم</w:t>
            </w:r>
            <w:r>
              <w:rPr>
                <w:rStyle w:val="IndexLink"/>
                <w:rtl w:val="true"/>
              </w:rPr>
              <w:t>]</w:t>
              <w:tab/>
            </w:r>
            <w:r>
              <w:rPr>
                <w:rStyle w:val="IndexLink"/>
              </w:rPr>
              <w:t>24</w:t>
            </w:r>
          </w:hyperlink>
        </w:p>
        <w:p>
          <w:pPr>
            <w:pStyle w:val="Contents6"/>
            <w:tabs>
              <w:tab w:val="clear" w:pos="7609"/>
              <w:tab w:val="right" w:pos="9026" w:leader="dot"/>
            </w:tabs>
            <w:rPr/>
          </w:pPr>
          <w:hyperlink w:anchor="__RefHeading___Toc5148560_2314609296">
            <w:r>
              <w:rPr>
                <w:webHidden/>
                <w:rStyle w:val="IndexLink"/>
                <w:rtl w:val="true"/>
              </w:rPr>
              <w:t>و منها</w:t>
            </w:r>
            <w:r>
              <w:rPr>
                <w:rStyle w:val="IndexLink"/>
                <w:rtl w:val="true"/>
              </w:rPr>
              <w:t>:</w:t>
            </w:r>
            <w:r>
              <w:rPr>
                <w:rStyle w:val="IndexLink"/>
                <w:rtl w:val="true"/>
              </w:rPr>
              <w:t>الأخبار المستفیضة</w:t>
            </w:r>
            <w:r>
              <w:rPr>
                <w:rStyle w:val="IndexLink"/>
                <w:rtl w:val="true"/>
              </w:rPr>
              <w:tab/>
            </w:r>
            <w:r>
              <w:rPr>
                <w:rStyle w:val="IndexLink"/>
              </w:rPr>
              <w:t>25</w:t>
            </w:r>
          </w:hyperlink>
        </w:p>
        <w:p>
          <w:pPr>
            <w:pStyle w:val="Contents6"/>
            <w:tabs>
              <w:tab w:val="clear" w:pos="7609"/>
              <w:tab w:val="right" w:pos="9026" w:leader="dot"/>
            </w:tabs>
            <w:rPr/>
          </w:pPr>
          <w:hyperlink w:anchor="__RefHeading___Toc5148562_2314609296">
            <w:r>
              <w:rPr>
                <w:webHidden/>
                <w:rStyle w:val="IndexLink"/>
                <w:rtl w:val="true"/>
              </w:rPr>
              <w:t>[</w:t>
            </w:r>
            <w:r>
              <w:rPr>
                <w:rStyle w:val="IndexLink"/>
                <w:rtl w:val="true"/>
              </w:rPr>
              <w:t>مقتضی الاستصحاب أیضا اللزوم</w:t>
            </w:r>
            <w:r>
              <w:rPr>
                <w:rStyle w:val="IndexLink"/>
                <w:rtl w:val="true"/>
              </w:rPr>
              <w:t>]</w:t>
              <w:tab/>
            </w:r>
            <w:r>
              <w:rPr>
                <w:rStyle w:val="IndexLink"/>
              </w:rPr>
              <w:t>25</w:t>
            </w:r>
          </w:hyperlink>
        </w:p>
        <w:p>
          <w:pPr>
            <w:pStyle w:val="Contents5"/>
            <w:tabs>
              <w:tab w:val="clear" w:pos="7892"/>
              <w:tab w:val="right" w:pos="9026" w:leader="dot"/>
            </w:tabs>
            <w:rPr/>
          </w:pPr>
          <w:hyperlink w:anchor="__RefHeading___Toc5148564_2314609296">
            <w:r>
              <w:rPr>
                <w:webHidden/>
                <w:rStyle w:val="IndexLink"/>
                <w:rtl w:val="true"/>
              </w:rPr>
              <w:t>[</w:t>
            </w:r>
            <w:r>
              <w:rPr>
                <w:rStyle w:val="IndexLink"/>
                <w:rtl w:val="true"/>
              </w:rPr>
              <w:t>ظاهر المختلف أن الأصل عدم اللزوم و المناقشة فیه</w:t>
            </w:r>
            <w:r>
              <w:rPr>
                <w:rStyle w:val="IndexLink"/>
                <w:rtl w:val="true"/>
              </w:rPr>
              <w:t>]</w:t>
              <w:tab/>
            </w:r>
            <w:r>
              <w:rPr>
                <w:rStyle w:val="IndexLink"/>
              </w:rPr>
              <w:t>26</w:t>
            </w:r>
          </w:hyperlink>
        </w:p>
        <w:p>
          <w:pPr>
            <w:pStyle w:val="Contents5"/>
            <w:tabs>
              <w:tab w:val="clear" w:pos="7892"/>
              <w:tab w:val="right" w:pos="9026" w:leader="dot"/>
            </w:tabs>
            <w:rPr/>
          </w:pPr>
          <w:hyperlink w:anchor="__RefHeading___Toc5148566_2314609296">
            <w:r>
              <w:rPr>
                <w:webHidden/>
                <w:rStyle w:val="IndexLink"/>
                <w:rtl w:val="true"/>
              </w:rPr>
              <w:t>[</w:t>
            </w:r>
            <w:r>
              <w:rPr>
                <w:rStyle w:val="IndexLink"/>
                <w:rtl w:val="true"/>
              </w:rPr>
              <w:t>إذا شک فی عقد أنه من مصادیق العقد اللازم أو الجائز</w:t>
            </w:r>
            <w:r>
              <w:rPr>
                <w:rStyle w:val="IndexLink"/>
                <w:rtl w:val="true"/>
              </w:rPr>
              <w:t>]</w:t>
              <w:tab/>
            </w:r>
            <w:r>
              <w:rPr>
                <w:rStyle w:val="IndexLink"/>
              </w:rPr>
              <w:t>27</w:t>
            </w:r>
          </w:hyperlink>
        </w:p>
        <w:p>
          <w:pPr>
            <w:pStyle w:val="Contents3"/>
            <w:tabs>
              <w:tab w:val="clear" w:pos="8459"/>
              <w:tab w:val="right" w:pos="9026" w:leader="dot"/>
            </w:tabs>
            <w:rPr/>
          </w:pPr>
          <w:hyperlink w:anchor="__RefHeading___Toc5148568_2314609296">
            <w:r>
              <w:rPr>
                <w:webHidden/>
                <w:rStyle w:val="IndexLink"/>
                <w:rtl w:val="true"/>
              </w:rPr>
              <w:t>فی أقسام الخیار</w:t>
            </w:r>
            <w:r>
              <w:rPr>
                <w:rStyle w:val="IndexLink"/>
                <w:rtl w:val="true"/>
              </w:rPr>
              <w:tab/>
            </w:r>
            <w:r>
              <w:rPr>
                <w:rStyle w:val="IndexLink"/>
              </w:rPr>
              <w:t>28</w:t>
            </w:r>
          </w:hyperlink>
        </w:p>
        <w:p>
          <w:pPr>
            <w:pStyle w:val="Contents4"/>
            <w:tabs>
              <w:tab w:val="clear" w:pos="8176"/>
              <w:tab w:val="right" w:pos="9026" w:leader="dot"/>
            </w:tabs>
            <w:rPr/>
          </w:pPr>
          <w:hyperlink w:anchor="__RefHeading___Toc5148570_2314609296">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5148572_2314609296">
            <w:r>
              <w:rPr>
                <w:webHidden/>
                <w:rStyle w:val="IndexLink"/>
                <w:rtl w:val="true"/>
              </w:rPr>
              <w:t>الأوّل فی خیار المجلس</w:t>
            </w:r>
            <w:r>
              <w:rPr>
                <w:rStyle w:val="IndexLink"/>
                <w:rtl w:val="true"/>
              </w:rPr>
              <w:tab/>
            </w:r>
            <w:r>
              <w:rPr>
                <w:rStyle w:val="IndexLink"/>
              </w:rPr>
              <w:t>29</w:t>
            </w:r>
          </w:hyperlink>
        </w:p>
        <w:p>
          <w:pPr>
            <w:pStyle w:val="Contents5"/>
            <w:tabs>
              <w:tab w:val="clear" w:pos="7892"/>
              <w:tab w:val="right" w:pos="9026" w:leader="dot"/>
            </w:tabs>
            <w:rPr/>
          </w:pPr>
          <w:hyperlink w:anchor="__RefHeading___Toc5148574_2314609296">
            <w:r>
              <w:rPr>
                <w:webHidden/>
                <w:rStyle w:val="IndexLink"/>
                <w:rtl w:val="true"/>
              </w:rPr>
              <w:t>اشاره</w:t>
            </w:r>
            <w:r>
              <w:rPr>
                <w:rStyle w:val="IndexLink"/>
                <w:rtl w:val="true"/>
              </w:rPr>
              <w:tab/>
            </w:r>
            <w:r>
              <w:rPr>
                <w:rStyle w:val="IndexLink"/>
              </w:rPr>
              <w:t>29</w:t>
            </w:r>
          </w:hyperlink>
        </w:p>
        <w:p>
          <w:pPr>
            <w:pStyle w:val="Contents5"/>
            <w:tabs>
              <w:tab w:val="clear" w:pos="7892"/>
              <w:tab w:val="right" w:pos="9026" w:leader="dot"/>
            </w:tabs>
            <w:rPr/>
          </w:pPr>
          <w:hyperlink w:anchor="__RefHeading___Toc5148576_2314609296">
            <w:r>
              <w:rPr>
                <w:webHidden/>
                <w:rStyle w:val="IndexLink"/>
                <w:rtl w:val="true"/>
              </w:rPr>
              <w:t>و تنقیح مباحث هذا الخیار و مسقطاته یحصل برسم مسائل</w:t>
            </w:r>
            <w:r>
              <w:rPr>
                <w:rStyle w:val="IndexLink"/>
                <w:rtl w:val="true"/>
              </w:rPr>
              <w:t>:</w:t>
              <w:tab/>
            </w:r>
            <w:r>
              <w:rPr>
                <w:rStyle w:val="IndexLink"/>
              </w:rPr>
              <w:t>29</w:t>
            </w:r>
          </w:hyperlink>
        </w:p>
        <w:p>
          <w:pPr>
            <w:pStyle w:val="Contents6"/>
            <w:tabs>
              <w:tab w:val="clear" w:pos="7609"/>
              <w:tab w:val="right" w:pos="9026" w:leader="dot"/>
            </w:tabs>
            <w:rPr/>
          </w:pPr>
          <w:hyperlink w:anchor="__RefHeading___Toc5148578_2314609296">
            <w:r>
              <w:rPr>
                <w:webHidden/>
                <w:rStyle w:val="IndexLink"/>
                <w:rtl w:val="true"/>
              </w:rPr>
              <w:t>اشاره</w:t>
            </w:r>
            <w:r>
              <w:rPr>
                <w:rStyle w:val="IndexLink"/>
                <w:rtl w:val="true"/>
              </w:rPr>
              <w:tab/>
            </w:r>
            <w:r>
              <w:rPr>
                <w:rStyle w:val="IndexLink"/>
              </w:rPr>
              <w:t>29</w:t>
            </w:r>
          </w:hyperlink>
        </w:p>
        <w:p>
          <w:pPr>
            <w:pStyle w:val="Contents6"/>
            <w:tabs>
              <w:tab w:val="clear" w:pos="7609"/>
              <w:tab w:val="right" w:pos="9026" w:leader="dot"/>
            </w:tabs>
            <w:rPr/>
          </w:pPr>
          <w:hyperlink w:anchor="__RefHeading___Toc5148580_2314609296">
            <w:r>
              <w:rPr>
                <w:webHidden/>
                <w:rStyle w:val="IndexLink"/>
                <w:rtl w:val="true"/>
              </w:rPr>
              <w:t>[</w:t>
            </w:r>
            <w:r>
              <w:rPr>
                <w:rStyle w:val="IndexLink"/>
                <w:rtl w:val="true"/>
              </w:rPr>
              <w:t>مسائل فی خیار المجلس</w:t>
            </w:r>
            <w:r>
              <w:rPr>
                <w:rStyle w:val="IndexLink"/>
                <w:rtl w:val="true"/>
              </w:rPr>
              <w:t>]</w:t>
              <w:tab/>
            </w:r>
            <w:r>
              <w:rPr>
                <w:rStyle w:val="IndexLink"/>
              </w:rPr>
              <w:t>30</w:t>
            </w:r>
          </w:hyperlink>
        </w:p>
        <w:p>
          <w:pPr>
            <w:pStyle w:val="Contents6"/>
            <w:tabs>
              <w:tab w:val="clear" w:pos="7609"/>
              <w:tab w:val="right" w:pos="9026" w:leader="dot"/>
            </w:tabs>
            <w:rPr/>
          </w:pPr>
          <w:hyperlink w:anchor="__RefHeading___Toc5148582_2314609296">
            <w:r>
              <w:rPr>
                <w:webHidden/>
                <w:rStyle w:val="IndexLink"/>
                <w:rtl w:val="true"/>
              </w:rPr>
              <w:t>مسألة لا إشکال فی ثبوته للمتبایعین إذا کانا أصیلین،</w:t>
            </w:r>
            <w:r>
              <w:rPr>
                <w:rStyle w:val="IndexLink"/>
                <w:rtl w:val="true"/>
              </w:rPr>
              <w:tab/>
            </w:r>
            <w:r>
              <w:rPr>
                <w:rStyle w:val="IndexLink"/>
              </w:rPr>
              <w:t>30</w:t>
            </w:r>
          </w:hyperlink>
        </w:p>
        <w:p>
          <w:pPr>
            <w:pStyle w:val="Contents6"/>
            <w:tabs>
              <w:tab w:val="clear" w:pos="7609"/>
              <w:tab w:val="right" w:pos="9026" w:leader="dot"/>
            </w:tabs>
            <w:rPr/>
          </w:pPr>
          <w:hyperlink w:anchor="__RefHeading___Toc5148584_2314609296">
            <w:r>
              <w:rPr>
                <w:webHidden/>
                <w:rStyle w:val="IndexLink"/>
                <w:rtl w:val="true"/>
              </w:rPr>
              <w:t>[</w:t>
            </w:r>
            <w:r>
              <w:rPr>
                <w:rStyle w:val="IndexLink"/>
                <w:rtl w:val="true"/>
              </w:rPr>
              <w:t>أقسام الوکیل</w:t>
            </w:r>
            <w:r>
              <w:rPr>
                <w:rStyle w:val="IndexLink"/>
                <w:rtl w:val="true"/>
              </w:rPr>
              <w:t>]</w:t>
              <w:tab/>
            </w:r>
            <w:r>
              <w:rPr>
                <w:rStyle w:val="IndexLink"/>
              </w:rPr>
              <w:t>30</w:t>
            </w:r>
          </w:hyperlink>
        </w:p>
        <w:p>
          <w:pPr>
            <w:pStyle w:val="Contents6"/>
            <w:tabs>
              <w:tab w:val="clear" w:pos="7609"/>
              <w:tab w:val="right" w:pos="9026" w:leader="dot"/>
            </w:tabs>
            <w:rPr/>
          </w:pPr>
          <w:hyperlink w:anchor="__RefHeading___Toc5148586_2314609296">
            <w:r>
              <w:rPr>
                <w:webHidden/>
                <w:rStyle w:val="IndexLink"/>
                <w:rtl w:val="true"/>
              </w:rPr>
              <w:t>[</w:t>
            </w:r>
            <w:r>
              <w:rPr>
                <w:rStyle w:val="IndexLink"/>
              </w:rPr>
              <w:t>1</w:t>
            </w:r>
            <w:r>
              <w:rPr>
                <w:rStyle w:val="IndexLink"/>
                <w:rtl w:val="true"/>
              </w:rPr>
              <w:t>-</w:t>
            </w:r>
            <w:r>
              <w:rPr>
                <w:rStyle w:val="IndexLink"/>
                <w:rtl w:val="true"/>
              </w:rPr>
              <w:t>أن یکون وکیلا فی مجرد إجراء العقد</w:t>
            </w:r>
            <w:r>
              <w:rPr>
                <w:rStyle w:val="IndexLink"/>
                <w:rtl w:val="true"/>
              </w:rPr>
              <w:t>]</w:t>
              <w:tab/>
            </w:r>
            <w:r>
              <w:rPr>
                <w:rStyle w:val="IndexLink"/>
              </w:rPr>
              <w:t>30</w:t>
            </w:r>
          </w:hyperlink>
        </w:p>
        <w:p>
          <w:pPr>
            <w:pStyle w:val="Contents6"/>
            <w:tabs>
              <w:tab w:val="clear" w:pos="7609"/>
              <w:tab w:val="right" w:pos="9026" w:leader="dot"/>
            </w:tabs>
            <w:rPr/>
          </w:pPr>
          <w:hyperlink w:anchor="__RefHeading___Toc5148588_2314609296">
            <w:r>
              <w:rPr>
                <w:webHidden/>
                <w:rStyle w:val="IndexLink"/>
                <w:rtl w:val="true"/>
              </w:rPr>
              <w:t>[</w:t>
            </w:r>
            <w:r>
              <w:rPr>
                <w:rStyle w:val="IndexLink"/>
              </w:rPr>
              <w:t>2</w:t>
            </w:r>
            <w:r>
              <w:rPr>
                <w:rStyle w:val="IndexLink"/>
                <w:rtl w:val="true"/>
              </w:rPr>
              <w:t>-</w:t>
            </w:r>
            <w:r>
              <w:rPr>
                <w:rStyle w:val="IndexLink"/>
                <w:rtl w:val="true"/>
              </w:rPr>
              <w:t>أن یکون وکیلا مستقلا فی التصرف المالی</w:t>
            </w:r>
            <w:r>
              <w:rPr>
                <w:rStyle w:val="IndexLink"/>
                <w:rtl w:val="true"/>
              </w:rPr>
              <w:t>]</w:t>
              <w:tab/>
            </w:r>
            <w:r>
              <w:rPr>
                <w:rStyle w:val="IndexLink"/>
              </w:rPr>
              <w:t>32</w:t>
            </w:r>
          </w:hyperlink>
        </w:p>
        <w:p>
          <w:pPr>
            <w:pStyle w:val="Contents6"/>
            <w:tabs>
              <w:tab w:val="clear" w:pos="7609"/>
              <w:tab w:val="right" w:pos="9026" w:leader="dot"/>
            </w:tabs>
            <w:rPr/>
          </w:pPr>
          <w:hyperlink w:anchor="__RefHeading___Toc5148590_2314609296">
            <w:r>
              <w:rPr>
                <w:webHidden/>
                <w:rStyle w:val="IndexLink"/>
                <w:rtl w:val="true"/>
              </w:rPr>
              <w:t>[</w:t>
            </w:r>
            <w:r>
              <w:rPr>
                <w:rStyle w:val="IndexLink"/>
              </w:rPr>
              <w:t>3</w:t>
            </w:r>
            <w:r>
              <w:rPr>
                <w:rStyle w:val="IndexLink"/>
                <w:rtl w:val="true"/>
              </w:rPr>
              <w:t>-</w:t>
            </w:r>
            <w:r>
              <w:rPr>
                <w:rStyle w:val="IndexLink"/>
                <w:rtl w:val="true"/>
              </w:rPr>
              <w:t>أن لا یکون مستقلا فی التصرف</w:t>
            </w:r>
            <w:r>
              <w:rPr>
                <w:rStyle w:val="IndexLink"/>
                <w:rtl w:val="true"/>
              </w:rPr>
              <w:t>]</w:t>
              <w:tab/>
            </w:r>
            <w:r>
              <w:rPr>
                <w:rStyle w:val="IndexLink"/>
              </w:rPr>
              <w:t>34</w:t>
            </w:r>
          </w:hyperlink>
        </w:p>
        <w:p>
          <w:pPr>
            <w:pStyle w:val="Contents6"/>
            <w:tabs>
              <w:tab w:val="clear" w:pos="7609"/>
              <w:tab w:val="right" w:pos="9026" w:leader="dot"/>
            </w:tabs>
            <w:rPr/>
          </w:pPr>
          <w:hyperlink w:anchor="__RefHeading___Toc5148592_2314609296">
            <w:r>
              <w:rPr>
                <w:webHidden/>
                <w:rStyle w:val="IndexLink"/>
                <w:rtl w:val="true"/>
              </w:rPr>
              <w:t>[</w:t>
            </w:r>
            <w:r>
              <w:rPr>
                <w:rStyle w:val="IndexLink"/>
                <w:rtl w:val="true"/>
              </w:rPr>
              <w:t>هل للموکل تفویض حق الخیار إلی الوکیل؟</w:t>
            </w:r>
            <w:r>
              <w:rPr>
                <w:rStyle w:val="IndexLink"/>
                <w:rtl w:val="true"/>
              </w:rPr>
              <w:t>]</w:t>
              <w:tab/>
            </w:r>
            <w:r>
              <w:rPr>
                <w:rStyle w:val="IndexLink"/>
              </w:rPr>
              <w:t>34</w:t>
            </w:r>
          </w:hyperlink>
        </w:p>
        <w:p>
          <w:pPr>
            <w:pStyle w:val="Contents6"/>
            <w:tabs>
              <w:tab w:val="clear" w:pos="7609"/>
              <w:tab w:val="right" w:pos="9026" w:leader="dot"/>
            </w:tabs>
            <w:rPr/>
          </w:pPr>
          <w:hyperlink w:anchor="__RefHeading___Toc5148594_2314609296">
            <w:r>
              <w:rPr>
                <w:webHidden/>
                <w:rStyle w:val="IndexLink"/>
                <w:rtl w:val="true"/>
              </w:rPr>
              <w:t>[</w:t>
            </w:r>
            <w:r>
              <w:rPr>
                <w:rStyle w:val="IndexLink"/>
                <w:rtl w:val="true"/>
              </w:rPr>
              <w:t>عدم ثبوت الخیار للفضولی</w:t>
            </w:r>
            <w:r>
              <w:rPr>
                <w:rStyle w:val="IndexLink"/>
                <w:rtl w:val="true"/>
              </w:rPr>
              <w:t>]</w:t>
              <w:tab/>
            </w:r>
            <w:r>
              <w:rPr>
                <w:rStyle w:val="IndexLink"/>
              </w:rPr>
              <w:t>35</w:t>
            </w:r>
          </w:hyperlink>
        </w:p>
        <w:p>
          <w:pPr>
            <w:pStyle w:val="Contents6"/>
            <w:tabs>
              <w:tab w:val="clear" w:pos="7609"/>
              <w:tab w:val="right" w:pos="9026" w:leader="dot"/>
            </w:tabs>
            <w:rPr/>
          </w:pPr>
          <w:hyperlink w:anchor="__RefHeading___Toc5148596_2314609296">
            <w:r>
              <w:rPr>
                <w:webHidden/>
                <w:rStyle w:val="IndexLink"/>
                <w:rtl w:val="true"/>
              </w:rPr>
              <w:t xml:space="preserve">مسألة </w:t>
            </w:r>
            <w:r>
              <w:rPr>
                <w:rStyle w:val="IndexLink"/>
                <w:rtl w:val="true"/>
              </w:rPr>
              <w:t>[</w:t>
            </w:r>
            <w:r>
              <w:rPr>
                <w:rStyle w:val="IndexLink"/>
                <w:rtl w:val="true"/>
              </w:rPr>
              <w:t>هل یثبت الخیار إذا کان العاقد واحدا؟</w:t>
            </w:r>
            <w:r>
              <w:rPr>
                <w:rStyle w:val="IndexLink"/>
                <w:rtl w:val="true"/>
              </w:rPr>
              <w:t>]</w:t>
              <w:tab/>
            </w:r>
            <w:r>
              <w:rPr>
                <w:rStyle w:val="IndexLink"/>
              </w:rPr>
              <w:t>37</w:t>
            </w:r>
          </w:hyperlink>
        </w:p>
        <w:p>
          <w:pPr>
            <w:pStyle w:val="Contents6"/>
            <w:tabs>
              <w:tab w:val="clear" w:pos="7609"/>
              <w:tab w:val="right" w:pos="9026" w:leader="dot"/>
            </w:tabs>
            <w:rPr/>
          </w:pPr>
          <w:hyperlink w:anchor="__RefHeading___Toc5148598_2314609296">
            <w:r>
              <w:rPr>
                <w:webHidden/>
                <w:rStyle w:val="IndexLink"/>
                <w:rtl w:val="true"/>
              </w:rPr>
              <w:t>مسألة قد یستثنی بعض أشخاص المبیع عن عموم ثبوت هذا الخیار</w:t>
            </w:r>
            <w:r>
              <w:rPr>
                <w:rStyle w:val="IndexLink"/>
                <w:rtl w:val="true"/>
              </w:rPr>
              <w:t>:</w:t>
              <w:tab/>
            </w:r>
            <w:r>
              <w:rPr>
                <w:rStyle w:val="IndexLink"/>
              </w:rPr>
              <w:t>40</w:t>
            </w:r>
          </w:hyperlink>
        </w:p>
        <w:p>
          <w:pPr>
            <w:pStyle w:val="Contents6"/>
            <w:tabs>
              <w:tab w:val="clear" w:pos="7609"/>
              <w:tab w:val="right" w:pos="9026" w:leader="dot"/>
            </w:tabs>
            <w:rPr/>
          </w:pPr>
          <w:hyperlink w:anchor="__RefHeading___Toc5148600_2314609296">
            <w:r>
              <w:rPr>
                <w:webHidden/>
                <w:rStyle w:val="IndexLink"/>
                <w:rtl w:val="true"/>
              </w:rPr>
              <w:t>منها</w:t>
            </w:r>
            <w:r>
              <w:rPr>
                <w:rStyle w:val="IndexLink"/>
                <w:rtl w:val="true"/>
              </w:rPr>
              <w:t xml:space="preserve">: </w:t>
            </w:r>
            <w:r>
              <w:rPr>
                <w:rStyle w:val="IndexLink"/>
                <w:rtl w:val="true"/>
              </w:rPr>
              <w:t>من ینعتق علی أحد المتبایعین،</w:t>
            </w:r>
            <w:r>
              <w:rPr>
                <w:rStyle w:val="IndexLink"/>
                <w:rtl w:val="true"/>
              </w:rPr>
              <w:tab/>
            </w:r>
            <w:r>
              <w:rPr>
                <w:rStyle w:val="IndexLink"/>
              </w:rPr>
              <w:t>40</w:t>
            </w:r>
          </w:hyperlink>
        </w:p>
        <w:p>
          <w:pPr>
            <w:pStyle w:val="Contents6"/>
            <w:tabs>
              <w:tab w:val="clear" w:pos="7609"/>
              <w:tab w:val="right" w:pos="9026" w:leader="dot"/>
            </w:tabs>
            <w:rPr/>
          </w:pPr>
          <w:hyperlink w:anchor="__RefHeading___Toc5148602_2314609296">
            <w:r>
              <w:rPr>
                <w:webHidden/>
                <w:rStyle w:val="IndexLink"/>
                <w:rtl w:val="true"/>
              </w:rPr>
              <w:t>و منها</w:t>
            </w:r>
            <w:r>
              <w:rPr>
                <w:rStyle w:val="IndexLink"/>
                <w:rtl w:val="true"/>
              </w:rPr>
              <w:t xml:space="preserve">: </w:t>
            </w:r>
            <w:r>
              <w:rPr>
                <w:rStyle w:val="IndexLink"/>
                <w:rtl w:val="true"/>
              </w:rPr>
              <w:t>العبد المسلم المشتری من الکافر</w:t>
            </w:r>
            <w:r>
              <w:rPr>
                <w:rStyle w:val="IndexLink"/>
                <w:rtl w:val="true"/>
              </w:rPr>
              <w:tab/>
            </w:r>
            <w:r>
              <w:rPr>
                <w:rStyle w:val="IndexLink"/>
              </w:rPr>
              <w:t>45</w:t>
            </w:r>
          </w:hyperlink>
        </w:p>
        <w:p>
          <w:pPr>
            <w:pStyle w:val="Contents6"/>
            <w:tabs>
              <w:tab w:val="clear" w:pos="7609"/>
              <w:tab w:val="right" w:pos="9026" w:leader="dot"/>
            </w:tabs>
            <w:rPr/>
          </w:pPr>
          <w:hyperlink w:anchor="__RefHeading___Toc5148604_2314609296">
            <w:r>
              <w:rPr>
                <w:webHidden/>
                <w:rStyle w:val="IndexLink"/>
                <w:rtl w:val="true"/>
              </w:rPr>
              <w:t>و منها</w:t>
            </w:r>
            <w:r>
              <w:rPr>
                <w:rStyle w:val="IndexLink"/>
                <w:rtl w:val="true"/>
              </w:rPr>
              <w:t xml:space="preserve">: </w:t>
            </w:r>
            <w:r>
              <w:rPr>
                <w:rStyle w:val="IndexLink"/>
                <w:rtl w:val="true"/>
              </w:rPr>
              <w:t>شراء العبد نفسه بناءً علی جوازه</w:t>
            </w:r>
            <w:r>
              <w:rPr>
                <w:rStyle w:val="IndexLink"/>
                <w:rtl w:val="true"/>
              </w:rPr>
              <w:tab/>
            </w:r>
            <w:r>
              <w:rPr>
                <w:rStyle w:val="IndexLink"/>
              </w:rPr>
              <w:t>47</w:t>
            </w:r>
          </w:hyperlink>
        </w:p>
        <w:p>
          <w:pPr>
            <w:pStyle w:val="Contents6"/>
            <w:tabs>
              <w:tab w:val="clear" w:pos="7609"/>
              <w:tab w:val="right" w:pos="9026" w:leader="dot"/>
            </w:tabs>
            <w:rPr/>
          </w:pPr>
          <w:hyperlink w:anchor="__RefHeading___Toc5148606_2314609296">
            <w:r>
              <w:rPr>
                <w:webHidden/>
                <w:rStyle w:val="IndexLink"/>
                <w:rtl w:val="true"/>
              </w:rPr>
              <w:t>مسألة لا یثبت خیار المجلس فی شیءٍ من العقود سوی البیع عند علمائنا،</w:t>
            </w:r>
            <w:r>
              <w:rPr>
                <w:rStyle w:val="IndexLink"/>
                <w:rtl w:val="true"/>
              </w:rPr>
              <w:tab/>
            </w:r>
            <w:r>
              <w:rPr>
                <w:rStyle w:val="IndexLink"/>
              </w:rPr>
              <w:t>48</w:t>
            </w:r>
          </w:hyperlink>
        </w:p>
        <w:p>
          <w:pPr>
            <w:pStyle w:val="Contents6"/>
            <w:tabs>
              <w:tab w:val="clear" w:pos="7609"/>
              <w:tab w:val="right" w:pos="9026" w:leader="dot"/>
            </w:tabs>
            <w:rPr/>
          </w:pPr>
          <w:hyperlink w:anchor="__RefHeading___Toc5148608_2314609296">
            <w:r>
              <w:rPr>
                <w:webHidden/>
                <w:rStyle w:val="IndexLink"/>
                <w:rtl w:val="true"/>
              </w:rPr>
              <w:t>مسألة مبدأ هذا الخیار من حین العقد؛</w:t>
            </w:r>
            <w:r>
              <w:rPr>
                <w:rStyle w:val="IndexLink"/>
                <w:rtl w:val="true"/>
              </w:rPr>
              <w:tab/>
            </w:r>
            <w:r>
              <w:rPr>
                <w:rStyle w:val="IndexLink"/>
              </w:rPr>
              <w:t>51</w:t>
            </w:r>
          </w:hyperlink>
        </w:p>
        <w:p>
          <w:pPr>
            <w:pStyle w:val="Contents6"/>
            <w:tabs>
              <w:tab w:val="clear" w:pos="7609"/>
              <w:tab w:val="right" w:pos="9026" w:leader="dot"/>
            </w:tabs>
            <w:rPr/>
          </w:pPr>
          <w:hyperlink w:anchor="__RefHeading___Toc5148610_2314609296">
            <w:r>
              <w:rPr>
                <w:webHidden/>
                <w:rStyle w:val="IndexLink"/>
                <w:rtl w:val="true"/>
              </w:rPr>
              <w:t>القول فی مسقطات الخیار</w:t>
            </w:r>
            <w:r>
              <w:rPr>
                <w:rStyle w:val="IndexLink"/>
                <w:rtl w:val="true"/>
              </w:rPr>
              <w:tab/>
            </w:r>
            <w:r>
              <w:rPr>
                <w:rStyle w:val="IndexLink"/>
              </w:rPr>
              <w:t>53</w:t>
            </w:r>
          </w:hyperlink>
        </w:p>
        <w:p>
          <w:pPr>
            <w:pStyle w:val="Contents6"/>
            <w:tabs>
              <w:tab w:val="clear" w:pos="7609"/>
              <w:tab w:val="right" w:pos="9026" w:leader="dot"/>
            </w:tabs>
            <w:rPr/>
          </w:pPr>
          <w:hyperlink w:anchor="__RefHeading___Toc5148612_2314609296">
            <w:r>
              <w:rPr>
                <w:webHidden/>
                <w:rStyle w:val="IndexLink"/>
                <w:rtl w:val="true"/>
              </w:rPr>
              <w:t xml:space="preserve">مسألة </w:t>
            </w:r>
            <w:r>
              <w:rPr>
                <w:rStyle w:val="IndexLink"/>
                <w:rtl w:val="true"/>
              </w:rPr>
              <w:t>[</w:t>
            </w:r>
            <w:r>
              <w:rPr>
                <w:rStyle w:val="IndexLink"/>
                <w:rtl w:val="true"/>
              </w:rPr>
              <w:t>المسقط الأول اشتراط السقوط فی ضمن العقد</w:t>
            </w:r>
            <w:r>
              <w:rPr>
                <w:rStyle w:val="IndexLink"/>
                <w:rtl w:val="true"/>
              </w:rPr>
              <w:t>]</w:t>
              <w:tab/>
            </w:r>
            <w:r>
              <w:rPr>
                <w:rStyle w:val="IndexLink"/>
              </w:rPr>
              <w:t>53</w:t>
            </w:r>
          </w:hyperlink>
        </w:p>
        <w:p>
          <w:pPr>
            <w:pStyle w:val="Contents6"/>
            <w:tabs>
              <w:tab w:val="clear" w:pos="7609"/>
              <w:tab w:val="right" w:pos="9026" w:leader="dot"/>
            </w:tabs>
            <w:rPr/>
          </w:pPr>
          <w:hyperlink w:anchor="__RefHeading___Toc5148614_2314609296">
            <w:r>
              <w:rPr>
                <w:webHidden/>
                <w:rStyle w:val="IndexLink"/>
                <w:rtl w:val="true"/>
              </w:rPr>
              <w:t>[</w:t>
            </w:r>
            <w:r>
              <w:rPr>
                <w:rStyle w:val="IndexLink"/>
                <w:rtl w:val="true"/>
              </w:rPr>
              <w:t>توهم معارضة اشتراط السقوط لعموم أدلة الخیار و دفعه</w:t>
            </w:r>
            <w:r>
              <w:rPr>
                <w:rStyle w:val="IndexLink"/>
                <w:rtl w:val="true"/>
              </w:rPr>
              <w:t>]</w:t>
              <w:tab/>
            </w:r>
            <w:r>
              <w:rPr>
                <w:rStyle w:val="IndexLink"/>
              </w:rPr>
              <w:t>53</w:t>
            </w:r>
          </w:hyperlink>
        </w:p>
        <w:p>
          <w:pPr>
            <w:pStyle w:val="Contents6"/>
            <w:tabs>
              <w:tab w:val="clear" w:pos="7609"/>
              <w:tab w:val="right" w:pos="9026" w:leader="dot"/>
            </w:tabs>
            <w:rPr/>
          </w:pPr>
          <w:hyperlink w:anchor="__RefHeading___Toc5148616_2314609296">
            <w:r>
              <w:rPr>
                <w:webHidden/>
                <w:rStyle w:val="IndexLink"/>
                <w:rtl w:val="true"/>
              </w:rPr>
              <w:t>ثمّ إنّ هذا الشرط یتصوّر علی وجوه</w:t>
            </w:r>
            <w:r>
              <w:rPr>
                <w:rStyle w:val="IndexLink"/>
                <w:rtl w:val="true"/>
              </w:rPr>
              <w:t>:</w:t>
              <w:tab/>
            </w:r>
            <w:r>
              <w:rPr>
                <w:rStyle w:val="IndexLink"/>
              </w:rPr>
              <w:t>57</w:t>
            </w:r>
          </w:hyperlink>
        </w:p>
        <w:p>
          <w:pPr>
            <w:pStyle w:val="Contents6"/>
            <w:tabs>
              <w:tab w:val="clear" w:pos="7609"/>
              <w:tab w:val="right" w:pos="9026" w:leader="dot"/>
            </w:tabs>
            <w:rPr/>
          </w:pPr>
          <w:hyperlink w:anchor="__RefHeading___Toc5148618_2314609296">
            <w:r>
              <w:rPr>
                <w:webHidden/>
                <w:rStyle w:val="IndexLink"/>
                <w:rtl w:val="true"/>
              </w:rPr>
              <w:t>أحدها</w:t>
            </w:r>
            <w:r>
              <w:rPr>
                <w:rStyle w:val="IndexLink"/>
                <w:rtl w:val="true"/>
              </w:rPr>
              <w:t>:</w:t>
            </w:r>
            <w:r>
              <w:rPr>
                <w:rStyle w:val="IndexLink"/>
                <w:rtl w:val="true"/>
              </w:rPr>
              <w:t>أن یشترط عدم الخیار</w:t>
            </w:r>
            <w:r>
              <w:rPr>
                <w:rStyle w:val="IndexLink"/>
                <w:rtl w:val="true"/>
              </w:rPr>
              <w:tab/>
            </w:r>
            <w:r>
              <w:rPr>
                <w:rStyle w:val="IndexLink"/>
              </w:rPr>
              <w:t>57</w:t>
            </w:r>
          </w:hyperlink>
        </w:p>
        <w:p>
          <w:pPr>
            <w:pStyle w:val="Contents6"/>
            <w:tabs>
              <w:tab w:val="clear" w:pos="7609"/>
              <w:tab w:val="right" w:pos="9026" w:leader="dot"/>
            </w:tabs>
            <w:rPr/>
          </w:pPr>
          <w:hyperlink w:anchor="__RefHeading___Toc5148620_2314609296">
            <w:r>
              <w:rPr>
                <w:webHidden/>
                <w:rStyle w:val="IndexLink"/>
                <w:rtl w:val="true"/>
              </w:rPr>
              <w:t>الثانی</w:t>
            </w:r>
            <w:r>
              <w:rPr>
                <w:rStyle w:val="IndexLink"/>
                <w:rtl w:val="true"/>
              </w:rPr>
              <w:t>:</w:t>
            </w:r>
            <w:r>
              <w:rPr>
                <w:rStyle w:val="IndexLink"/>
                <w:rtl w:val="true"/>
              </w:rPr>
              <w:t>أن یشترط عدم الفسخ</w:t>
            </w:r>
            <w:r>
              <w:rPr>
                <w:rStyle w:val="IndexLink"/>
                <w:rtl w:val="true"/>
              </w:rPr>
              <w:tab/>
            </w:r>
            <w:r>
              <w:rPr>
                <w:rStyle w:val="IndexLink"/>
              </w:rPr>
              <w:t>58</w:t>
            </w:r>
          </w:hyperlink>
        </w:p>
        <w:p>
          <w:pPr>
            <w:pStyle w:val="Contents6"/>
            <w:tabs>
              <w:tab w:val="clear" w:pos="7609"/>
              <w:tab w:val="right" w:pos="9026" w:leader="dot"/>
            </w:tabs>
            <w:rPr/>
          </w:pPr>
          <w:hyperlink w:anchor="__RefHeading___Toc5148622_2314609296">
            <w:r>
              <w:rPr>
                <w:webHidden/>
                <w:rStyle w:val="IndexLink"/>
                <w:rtl w:val="true"/>
              </w:rPr>
              <w:t>الثالث</w:t>
            </w:r>
            <w:r>
              <w:rPr>
                <w:rStyle w:val="IndexLink"/>
                <w:rtl w:val="true"/>
              </w:rPr>
              <w:t>:</w:t>
            </w:r>
            <w:r>
              <w:rPr>
                <w:rStyle w:val="IndexLink"/>
                <w:rtl w:val="true"/>
              </w:rPr>
              <w:t>أن یشترط إسقاط الخیار،</w:t>
            </w:r>
            <w:r>
              <w:rPr>
                <w:rStyle w:val="IndexLink"/>
                <w:rtl w:val="true"/>
              </w:rPr>
              <w:tab/>
            </w:r>
            <w:r>
              <w:rPr>
                <w:rStyle w:val="IndexLink"/>
              </w:rPr>
              <w:t>59</w:t>
            </w:r>
          </w:hyperlink>
        </w:p>
        <w:p>
          <w:pPr>
            <w:pStyle w:val="Contents6"/>
            <w:tabs>
              <w:tab w:val="clear" w:pos="7609"/>
              <w:tab w:val="right" w:pos="9026" w:leader="dot"/>
            </w:tabs>
            <w:rPr/>
          </w:pPr>
          <w:hyperlink w:anchor="__RefHeading___Toc5148624_2314609296">
            <w:r>
              <w:rPr>
                <w:webHidden/>
                <w:rStyle w:val="IndexLink"/>
                <w:rtl w:val="true"/>
              </w:rPr>
              <w:t>بقی الکلام فی أنّ المشهور</w:t>
            </w:r>
            <w:r>
              <w:rPr>
                <w:rStyle w:val="IndexLink"/>
                <w:rtl w:val="true"/>
              </w:rPr>
              <w:t>:</w:t>
            </w:r>
            <w:r>
              <w:rPr>
                <w:rStyle w:val="IndexLink"/>
                <w:rtl w:val="true"/>
              </w:rPr>
              <w:t>أنّ تأثیر الشرط إنّما هو مع ذکره فی متن العقد،</w:t>
            </w:r>
            <w:r>
              <w:rPr>
                <w:rStyle w:val="IndexLink"/>
                <w:rtl w:val="true"/>
              </w:rPr>
              <w:tab/>
            </w:r>
            <w:r>
              <w:rPr>
                <w:rStyle w:val="IndexLink"/>
              </w:rPr>
              <w:t>59</w:t>
            </w:r>
          </w:hyperlink>
        </w:p>
        <w:p>
          <w:pPr>
            <w:pStyle w:val="Contents6"/>
            <w:tabs>
              <w:tab w:val="clear" w:pos="7609"/>
              <w:tab w:val="right" w:pos="9026" w:leader="dot"/>
            </w:tabs>
            <w:rPr/>
          </w:pPr>
          <w:hyperlink w:anchor="__RefHeading___Toc5148626_2314609296">
            <w:r>
              <w:rPr>
                <w:webHidden/>
                <w:rStyle w:val="IndexLink"/>
                <w:rtl w:val="true"/>
              </w:rPr>
              <w:t>فرع</w:t>
            </w:r>
            <w:r>
              <w:rPr>
                <w:rStyle w:val="IndexLink"/>
                <w:rtl w:val="true"/>
              </w:rPr>
              <w:t>:</w:t>
              <w:tab/>
            </w:r>
            <w:r>
              <w:rPr>
                <w:rStyle w:val="IndexLink"/>
              </w:rPr>
              <w:t>62</w:t>
            </w:r>
          </w:hyperlink>
        </w:p>
        <w:p>
          <w:pPr>
            <w:pStyle w:val="Contents6"/>
            <w:tabs>
              <w:tab w:val="clear" w:pos="7609"/>
              <w:tab w:val="right" w:pos="9026" w:leader="dot"/>
            </w:tabs>
            <w:rPr/>
          </w:pPr>
          <w:hyperlink w:anchor="__RefHeading___Toc5148628_2314609296">
            <w:r>
              <w:rPr>
                <w:webHidden/>
                <w:rStyle w:val="IndexLink"/>
                <w:rtl w:val="true"/>
              </w:rPr>
              <w:t xml:space="preserve">مسألة </w:t>
            </w:r>
            <w:r>
              <w:rPr>
                <w:rStyle w:val="IndexLink"/>
                <w:rtl w:val="true"/>
              </w:rPr>
              <w:t>[</w:t>
            </w:r>
            <w:r>
              <w:rPr>
                <w:rStyle w:val="IndexLink"/>
                <w:rtl w:val="true"/>
              </w:rPr>
              <w:t>المسقط الثانی إسقاط هذا الخیار بعد العقد</w:t>
            </w:r>
            <w:r>
              <w:rPr>
                <w:rStyle w:val="IndexLink"/>
                <w:rtl w:val="true"/>
              </w:rPr>
              <w:t>]</w:t>
              <w:tab/>
            </w:r>
            <w:r>
              <w:rPr>
                <w:rStyle w:val="IndexLink"/>
              </w:rPr>
              <w:t>63</w:t>
            </w:r>
          </w:hyperlink>
        </w:p>
        <w:p>
          <w:pPr>
            <w:pStyle w:val="Contents6"/>
            <w:tabs>
              <w:tab w:val="clear" w:pos="7609"/>
              <w:tab w:val="right" w:pos="9026" w:leader="dot"/>
            </w:tabs>
            <w:rPr/>
          </w:pPr>
          <w:hyperlink w:anchor="__RefHeading___Toc5148630_2314609296">
            <w:r>
              <w:rPr>
                <w:webHidden/>
                <w:rStyle w:val="IndexLink"/>
                <w:rtl w:val="true"/>
              </w:rPr>
              <w:t>ثمّ إنّ الظاهر سقوط الخیار بکلّ لفظٍ یدلّ علیه بإحدی الدلالات العرفیّة،</w:t>
            </w:r>
            <w:r>
              <w:rPr>
                <w:rStyle w:val="IndexLink"/>
                <w:rtl w:val="true"/>
              </w:rPr>
              <w:tab/>
            </w:r>
            <w:r>
              <w:rPr>
                <w:rStyle w:val="IndexLink"/>
              </w:rPr>
              <w:t>63</w:t>
            </w:r>
          </w:hyperlink>
        </w:p>
        <w:p>
          <w:pPr>
            <w:pStyle w:val="Contents6"/>
            <w:tabs>
              <w:tab w:val="clear" w:pos="7609"/>
              <w:tab w:val="right" w:pos="9026" w:leader="dot"/>
            </w:tabs>
            <w:rPr/>
          </w:pPr>
          <w:hyperlink w:anchor="__RefHeading___Toc5148632_2314609296">
            <w:r>
              <w:rPr>
                <w:webHidden/>
                <w:rStyle w:val="IndexLink"/>
                <w:rtl w:val="true"/>
              </w:rPr>
              <w:t>مسألة لو قال أحدهما لصاحبه</w:t>
            </w:r>
            <w:r>
              <w:rPr>
                <w:rStyle w:val="IndexLink"/>
                <w:rtl w:val="true"/>
              </w:rPr>
              <w:t>:«</w:t>
            </w:r>
            <w:r>
              <w:rPr>
                <w:rStyle w:val="IndexLink"/>
                <w:rtl w:val="true"/>
              </w:rPr>
              <w:t>اختر</w:t>
            </w:r>
            <w:r>
              <w:rPr>
                <w:rStyle w:val="IndexLink"/>
                <w:rtl w:val="true"/>
              </w:rPr>
              <w:t>»</w:t>
            </w:r>
            <w:r>
              <w:rPr>
                <w:rStyle w:val="IndexLink"/>
                <w:rtl w:val="true"/>
              </w:rPr>
              <w:t>،</w:t>
            </w:r>
            <w:r>
              <w:rPr>
                <w:rStyle w:val="IndexLink"/>
                <w:rtl w:val="true"/>
              </w:rPr>
              <w:tab/>
            </w:r>
            <w:r>
              <w:rPr>
                <w:rStyle w:val="IndexLink"/>
              </w:rPr>
              <w:t>65</w:t>
            </w:r>
          </w:hyperlink>
        </w:p>
        <w:p>
          <w:pPr>
            <w:pStyle w:val="Contents6"/>
            <w:tabs>
              <w:tab w:val="clear" w:pos="7609"/>
              <w:tab w:val="right" w:pos="9026" w:leader="dot"/>
            </w:tabs>
            <w:rPr/>
          </w:pPr>
          <w:hyperlink w:anchor="__RefHeading___Toc5148634_2314609296">
            <w:r>
              <w:rPr>
                <w:webHidden/>
                <w:rStyle w:val="IndexLink"/>
                <w:rtl w:val="true"/>
              </w:rPr>
              <w:t xml:space="preserve">مسألة </w:t>
            </w:r>
            <w:r>
              <w:rPr>
                <w:rStyle w:val="IndexLink"/>
                <w:rtl w:val="true"/>
              </w:rPr>
              <w:t>[</w:t>
            </w:r>
            <w:r>
              <w:rPr>
                <w:rStyle w:val="IndexLink"/>
                <w:rtl w:val="true"/>
              </w:rPr>
              <w:t>المسقط الثالث افتراق المتبایعین</w:t>
            </w:r>
            <w:r>
              <w:rPr>
                <w:rStyle w:val="IndexLink"/>
                <w:rtl w:val="true"/>
              </w:rPr>
              <w:t>]</w:t>
              <w:tab/>
            </w:r>
            <w:r>
              <w:rPr>
                <w:rStyle w:val="IndexLink"/>
              </w:rPr>
              <w:t>68</w:t>
            </w:r>
          </w:hyperlink>
        </w:p>
        <w:p>
          <w:pPr>
            <w:pStyle w:val="Contents6"/>
            <w:tabs>
              <w:tab w:val="clear" w:pos="7609"/>
              <w:tab w:val="right" w:pos="9026" w:leader="dot"/>
            </w:tabs>
            <w:rPr/>
          </w:pPr>
          <w:hyperlink w:anchor="__RefHeading___Toc5148636_2314609296">
            <w:r>
              <w:rPr>
                <w:webHidden/>
                <w:rStyle w:val="IndexLink"/>
                <w:rtl w:val="true"/>
              </w:rPr>
              <w:t>[</w:t>
            </w:r>
            <w:r>
              <w:rPr>
                <w:rStyle w:val="IndexLink"/>
                <w:rtl w:val="true"/>
              </w:rPr>
              <w:t>معنی الافتراق المسقط</w:t>
            </w:r>
            <w:r>
              <w:rPr>
                <w:rStyle w:val="IndexLink"/>
                <w:rtl w:val="true"/>
              </w:rPr>
              <w:t>]</w:t>
              <w:tab/>
            </w:r>
            <w:r>
              <w:rPr>
                <w:rStyle w:val="IndexLink"/>
              </w:rPr>
              <w:t>68</w:t>
            </w:r>
          </w:hyperlink>
        </w:p>
        <w:p>
          <w:pPr>
            <w:pStyle w:val="Contents6"/>
            <w:tabs>
              <w:tab w:val="clear" w:pos="7609"/>
              <w:tab w:val="right" w:pos="9026" w:leader="dot"/>
            </w:tabs>
            <w:rPr/>
          </w:pPr>
          <w:hyperlink w:anchor="__RefHeading___Toc5148638_2314609296">
            <w:r>
              <w:rPr>
                <w:webHidden/>
                <w:rStyle w:val="IndexLink"/>
                <w:rtl w:val="true"/>
              </w:rPr>
              <w:t>[</w:t>
            </w:r>
            <w:r>
              <w:rPr>
                <w:rStyle w:val="IndexLink"/>
                <w:rtl w:val="true"/>
              </w:rPr>
              <w:t>ما یحصل به الافتراق</w:t>
            </w:r>
            <w:r>
              <w:rPr>
                <w:rStyle w:val="IndexLink"/>
                <w:rtl w:val="true"/>
              </w:rPr>
              <w:t>]</w:t>
              <w:tab/>
            </w:r>
            <w:r>
              <w:rPr>
                <w:rStyle w:val="IndexLink"/>
              </w:rPr>
              <w:t>69</w:t>
            </w:r>
          </w:hyperlink>
        </w:p>
        <w:p>
          <w:pPr>
            <w:pStyle w:val="Contents6"/>
            <w:tabs>
              <w:tab w:val="clear" w:pos="7609"/>
              <w:tab w:val="right" w:pos="9026" w:leader="dot"/>
            </w:tabs>
            <w:rPr/>
          </w:pPr>
          <w:hyperlink w:anchor="__RefHeading___Toc5148640_2314609296">
            <w:r>
              <w:rPr>
                <w:webHidden/>
                <w:rStyle w:val="IndexLink"/>
                <w:rtl w:val="true"/>
              </w:rPr>
              <w:t>مسألة المعروف أنّه لا اعتبار بالافتراق عن إکراه</w:t>
            </w:r>
            <w:r>
              <w:rPr>
                <w:rStyle w:val="IndexLink"/>
                <w:rtl w:val="true"/>
              </w:rPr>
              <w:tab/>
            </w:r>
            <w:r>
              <w:rPr>
                <w:rStyle w:val="IndexLink"/>
              </w:rPr>
              <w:t>71</w:t>
            </w:r>
          </w:hyperlink>
        </w:p>
        <w:p>
          <w:pPr>
            <w:pStyle w:val="Contents6"/>
            <w:tabs>
              <w:tab w:val="clear" w:pos="7609"/>
              <w:tab w:val="right" w:pos="9026" w:leader="dot"/>
            </w:tabs>
            <w:rPr/>
          </w:pPr>
          <w:hyperlink w:anchor="__RefHeading___Toc5148642_2314609296">
            <w:r>
              <w:rPr>
                <w:webHidden/>
                <w:rStyle w:val="IndexLink"/>
                <w:rtl w:val="true"/>
              </w:rPr>
              <w:t>[</w:t>
            </w:r>
            <w:r>
              <w:rPr>
                <w:rStyle w:val="IndexLink"/>
                <w:rtl w:val="true"/>
              </w:rPr>
              <w:t>الاستدلال علی کون المسقط هو الافتراق عن رضا</w:t>
            </w:r>
            <w:r>
              <w:rPr>
                <w:rStyle w:val="IndexLink"/>
                <w:rtl w:val="true"/>
              </w:rPr>
              <w:t>]</w:t>
              <w:tab/>
            </w:r>
            <w:r>
              <w:rPr>
                <w:rStyle w:val="IndexLink"/>
              </w:rPr>
              <w:t>72</w:t>
            </w:r>
          </w:hyperlink>
        </w:p>
        <w:p>
          <w:pPr>
            <w:pStyle w:val="Contents6"/>
            <w:tabs>
              <w:tab w:val="clear" w:pos="7609"/>
              <w:tab w:val="right" w:pos="9026" w:leader="dot"/>
            </w:tabs>
            <w:rPr/>
          </w:pPr>
          <w:hyperlink w:anchor="__RefHeading___Toc5148644_2314609296">
            <w:r>
              <w:rPr>
                <w:webHidden/>
                <w:rStyle w:val="IndexLink"/>
                <w:rtl w:val="true"/>
              </w:rPr>
              <w:t>مسألة لو أُکره أحدهما علی التفرّق و منع عن التخایر و بقی الآخر فی المجلس،</w:t>
            </w:r>
            <w:r>
              <w:rPr>
                <w:rStyle w:val="IndexLink"/>
                <w:rtl w:val="true"/>
              </w:rPr>
              <w:tab/>
            </w:r>
            <w:r>
              <w:rPr>
                <w:rStyle w:val="IndexLink"/>
              </w:rPr>
              <w:t>74</w:t>
            </w:r>
          </w:hyperlink>
        </w:p>
        <w:p>
          <w:pPr>
            <w:pStyle w:val="Contents6"/>
            <w:tabs>
              <w:tab w:val="clear" w:pos="7609"/>
              <w:tab w:val="right" w:pos="9026" w:leader="dot"/>
            </w:tabs>
            <w:rPr/>
          </w:pPr>
          <w:hyperlink w:anchor="__RefHeading___Toc5148646_2314609296">
            <w:r>
              <w:rPr>
                <w:webHidden/>
                <w:rStyle w:val="IndexLink"/>
                <w:rtl w:val="true"/>
              </w:rPr>
              <w:t>[</w:t>
            </w:r>
            <w:r>
              <w:rPr>
                <w:rStyle w:val="IndexLink"/>
                <w:rtl w:val="true"/>
              </w:rPr>
              <w:t>محل الکلام ما لو أکره أحدهما المعین علی الافتراق</w:t>
            </w:r>
            <w:r>
              <w:rPr>
                <w:rStyle w:val="IndexLink"/>
                <w:rtl w:val="true"/>
              </w:rPr>
              <w:t>]</w:t>
              <w:tab/>
            </w:r>
            <w:r>
              <w:rPr>
                <w:rStyle w:val="IndexLink"/>
              </w:rPr>
              <w:t>74</w:t>
            </w:r>
          </w:hyperlink>
        </w:p>
        <w:p>
          <w:pPr>
            <w:pStyle w:val="Contents6"/>
            <w:tabs>
              <w:tab w:val="clear" w:pos="7609"/>
              <w:tab w:val="right" w:pos="9026" w:leader="dot"/>
            </w:tabs>
            <w:rPr/>
          </w:pPr>
          <w:hyperlink w:anchor="__RefHeading___Toc5148648_2314609296">
            <w:r>
              <w:rPr>
                <w:webHidden/>
                <w:rStyle w:val="IndexLink"/>
                <w:rtl w:val="true"/>
              </w:rPr>
              <w:t>[</w:t>
            </w:r>
            <w:r>
              <w:rPr>
                <w:rStyle w:val="IndexLink"/>
                <w:rtl w:val="true"/>
              </w:rPr>
              <w:t>إذا أکره أحدهما علی البقاء</w:t>
            </w:r>
            <w:r>
              <w:rPr>
                <w:rStyle w:val="IndexLink"/>
                <w:rtl w:val="true"/>
              </w:rPr>
              <w:t>]</w:t>
              <w:tab/>
            </w:r>
            <w:r>
              <w:rPr>
                <w:rStyle w:val="IndexLink"/>
              </w:rPr>
              <w:t>80</w:t>
            </w:r>
          </w:hyperlink>
        </w:p>
        <w:p>
          <w:pPr>
            <w:pStyle w:val="Contents6"/>
            <w:tabs>
              <w:tab w:val="clear" w:pos="7609"/>
              <w:tab w:val="right" w:pos="9026" w:leader="dot"/>
            </w:tabs>
            <w:rPr/>
          </w:pPr>
          <w:hyperlink w:anchor="__RefHeading___Toc5148650_2314609296">
            <w:r>
              <w:rPr>
                <w:webHidden/>
                <w:rStyle w:val="IndexLink"/>
                <w:rtl w:val="true"/>
              </w:rPr>
              <w:t>مسألة لو زال الإکراه،</w:t>
            </w:r>
            <w:r>
              <w:rPr>
                <w:rStyle w:val="IndexLink"/>
                <w:rtl w:val="true"/>
              </w:rPr>
              <w:tab/>
            </w:r>
            <w:r>
              <w:rPr>
                <w:rStyle w:val="IndexLink"/>
              </w:rPr>
              <w:t>81</w:t>
            </w:r>
          </w:hyperlink>
        </w:p>
        <w:p>
          <w:pPr>
            <w:pStyle w:val="Contents6"/>
            <w:tabs>
              <w:tab w:val="clear" w:pos="7609"/>
              <w:tab w:val="right" w:pos="9026" w:leader="dot"/>
            </w:tabs>
            <w:rPr/>
          </w:pPr>
          <w:hyperlink w:anchor="__RefHeading___Toc5148652_2314609296">
            <w:r>
              <w:rPr>
                <w:webHidden/>
                <w:rStyle w:val="IndexLink"/>
                <w:rtl w:val="true"/>
              </w:rPr>
              <w:t xml:space="preserve">مسألة </w:t>
            </w:r>
            <w:r>
              <w:rPr>
                <w:rStyle w:val="IndexLink"/>
                <w:rtl w:val="true"/>
              </w:rPr>
              <w:t>[</w:t>
            </w:r>
            <w:r>
              <w:rPr>
                <w:rStyle w:val="IndexLink"/>
                <w:rtl w:val="true"/>
              </w:rPr>
              <w:t>المسقط الرابع التصرف</w:t>
            </w:r>
            <w:r>
              <w:rPr>
                <w:rStyle w:val="IndexLink"/>
                <w:rtl w:val="true"/>
              </w:rPr>
              <w:t>]</w:t>
              <w:tab/>
            </w:r>
            <w:r>
              <w:rPr>
                <w:rStyle w:val="IndexLink"/>
              </w:rPr>
              <w:t>83</w:t>
            </w:r>
          </w:hyperlink>
        </w:p>
        <w:p>
          <w:pPr>
            <w:pStyle w:val="Contents4"/>
            <w:tabs>
              <w:tab w:val="clear" w:pos="8176"/>
              <w:tab w:val="right" w:pos="9026" w:leader="dot"/>
            </w:tabs>
            <w:rPr/>
          </w:pPr>
          <w:hyperlink w:anchor="__RefHeading___Toc5148654_2314609296">
            <w:r>
              <w:rPr>
                <w:webHidden/>
                <w:rStyle w:val="IndexLink"/>
                <w:rtl w:val="true"/>
              </w:rPr>
              <w:t>الثانی خیار الحیوان</w:t>
            </w:r>
            <w:r>
              <w:rPr>
                <w:rStyle w:val="IndexLink"/>
                <w:rtl w:val="true"/>
              </w:rPr>
              <w:tab/>
            </w:r>
            <w:r>
              <w:rPr>
                <w:rStyle w:val="IndexLink"/>
              </w:rPr>
              <w:t>85</w:t>
            </w:r>
          </w:hyperlink>
        </w:p>
        <w:p>
          <w:pPr>
            <w:pStyle w:val="Contents5"/>
            <w:tabs>
              <w:tab w:val="clear" w:pos="7892"/>
              <w:tab w:val="right" w:pos="9026" w:leader="dot"/>
            </w:tabs>
            <w:rPr/>
          </w:pPr>
          <w:hyperlink w:anchor="__RefHeading___Toc5148656_2314609296">
            <w:r>
              <w:rPr>
                <w:webHidden/>
                <w:rStyle w:val="IndexLink"/>
                <w:rtl w:val="true"/>
              </w:rPr>
              <w:t>اشاره</w:t>
            </w:r>
            <w:r>
              <w:rPr>
                <w:rStyle w:val="IndexLink"/>
                <w:rtl w:val="true"/>
              </w:rPr>
              <w:tab/>
            </w:r>
            <w:r>
              <w:rPr>
                <w:rStyle w:val="IndexLink"/>
              </w:rPr>
              <w:t>85</w:t>
            </w:r>
          </w:hyperlink>
        </w:p>
        <w:p>
          <w:pPr>
            <w:pStyle w:val="Contents5"/>
            <w:tabs>
              <w:tab w:val="clear" w:pos="7892"/>
              <w:tab w:val="right" w:pos="9026" w:leader="dot"/>
            </w:tabs>
            <w:rPr/>
          </w:pPr>
          <w:hyperlink w:anchor="__RefHeading___Toc5148658_2314609296">
            <w:r>
              <w:rPr>
                <w:webHidden/>
                <w:rStyle w:val="IndexLink"/>
                <w:rtl w:val="true"/>
              </w:rPr>
              <w:t>فالکلام فی مَن له هذا الخیار،و فی مدّته من حیث المبدأ و المنتهی،و مسقطاته یتمّ برسم مسائل</w:t>
            </w:r>
            <w:r>
              <w:rPr>
                <w:rStyle w:val="IndexLink"/>
                <w:rtl w:val="true"/>
              </w:rPr>
              <w:t>:</w:t>
              <w:tab/>
            </w:r>
            <w:r>
              <w:rPr>
                <w:rStyle w:val="IndexLink"/>
              </w:rPr>
              <w:t>86</w:t>
            </w:r>
          </w:hyperlink>
        </w:p>
        <w:p>
          <w:pPr>
            <w:pStyle w:val="Contents6"/>
            <w:tabs>
              <w:tab w:val="clear" w:pos="7609"/>
              <w:tab w:val="right" w:pos="9026" w:leader="dot"/>
            </w:tabs>
            <w:rPr/>
          </w:pPr>
          <w:hyperlink w:anchor="__RefHeading___Toc5148660_2314609296">
            <w:r>
              <w:rPr>
                <w:webHidden/>
                <w:rStyle w:val="IndexLink"/>
                <w:rtl w:val="true"/>
              </w:rPr>
              <w:t>اشاره</w:t>
            </w:r>
            <w:r>
              <w:rPr>
                <w:rStyle w:val="IndexLink"/>
                <w:rtl w:val="true"/>
              </w:rPr>
              <w:tab/>
            </w:r>
            <w:r>
              <w:rPr>
                <w:rStyle w:val="IndexLink"/>
              </w:rPr>
              <w:t>86</w:t>
            </w:r>
          </w:hyperlink>
        </w:p>
        <w:p>
          <w:pPr>
            <w:pStyle w:val="Contents6"/>
            <w:tabs>
              <w:tab w:val="clear" w:pos="7609"/>
              <w:tab w:val="right" w:pos="9026" w:leader="dot"/>
            </w:tabs>
            <w:rPr/>
          </w:pPr>
          <w:hyperlink w:anchor="__RefHeading___Toc5148662_2314609296">
            <w:r>
              <w:rPr>
                <w:webHidden/>
                <w:rStyle w:val="IndexLink"/>
                <w:rtl w:val="true"/>
              </w:rPr>
              <w:t>مسألة المشهور اختصاص هذا الخیار بالمشتری،</w:t>
            </w:r>
            <w:r>
              <w:rPr>
                <w:rStyle w:val="IndexLink"/>
                <w:rtl w:val="true"/>
              </w:rPr>
              <w:tab/>
            </w:r>
            <w:r>
              <w:rPr>
                <w:rStyle w:val="IndexLink"/>
              </w:rPr>
              <w:t>87</w:t>
            </w:r>
          </w:hyperlink>
        </w:p>
        <w:p>
          <w:pPr>
            <w:pStyle w:val="Contents6"/>
            <w:tabs>
              <w:tab w:val="clear" w:pos="7609"/>
              <w:tab w:val="right" w:pos="9026" w:leader="dot"/>
            </w:tabs>
            <w:rPr/>
          </w:pPr>
          <w:hyperlink w:anchor="__RefHeading___Toc5148664_2314609296">
            <w:r>
              <w:rPr>
                <w:webHidden/>
                <w:rStyle w:val="IndexLink"/>
                <w:rtl w:val="true"/>
              </w:rPr>
              <w:t>مسألة لا فرق بین الأمة و غیرها فی مدّة الخیار،</w:t>
            </w:r>
            <w:r>
              <w:rPr>
                <w:rStyle w:val="IndexLink"/>
                <w:rtl w:val="true"/>
              </w:rPr>
              <w:tab/>
            </w:r>
            <w:r>
              <w:rPr>
                <w:rStyle w:val="IndexLink"/>
              </w:rPr>
              <w:t>93</w:t>
            </w:r>
          </w:hyperlink>
        </w:p>
        <w:p>
          <w:pPr>
            <w:pStyle w:val="Contents6"/>
            <w:tabs>
              <w:tab w:val="clear" w:pos="7609"/>
              <w:tab w:val="right" w:pos="9026" w:leader="dot"/>
            </w:tabs>
            <w:rPr/>
          </w:pPr>
          <w:hyperlink w:anchor="__RefHeading___Toc5148666_2314609296">
            <w:r>
              <w:rPr>
                <w:webHidden/>
                <w:rStyle w:val="IndexLink"/>
                <w:rtl w:val="true"/>
              </w:rPr>
              <w:t>مسألة مبدأ هذا الخیار من حین العقد،</w:t>
            </w:r>
            <w:r>
              <w:rPr>
                <w:rStyle w:val="IndexLink"/>
                <w:rtl w:val="true"/>
              </w:rPr>
              <w:tab/>
            </w:r>
            <w:r>
              <w:rPr>
                <w:rStyle w:val="IndexLink"/>
              </w:rPr>
              <w:t>94</w:t>
            </w:r>
          </w:hyperlink>
        </w:p>
        <w:p>
          <w:pPr>
            <w:pStyle w:val="Contents6"/>
            <w:tabs>
              <w:tab w:val="clear" w:pos="7609"/>
              <w:tab w:val="right" w:pos="9026" w:leader="dot"/>
            </w:tabs>
            <w:rPr/>
          </w:pPr>
          <w:hyperlink w:anchor="__RefHeading___Toc5148668_2314609296">
            <w:r>
              <w:rPr>
                <w:webHidden/>
                <w:rStyle w:val="IndexLink"/>
                <w:rtl w:val="true"/>
              </w:rPr>
              <w:t>مسألة لا إشکال فی دخول اللیلتین المتوسّطتین فی الثلاثة أیّام،</w:t>
            </w:r>
            <w:r>
              <w:rPr>
                <w:rStyle w:val="IndexLink"/>
                <w:rtl w:val="true"/>
              </w:rPr>
              <w:tab/>
            </w:r>
            <w:r>
              <w:rPr>
                <w:rStyle w:val="IndexLink"/>
              </w:rPr>
              <w:t>97</w:t>
            </w:r>
          </w:hyperlink>
        </w:p>
        <w:p>
          <w:pPr>
            <w:pStyle w:val="Contents6"/>
            <w:tabs>
              <w:tab w:val="clear" w:pos="7609"/>
              <w:tab w:val="right" w:pos="9026" w:leader="dot"/>
            </w:tabs>
            <w:rPr/>
          </w:pPr>
          <w:hyperlink w:anchor="__RefHeading___Toc5148670_2314609296">
            <w:r>
              <w:rPr>
                <w:webHidden/>
                <w:rStyle w:val="IndexLink"/>
                <w:rtl w:val="true"/>
              </w:rPr>
              <w:t>مسألة یسقط هذا الخیار بأُمور</w:t>
            </w:r>
            <w:r>
              <w:rPr>
                <w:rStyle w:val="IndexLink"/>
                <w:rtl w:val="true"/>
              </w:rPr>
              <w:t>:</w:t>
              <w:tab/>
            </w:r>
            <w:r>
              <w:rPr>
                <w:rStyle w:val="IndexLink"/>
              </w:rPr>
              <w:t>99</w:t>
            </w:r>
          </w:hyperlink>
        </w:p>
        <w:p>
          <w:pPr>
            <w:pStyle w:val="Contents6"/>
            <w:tabs>
              <w:tab w:val="clear" w:pos="7609"/>
              <w:tab w:val="right" w:pos="9026" w:leader="dot"/>
            </w:tabs>
            <w:rPr/>
          </w:pPr>
          <w:hyperlink w:anchor="__RefHeading___Toc5148672_2314609296">
            <w:r>
              <w:rPr>
                <w:webHidden/>
                <w:rStyle w:val="IndexLink"/>
                <w:rtl w:val="true"/>
              </w:rPr>
              <w:t>أحدها</w:t>
            </w:r>
            <w:r>
              <w:rPr>
                <w:rStyle w:val="IndexLink"/>
                <w:rtl w:val="true"/>
              </w:rPr>
              <w:t>:</w:t>
            </w:r>
            <w:r>
              <w:rPr>
                <w:rStyle w:val="IndexLink"/>
                <w:rtl w:val="true"/>
              </w:rPr>
              <w:t>اشتراط سقوطه فی العقد</w:t>
            </w:r>
            <w:r>
              <w:rPr>
                <w:rStyle w:val="IndexLink"/>
                <w:rtl w:val="true"/>
              </w:rPr>
              <w:tab/>
            </w:r>
            <w:r>
              <w:rPr>
                <w:rStyle w:val="IndexLink"/>
              </w:rPr>
              <w:t>99</w:t>
            </w:r>
          </w:hyperlink>
        </w:p>
        <w:p>
          <w:pPr>
            <w:pStyle w:val="Contents6"/>
            <w:tabs>
              <w:tab w:val="clear" w:pos="7609"/>
              <w:tab w:val="right" w:pos="9026" w:leader="dot"/>
            </w:tabs>
            <w:rPr/>
          </w:pPr>
          <w:hyperlink w:anchor="__RefHeading___Toc5148674_2314609296">
            <w:r>
              <w:rPr>
                <w:webHidden/>
                <w:rStyle w:val="IndexLink"/>
                <w:rtl w:val="true"/>
              </w:rPr>
              <w:t>و الثانی</w:t>
            </w:r>
            <w:r>
              <w:rPr>
                <w:rStyle w:val="IndexLink"/>
                <w:rtl w:val="true"/>
              </w:rPr>
              <w:t xml:space="preserve">: </w:t>
            </w:r>
            <w:r>
              <w:rPr>
                <w:rStyle w:val="IndexLink"/>
                <w:rtl w:val="true"/>
              </w:rPr>
              <w:t>إسقاطه بعد العقد،</w:t>
            </w:r>
            <w:r>
              <w:rPr>
                <w:rStyle w:val="IndexLink"/>
                <w:rtl w:val="true"/>
              </w:rPr>
              <w:tab/>
            </w:r>
            <w:r>
              <w:rPr>
                <w:rStyle w:val="IndexLink"/>
              </w:rPr>
              <w:t>99</w:t>
            </w:r>
          </w:hyperlink>
        </w:p>
        <w:p>
          <w:pPr>
            <w:pStyle w:val="Contents6"/>
            <w:tabs>
              <w:tab w:val="clear" w:pos="7609"/>
              <w:tab w:val="right" w:pos="9026" w:leader="dot"/>
            </w:tabs>
            <w:rPr/>
          </w:pPr>
          <w:hyperlink w:anchor="__RefHeading___Toc5148676_2314609296">
            <w:r>
              <w:rPr>
                <w:webHidden/>
                <w:rStyle w:val="IndexLink"/>
                <w:rtl w:val="true"/>
              </w:rPr>
              <w:t>الثالث</w:t>
            </w:r>
            <w:r>
              <w:rPr>
                <w:rStyle w:val="IndexLink"/>
                <w:rtl w:val="true"/>
              </w:rPr>
              <w:t xml:space="preserve">: </w:t>
            </w:r>
            <w:r>
              <w:rPr>
                <w:rStyle w:val="IndexLink"/>
                <w:rtl w:val="true"/>
              </w:rPr>
              <w:t>التصرّف</w:t>
            </w:r>
            <w:r>
              <w:rPr>
                <w:rStyle w:val="IndexLink"/>
                <w:rtl w:val="true"/>
              </w:rPr>
              <w:tab/>
            </w:r>
            <w:r>
              <w:rPr>
                <w:rStyle w:val="IndexLink"/>
              </w:rPr>
              <w:t>99</w:t>
            </w:r>
          </w:hyperlink>
        </w:p>
        <w:p>
          <w:pPr>
            <w:pStyle w:val="Contents4"/>
            <w:tabs>
              <w:tab w:val="clear" w:pos="8176"/>
              <w:tab w:val="right" w:pos="9026" w:leader="dot"/>
            </w:tabs>
            <w:rPr/>
          </w:pPr>
          <w:hyperlink w:anchor="__RefHeading___Toc5148678_2314609296">
            <w:r>
              <w:rPr>
                <w:webHidden/>
                <w:rStyle w:val="IndexLink"/>
                <w:rtl w:val="true"/>
              </w:rPr>
              <w:t>الثالث خیار الشرط</w:t>
            </w:r>
            <w:r>
              <w:rPr>
                <w:rStyle w:val="IndexLink"/>
                <w:rtl w:val="true"/>
              </w:rPr>
              <w:tab/>
            </w:r>
            <w:r>
              <w:rPr>
                <w:rStyle w:val="IndexLink"/>
              </w:rPr>
              <w:t>113</w:t>
            </w:r>
          </w:hyperlink>
        </w:p>
        <w:p>
          <w:pPr>
            <w:pStyle w:val="Contents5"/>
            <w:tabs>
              <w:tab w:val="clear" w:pos="7892"/>
              <w:tab w:val="right" w:pos="9026" w:leader="dot"/>
            </w:tabs>
            <w:rPr/>
          </w:pPr>
          <w:hyperlink w:anchor="__RefHeading___Toc5148680_2314609296">
            <w:r>
              <w:rPr>
                <w:webHidden/>
                <w:rStyle w:val="IndexLink"/>
                <w:rtl w:val="true"/>
              </w:rPr>
              <w:t>اشاره</w:t>
            </w:r>
            <w:r>
              <w:rPr>
                <w:rStyle w:val="IndexLink"/>
                <w:rtl w:val="true"/>
              </w:rPr>
              <w:tab/>
            </w:r>
            <w:r>
              <w:rPr>
                <w:rStyle w:val="IndexLink"/>
              </w:rPr>
              <w:t>113</w:t>
            </w:r>
          </w:hyperlink>
        </w:p>
        <w:p>
          <w:pPr>
            <w:pStyle w:val="Contents5"/>
            <w:tabs>
              <w:tab w:val="clear" w:pos="7892"/>
              <w:tab w:val="right" w:pos="9026" w:leader="dot"/>
            </w:tabs>
            <w:rPr/>
          </w:pPr>
          <w:hyperlink w:anchor="__RefHeading___Toc5148682_2314609296">
            <w:r>
              <w:rPr>
                <w:webHidden/>
                <w:rStyle w:val="IndexLink"/>
                <w:rtl w:val="true"/>
              </w:rPr>
              <w:t>و المقصود هنا بیان أحکام الخیار المشترط فی العقد،و هی تظهر برسم مسائل</w:t>
            </w:r>
            <w:r>
              <w:rPr>
                <w:rStyle w:val="IndexLink"/>
                <w:rtl w:val="true"/>
              </w:rPr>
              <w:t>:</w:t>
              <w:tab/>
            </w:r>
            <w:r>
              <w:rPr>
                <w:rStyle w:val="IndexLink"/>
              </w:rPr>
              <w:t>114</w:t>
            </w:r>
          </w:hyperlink>
        </w:p>
        <w:p>
          <w:pPr>
            <w:pStyle w:val="Contents6"/>
            <w:tabs>
              <w:tab w:val="clear" w:pos="7609"/>
              <w:tab w:val="right" w:pos="9026" w:leader="dot"/>
            </w:tabs>
            <w:rPr/>
          </w:pPr>
          <w:hyperlink w:anchor="__RefHeading___Toc5148684_2314609296">
            <w:r>
              <w:rPr>
                <w:webHidden/>
                <w:rStyle w:val="IndexLink"/>
                <w:rtl w:val="true"/>
              </w:rPr>
              <w:t>اشاره</w:t>
            </w:r>
            <w:r>
              <w:rPr>
                <w:rStyle w:val="IndexLink"/>
                <w:rtl w:val="true"/>
              </w:rPr>
              <w:tab/>
            </w:r>
            <w:r>
              <w:rPr>
                <w:rStyle w:val="IndexLink"/>
              </w:rPr>
              <w:t>114</w:t>
            </w:r>
          </w:hyperlink>
        </w:p>
        <w:p>
          <w:pPr>
            <w:pStyle w:val="Contents6"/>
            <w:tabs>
              <w:tab w:val="clear" w:pos="7609"/>
              <w:tab w:val="right" w:pos="9026" w:leader="dot"/>
            </w:tabs>
            <w:rPr/>
          </w:pPr>
          <w:hyperlink w:anchor="__RefHeading___Toc5148686_2314609296">
            <w:r>
              <w:rPr>
                <w:webHidden/>
                <w:rStyle w:val="IndexLink"/>
                <w:rtl w:val="true"/>
              </w:rPr>
              <w:t>مسألة لا فرق بین کون زمان الخیار متّصلاً بالعقد أو منفصلاً عنه؛</w:t>
            </w:r>
            <w:r>
              <w:rPr>
                <w:rStyle w:val="IndexLink"/>
                <w:rtl w:val="true"/>
              </w:rPr>
              <w:tab/>
            </w:r>
            <w:r>
              <w:rPr>
                <w:rStyle w:val="IndexLink"/>
              </w:rPr>
              <w:t>115</w:t>
            </w:r>
          </w:hyperlink>
        </w:p>
        <w:p>
          <w:pPr>
            <w:pStyle w:val="Contents6"/>
            <w:tabs>
              <w:tab w:val="clear" w:pos="7609"/>
              <w:tab w:val="right" w:pos="9026" w:leader="dot"/>
            </w:tabs>
            <w:rPr/>
          </w:pPr>
          <w:hyperlink w:anchor="__RefHeading___Toc5148688_2314609296">
            <w:r>
              <w:rPr>
                <w:webHidden/>
                <w:rStyle w:val="IndexLink"/>
                <w:rtl w:val="true"/>
              </w:rPr>
              <w:t>مسألة لا فرق فی بطلان العقد بین ذکر المدّة المجهولة کقدوم الحاجّ،و بین عدم ذکر المدّة أصلاً،</w:t>
            </w:r>
            <w:r>
              <w:rPr>
                <w:rStyle w:val="IndexLink"/>
                <w:rtl w:val="true"/>
              </w:rPr>
              <w:tab/>
            </w:r>
            <w:r>
              <w:rPr>
                <w:rStyle w:val="IndexLink"/>
              </w:rPr>
              <w:t>118</w:t>
            </w:r>
          </w:hyperlink>
        </w:p>
        <w:p>
          <w:pPr>
            <w:pStyle w:val="Contents6"/>
            <w:tabs>
              <w:tab w:val="clear" w:pos="7609"/>
              <w:tab w:val="right" w:pos="9026" w:leader="dot"/>
            </w:tabs>
            <w:rPr/>
          </w:pPr>
          <w:hyperlink w:anchor="__RefHeading___Toc5148690_2314609296">
            <w:r>
              <w:rPr>
                <w:webHidden/>
                <w:rStyle w:val="IndexLink"/>
                <w:rtl w:val="true"/>
              </w:rPr>
              <w:t>مسألة مبدأ هذا الخیار عند الإطلاق</w:t>
            </w:r>
            <w:r>
              <w:rPr>
                <w:rStyle w:val="IndexLink"/>
                <w:rtl w:val="true"/>
              </w:rPr>
              <w:tab/>
            </w:r>
            <w:r>
              <w:rPr>
                <w:rStyle w:val="IndexLink"/>
              </w:rPr>
              <w:t>122</w:t>
            </w:r>
          </w:hyperlink>
        </w:p>
        <w:p>
          <w:pPr>
            <w:pStyle w:val="Contents6"/>
            <w:tabs>
              <w:tab w:val="clear" w:pos="7609"/>
              <w:tab w:val="right" w:pos="9026" w:leader="dot"/>
            </w:tabs>
            <w:rPr/>
          </w:pPr>
          <w:hyperlink w:anchor="__RefHeading___Toc5148692_2314609296">
            <w:r>
              <w:rPr>
                <w:webHidden/>
                <w:rStyle w:val="IndexLink"/>
                <w:rtl w:val="true"/>
              </w:rPr>
              <w:t>مسألة یصحّ جعل الخیار لأجنبیٍّ</w:t>
            </w:r>
            <w:r>
              <w:rPr>
                <w:rStyle w:val="IndexLink"/>
                <w:rtl w:val="true"/>
              </w:rPr>
              <w:t>.</w:t>
              <w:tab/>
            </w:r>
            <w:r>
              <w:rPr>
                <w:rStyle w:val="IndexLink"/>
              </w:rPr>
              <w:t>124</w:t>
            </w:r>
          </w:hyperlink>
        </w:p>
        <w:p>
          <w:pPr>
            <w:pStyle w:val="Contents6"/>
            <w:tabs>
              <w:tab w:val="clear" w:pos="7609"/>
              <w:tab w:val="right" w:pos="9026" w:leader="dot"/>
            </w:tabs>
            <w:rPr/>
          </w:pPr>
          <w:hyperlink w:anchor="__RefHeading___Toc5148694_2314609296">
            <w:r>
              <w:rPr>
                <w:webHidden/>
                <w:rStyle w:val="IndexLink"/>
                <w:rtl w:val="true"/>
              </w:rPr>
              <w:t>مسألة یجوز لهما اشتراط الاستئمار،</w:t>
            </w:r>
            <w:r>
              <w:rPr>
                <w:rStyle w:val="IndexLink"/>
                <w:rtl w:val="true"/>
              </w:rPr>
              <w:tab/>
            </w:r>
            <w:r>
              <w:rPr>
                <w:rStyle w:val="IndexLink"/>
              </w:rPr>
              <w:t>127</w:t>
            </w:r>
          </w:hyperlink>
        </w:p>
        <w:p>
          <w:pPr>
            <w:pStyle w:val="Contents6"/>
            <w:tabs>
              <w:tab w:val="clear" w:pos="7609"/>
              <w:tab w:val="right" w:pos="9026" w:leader="dot"/>
            </w:tabs>
            <w:rPr/>
          </w:pPr>
          <w:hyperlink w:anchor="__RefHeading___Toc5148696_2314609296">
            <w:r>
              <w:rPr>
                <w:webHidden/>
                <w:rStyle w:val="IndexLink"/>
                <w:rtl w:val="true"/>
              </w:rPr>
              <w:t>مسألة من أفراد خیار الشرط</w:t>
            </w:r>
            <w:r>
              <w:rPr>
                <w:rStyle w:val="IndexLink"/>
                <w:rtl w:val="true"/>
              </w:rPr>
              <w:t>:</w:t>
            </w:r>
            <w:r>
              <w:rPr>
                <w:rStyle w:val="IndexLink"/>
                <w:rtl w:val="true"/>
              </w:rPr>
              <w:t>ما یضاف البیع إلیه،و یقال له</w:t>
            </w:r>
            <w:r>
              <w:rPr>
                <w:rStyle w:val="IndexLink"/>
                <w:rtl w:val="true"/>
              </w:rPr>
              <w:t>:«</w:t>
            </w:r>
            <w:r>
              <w:rPr>
                <w:rStyle w:val="IndexLink"/>
                <w:rtl w:val="true"/>
              </w:rPr>
              <w:t>بیع الخیار</w:t>
            </w:r>
            <w:r>
              <w:rPr>
                <w:rStyle w:val="IndexLink"/>
                <w:rtl w:val="true"/>
              </w:rPr>
              <w:t>»</w:t>
            </w:r>
            <w:r>
              <w:rPr>
                <w:rStyle w:val="IndexLink"/>
                <w:rtl w:val="true"/>
              </w:rPr>
              <w:t>،</w:t>
            </w:r>
            <w:r>
              <w:rPr>
                <w:rStyle w:val="IndexLink"/>
                <w:rtl w:val="true"/>
              </w:rPr>
              <w:tab/>
            </w:r>
            <w:r>
              <w:rPr>
                <w:rStyle w:val="IndexLink"/>
              </w:rPr>
              <w:t>129</w:t>
            </w:r>
          </w:hyperlink>
        </w:p>
        <w:p>
          <w:pPr>
            <w:pStyle w:val="Contents6"/>
            <w:tabs>
              <w:tab w:val="clear" w:pos="7609"/>
              <w:tab w:val="right" w:pos="9026" w:leader="dot"/>
            </w:tabs>
            <w:rPr/>
          </w:pPr>
          <w:hyperlink w:anchor="__RefHeading___Toc5148698_2314609296">
            <w:r>
              <w:rPr>
                <w:webHidden/>
                <w:rStyle w:val="IndexLink"/>
                <w:rtl w:val="true"/>
              </w:rPr>
              <w:t>فتوضیح المسألة یتحقّق بالکلام فی أُمور</w:t>
            </w:r>
            <w:r>
              <w:rPr>
                <w:rStyle w:val="IndexLink"/>
                <w:rtl w:val="true"/>
              </w:rPr>
              <w:t>:</w:t>
              <w:tab/>
            </w:r>
            <w:r>
              <w:rPr>
                <w:rStyle w:val="IndexLink"/>
              </w:rPr>
              <w:t>131</w:t>
            </w:r>
          </w:hyperlink>
        </w:p>
        <w:p>
          <w:pPr>
            <w:pStyle w:val="Contents6"/>
            <w:tabs>
              <w:tab w:val="clear" w:pos="7609"/>
              <w:tab w:val="right" w:pos="9026" w:leader="dot"/>
            </w:tabs>
            <w:rPr/>
          </w:pPr>
          <w:hyperlink w:anchor="__RefHeading___Toc5148700_2314609296">
            <w:r>
              <w:rPr>
                <w:webHidden/>
                <w:rStyle w:val="IndexLink"/>
                <w:rtl w:val="true"/>
              </w:rPr>
              <w:t>الأوّل أنّ اعتبار ردّ الثمن فی هذا الخیار یتصوّر علی وجوه</w:t>
            </w:r>
            <w:r>
              <w:rPr>
                <w:rStyle w:val="IndexLink"/>
                <w:rtl w:val="true"/>
              </w:rPr>
              <w:t>:</w:t>
              <w:tab/>
            </w:r>
            <w:r>
              <w:rPr>
                <w:rStyle w:val="IndexLink"/>
              </w:rPr>
              <w:t>131</w:t>
            </w:r>
          </w:hyperlink>
        </w:p>
        <w:p>
          <w:pPr>
            <w:pStyle w:val="Contents6"/>
            <w:tabs>
              <w:tab w:val="clear" w:pos="7609"/>
              <w:tab w:val="right" w:pos="9026" w:leader="dot"/>
            </w:tabs>
            <w:rPr/>
          </w:pPr>
          <w:hyperlink w:anchor="__RefHeading___Toc5148702_2314609296">
            <w:r>
              <w:rPr>
                <w:webHidden/>
                <w:rStyle w:val="IndexLink"/>
                <w:rtl w:val="true"/>
              </w:rPr>
              <w:t>الثانی</w:t>
            </w:r>
            <w:r>
              <w:rPr>
                <w:rStyle w:val="IndexLink"/>
                <w:rtl w:val="true"/>
              </w:rPr>
              <w:tab/>
            </w:r>
            <w:r>
              <w:rPr>
                <w:rStyle w:val="IndexLink"/>
              </w:rPr>
              <w:t>133</w:t>
            </w:r>
          </w:hyperlink>
        </w:p>
        <w:p>
          <w:pPr>
            <w:pStyle w:val="Contents6"/>
            <w:tabs>
              <w:tab w:val="clear" w:pos="7609"/>
              <w:tab w:val="right" w:pos="9026" w:leader="dot"/>
            </w:tabs>
            <w:rPr/>
          </w:pPr>
          <w:hyperlink w:anchor="__RefHeading___Toc5148704_2314609296">
            <w:r>
              <w:rPr>
                <w:webHidden/>
                <w:rStyle w:val="IndexLink"/>
                <w:rtl w:val="true"/>
              </w:rPr>
              <w:t xml:space="preserve">الثالث </w:t>
            </w:r>
            <w:r>
              <w:rPr>
                <w:rStyle w:val="IndexLink"/>
                <w:rtl w:val="true"/>
              </w:rPr>
              <w:t>[</w:t>
            </w:r>
            <w:r>
              <w:rPr>
                <w:rStyle w:val="IndexLink"/>
                <w:rtl w:val="true"/>
              </w:rPr>
              <w:t>لا یکفی مجرّد الردّ فی الفسخ</w:t>
            </w:r>
            <w:r>
              <w:rPr>
                <w:rStyle w:val="IndexLink"/>
                <w:rtl w:val="true"/>
              </w:rPr>
              <w:t>.]</w:t>
              <w:tab/>
            </w:r>
            <w:r>
              <w:rPr>
                <w:rStyle w:val="IndexLink"/>
              </w:rPr>
              <w:t>135</w:t>
            </w:r>
          </w:hyperlink>
        </w:p>
        <w:p>
          <w:pPr>
            <w:pStyle w:val="Contents6"/>
            <w:tabs>
              <w:tab w:val="clear" w:pos="7609"/>
              <w:tab w:val="right" w:pos="9026" w:leader="dot"/>
            </w:tabs>
            <w:rPr/>
          </w:pPr>
          <w:hyperlink w:anchor="__RefHeading___Toc5148706_2314609296">
            <w:r>
              <w:rPr>
                <w:webHidden/>
                <w:rStyle w:val="IndexLink"/>
                <w:rtl w:val="true"/>
              </w:rPr>
              <w:t>الرابع یسقط هذا الخیار بإسقاطه بعد العقد علی الوجه الثانی من الوجهین الأوّلین،</w:t>
            </w:r>
            <w:r>
              <w:rPr>
                <w:rStyle w:val="IndexLink"/>
                <w:rtl w:val="true"/>
              </w:rPr>
              <w:tab/>
            </w:r>
            <w:r>
              <w:rPr>
                <w:rStyle w:val="IndexLink"/>
              </w:rPr>
              <w:t>137</w:t>
            </w:r>
          </w:hyperlink>
        </w:p>
        <w:p>
          <w:pPr>
            <w:pStyle w:val="Contents6"/>
            <w:tabs>
              <w:tab w:val="clear" w:pos="7609"/>
              <w:tab w:val="right" w:pos="9026" w:leader="dot"/>
            </w:tabs>
            <w:rPr/>
          </w:pPr>
          <w:hyperlink w:anchor="__RefHeading___Toc5148708_2314609296">
            <w:r>
              <w:rPr>
                <w:webHidden/>
                <w:rStyle w:val="IndexLink"/>
                <w:rtl w:val="true"/>
              </w:rPr>
              <w:t>الخامس لو تلف المبیع کان من المشتری،</w:t>
            </w:r>
            <w:r>
              <w:rPr>
                <w:rStyle w:val="IndexLink"/>
                <w:rtl w:val="true"/>
              </w:rPr>
              <w:tab/>
            </w:r>
            <w:r>
              <w:rPr>
                <w:rStyle w:val="IndexLink"/>
              </w:rPr>
              <w:t>141</w:t>
            </w:r>
          </w:hyperlink>
        </w:p>
        <w:p>
          <w:pPr>
            <w:pStyle w:val="Contents6"/>
            <w:tabs>
              <w:tab w:val="clear" w:pos="7609"/>
              <w:tab w:val="right" w:pos="9026" w:leader="dot"/>
            </w:tabs>
            <w:rPr/>
          </w:pPr>
          <w:hyperlink w:anchor="__RefHeading___Toc5148710_2314609296">
            <w:r>
              <w:rPr>
                <w:webHidden/>
                <w:rStyle w:val="IndexLink"/>
                <w:rtl w:val="true"/>
              </w:rPr>
              <w:t>السادس لا إشکال فی القدرة علی الفسخ بردّ الثمن علی نفس المشتری، أو بردّه علی وکیله المطلق</w:t>
            </w:r>
            <w:r>
              <w:rPr>
                <w:rStyle w:val="IndexLink"/>
                <w:rtl w:val="true"/>
              </w:rPr>
              <w:tab/>
            </w:r>
            <w:r>
              <w:rPr>
                <w:rStyle w:val="IndexLink"/>
              </w:rPr>
              <w:t>143</w:t>
            </w:r>
          </w:hyperlink>
        </w:p>
        <w:p>
          <w:pPr>
            <w:pStyle w:val="Contents6"/>
            <w:tabs>
              <w:tab w:val="clear" w:pos="7609"/>
              <w:tab w:val="right" w:pos="9026" w:leader="dot"/>
            </w:tabs>
            <w:rPr/>
          </w:pPr>
          <w:hyperlink w:anchor="__RefHeading___Toc5148712_2314609296">
            <w:r>
              <w:rPr>
                <w:webHidden/>
                <w:rStyle w:val="IndexLink"/>
                <w:rtl w:val="true"/>
              </w:rPr>
              <w:t>السابع إذا أطلق اشتراط الفسخ بردّ الثمن لم یکن له ذلک إلّا بردّ الجمیع،</w:t>
            </w:r>
            <w:r>
              <w:rPr>
                <w:rStyle w:val="IndexLink"/>
                <w:rtl w:val="true"/>
              </w:rPr>
              <w:tab/>
            </w:r>
            <w:r>
              <w:rPr>
                <w:rStyle w:val="IndexLink"/>
              </w:rPr>
              <w:t>147</w:t>
            </w:r>
          </w:hyperlink>
        </w:p>
        <w:p>
          <w:pPr>
            <w:pStyle w:val="Contents6"/>
            <w:tabs>
              <w:tab w:val="clear" w:pos="7609"/>
              <w:tab w:val="right" w:pos="9026" w:leader="dot"/>
            </w:tabs>
            <w:rPr/>
          </w:pPr>
          <w:hyperlink w:anchor="__RefHeading___Toc5148714_2314609296">
            <w:r>
              <w:rPr>
                <w:webHidden/>
                <w:rStyle w:val="IndexLink"/>
                <w:rtl w:val="true"/>
              </w:rPr>
              <w:t>الثامن کما یجوز للبائع اشتراط الفسخ بردّ الثمن،کذا یجوز للمشتری اشتراط الفسخ بردّ المثمن</w:t>
            </w:r>
            <w:r>
              <w:rPr>
                <w:rStyle w:val="IndexLink"/>
                <w:rtl w:val="true"/>
              </w:rPr>
              <w:t>.</w:t>
              <w:tab/>
            </w:r>
            <w:r>
              <w:rPr>
                <w:rStyle w:val="IndexLink"/>
              </w:rPr>
              <w:t>147</w:t>
            </w:r>
          </w:hyperlink>
        </w:p>
        <w:p>
          <w:pPr>
            <w:pStyle w:val="Contents6"/>
            <w:tabs>
              <w:tab w:val="clear" w:pos="7609"/>
              <w:tab w:val="right" w:pos="9026" w:leader="dot"/>
            </w:tabs>
            <w:rPr/>
          </w:pPr>
          <w:hyperlink w:anchor="__RefHeading___Toc5148716_2314609296">
            <w:r>
              <w:rPr>
                <w:webHidden/>
                <w:rStyle w:val="IndexLink"/>
                <w:rtl w:val="true"/>
              </w:rPr>
              <w:t>مسألة لا إشکال و لا خلاف فی عدم اختصاص خیار الشرط بالبیع و جریانه فی کلّ معاوضةٍ لازمةٍ</w:t>
            </w:r>
            <w:r>
              <w:rPr>
                <w:rStyle w:val="IndexLink"/>
                <w:rtl w:val="true"/>
              </w:rPr>
              <w:tab/>
            </w:r>
            <w:r>
              <w:rPr>
                <w:rStyle w:val="IndexLink"/>
              </w:rPr>
              <w:t>149</w:t>
            </w:r>
          </w:hyperlink>
        </w:p>
        <w:p>
          <w:pPr>
            <w:pStyle w:val="Contents6"/>
            <w:tabs>
              <w:tab w:val="clear" w:pos="7609"/>
              <w:tab w:val="right" w:pos="9026" w:leader="dot"/>
            </w:tabs>
            <w:rPr/>
          </w:pPr>
          <w:hyperlink w:anchor="__RefHeading___Toc5148718_2314609296">
            <w:r>
              <w:rPr>
                <w:webHidden/>
                <w:rStyle w:val="IndexLink"/>
                <w:rtl w:val="true"/>
              </w:rPr>
              <w:t>[</w:t>
            </w:r>
            <w:r>
              <w:rPr>
                <w:rStyle w:val="IndexLink"/>
                <w:rtl w:val="true"/>
              </w:rPr>
              <w:t>عدم جریان خیار الشرط فی الإیقاعات</w:t>
            </w:r>
            <w:r>
              <w:rPr>
                <w:rStyle w:val="IndexLink"/>
                <w:rtl w:val="true"/>
              </w:rPr>
              <w:t>]</w:t>
              <w:tab/>
            </w:r>
            <w:r>
              <w:rPr>
                <w:rStyle w:val="IndexLink"/>
              </w:rPr>
              <w:t>150</w:t>
            </w:r>
          </w:hyperlink>
        </w:p>
        <w:p>
          <w:pPr>
            <w:pStyle w:val="Contents6"/>
            <w:tabs>
              <w:tab w:val="clear" w:pos="7609"/>
              <w:tab w:val="right" w:pos="9026" w:leader="dot"/>
            </w:tabs>
            <w:rPr/>
          </w:pPr>
          <w:hyperlink w:anchor="__RefHeading___Toc5148720_2314609296">
            <w:r>
              <w:rPr>
                <w:webHidden/>
                <w:rStyle w:val="IndexLink"/>
                <w:rtl w:val="true"/>
              </w:rPr>
              <w:t>[</w:t>
            </w:r>
            <w:r>
              <w:rPr>
                <w:rStyle w:val="IndexLink"/>
                <w:rtl w:val="true"/>
              </w:rPr>
              <w:t>عدم جریان خیار الشرط فی العقود المتضمنة للإیقاع</w:t>
            </w:r>
            <w:r>
              <w:rPr>
                <w:rStyle w:val="IndexLink"/>
                <w:rtl w:val="true"/>
              </w:rPr>
              <w:t>]</w:t>
              <w:tab/>
            </w:r>
            <w:r>
              <w:rPr>
                <w:rStyle w:val="IndexLink"/>
              </w:rPr>
              <w:t>152</w:t>
            </w:r>
          </w:hyperlink>
        </w:p>
        <w:p>
          <w:pPr>
            <w:pStyle w:val="Contents6"/>
            <w:tabs>
              <w:tab w:val="clear" w:pos="7609"/>
              <w:tab w:val="right" w:pos="9026" w:leader="dot"/>
            </w:tabs>
            <w:rPr/>
          </w:pPr>
          <w:hyperlink w:anchor="__RefHeading___Toc5148722_2314609296">
            <w:r>
              <w:rPr>
                <w:webHidden/>
                <w:rStyle w:val="IndexLink"/>
                <w:rtl w:val="true"/>
              </w:rPr>
              <w:t>[</w:t>
            </w:r>
            <w:r>
              <w:rPr>
                <w:rStyle w:val="IndexLink"/>
                <w:rtl w:val="true"/>
              </w:rPr>
              <w:t>أقسام العقود من حیث دخول خیار الشرط فیها</w:t>
            </w:r>
            <w:r>
              <w:rPr>
                <w:rStyle w:val="IndexLink"/>
                <w:rtl w:val="true"/>
              </w:rPr>
              <w:t>]</w:t>
              <w:tab/>
            </w:r>
            <w:r>
              <w:rPr>
                <w:rStyle w:val="IndexLink"/>
              </w:rPr>
              <w:t>153</w:t>
            </w:r>
          </w:hyperlink>
        </w:p>
        <w:p>
          <w:pPr>
            <w:pStyle w:val="Contents6"/>
            <w:tabs>
              <w:tab w:val="clear" w:pos="7609"/>
              <w:tab w:val="right" w:pos="9026" w:leader="dot"/>
            </w:tabs>
            <w:rPr/>
          </w:pPr>
          <w:hyperlink w:anchor="__RefHeading___Toc5148724_2314609296">
            <w:r>
              <w:rPr>
                <w:webHidden/>
                <w:rStyle w:val="IndexLink"/>
                <w:rtl w:val="true"/>
              </w:rPr>
              <w:t>[</w:t>
            </w:r>
            <w:r>
              <w:rPr>
                <w:rStyle w:val="IndexLink"/>
                <w:rtl w:val="true"/>
              </w:rPr>
              <w:t>ما لا یدخله اتّفاقاً</w:t>
            </w:r>
            <w:r>
              <w:rPr>
                <w:rStyle w:val="IndexLink"/>
                <w:rtl w:val="true"/>
              </w:rPr>
              <w:t>]</w:t>
              <w:tab/>
            </w:r>
            <w:r>
              <w:rPr>
                <w:rStyle w:val="IndexLink"/>
              </w:rPr>
              <w:t>153</w:t>
            </w:r>
          </w:hyperlink>
        </w:p>
        <w:p>
          <w:pPr>
            <w:pStyle w:val="Contents6"/>
            <w:tabs>
              <w:tab w:val="clear" w:pos="7609"/>
              <w:tab w:val="right" w:pos="9026" w:leader="dot"/>
            </w:tabs>
            <w:rPr/>
          </w:pPr>
          <w:hyperlink w:anchor="__RefHeading___Toc5148726_2314609296">
            <w:r>
              <w:rPr>
                <w:webHidden/>
                <w:rStyle w:val="IndexLink"/>
                <w:rtl w:val="true"/>
              </w:rPr>
              <w:t>[</w:t>
            </w:r>
            <w:r>
              <w:rPr>
                <w:rStyle w:val="IndexLink"/>
                <w:rtl w:val="true"/>
              </w:rPr>
              <w:t>ما اختلف فی دخوله فیه</w:t>
            </w:r>
            <w:r>
              <w:rPr>
                <w:rStyle w:val="IndexLink"/>
                <w:rtl w:val="true"/>
              </w:rPr>
              <w:t>]</w:t>
              <w:tab/>
            </w:r>
            <w:r>
              <w:rPr>
                <w:rStyle w:val="IndexLink"/>
              </w:rPr>
              <w:t>153</w:t>
            </w:r>
          </w:hyperlink>
        </w:p>
        <w:p>
          <w:pPr>
            <w:pStyle w:val="Contents6"/>
            <w:tabs>
              <w:tab w:val="clear" w:pos="7609"/>
              <w:tab w:val="right" w:pos="9026" w:leader="dot"/>
            </w:tabs>
            <w:rPr/>
          </w:pPr>
          <w:hyperlink w:anchor="__RefHeading___Toc5148728_2314609296">
            <w:r>
              <w:rPr>
                <w:webHidden/>
                <w:rStyle w:val="IndexLink"/>
                <w:rtl w:val="true"/>
              </w:rPr>
              <w:t>[</w:t>
            </w:r>
            <w:r>
              <w:rPr>
                <w:rStyle w:val="IndexLink"/>
                <w:rtl w:val="true"/>
              </w:rPr>
              <w:t>الوقف</w:t>
            </w:r>
            <w:r>
              <w:rPr>
                <w:rStyle w:val="IndexLink"/>
                <w:rtl w:val="true"/>
              </w:rPr>
              <w:t>]</w:t>
              <w:tab/>
            </w:r>
            <w:r>
              <w:rPr>
                <w:rStyle w:val="IndexLink"/>
              </w:rPr>
              <w:t>153</w:t>
            </w:r>
          </w:hyperlink>
        </w:p>
        <w:p>
          <w:pPr>
            <w:pStyle w:val="Contents6"/>
            <w:tabs>
              <w:tab w:val="clear" w:pos="7609"/>
              <w:tab w:val="right" w:pos="9026" w:leader="dot"/>
            </w:tabs>
            <w:rPr/>
          </w:pPr>
          <w:hyperlink w:anchor="__RefHeading___Toc5148730_2314609296">
            <w:r>
              <w:rPr>
                <w:webHidden/>
                <w:rStyle w:val="IndexLink"/>
                <w:rtl w:val="true"/>
              </w:rPr>
              <w:t>و منه</w:t>
            </w:r>
            <w:r>
              <w:rPr>
                <w:rStyle w:val="IndexLink"/>
                <w:rtl w:val="true"/>
              </w:rPr>
              <w:tab/>
            </w:r>
            <w:r>
              <w:rPr>
                <w:rStyle w:val="IndexLink"/>
              </w:rPr>
              <w:t>155</w:t>
            </w:r>
          </w:hyperlink>
        </w:p>
        <w:p>
          <w:pPr>
            <w:pStyle w:val="Contents6"/>
            <w:tabs>
              <w:tab w:val="clear" w:pos="7609"/>
              <w:tab w:val="right" w:pos="9026" w:leader="dot"/>
            </w:tabs>
            <w:rPr/>
          </w:pPr>
          <w:hyperlink w:anchor="__RefHeading___Toc5148732_2314609296">
            <w:r>
              <w:rPr>
                <w:webHidden/>
                <w:rStyle w:val="IndexLink"/>
                <w:rtl w:val="true"/>
              </w:rPr>
              <w:t>و منه</w:t>
            </w:r>
            <w:r>
              <w:rPr>
                <w:rStyle w:val="IndexLink"/>
                <w:rtl w:val="true"/>
              </w:rPr>
              <w:t xml:space="preserve">: </w:t>
            </w:r>
            <w:r>
              <w:rPr>
                <w:rStyle w:val="IndexLink"/>
                <w:rtl w:val="true"/>
              </w:rPr>
              <w:t>الضمان،</w:t>
            </w:r>
            <w:r>
              <w:rPr>
                <w:rStyle w:val="IndexLink"/>
                <w:rtl w:val="true"/>
              </w:rPr>
              <w:tab/>
            </w:r>
            <w:r>
              <w:rPr>
                <w:rStyle w:val="IndexLink"/>
              </w:rPr>
              <w:t>156</w:t>
            </w:r>
          </w:hyperlink>
        </w:p>
        <w:p>
          <w:pPr>
            <w:pStyle w:val="Contents6"/>
            <w:tabs>
              <w:tab w:val="clear" w:pos="7609"/>
              <w:tab w:val="right" w:pos="9026" w:leader="dot"/>
            </w:tabs>
            <w:rPr/>
          </w:pPr>
          <w:hyperlink w:anchor="__RefHeading___Toc5148734_2314609296">
            <w:r>
              <w:rPr>
                <w:webHidden/>
                <w:rStyle w:val="IndexLink"/>
                <w:rtl w:val="true"/>
              </w:rPr>
              <w:t>و منه</w:t>
            </w:r>
            <w:r>
              <w:rPr>
                <w:rStyle w:val="IndexLink"/>
                <w:rtl w:val="true"/>
              </w:rPr>
              <w:t xml:space="preserve">: </w:t>
            </w:r>
            <w:r>
              <w:rPr>
                <w:rStyle w:val="IndexLink"/>
                <w:rtl w:val="true"/>
              </w:rPr>
              <w:t>الرهن،</w:t>
            </w:r>
            <w:r>
              <w:rPr>
                <w:rStyle w:val="IndexLink"/>
                <w:rtl w:val="true"/>
              </w:rPr>
              <w:tab/>
            </w:r>
            <w:r>
              <w:rPr>
                <w:rStyle w:val="IndexLink"/>
              </w:rPr>
              <w:t>156</w:t>
            </w:r>
          </w:hyperlink>
        </w:p>
        <w:p>
          <w:pPr>
            <w:pStyle w:val="Contents6"/>
            <w:tabs>
              <w:tab w:val="clear" w:pos="7609"/>
              <w:tab w:val="right" w:pos="9026" w:leader="dot"/>
            </w:tabs>
            <w:rPr/>
          </w:pPr>
          <w:hyperlink w:anchor="__RefHeading___Toc5148736_2314609296">
            <w:r>
              <w:rPr>
                <w:webHidden/>
                <w:rStyle w:val="IndexLink"/>
                <w:rtl w:val="true"/>
              </w:rPr>
              <w:t>و منه</w:t>
            </w:r>
            <w:r>
              <w:rPr>
                <w:rStyle w:val="IndexLink"/>
                <w:rtl w:val="true"/>
              </w:rPr>
              <w:t xml:space="preserve">: </w:t>
            </w:r>
            <w:r>
              <w:rPr>
                <w:rStyle w:val="IndexLink"/>
                <w:rtl w:val="true"/>
              </w:rPr>
              <w:t>الصرف،</w:t>
            </w:r>
            <w:r>
              <w:rPr>
                <w:rStyle w:val="IndexLink"/>
                <w:rtl w:val="true"/>
              </w:rPr>
              <w:tab/>
            </w:r>
            <w:r>
              <w:rPr>
                <w:rStyle w:val="IndexLink"/>
              </w:rPr>
              <w:t>156</w:t>
            </w:r>
          </w:hyperlink>
        </w:p>
        <w:p>
          <w:pPr>
            <w:pStyle w:val="Contents6"/>
            <w:tabs>
              <w:tab w:val="clear" w:pos="7609"/>
              <w:tab w:val="right" w:pos="9026" w:leader="dot"/>
            </w:tabs>
            <w:rPr/>
          </w:pPr>
          <w:hyperlink w:anchor="__RefHeading___Toc5148738_2314609296">
            <w:r>
              <w:rPr>
                <w:webHidden/>
                <w:rStyle w:val="IndexLink"/>
                <w:rtl w:val="true"/>
              </w:rPr>
              <w:t>[</w:t>
            </w:r>
            <w:r>
              <w:rPr>
                <w:rStyle w:val="IndexLink"/>
                <w:rtl w:val="true"/>
              </w:rPr>
              <w:t>ما یدخله خیار الشرط اتفاقا</w:t>
            </w:r>
            <w:r>
              <w:rPr>
                <w:rStyle w:val="IndexLink"/>
                <w:rtl w:val="true"/>
              </w:rPr>
              <w:t>]</w:t>
              <w:tab/>
            </w:r>
            <w:r>
              <w:rPr>
                <w:rStyle w:val="IndexLink"/>
              </w:rPr>
              <w:t>157</w:t>
            </w:r>
          </w:hyperlink>
        </w:p>
        <w:p>
          <w:pPr>
            <w:pStyle w:val="Contents6"/>
            <w:tabs>
              <w:tab w:val="clear" w:pos="7609"/>
              <w:tab w:val="right" w:pos="9026" w:leader="dot"/>
            </w:tabs>
            <w:rPr/>
          </w:pPr>
          <w:hyperlink w:anchor="__RefHeading___Toc5148740_2314609296">
            <w:r>
              <w:rPr>
                <w:webHidden/>
                <w:rStyle w:val="IndexLink"/>
                <w:rtl w:val="true"/>
              </w:rPr>
              <w:t>[</w:t>
            </w:r>
            <w:r>
              <w:rPr>
                <w:rStyle w:val="IndexLink"/>
                <w:rtl w:val="true"/>
              </w:rPr>
              <w:t>هل یدخل خیار الشرط فی القسمة؟</w:t>
            </w:r>
            <w:r>
              <w:rPr>
                <w:rStyle w:val="IndexLink"/>
                <w:rtl w:val="true"/>
              </w:rPr>
              <w:t>]</w:t>
              <w:tab/>
            </w:r>
            <w:r>
              <w:rPr>
                <w:rStyle w:val="IndexLink"/>
              </w:rPr>
              <w:t>157</w:t>
            </w:r>
          </w:hyperlink>
        </w:p>
        <w:p>
          <w:pPr>
            <w:pStyle w:val="Contents4"/>
            <w:tabs>
              <w:tab w:val="clear" w:pos="8176"/>
              <w:tab w:val="right" w:pos="9026" w:leader="dot"/>
            </w:tabs>
            <w:rPr/>
          </w:pPr>
          <w:hyperlink w:anchor="__RefHeading___Toc5148742_2314609296">
            <w:r>
              <w:rPr>
                <w:webHidden/>
                <w:rStyle w:val="IndexLink"/>
                <w:rtl w:val="true"/>
              </w:rPr>
              <w:t>الرابع خیار الغبن</w:t>
            </w:r>
            <w:r>
              <w:rPr>
                <w:rStyle w:val="IndexLink"/>
                <w:rtl w:val="true"/>
              </w:rPr>
              <w:tab/>
            </w:r>
            <w:r>
              <w:rPr>
                <w:rStyle w:val="IndexLink"/>
              </w:rPr>
              <w:t>159</w:t>
            </w:r>
          </w:hyperlink>
        </w:p>
        <w:p>
          <w:pPr>
            <w:pStyle w:val="Contents5"/>
            <w:tabs>
              <w:tab w:val="clear" w:pos="7892"/>
              <w:tab w:val="right" w:pos="9026" w:leader="dot"/>
            </w:tabs>
            <w:rPr/>
          </w:pPr>
          <w:hyperlink w:anchor="__RefHeading___Toc5148744_2314609296">
            <w:r>
              <w:rPr>
                <w:webHidden/>
                <w:rStyle w:val="IndexLink"/>
                <w:rtl w:val="true"/>
              </w:rPr>
              <w:t>[</w:t>
            </w:r>
            <w:r>
              <w:rPr>
                <w:rStyle w:val="IndexLink"/>
                <w:rtl w:val="true"/>
              </w:rPr>
              <w:t>الغبن لغة و اصطلاحا</w:t>
            </w:r>
            <w:r>
              <w:rPr>
                <w:rStyle w:val="IndexLink"/>
                <w:rtl w:val="true"/>
              </w:rPr>
              <w:t>]</w:t>
              <w:tab/>
            </w:r>
            <w:r>
              <w:rPr>
                <w:rStyle w:val="IndexLink"/>
              </w:rPr>
              <w:t>159</w:t>
            </w:r>
          </w:hyperlink>
        </w:p>
        <w:p>
          <w:pPr>
            <w:pStyle w:val="Contents5"/>
            <w:tabs>
              <w:tab w:val="clear" w:pos="7892"/>
              <w:tab w:val="right" w:pos="9026" w:leader="dot"/>
            </w:tabs>
            <w:rPr/>
          </w:pPr>
          <w:hyperlink w:anchor="__RefHeading___Toc5148746_2314609296">
            <w:r>
              <w:rPr>
                <w:webHidden/>
                <w:rStyle w:val="IndexLink"/>
                <w:rtl w:val="true"/>
              </w:rPr>
              <w:t>[</w:t>
            </w:r>
            <w:r>
              <w:rPr>
                <w:rStyle w:val="IndexLink"/>
                <w:rtl w:val="true"/>
              </w:rPr>
              <w:t>الاستدلال بآیة تجارة عن تراض علی هذا الخیار</w:t>
            </w:r>
            <w:r>
              <w:rPr>
                <w:rStyle w:val="IndexLink"/>
                <w:rtl w:val="true"/>
              </w:rPr>
              <w:t>]</w:t>
              <w:tab/>
            </w:r>
            <w:r>
              <w:rPr>
                <w:rStyle w:val="IndexLink"/>
              </w:rPr>
              <w:t>160</w:t>
            </w:r>
          </w:hyperlink>
        </w:p>
        <w:p>
          <w:pPr>
            <w:pStyle w:val="Contents5"/>
            <w:tabs>
              <w:tab w:val="clear" w:pos="7892"/>
              <w:tab w:val="right" w:pos="9026" w:leader="dot"/>
            </w:tabs>
            <w:rPr/>
          </w:pPr>
          <w:hyperlink w:anchor="__RefHeading___Toc5148748_2314609296">
            <w:r>
              <w:rPr>
                <w:webHidden/>
                <w:rStyle w:val="IndexLink"/>
                <w:rtl w:val="true"/>
              </w:rPr>
              <w:t>[</w:t>
            </w:r>
            <w:r>
              <w:rPr>
                <w:rStyle w:val="IndexLink"/>
                <w:rtl w:val="true"/>
              </w:rPr>
              <w:t>الاستدلال بآیة و لا تأکلوا أموالکم</w:t>
            </w:r>
            <w:r>
              <w:rPr>
                <w:rStyle w:val="IndexLink"/>
                <w:rtl w:val="true"/>
              </w:rPr>
              <w:t>]</w:t>
              <w:tab/>
            </w:r>
            <w:r>
              <w:rPr>
                <w:rStyle w:val="IndexLink"/>
              </w:rPr>
              <w:t>161</w:t>
            </w:r>
          </w:hyperlink>
        </w:p>
        <w:p>
          <w:pPr>
            <w:pStyle w:val="Contents5"/>
            <w:tabs>
              <w:tab w:val="clear" w:pos="7892"/>
              <w:tab w:val="right" w:pos="9026" w:leader="dot"/>
            </w:tabs>
            <w:rPr/>
          </w:pPr>
          <w:hyperlink w:anchor="__RefHeading___Toc5148750_2314609296">
            <w:r>
              <w:rPr>
                <w:webHidden/>
                <w:rStyle w:val="IndexLink"/>
                <w:rtl w:val="true"/>
              </w:rPr>
              <w:t>[</w:t>
            </w:r>
            <w:r>
              <w:rPr>
                <w:rStyle w:val="IndexLink"/>
                <w:rtl w:val="true"/>
              </w:rPr>
              <w:t>ما استدل به فی التذکرة و المناقشة فیه</w:t>
            </w:r>
            <w:r>
              <w:rPr>
                <w:rStyle w:val="IndexLink"/>
                <w:rtl w:val="true"/>
              </w:rPr>
              <w:t>]</w:t>
              <w:tab/>
            </w:r>
            <w:r>
              <w:rPr>
                <w:rStyle w:val="IndexLink"/>
              </w:rPr>
              <w:t>162</w:t>
            </w:r>
          </w:hyperlink>
        </w:p>
        <w:p>
          <w:pPr>
            <w:pStyle w:val="Contents5"/>
            <w:tabs>
              <w:tab w:val="clear" w:pos="7892"/>
              <w:tab w:val="right" w:pos="9026" w:leader="dot"/>
            </w:tabs>
            <w:rPr/>
          </w:pPr>
          <w:hyperlink w:anchor="__RefHeading___Toc5148752_2314609296">
            <w:r>
              <w:rPr>
                <w:webHidden/>
                <w:rStyle w:val="IndexLink"/>
                <w:rtl w:val="true"/>
              </w:rPr>
              <w:t>[</w:t>
            </w:r>
            <w:r>
              <w:rPr>
                <w:rStyle w:val="IndexLink"/>
                <w:rtl w:val="true"/>
              </w:rPr>
              <w:t>الاستدلال بلا ضرر و لا ضرار</w:t>
            </w:r>
            <w:r>
              <w:rPr>
                <w:rStyle w:val="IndexLink"/>
                <w:rtl w:val="true"/>
              </w:rPr>
              <w:t>]</w:t>
              <w:tab/>
            </w:r>
            <w:r>
              <w:rPr>
                <w:rStyle w:val="IndexLink"/>
              </w:rPr>
              <w:t>163</w:t>
            </w:r>
          </w:hyperlink>
        </w:p>
        <w:p>
          <w:pPr>
            <w:pStyle w:val="Contents5"/>
            <w:tabs>
              <w:tab w:val="clear" w:pos="7892"/>
              <w:tab w:val="right" w:pos="9026" w:leader="dot"/>
            </w:tabs>
            <w:rPr/>
          </w:pPr>
          <w:hyperlink w:anchor="__RefHeading___Toc5148754_2314609296">
            <w:r>
              <w:rPr>
                <w:webHidden/>
                <w:rStyle w:val="IndexLink"/>
                <w:rtl w:val="true"/>
              </w:rPr>
              <w:t>[</w:t>
            </w:r>
            <w:r>
              <w:rPr>
                <w:rStyle w:val="IndexLink"/>
                <w:rtl w:val="true"/>
              </w:rPr>
              <w:t>الاستدلال علی خیار الغبن بالأخبار الواردة فی حکم الغبن</w:t>
            </w:r>
            <w:r>
              <w:rPr>
                <w:rStyle w:val="IndexLink"/>
                <w:rtl w:val="true"/>
              </w:rPr>
              <w:t>]</w:t>
              <w:tab/>
            </w:r>
            <w:r>
              <w:rPr>
                <w:rStyle w:val="IndexLink"/>
              </w:rPr>
              <w:t>166</w:t>
            </w:r>
          </w:hyperlink>
        </w:p>
        <w:p>
          <w:pPr>
            <w:pStyle w:val="Contents5"/>
            <w:tabs>
              <w:tab w:val="clear" w:pos="7892"/>
              <w:tab w:val="right" w:pos="9026" w:leader="dot"/>
            </w:tabs>
            <w:rPr/>
          </w:pPr>
          <w:hyperlink w:anchor="__RefHeading___Toc5148756_2314609296">
            <w:r>
              <w:rPr>
                <w:webHidden/>
                <w:rStyle w:val="IndexLink"/>
                <w:rtl w:val="true"/>
              </w:rPr>
              <w:t>[</w:t>
            </w:r>
            <w:r>
              <w:rPr>
                <w:rStyle w:val="IndexLink"/>
                <w:rtl w:val="true"/>
              </w:rPr>
              <w:t>العمدة فی المسألة الإجماع</w:t>
            </w:r>
            <w:r>
              <w:rPr>
                <w:rStyle w:val="IndexLink"/>
                <w:rtl w:val="true"/>
              </w:rPr>
              <w:t>]</w:t>
              <w:tab/>
            </w:r>
            <w:r>
              <w:rPr>
                <w:rStyle w:val="IndexLink"/>
              </w:rPr>
              <w:t>167</w:t>
            </w:r>
          </w:hyperlink>
        </w:p>
        <w:p>
          <w:pPr>
            <w:pStyle w:val="Contents5"/>
            <w:tabs>
              <w:tab w:val="clear" w:pos="7892"/>
              <w:tab w:val="right" w:pos="9026" w:leader="dot"/>
            </w:tabs>
            <w:rPr/>
          </w:pPr>
          <w:hyperlink w:anchor="__RefHeading___Toc5148758_2314609296">
            <w:r>
              <w:rPr>
                <w:webHidden/>
                <w:rStyle w:val="IndexLink"/>
                <w:rtl w:val="true"/>
              </w:rPr>
              <w:t>ثمّ إنّ تنقیح هذا المطلب یتمّ برسم مسائل</w:t>
            </w:r>
            <w:r>
              <w:rPr>
                <w:rStyle w:val="IndexLink"/>
                <w:rtl w:val="true"/>
              </w:rPr>
              <w:t>:</w:t>
              <w:tab/>
            </w:r>
            <w:r>
              <w:rPr>
                <w:rStyle w:val="IndexLink"/>
              </w:rPr>
              <w:t>167</w:t>
            </w:r>
          </w:hyperlink>
        </w:p>
        <w:p>
          <w:pPr>
            <w:pStyle w:val="Contents6"/>
            <w:tabs>
              <w:tab w:val="clear" w:pos="7609"/>
              <w:tab w:val="right" w:pos="9026" w:leader="dot"/>
            </w:tabs>
            <w:rPr/>
          </w:pPr>
          <w:hyperlink w:anchor="__RefHeading___Toc5148760_2314609296">
            <w:r>
              <w:rPr>
                <w:webHidden/>
                <w:rStyle w:val="IndexLink"/>
                <w:rtl w:val="true"/>
              </w:rPr>
              <w:t>اشاره</w:t>
            </w:r>
            <w:r>
              <w:rPr>
                <w:rStyle w:val="IndexLink"/>
                <w:rtl w:val="true"/>
              </w:rPr>
              <w:tab/>
            </w:r>
            <w:r>
              <w:rPr>
                <w:rStyle w:val="IndexLink"/>
              </w:rPr>
              <w:t>167</w:t>
            </w:r>
          </w:hyperlink>
        </w:p>
        <w:p>
          <w:pPr>
            <w:pStyle w:val="Contents6"/>
            <w:tabs>
              <w:tab w:val="clear" w:pos="7609"/>
              <w:tab w:val="right" w:pos="9026" w:leader="dot"/>
            </w:tabs>
            <w:rPr/>
          </w:pPr>
          <w:hyperlink w:anchor="__RefHeading___Toc5148762_2314609296">
            <w:r>
              <w:rPr>
                <w:webHidden/>
                <w:rStyle w:val="IndexLink"/>
                <w:rtl w:val="true"/>
              </w:rPr>
              <w:t>مسألة یشترط فی هذا الخیار أمران</w:t>
            </w:r>
            <w:r>
              <w:rPr>
                <w:rStyle w:val="IndexLink"/>
                <w:rtl w:val="true"/>
              </w:rPr>
              <w:t>:</w:t>
              <w:tab/>
            </w:r>
            <w:r>
              <w:rPr>
                <w:rStyle w:val="IndexLink"/>
              </w:rPr>
              <w:t>168</w:t>
            </w:r>
          </w:hyperlink>
        </w:p>
        <w:p>
          <w:pPr>
            <w:pStyle w:val="Contents6"/>
            <w:tabs>
              <w:tab w:val="clear" w:pos="7609"/>
              <w:tab w:val="right" w:pos="9026" w:leader="dot"/>
            </w:tabs>
            <w:rPr/>
          </w:pPr>
          <w:hyperlink w:anchor="__RefHeading___Toc5148764_2314609296">
            <w:r>
              <w:rPr>
                <w:webHidden/>
                <w:rStyle w:val="IndexLink"/>
                <w:rtl w:val="true"/>
              </w:rPr>
              <w:t>الأوّل</w:t>
            </w:r>
            <w:r>
              <w:rPr>
                <w:rStyle w:val="IndexLink"/>
                <w:rtl w:val="true"/>
              </w:rPr>
              <w:t xml:space="preserve">: </w:t>
            </w:r>
            <w:r>
              <w:rPr>
                <w:rStyle w:val="IndexLink"/>
                <w:rtl w:val="true"/>
              </w:rPr>
              <w:t>عدم علم المغبون بالقیمة،</w:t>
            </w:r>
            <w:r>
              <w:rPr>
                <w:rStyle w:val="IndexLink"/>
                <w:rtl w:val="true"/>
              </w:rPr>
              <w:tab/>
            </w:r>
            <w:r>
              <w:rPr>
                <w:rStyle w:val="IndexLink"/>
              </w:rPr>
              <w:t>168</w:t>
            </w:r>
          </w:hyperlink>
        </w:p>
        <w:p>
          <w:pPr>
            <w:pStyle w:val="Contents6"/>
            <w:tabs>
              <w:tab w:val="clear" w:pos="7609"/>
              <w:tab w:val="right" w:pos="9026" w:leader="dot"/>
            </w:tabs>
            <w:rPr/>
          </w:pPr>
          <w:hyperlink w:anchor="__RefHeading___Toc5148766_2314609296">
            <w:r>
              <w:rPr>
                <w:webHidden/>
                <w:rStyle w:val="IndexLink"/>
                <w:rtl w:val="true"/>
              </w:rPr>
              <w:t>الشرط الثانی</w:t>
            </w:r>
            <w:r>
              <w:rPr>
                <w:rStyle w:val="IndexLink"/>
                <w:rtl w:val="true"/>
              </w:rPr>
              <w:tab/>
            </w:r>
            <w:r>
              <w:rPr>
                <w:rStyle w:val="IndexLink"/>
              </w:rPr>
              <w:t>171</w:t>
            </w:r>
          </w:hyperlink>
        </w:p>
        <w:p>
          <w:pPr>
            <w:pStyle w:val="Contents6"/>
            <w:tabs>
              <w:tab w:val="clear" w:pos="7609"/>
              <w:tab w:val="right" w:pos="9026" w:leader="dot"/>
            </w:tabs>
            <w:rPr/>
          </w:pPr>
          <w:hyperlink w:anchor="__RefHeading___Toc5148768_2314609296">
            <w:r>
              <w:rPr>
                <w:webHidden/>
                <w:rStyle w:val="IndexLink"/>
                <w:rtl w:val="true"/>
              </w:rPr>
              <w:t>[</w:t>
            </w:r>
            <w:r>
              <w:rPr>
                <w:rStyle w:val="IndexLink"/>
                <w:rtl w:val="true"/>
              </w:rPr>
              <w:t>حد التفاوت الفاحش</w:t>
            </w:r>
            <w:r>
              <w:rPr>
                <w:rStyle w:val="IndexLink"/>
                <w:rtl w:val="true"/>
              </w:rPr>
              <w:t>]</w:t>
              <w:tab/>
            </w:r>
            <w:r>
              <w:rPr>
                <w:rStyle w:val="IndexLink"/>
              </w:rPr>
              <w:t>172</w:t>
            </w:r>
          </w:hyperlink>
        </w:p>
        <w:p>
          <w:pPr>
            <w:pStyle w:val="Contents6"/>
            <w:tabs>
              <w:tab w:val="clear" w:pos="7609"/>
              <w:tab w:val="right" w:pos="9026" w:leader="dot"/>
            </w:tabs>
            <w:rPr/>
          </w:pPr>
          <w:hyperlink w:anchor="__RefHeading___Toc5148770_2314609296">
            <w:r>
              <w:rPr>
                <w:webHidden/>
                <w:rStyle w:val="IndexLink"/>
                <w:rtl w:val="true"/>
              </w:rPr>
              <w:t>[</w:t>
            </w:r>
            <w:r>
              <w:rPr>
                <w:rStyle w:val="IndexLink"/>
                <w:rtl w:val="true"/>
              </w:rPr>
              <w:t>ما هو المناط فی الضرر الموجب للخیار</w:t>
            </w:r>
            <w:r>
              <w:rPr>
                <w:rStyle w:val="IndexLink"/>
                <w:rtl w:val="true"/>
              </w:rPr>
              <w:t>]</w:t>
              <w:tab/>
            </w:r>
            <w:r>
              <w:rPr>
                <w:rStyle w:val="IndexLink"/>
              </w:rPr>
              <w:t>172</w:t>
            </w:r>
          </w:hyperlink>
        </w:p>
        <w:p>
          <w:pPr>
            <w:pStyle w:val="Contents6"/>
            <w:tabs>
              <w:tab w:val="clear" w:pos="7609"/>
              <w:tab w:val="right" w:pos="9026" w:leader="dot"/>
            </w:tabs>
            <w:rPr/>
          </w:pPr>
          <w:hyperlink w:anchor="__RefHeading___Toc5148772_2314609296">
            <w:r>
              <w:rPr>
                <w:webHidden/>
                <w:rStyle w:val="IndexLink"/>
                <w:rtl w:val="true"/>
              </w:rPr>
              <w:t>[</w:t>
            </w:r>
            <w:r>
              <w:rPr>
                <w:rStyle w:val="IndexLink"/>
                <w:rtl w:val="true"/>
              </w:rPr>
              <w:t>الأظهر اعتبار الضرر المالی</w:t>
            </w:r>
            <w:r>
              <w:rPr>
                <w:rStyle w:val="IndexLink"/>
                <w:rtl w:val="true"/>
              </w:rPr>
              <w:t>]</w:t>
              <w:tab/>
            </w:r>
            <w:r>
              <w:rPr>
                <w:rStyle w:val="IndexLink"/>
              </w:rPr>
              <w:t>173</w:t>
            </w:r>
          </w:hyperlink>
        </w:p>
        <w:p>
          <w:pPr>
            <w:pStyle w:val="Contents6"/>
            <w:tabs>
              <w:tab w:val="clear" w:pos="7609"/>
              <w:tab w:val="right" w:pos="9026" w:leader="dot"/>
            </w:tabs>
            <w:rPr/>
          </w:pPr>
          <w:hyperlink w:anchor="__RefHeading___Toc5148774_2314609296">
            <w:r>
              <w:rPr>
                <w:webHidden/>
                <w:rStyle w:val="IndexLink"/>
                <w:rtl w:val="true"/>
              </w:rPr>
              <w:t>[</w:t>
            </w:r>
            <w:r>
              <w:rPr>
                <w:rStyle w:val="IndexLink"/>
                <w:rtl w:val="true"/>
              </w:rPr>
              <w:t>تصویر الغبن من الطرفین و الإشکال فیه</w:t>
            </w:r>
            <w:r>
              <w:rPr>
                <w:rStyle w:val="IndexLink"/>
                <w:rtl w:val="true"/>
              </w:rPr>
              <w:t>]</w:t>
              <w:tab/>
            </w:r>
            <w:r>
              <w:rPr>
                <w:rStyle w:val="IndexLink"/>
              </w:rPr>
              <w:t>174</w:t>
            </w:r>
          </w:hyperlink>
        </w:p>
        <w:p>
          <w:pPr>
            <w:pStyle w:val="Contents6"/>
            <w:tabs>
              <w:tab w:val="clear" w:pos="7609"/>
              <w:tab w:val="right" w:pos="9026" w:leader="dot"/>
            </w:tabs>
            <w:rPr/>
          </w:pPr>
          <w:hyperlink w:anchor="__RefHeading___Toc5148776_2314609296">
            <w:r>
              <w:rPr>
                <w:webHidden/>
                <w:rStyle w:val="IndexLink"/>
                <w:rtl w:val="true"/>
              </w:rPr>
              <w:t>[</w:t>
            </w:r>
            <w:r>
              <w:rPr>
                <w:rStyle w:val="IndexLink"/>
                <w:rtl w:val="true"/>
              </w:rPr>
              <w:t>الوجوه المذکورة فی تصویر ذلک</w:t>
            </w:r>
            <w:r>
              <w:rPr>
                <w:rStyle w:val="IndexLink"/>
                <w:rtl w:val="true"/>
              </w:rPr>
              <w:t>]</w:t>
              <w:tab/>
            </w:r>
            <w:r>
              <w:rPr>
                <w:rStyle w:val="IndexLink"/>
              </w:rPr>
              <w:t>174</w:t>
            </w:r>
          </w:hyperlink>
        </w:p>
        <w:p>
          <w:pPr>
            <w:pStyle w:val="Contents6"/>
            <w:tabs>
              <w:tab w:val="clear" w:pos="7609"/>
              <w:tab w:val="right" w:pos="9026" w:leader="dot"/>
            </w:tabs>
            <w:rPr/>
          </w:pPr>
          <w:hyperlink w:anchor="__RefHeading___Toc5148778_2314609296">
            <w:r>
              <w:rPr>
                <w:webHidden/>
                <w:rStyle w:val="IndexLink"/>
                <w:rtl w:val="true"/>
              </w:rPr>
              <w:t>منها</w:t>
            </w:r>
            <w:r>
              <w:rPr>
                <w:rStyle w:val="IndexLink"/>
                <w:rtl w:val="true"/>
              </w:rPr>
              <w:t>:</w:t>
            </w:r>
            <w:r>
              <w:rPr>
                <w:rStyle w:val="IndexLink"/>
                <w:rtl w:val="true"/>
              </w:rPr>
              <w:t>ما ذکره المحقّق القمّی صاحب القوانین</w:t>
            </w:r>
            <w:r>
              <w:rPr>
                <w:rStyle w:val="IndexLink"/>
                <w:rtl w:val="true"/>
              </w:rPr>
              <w:tab/>
            </w:r>
            <w:r>
              <w:rPr>
                <w:rStyle w:val="IndexLink"/>
              </w:rPr>
              <w:t>174</w:t>
            </w:r>
          </w:hyperlink>
        </w:p>
        <w:p>
          <w:pPr>
            <w:pStyle w:val="Contents6"/>
            <w:tabs>
              <w:tab w:val="clear" w:pos="7609"/>
              <w:tab w:val="right" w:pos="9026" w:leader="dot"/>
            </w:tabs>
            <w:rPr/>
          </w:pPr>
          <w:hyperlink w:anchor="__RefHeading___Toc5148780_2314609296">
            <w:r>
              <w:rPr>
                <w:webHidden/>
                <w:rStyle w:val="IndexLink"/>
                <w:rtl w:val="true"/>
              </w:rPr>
              <w:t>و منها</w:t>
            </w:r>
            <w:r>
              <w:rPr>
                <w:rStyle w:val="IndexLink"/>
                <w:rtl w:val="true"/>
              </w:rPr>
              <w:t>:</w:t>
            </w:r>
            <w:r>
              <w:rPr>
                <w:rStyle w:val="IndexLink"/>
                <w:rtl w:val="true"/>
              </w:rPr>
              <w:t>ما ذکره بعض المعاصرین،</w:t>
            </w:r>
            <w:r>
              <w:rPr>
                <w:rStyle w:val="IndexLink"/>
                <w:rtl w:val="true"/>
              </w:rPr>
              <w:tab/>
            </w:r>
            <w:r>
              <w:rPr>
                <w:rStyle w:val="IndexLink"/>
              </w:rPr>
              <w:t>175</w:t>
            </w:r>
          </w:hyperlink>
        </w:p>
        <w:p>
          <w:pPr>
            <w:pStyle w:val="Contents6"/>
            <w:tabs>
              <w:tab w:val="clear" w:pos="7609"/>
              <w:tab w:val="right" w:pos="9026" w:leader="dot"/>
            </w:tabs>
            <w:rPr/>
          </w:pPr>
          <w:hyperlink w:anchor="__RefHeading___Toc5148782_2314609296">
            <w:r>
              <w:rPr>
                <w:webHidden/>
                <w:rStyle w:val="IndexLink"/>
                <w:rtl w:val="true"/>
              </w:rPr>
              <w:t>و منها</w:t>
            </w:r>
            <w:r>
              <w:rPr>
                <w:rStyle w:val="IndexLink"/>
                <w:rtl w:val="true"/>
              </w:rPr>
              <w:t>:</w:t>
            </w:r>
            <w:r>
              <w:rPr>
                <w:rStyle w:val="IndexLink"/>
                <w:rtl w:val="true"/>
              </w:rPr>
              <w:t>أن یراد بالغبن فی المقسم معناه الأعمّ</w:t>
            </w:r>
            <w:r>
              <w:rPr>
                <w:rStyle w:val="IndexLink"/>
                <w:rtl w:val="true"/>
              </w:rPr>
              <w:tab/>
            </w:r>
            <w:r>
              <w:rPr>
                <w:rStyle w:val="IndexLink"/>
              </w:rPr>
              <w:t>176</w:t>
            </w:r>
          </w:hyperlink>
        </w:p>
        <w:p>
          <w:pPr>
            <w:pStyle w:val="Contents6"/>
            <w:tabs>
              <w:tab w:val="clear" w:pos="7609"/>
              <w:tab w:val="right" w:pos="9026" w:leader="dot"/>
            </w:tabs>
            <w:rPr/>
          </w:pPr>
          <w:hyperlink w:anchor="__RefHeading___Toc5148784_2314609296">
            <w:r>
              <w:rPr>
                <w:webHidden/>
                <w:rStyle w:val="IndexLink"/>
                <w:rtl w:val="true"/>
              </w:rPr>
              <w:t>و منها</w:t>
            </w:r>
            <w:r>
              <w:rPr>
                <w:rStyle w:val="IndexLink"/>
                <w:rtl w:val="true"/>
              </w:rPr>
              <w:t>:</w:t>
            </w:r>
            <w:r>
              <w:rPr>
                <w:rStyle w:val="IndexLink"/>
                <w:rtl w:val="true"/>
              </w:rPr>
              <w:t>ما ذکره بعضٌ</w:t>
            </w:r>
            <w:r>
              <w:rPr>
                <w:rStyle w:val="IndexLink"/>
                <w:rtl w:val="true"/>
              </w:rPr>
              <w:t>:</w:t>
            </w:r>
            <w:r>
              <w:rPr>
                <w:rStyle w:val="IndexLink"/>
                <w:rtl w:val="true"/>
              </w:rPr>
              <w:t>من أنّه یحصل بفرض المتبایعین وقت العقد فی مکانین،</w:t>
            </w:r>
            <w:r>
              <w:rPr>
                <w:rStyle w:val="IndexLink"/>
                <w:rtl w:val="true"/>
              </w:rPr>
              <w:tab/>
            </w:r>
            <w:r>
              <w:rPr>
                <w:rStyle w:val="IndexLink"/>
              </w:rPr>
              <w:t>176</w:t>
            </w:r>
          </w:hyperlink>
        </w:p>
        <w:p>
          <w:pPr>
            <w:pStyle w:val="Contents6"/>
            <w:tabs>
              <w:tab w:val="clear" w:pos="7609"/>
              <w:tab w:val="right" w:pos="9026" w:leader="dot"/>
            </w:tabs>
            <w:rPr/>
          </w:pPr>
          <w:hyperlink w:anchor="__RefHeading___Toc5148786_2314609296">
            <w:r>
              <w:rPr>
                <w:webHidden/>
                <w:rStyle w:val="IndexLink"/>
                <w:rtl w:val="true"/>
              </w:rPr>
              <w:t>و منها</w:t>
            </w:r>
            <w:r>
              <w:rPr>
                <w:rStyle w:val="IndexLink"/>
                <w:rtl w:val="true"/>
              </w:rPr>
              <w:t>:</w:t>
            </w:r>
            <w:r>
              <w:rPr>
                <w:rStyle w:val="IndexLink"/>
                <w:rtl w:val="true"/>
              </w:rPr>
              <w:t>ما ذکره فی مفتاح الکرامة</w:t>
            </w:r>
            <w:r>
              <w:rPr>
                <w:rStyle w:val="IndexLink"/>
                <w:rtl w:val="true"/>
              </w:rPr>
              <w:t>:</w:t>
            </w:r>
            <w:r>
              <w:rPr>
                <w:rStyle w:val="IndexLink"/>
                <w:rtl w:val="true"/>
              </w:rPr>
              <w:t>من فرضه فیما إذا ادّعی کلٌّ من المتبایعین الغبن،</w:t>
            </w:r>
            <w:r>
              <w:rPr>
                <w:rStyle w:val="IndexLink"/>
                <w:rtl w:val="true"/>
              </w:rPr>
              <w:tab/>
            </w:r>
            <w:r>
              <w:rPr>
                <w:rStyle w:val="IndexLink"/>
              </w:rPr>
              <w:t>177</w:t>
            </w:r>
          </w:hyperlink>
        </w:p>
        <w:p>
          <w:pPr>
            <w:pStyle w:val="Contents6"/>
            <w:tabs>
              <w:tab w:val="clear" w:pos="7609"/>
              <w:tab w:val="right" w:pos="9026" w:leader="dot"/>
            </w:tabs>
            <w:rPr/>
          </w:pPr>
          <w:hyperlink w:anchor="__RefHeading___Toc5148788_2314609296">
            <w:r>
              <w:rPr>
                <w:webHidden/>
                <w:rStyle w:val="IndexLink"/>
                <w:rtl w:val="true"/>
              </w:rPr>
              <w:t>مسألة ظهور الغبن شرطٌ شرعیٌّ لحدوث الخیار،أو کاشفٌ عقلیٌّ عن ثبوته حین العقد؟</w:t>
            </w:r>
            <w:r>
              <w:rPr>
                <w:rStyle w:val="IndexLink"/>
                <w:rtl w:val="true"/>
              </w:rPr>
              <w:tab/>
            </w:r>
            <w:r>
              <w:rPr>
                <w:rStyle w:val="IndexLink"/>
              </w:rPr>
              <w:t>178</w:t>
            </w:r>
          </w:hyperlink>
        </w:p>
        <w:p>
          <w:pPr>
            <w:pStyle w:val="Contents6"/>
            <w:tabs>
              <w:tab w:val="clear" w:pos="7609"/>
              <w:tab w:val="right" w:pos="9026" w:leader="dot"/>
            </w:tabs>
            <w:rPr/>
          </w:pPr>
          <w:hyperlink w:anchor="__RefHeading___Toc5148790_2314609296">
            <w:r>
              <w:rPr>
                <w:webHidden/>
                <w:rStyle w:val="IndexLink"/>
                <w:rtl w:val="true"/>
              </w:rPr>
              <w:t>مسألة یسقط هذا الخیار بأُمور</w:t>
            </w:r>
            <w:r>
              <w:rPr>
                <w:rStyle w:val="IndexLink"/>
                <w:rtl w:val="true"/>
              </w:rPr>
              <w:t>:</w:t>
              <w:tab/>
            </w:r>
            <w:r>
              <w:rPr>
                <w:rStyle w:val="IndexLink"/>
              </w:rPr>
              <w:t>182</w:t>
            </w:r>
          </w:hyperlink>
        </w:p>
        <w:p>
          <w:pPr>
            <w:pStyle w:val="Contents6"/>
            <w:tabs>
              <w:tab w:val="clear" w:pos="7609"/>
              <w:tab w:val="right" w:pos="9026" w:leader="dot"/>
            </w:tabs>
            <w:rPr/>
          </w:pPr>
          <w:hyperlink w:anchor="__RefHeading___Toc5148792_2314609296">
            <w:r>
              <w:rPr>
                <w:webHidden/>
                <w:rStyle w:val="IndexLink"/>
                <w:rtl w:val="true"/>
              </w:rPr>
              <w:t>أحدها</w:t>
            </w:r>
            <w:r>
              <w:rPr>
                <w:rStyle w:val="IndexLink"/>
                <w:rtl w:val="true"/>
              </w:rPr>
              <w:t xml:space="preserve">: </w:t>
            </w:r>
            <w:r>
              <w:rPr>
                <w:rStyle w:val="IndexLink"/>
                <w:rtl w:val="true"/>
              </w:rPr>
              <w:t>إسقاطه بعد العقد،</w:t>
            </w:r>
            <w:r>
              <w:rPr>
                <w:rStyle w:val="IndexLink"/>
                <w:rtl w:val="true"/>
              </w:rPr>
              <w:tab/>
            </w:r>
            <w:r>
              <w:rPr>
                <w:rStyle w:val="IndexLink"/>
              </w:rPr>
              <w:t>182</w:t>
            </w:r>
          </w:hyperlink>
        </w:p>
        <w:p>
          <w:pPr>
            <w:pStyle w:val="Contents6"/>
            <w:tabs>
              <w:tab w:val="clear" w:pos="7609"/>
              <w:tab w:val="right" w:pos="9026" w:leader="dot"/>
            </w:tabs>
            <w:rPr/>
          </w:pPr>
          <w:hyperlink w:anchor="__RefHeading___Toc5148794_2314609296">
            <w:r>
              <w:rPr>
                <w:webHidden/>
                <w:rStyle w:val="IndexLink"/>
                <w:rtl w:val="true"/>
              </w:rPr>
              <w:t>الثانی من المسقطات</w:t>
            </w:r>
            <w:r>
              <w:rPr>
                <w:rStyle w:val="IndexLink"/>
                <w:rtl w:val="true"/>
              </w:rPr>
              <w:t xml:space="preserve">: </w:t>
            </w:r>
            <w:r>
              <w:rPr>
                <w:rStyle w:val="IndexLink"/>
                <w:rtl w:val="true"/>
              </w:rPr>
              <w:t>اشتراط سقوط الخیار فی متن العقد،</w:t>
            </w:r>
            <w:r>
              <w:rPr>
                <w:rStyle w:val="IndexLink"/>
                <w:rtl w:val="true"/>
              </w:rPr>
              <w:tab/>
            </w:r>
            <w:r>
              <w:rPr>
                <w:rStyle w:val="IndexLink"/>
              </w:rPr>
              <w:t>185</w:t>
            </w:r>
          </w:hyperlink>
        </w:p>
        <w:p>
          <w:pPr>
            <w:pStyle w:val="Contents6"/>
            <w:tabs>
              <w:tab w:val="clear" w:pos="7609"/>
              <w:tab w:val="right" w:pos="9026" w:leader="dot"/>
            </w:tabs>
            <w:rPr/>
          </w:pPr>
          <w:hyperlink w:anchor="__RefHeading___Toc5148796_2314609296">
            <w:r>
              <w:rPr>
                <w:webHidden/>
                <w:rStyle w:val="IndexLink"/>
                <w:rtl w:val="true"/>
              </w:rPr>
              <w:t>الثالث</w:t>
            </w:r>
            <w:r>
              <w:rPr>
                <w:rStyle w:val="IndexLink"/>
                <w:rtl w:val="true"/>
              </w:rPr>
              <w:t xml:space="preserve">: </w:t>
            </w:r>
            <w:r>
              <w:rPr>
                <w:rStyle w:val="IndexLink"/>
                <w:rtl w:val="true"/>
              </w:rPr>
              <w:t>تصرّف المغبون بأحد التصرّفات المسقطة للخیارات المتقدّمة بعد علمه بالغبن</w:t>
            </w:r>
            <w:r>
              <w:rPr>
                <w:rStyle w:val="IndexLink"/>
                <w:rtl w:val="true"/>
              </w:rPr>
              <w:t>.</w:t>
              <w:tab/>
            </w:r>
            <w:r>
              <w:rPr>
                <w:rStyle w:val="IndexLink"/>
              </w:rPr>
              <w:t>186</w:t>
            </w:r>
          </w:hyperlink>
        </w:p>
        <w:p>
          <w:pPr>
            <w:pStyle w:val="Contents6"/>
            <w:tabs>
              <w:tab w:val="clear" w:pos="7609"/>
              <w:tab w:val="right" w:pos="9026" w:leader="dot"/>
            </w:tabs>
            <w:rPr/>
          </w:pPr>
          <w:hyperlink w:anchor="__RefHeading___Toc5148798_2314609296">
            <w:r>
              <w:rPr>
                <w:webHidden/>
                <w:rStyle w:val="IndexLink"/>
                <w:rtl w:val="true"/>
              </w:rPr>
              <w:t>الرابع من المسقطات</w:t>
            </w:r>
            <w:r>
              <w:rPr>
                <w:rStyle w:val="IndexLink"/>
                <w:rtl w:val="true"/>
              </w:rPr>
              <w:t xml:space="preserve">: </w:t>
            </w:r>
            <w:r>
              <w:rPr>
                <w:rStyle w:val="IndexLink"/>
                <w:rtl w:val="true"/>
              </w:rPr>
              <w:t>تصرّف المشتری المغبون قبل العلم بالغبن</w:t>
            </w:r>
            <w:r>
              <w:rPr>
                <w:rStyle w:val="IndexLink"/>
                <w:rtl w:val="true"/>
              </w:rPr>
              <w:t xml:space="preserve">- </w:t>
            </w:r>
            <w:r>
              <w:rPr>
                <w:rStyle w:val="IndexLink"/>
                <w:rtl w:val="true"/>
              </w:rPr>
              <w:t>تصرّفاً مخرجاً عن الملک علی وجه اللزوم کالبیع و العتق</w:t>
            </w:r>
            <w:r>
              <w:rPr>
                <w:rStyle w:val="IndexLink"/>
                <w:rtl w:val="true"/>
              </w:rPr>
              <w:t>.</w:t>
              <w:tab/>
            </w:r>
            <w:r>
              <w:rPr>
                <w:rStyle w:val="IndexLink"/>
              </w:rPr>
              <w:t>189</w:t>
            </w:r>
          </w:hyperlink>
        </w:p>
        <w:p>
          <w:pPr>
            <w:pStyle w:val="Contents6"/>
            <w:tabs>
              <w:tab w:val="clear" w:pos="7609"/>
              <w:tab w:val="right" w:pos="9026" w:leader="dot"/>
            </w:tabs>
            <w:rPr/>
          </w:pPr>
          <w:hyperlink w:anchor="__RefHeading___Toc5148800_2314609296">
            <w:r>
              <w:rPr>
                <w:webHidden/>
                <w:rStyle w:val="IndexLink"/>
                <w:rtl w:val="true"/>
              </w:rPr>
              <w:t>بقی الکلام فی حکم تلف العوضین مع الغبن</w:t>
            </w:r>
            <w:r>
              <w:rPr>
                <w:rStyle w:val="IndexLink"/>
                <w:rtl w:val="true"/>
              </w:rPr>
              <w:t>:</w:t>
              <w:tab/>
            </w:r>
            <w:r>
              <w:rPr>
                <w:rStyle w:val="IndexLink"/>
              </w:rPr>
              <w:t>201</w:t>
            </w:r>
          </w:hyperlink>
        </w:p>
        <w:p>
          <w:pPr>
            <w:pStyle w:val="Contents6"/>
            <w:tabs>
              <w:tab w:val="clear" w:pos="7609"/>
              <w:tab w:val="right" w:pos="9026" w:leader="dot"/>
            </w:tabs>
            <w:rPr/>
          </w:pPr>
          <w:hyperlink w:anchor="__RefHeading___Toc5148802_2314609296">
            <w:r>
              <w:rPr>
                <w:webHidden/>
                <w:rStyle w:val="IndexLink"/>
                <w:rtl w:val="true"/>
              </w:rPr>
              <w:t>مسألة الظاهر ثبوت خیار الغبن فی کلّ معاوضةٍ مالیّةٍ؛</w:t>
            </w:r>
            <w:r>
              <w:rPr>
                <w:rStyle w:val="IndexLink"/>
                <w:rtl w:val="true"/>
              </w:rPr>
              <w:tab/>
            </w:r>
            <w:r>
              <w:rPr>
                <w:rStyle w:val="IndexLink"/>
              </w:rPr>
              <w:t>205</w:t>
            </w:r>
          </w:hyperlink>
        </w:p>
        <w:p>
          <w:pPr>
            <w:pStyle w:val="Contents6"/>
            <w:tabs>
              <w:tab w:val="clear" w:pos="7609"/>
              <w:tab w:val="right" w:pos="9026" w:leader="dot"/>
            </w:tabs>
            <w:rPr/>
          </w:pPr>
          <w:hyperlink w:anchor="__RefHeading___Toc5148804_2314609296">
            <w:r>
              <w:rPr>
                <w:webHidden/>
                <w:rStyle w:val="IndexLink"/>
                <w:rtl w:val="true"/>
              </w:rPr>
              <w:t>مسألة اختلف أصحابنا فی کون هذا الخیار علی الفور أو علی التراخی</w:t>
            </w:r>
            <w:r>
              <w:rPr>
                <w:rStyle w:val="IndexLink"/>
                <w:rtl w:val="true"/>
              </w:rPr>
              <w:tab/>
            </w:r>
            <w:r>
              <w:rPr>
                <w:rStyle w:val="IndexLink"/>
              </w:rPr>
              <w:t>208</w:t>
            </w:r>
          </w:hyperlink>
        </w:p>
        <w:p>
          <w:pPr>
            <w:pStyle w:val="Contents4"/>
            <w:tabs>
              <w:tab w:val="clear" w:pos="8176"/>
              <w:tab w:val="right" w:pos="9026" w:leader="dot"/>
            </w:tabs>
            <w:rPr/>
          </w:pPr>
          <w:hyperlink w:anchor="__RefHeading___Toc5148806_2314609296">
            <w:r>
              <w:rPr>
                <w:webHidden/>
                <w:rStyle w:val="IndexLink"/>
                <w:rtl w:val="true"/>
              </w:rPr>
              <w:t>الخامس خیار التأخیر</w:t>
            </w:r>
            <w:r>
              <w:rPr>
                <w:rStyle w:val="IndexLink"/>
                <w:rtl w:val="true"/>
              </w:rPr>
              <w:tab/>
            </w:r>
            <w:r>
              <w:rPr>
                <w:rStyle w:val="IndexLink"/>
              </w:rPr>
              <w:t>219</w:t>
            </w:r>
          </w:hyperlink>
        </w:p>
        <w:p>
          <w:pPr>
            <w:pStyle w:val="Contents5"/>
            <w:tabs>
              <w:tab w:val="clear" w:pos="7892"/>
              <w:tab w:val="right" w:pos="9026" w:leader="dot"/>
            </w:tabs>
            <w:rPr/>
          </w:pPr>
          <w:hyperlink w:anchor="__RefHeading___Toc5148808_2314609296">
            <w:r>
              <w:rPr>
                <w:webHidden/>
                <w:rStyle w:val="IndexLink"/>
                <w:rtl w:val="true"/>
              </w:rPr>
              <w:t>اشاره</w:t>
            </w:r>
            <w:r>
              <w:rPr>
                <w:rStyle w:val="IndexLink"/>
                <w:rtl w:val="true"/>
              </w:rPr>
              <w:tab/>
            </w:r>
            <w:r>
              <w:rPr>
                <w:rStyle w:val="IndexLink"/>
              </w:rPr>
              <w:t>219</w:t>
            </w:r>
          </w:hyperlink>
        </w:p>
        <w:p>
          <w:pPr>
            <w:pStyle w:val="Contents5"/>
            <w:tabs>
              <w:tab w:val="clear" w:pos="7892"/>
              <w:tab w:val="right" w:pos="9026" w:leader="dot"/>
            </w:tabs>
            <w:rPr/>
          </w:pPr>
          <w:hyperlink w:anchor="__RefHeading___Toc5148810_2314609296">
            <w:r>
              <w:rPr>
                <w:webHidden/>
                <w:rStyle w:val="IndexLink"/>
                <w:rtl w:val="true"/>
              </w:rPr>
              <w:t>ثمّ إنّه یشترط فی هذا الخیار أُمور</w:t>
            </w:r>
            <w:r>
              <w:rPr>
                <w:rStyle w:val="IndexLink"/>
                <w:rtl w:val="true"/>
              </w:rPr>
              <w:t>:</w:t>
              <w:tab/>
            </w:r>
            <w:r>
              <w:rPr>
                <w:rStyle w:val="IndexLink"/>
              </w:rPr>
              <w:t>222</w:t>
            </w:r>
          </w:hyperlink>
        </w:p>
        <w:p>
          <w:pPr>
            <w:pStyle w:val="Contents6"/>
            <w:tabs>
              <w:tab w:val="clear" w:pos="7609"/>
              <w:tab w:val="right" w:pos="9026" w:leader="dot"/>
            </w:tabs>
            <w:rPr/>
          </w:pPr>
          <w:hyperlink w:anchor="__RefHeading___Toc5148812_2314609296">
            <w:r>
              <w:rPr>
                <w:webHidden/>
                <w:rStyle w:val="IndexLink"/>
                <w:rtl w:val="true"/>
              </w:rPr>
              <w:t>أحدها</w:t>
            </w:r>
            <w:r>
              <w:rPr>
                <w:rStyle w:val="IndexLink"/>
                <w:rtl w:val="true"/>
              </w:rPr>
              <w:t xml:space="preserve">: </w:t>
            </w:r>
            <w:r>
              <w:rPr>
                <w:rStyle w:val="IndexLink"/>
                <w:rtl w:val="true"/>
              </w:rPr>
              <w:t>عدم قبض المبیع،</w:t>
            </w:r>
            <w:r>
              <w:rPr>
                <w:rStyle w:val="IndexLink"/>
                <w:rtl w:val="true"/>
              </w:rPr>
              <w:tab/>
            </w:r>
            <w:r>
              <w:rPr>
                <w:rStyle w:val="IndexLink"/>
              </w:rPr>
              <w:t>222</w:t>
            </w:r>
          </w:hyperlink>
        </w:p>
        <w:p>
          <w:pPr>
            <w:pStyle w:val="Contents6"/>
            <w:tabs>
              <w:tab w:val="clear" w:pos="7609"/>
              <w:tab w:val="right" w:pos="9026" w:leader="dot"/>
            </w:tabs>
            <w:rPr/>
          </w:pPr>
          <w:hyperlink w:anchor="__RefHeading___Toc5148814_2314609296">
            <w:r>
              <w:rPr>
                <w:webHidden/>
                <w:rStyle w:val="IndexLink"/>
                <w:rtl w:val="true"/>
              </w:rPr>
              <w:t>الشرط الثانی</w:t>
            </w:r>
            <w:r>
              <w:rPr>
                <w:rStyle w:val="IndexLink"/>
                <w:rtl w:val="true"/>
              </w:rPr>
              <w:t xml:space="preserve">: </w:t>
            </w:r>
            <w:r>
              <w:rPr>
                <w:rStyle w:val="IndexLink"/>
                <w:rtl w:val="true"/>
              </w:rPr>
              <w:t>عدم قبض مجموع الثمن،</w:t>
            </w:r>
            <w:r>
              <w:rPr>
                <w:rStyle w:val="IndexLink"/>
                <w:rtl w:val="true"/>
              </w:rPr>
              <w:tab/>
            </w:r>
            <w:r>
              <w:rPr>
                <w:rStyle w:val="IndexLink"/>
              </w:rPr>
              <w:t>224</w:t>
            </w:r>
          </w:hyperlink>
        </w:p>
        <w:p>
          <w:pPr>
            <w:pStyle w:val="Contents6"/>
            <w:tabs>
              <w:tab w:val="clear" w:pos="7609"/>
              <w:tab w:val="right" w:pos="9026" w:leader="dot"/>
            </w:tabs>
            <w:rPr/>
          </w:pPr>
          <w:hyperlink w:anchor="__RefHeading___Toc5148816_2314609296">
            <w:r>
              <w:rPr>
                <w:webHidden/>
                <w:rStyle w:val="IndexLink"/>
                <w:rtl w:val="true"/>
              </w:rPr>
              <w:t>الشرط الثالث</w:t>
            </w:r>
            <w:r>
              <w:rPr>
                <w:rStyle w:val="IndexLink"/>
                <w:rtl w:val="true"/>
              </w:rPr>
              <w:t xml:space="preserve">: </w:t>
            </w:r>
            <w:r>
              <w:rPr>
                <w:rStyle w:val="IndexLink"/>
                <w:rtl w:val="true"/>
              </w:rPr>
              <w:t>عدم اشتراط تأخیر تسلیم أحد العوضین؛</w:t>
            </w:r>
            <w:r>
              <w:rPr>
                <w:rStyle w:val="IndexLink"/>
                <w:rtl w:val="true"/>
              </w:rPr>
              <w:tab/>
            </w:r>
            <w:r>
              <w:rPr>
                <w:rStyle w:val="IndexLink"/>
              </w:rPr>
              <w:t>225</w:t>
            </w:r>
          </w:hyperlink>
        </w:p>
        <w:p>
          <w:pPr>
            <w:pStyle w:val="Contents6"/>
            <w:tabs>
              <w:tab w:val="clear" w:pos="7609"/>
              <w:tab w:val="right" w:pos="9026" w:leader="dot"/>
            </w:tabs>
            <w:rPr/>
          </w:pPr>
          <w:hyperlink w:anchor="__RefHeading___Toc5148818_2314609296">
            <w:r>
              <w:rPr>
                <w:webHidden/>
                <w:rStyle w:val="IndexLink"/>
                <w:rtl w:val="true"/>
              </w:rPr>
              <w:t>الشرط الرابع</w:t>
            </w:r>
            <w:r>
              <w:rPr>
                <w:rStyle w:val="IndexLink"/>
                <w:rtl w:val="true"/>
              </w:rPr>
              <w:t xml:space="preserve">: </w:t>
            </w:r>
            <w:r>
              <w:rPr>
                <w:rStyle w:val="IndexLink"/>
                <w:rtl w:val="true"/>
              </w:rPr>
              <w:t>أن یکون المبیع عیناً أو شبهه،</w:t>
            </w:r>
            <w:r>
              <w:rPr>
                <w:rStyle w:val="IndexLink"/>
                <w:rtl w:val="true"/>
              </w:rPr>
              <w:tab/>
            </w:r>
            <w:r>
              <w:rPr>
                <w:rStyle w:val="IndexLink"/>
              </w:rPr>
              <w:t>225</w:t>
            </w:r>
          </w:hyperlink>
        </w:p>
        <w:p>
          <w:pPr>
            <w:pStyle w:val="Contents5"/>
            <w:tabs>
              <w:tab w:val="clear" w:pos="7892"/>
              <w:tab w:val="right" w:pos="9026" w:leader="dot"/>
            </w:tabs>
            <w:rPr/>
          </w:pPr>
          <w:hyperlink w:anchor="__RefHeading___Toc5148820_2314609296">
            <w:r>
              <w:rPr>
                <w:webHidden/>
                <w:rStyle w:val="IndexLink"/>
                <w:rtl w:val="true"/>
              </w:rPr>
              <w:t>ثمّ إنّ هنا أُموراً قیل باعتبارها فی هذا الخیار</w:t>
            </w:r>
            <w:r>
              <w:rPr>
                <w:rStyle w:val="IndexLink"/>
                <w:rtl w:val="true"/>
              </w:rPr>
              <w:t>:</w:t>
              <w:tab/>
            </w:r>
            <w:r>
              <w:rPr>
                <w:rStyle w:val="IndexLink"/>
              </w:rPr>
              <w:t>230</w:t>
            </w:r>
          </w:hyperlink>
        </w:p>
        <w:p>
          <w:pPr>
            <w:pStyle w:val="Contents6"/>
            <w:tabs>
              <w:tab w:val="clear" w:pos="7609"/>
              <w:tab w:val="right" w:pos="9026" w:leader="dot"/>
            </w:tabs>
            <w:rPr/>
          </w:pPr>
          <w:hyperlink w:anchor="__RefHeading___Toc5148822_2314609296">
            <w:r>
              <w:rPr>
                <w:webHidden/>
                <w:rStyle w:val="IndexLink"/>
                <w:rtl w:val="true"/>
              </w:rPr>
              <w:t>منها</w:t>
            </w:r>
            <w:r>
              <w:rPr>
                <w:rStyle w:val="IndexLink"/>
                <w:rtl w:val="true"/>
              </w:rPr>
              <w:t xml:space="preserve">: </w:t>
            </w:r>
            <w:r>
              <w:rPr>
                <w:rStyle w:val="IndexLink"/>
                <w:rtl w:val="true"/>
              </w:rPr>
              <w:t>عدم الخیار لأحدهما أو لهما،</w:t>
            </w:r>
            <w:r>
              <w:rPr>
                <w:rStyle w:val="IndexLink"/>
                <w:rtl w:val="true"/>
              </w:rPr>
              <w:tab/>
            </w:r>
            <w:r>
              <w:rPr>
                <w:rStyle w:val="IndexLink"/>
              </w:rPr>
              <w:t>230</w:t>
            </w:r>
          </w:hyperlink>
        </w:p>
        <w:p>
          <w:pPr>
            <w:pStyle w:val="Contents6"/>
            <w:tabs>
              <w:tab w:val="clear" w:pos="7609"/>
              <w:tab w:val="right" w:pos="9026" w:leader="dot"/>
            </w:tabs>
            <w:rPr/>
          </w:pPr>
          <w:hyperlink w:anchor="__RefHeading___Toc5148824_2314609296">
            <w:r>
              <w:rPr>
                <w:webHidden/>
                <w:rStyle w:val="IndexLink"/>
                <w:rtl w:val="true"/>
              </w:rPr>
              <w:t>و منها</w:t>
            </w:r>
            <w:r>
              <w:rPr>
                <w:rStyle w:val="IndexLink"/>
                <w:rtl w:val="true"/>
              </w:rPr>
              <w:tab/>
            </w:r>
            <w:r>
              <w:rPr>
                <w:rStyle w:val="IndexLink"/>
              </w:rPr>
              <w:t>232</w:t>
            </w:r>
          </w:hyperlink>
        </w:p>
        <w:p>
          <w:pPr>
            <w:pStyle w:val="Contents6"/>
            <w:tabs>
              <w:tab w:val="clear" w:pos="7609"/>
              <w:tab w:val="right" w:pos="9026" w:leader="dot"/>
            </w:tabs>
            <w:rPr/>
          </w:pPr>
          <w:hyperlink w:anchor="__RefHeading___Toc5148826_2314609296">
            <w:r>
              <w:rPr>
                <w:webHidden/>
                <w:rStyle w:val="IndexLink"/>
                <w:rtl w:val="true"/>
              </w:rPr>
              <w:t>و منها</w:t>
            </w:r>
            <w:r>
              <w:rPr>
                <w:rStyle w:val="IndexLink"/>
                <w:rtl w:val="true"/>
              </w:rPr>
              <w:t xml:space="preserve">: </w:t>
            </w:r>
            <w:r>
              <w:rPr>
                <w:rStyle w:val="IndexLink"/>
                <w:rtl w:val="true"/>
              </w:rPr>
              <w:t>أن لا یکون المبیع حیواناً أو خصوص الجاریة،</w:t>
            </w:r>
            <w:r>
              <w:rPr>
                <w:rStyle w:val="IndexLink"/>
                <w:rtl w:val="true"/>
              </w:rPr>
              <w:tab/>
            </w:r>
            <w:r>
              <w:rPr>
                <w:rStyle w:val="IndexLink"/>
              </w:rPr>
              <w:t>233</w:t>
            </w:r>
          </w:hyperlink>
        </w:p>
        <w:p>
          <w:pPr>
            <w:pStyle w:val="Contents5"/>
            <w:tabs>
              <w:tab w:val="clear" w:pos="7892"/>
              <w:tab w:val="right" w:pos="9026" w:leader="dot"/>
            </w:tabs>
            <w:rPr/>
          </w:pPr>
          <w:hyperlink w:anchor="__RefHeading___Toc5148828_2314609296">
            <w:r>
              <w:rPr>
                <w:webHidden/>
                <w:rStyle w:val="IndexLink"/>
                <w:rtl w:val="true"/>
              </w:rPr>
              <w:t>مسألة یسقط هذا الخیار بأُمورٍ</w:t>
            </w:r>
            <w:r>
              <w:rPr>
                <w:rStyle w:val="IndexLink"/>
                <w:rtl w:val="true"/>
              </w:rPr>
              <w:t>:</w:t>
              <w:tab/>
            </w:r>
            <w:r>
              <w:rPr>
                <w:rStyle w:val="IndexLink"/>
              </w:rPr>
              <w:t>235</w:t>
            </w:r>
          </w:hyperlink>
        </w:p>
        <w:p>
          <w:pPr>
            <w:pStyle w:val="Contents6"/>
            <w:tabs>
              <w:tab w:val="clear" w:pos="7609"/>
              <w:tab w:val="right" w:pos="9026" w:leader="dot"/>
            </w:tabs>
            <w:rPr/>
          </w:pPr>
          <w:hyperlink w:anchor="__RefHeading___Toc5148830_2314609296">
            <w:r>
              <w:rPr>
                <w:webHidden/>
                <w:rStyle w:val="IndexLink"/>
                <w:rtl w:val="true"/>
              </w:rPr>
              <w:t>أحدها</w:t>
            </w:r>
            <w:r>
              <w:rPr>
                <w:rStyle w:val="IndexLink"/>
                <w:rtl w:val="true"/>
              </w:rPr>
              <w:t xml:space="preserve">: </w:t>
            </w:r>
            <w:r>
              <w:rPr>
                <w:rStyle w:val="IndexLink"/>
                <w:rtl w:val="true"/>
              </w:rPr>
              <w:t>إسقاطه بعد الثلاثة بلا إشکالٍ و لا خلاف،</w:t>
            </w:r>
            <w:r>
              <w:rPr>
                <w:rStyle w:val="IndexLink"/>
                <w:rtl w:val="true"/>
              </w:rPr>
              <w:tab/>
            </w:r>
            <w:r>
              <w:rPr>
                <w:rStyle w:val="IndexLink"/>
              </w:rPr>
              <w:t>235</w:t>
            </w:r>
          </w:hyperlink>
        </w:p>
        <w:p>
          <w:pPr>
            <w:pStyle w:val="Contents6"/>
            <w:tabs>
              <w:tab w:val="clear" w:pos="7609"/>
              <w:tab w:val="right" w:pos="9026" w:leader="dot"/>
            </w:tabs>
            <w:rPr/>
          </w:pPr>
          <w:hyperlink w:anchor="__RefHeading___Toc5148832_2314609296">
            <w:r>
              <w:rPr>
                <w:webHidden/>
                <w:rStyle w:val="IndexLink"/>
                <w:rtl w:val="true"/>
              </w:rPr>
              <w:t>الثانی</w:t>
            </w:r>
            <w:r>
              <w:rPr>
                <w:rStyle w:val="IndexLink"/>
                <w:rtl w:val="true"/>
              </w:rPr>
              <w:t xml:space="preserve">: </w:t>
            </w:r>
            <w:r>
              <w:rPr>
                <w:rStyle w:val="IndexLink"/>
                <w:rtl w:val="true"/>
              </w:rPr>
              <w:t>اشتراط سقوطه فی متن العقد،</w:t>
            </w:r>
            <w:r>
              <w:rPr>
                <w:rStyle w:val="IndexLink"/>
                <w:rtl w:val="true"/>
              </w:rPr>
              <w:tab/>
            </w:r>
            <w:r>
              <w:rPr>
                <w:rStyle w:val="IndexLink"/>
              </w:rPr>
              <w:t>235</w:t>
            </w:r>
          </w:hyperlink>
        </w:p>
        <w:p>
          <w:pPr>
            <w:pStyle w:val="Contents6"/>
            <w:tabs>
              <w:tab w:val="clear" w:pos="7609"/>
              <w:tab w:val="right" w:pos="9026" w:leader="dot"/>
            </w:tabs>
            <w:rPr/>
          </w:pPr>
          <w:hyperlink w:anchor="__RefHeading___Toc5148834_2314609296">
            <w:r>
              <w:rPr>
                <w:webHidden/>
                <w:rStyle w:val="IndexLink"/>
                <w:rtl w:val="true"/>
              </w:rPr>
              <w:t>الثالث</w:t>
            </w:r>
            <w:r>
              <w:rPr>
                <w:rStyle w:val="IndexLink"/>
                <w:rtl w:val="true"/>
              </w:rPr>
              <w:t xml:space="preserve">: </w:t>
            </w:r>
            <w:r>
              <w:rPr>
                <w:rStyle w:val="IndexLink"/>
                <w:rtl w:val="true"/>
              </w:rPr>
              <w:t>بذل المشتری للثمن بعد الثلاثة،</w:t>
            </w:r>
            <w:r>
              <w:rPr>
                <w:rStyle w:val="IndexLink"/>
                <w:rtl w:val="true"/>
              </w:rPr>
              <w:tab/>
            </w:r>
            <w:r>
              <w:rPr>
                <w:rStyle w:val="IndexLink"/>
              </w:rPr>
              <w:t>236</w:t>
            </w:r>
          </w:hyperlink>
        </w:p>
        <w:p>
          <w:pPr>
            <w:pStyle w:val="Contents6"/>
            <w:tabs>
              <w:tab w:val="clear" w:pos="7609"/>
              <w:tab w:val="right" w:pos="9026" w:leader="dot"/>
            </w:tabs>
            <w:rPr/>
          </w:pPr>
          <w:hyperlink w:anchor="__RefHeading___Toc5148836_2314609296">
            <w:r>
              <w:rPr>
                <w:webHidden/>
                <w:rStyle w:val="IndexLink"/>
                <w:rtl w:val="true"/>
              </w:rPr>
              <w:t>الرابع</w:t>
            </w:r>
            <w:r>
              <w:rPr>
                <w:rStyle w:val="IndexLink"/>
                <w:rtl w:val="true"/>
              </w:rPr>
              <w:t xml:space="preserve">: </w:t>
            </w:r>
            <w:r>
              <w:rPr>
                <w:rStyle w:val="IndexLink"/>
                <w:rtl w:val="true"/>
              </w:rPr>
              <w:t>أخذ الثمن من المشتری بناءً علی عدم سقوطه بالبذل،</w:t>
            </w:r>
            <w:r>
              <w:rPr>
                <w:rStyle w:val="IndexLink"/>
                <w:rtl w:val="true"/>
              </w:rPr>
              <w:tab/>
            </w:r>
            <w:r>
              <w:rPr>
                <w:rStyle w:val="IndexLink"/>
              </w:rPr>
              <w:t>237</w:t>
            </w:r>
          </w:hyperlink>
        </w:p>
        <w:p>
          <w:pPr>
            <w:pStyle w:val="Contents5"/>
            <w:tabs>
              <w:tab w:val="clear" w:pos="7892"/>
              <w:tab w:val="right" w:pos="9026" w:leader="dot"/>
            </w:tabs>
            <w:rPr/>
          </w:pPr>
          <w:hyperlink w:anchor="__RefHeading___Toc5148838_2314609296">
            <w:r>
              <w:rPr>
                <w:webHidden/>
                <w:rStyle w:val="IndexLink"/>
                <w:rtl w:val="true"/>
              </w:rPr>
              <w:t>مسألة فی کون هذا الخیار علی الفور أو التراخی قولان،</w:t>
            </w:r>
            <w:r>
              <w:rPr>
                <w:rStyle w:val="IndexLink"/>
                <w:rtl w:val="true"/>
              </w:rPr>
              <w:tab/>
            </w:r>
            <w:r>
              <w:rPr>
                <w:rStyle w:val="IndexLink"/>
              </w:rPr>
              <w:t>239</w:t>
            </w:r>
          </w:hyperlink>
        </w:p>
        <w:p>
          <w:pPr>
            <w:pStyle w:val="Contents5"/>
            <w:tabs>
              <w:tab w:val="clear" w:pos="7892"/>
              <w:tab w:val="right" w:pos="9026" w:leader="dot"/>
            </w:tabs>
            <w:rPr/>
          </w:pPr>
          <w:hyperlink w:anchor="__RefHeading___Toc5148840_2314609296">
            <w:r>
              <w:rPr>
                <w:webHidden/>
                <w:rStyle w:val="IndexLink"/>
                <w:rtl w:val="true"/>
              </w:rPr>
              <w:t>مسألة لو تلف المبیع بعد الثلاثة کان من البائع إجماعاً مستفیضاً،</w:t>
            </w:r>
            <w:r>
              <w:rPr>
                <w:rStyle w:val="IndexLink"/>
                <w:rtl w:val="true"/>
              </w:rPr>
              <w:tab/>
            </w:r>
            <w:r>
              <w:rPr>
                <w:rStyle w:val="IndexLink"/>
              </w:rPr>
              <w:t>240</w:t>
            </w:r>
          </w:hyperlink>
        </w:p>
        <w:p>
          <w:pPr>
            <w:pStyle w:val="Contents5"/>
            <w:tabs>
              <w:tab w:val="clear" w:pos="7892"/>
              <w:tab w:val="right" w:pos="9026" w:leader="dot"/>
            </w:tabs>
            <w:rPr/>
          </w:pPr>
          <w:hyperlink w:anchor="__RefHeading___Toc5148842_2314609296">
            <w:r>
              <w:rPr>
                <w:webHidden/>
                <w:rStyle w:val="IndexLink"/>
                <w:rtl w:val="true"/>
              </w:rPr>
              <w:t>مسألة لو اشتری ما یفسد من یومه،فإن جاء بالثمن ما بینه و بین اللیل،و إلّا فلا بیع له،</w:t>
            </w:r>
            <w:r>
              <w:rPr>
                <w:rStyle w:val="IndexLink"/>
                <w:rtl w:val="true"/>
              </w:rPr>
              <w:tab/>
            </w:r>
            <w:r>
              <w:rPr>
                <w:rStyle w:val="IndexLink"/>
              </w:rPr>
              <w:t>243</w:t>
            </w:r>
          </w:hyperlink>
        </w:p>
        <w:p>
          <w:pPr>
            <w:pStyle w:val="Contents4"/>
            <w:tabs>
              <w:tab w:val="clear" w:pos="8176"/>
              <w:tab w:val="right" w:pos="9026" w:leader="dot"/>
            </w:tabs>
            <w:rPr/>
          </w:pPr>
          <w:hyperlink w:anchor="__RefHeading___Toc5148844_2314609296">
            <w:r>
              <w:rPr>
                <w:webHidden/>
                <w:rStyle w:val="IndexLink"/>
                <w:rtl w:val="true"/>
              </w:rPr>
              <w:t>السادس خیار الرؤیة</w:t>
            </w:r>
            <w:r>
              <w:rPr>
                <w:rStyle w:val="IndexLink"/>
                <w:rtl w:val="true"/>
              </w:rPr>
              <w:tab/>
            </w:r>
            <w:r>
              <w:rPr>
                <w:rStyle w:val="IndexLink"/>
              </w:rPr>
              <w:t>247</w:t>
            </w:r>
          </w:hyperlink>
        </w:p>
        <w:p>
          <w:pPr>
            <w:pStyle w:val="Contents5"/>
            <w:tabs>
              <w:tab w:val="clear" w:pos="7892"/>
              <w:tab w:val="right" w:pos="9026" w:leader="dot"/>
            </w:tabs>
            <w:rPr/>
          </w:pPr>
          <w:hyperlink w:anchor="__RefHeading___Toc5148846_2314609296">
            <w:r>
              <w:rPr>
                <w:webHidden/>
                <w:rStyle w:val="IndexLink"/>
                <w:rtl w:val="true"/>
              </w:rPr>
              <w:t>اشاره</w:t>
            </w:r>
            <w:r>
              <w:rPr>
                <w:rStyle w:val="IndexLink"/>
                <w:rtl w:val="true"/>
              </w:rPr>
              <w:tab/>
            </w:r>
            <w:r>
              <w:rPr>
                <w:rStyle w:val="IndexLink"/>
              </w:rPr>
              <w:t>247</w:t>
            </w:r>
          </w:hyperlink>
        </w:p>
        <w:p>
          <w:pPr>
            <w:pStyle w:val="Contents5"/>
            <w:tabs>
              <w:tab w:val="clear" w:pos="7892"/>
              <w:tab w:val="right" w:pos="9026" w:leader="dot"/>
            </w:tabs>
            <w:rPr/>
          </w:pPr>
          <w:hyperlink w:anchor="__RefHeading___Toc5148848_2314609296">
            <w:r>
              <w:rPr>
                <w:webHidden/>
                <w:rStyle w:val="IndexLink"/>
                <w:rtl w:val="true"/>
              </w:rPr>
              <w:t>مسألة مورد هذا الخیار بیع العین الشخصیّة الغائبة</w:t>
            </w:r>
            <w:r>
              <w:rPr>
                <w:rStyle w:val="IndexLink"/>
                <w:rtl w:val="true"/>
              </w:rPr>
              <w:t>.</w:t>
              <w:tab/>
            </w:r>
            <w:r>
              <w:rPr>
                <w:rStyle w:val="IndexLink"/>
              </w:rPr>
              <w:t>250</w:t>
            </w:r>
          </w:hyperlink>
        </w:p>
        <w:p>
          <w:pPr>
            <w:pStyle w:val="Contents5"/>
            <w:tabs>
              <w:tab w:val="clear" w:pos="7892"/>
              <w:tab w:val="right" w:pos="9026" w:leader="dot"/>
            </w:tabs>
            <w:rPr/>
          </w:pPr>
          <w:hyperlink w:anchor="__RefHeading___Toc5148850_2314609296">
            <w:r>
              <w:rPr>
                <w:webHidden/>
                <w:rStyle w:val="IndexLink"/>
                <w:rtl w:val="true"/>
              </w:rPr>
              <w:t>مسألة الأکثر علی أنّ الخیار عند الرؤیة فوریٌّ،</w:t>
            </w:r>
            <w:r>
              <w:rPr>
                <w:rStyle w:val="IndexLink"/>
                <w:rtl w:val="true"/>
              </w:rPr>
              <w:tab/>
            </w:r>
            <w:r>
              <w:rPr>
                <w:rStyle w:val="IndexLink"/>
              </w:rPr>
              <w:t>259</w:t>
            </w:r>
          </w:hyperlink>
        </w:p>
        <w:p>
          <w:pPr>
            <w:pStyle w:val="Contents5"/>
            <w:tabs>
              <w:tab w:val="clear" w:pos="7892"/>
              <w:tab w:val="right" w:pos="9026" w:leader="dot"/>
            </w:tabs>
            <w:rPr/>
          </w:pPr>
          <w:hyperlink w:anchor="__RefHeading___Toc5148852_2314609296">
            <w:r>
              <w:rPr>
                <w:webHidden/>
                <w:rStyle w:val="IndexLink"/>
                <w:rtl w:val="true"/>
              </w:rPr>
              <w:t>مسألة یسقط هذا الخیار بترک المبادرة عرفاً</w:t>
            </w:r>
            <w:r>
              <w:rPr>
                <w:rStyle w:val="IndexLink"/>
                <w:rtl w:val="true"/>
              </w:rPr>
              <w:tab/>
            </w:r>
            <w:r>
              <w:rPr>
                <w:rStyle w:val="IndexLink"/>
              </w:rPr>
              <w:t>260</w:t>
            </w:r>
          </w:hyperlink>
        </w:p>
        <w:p>
          <w:pPr>
            <w:pStyle w:val="Contents5"/>
            <w:tabs>
              <w:tab w:val="clear" w:pos="7892"/>
              <w:tab w:val="right" w:pos="9026" w:leader="dot"/>
            </w:tabs>
            <w:rPr/>
          </w:pPr>
          <w:hyperlink w:anchor="__RefHeading___Toc5148854_2314609296">
            <w:r>
              <w:rPr>
                <w:webHidden/>
                <w:rStyle w:val="IndexLink"/>
                <w:rtl w:val="true"/>
              </w:rPr>
              <w:t>مسألة لا یسقط هذا الخیار ببذل التفاوت و لا بإبدال العین؛</w:t>
            </w:r>
            <w:r>
              <w:rPr>
                <w:rStyle w:val="IndexLink"/>
                <w:rtl w:val="true"/>
              </w:rPr>
              <w:tab/>
            </w:r>
            <w:r>
              <w:rPr>
                <w:rStyle w:val="IndexLink"/>
              </w:rPr>
              <w:t>266</w:t>
            </w:r>
          </w:hyperlink>
        </w:p>
        <w:p>
          <w:pPr>
            <w:pStyle w:val="Contents5"/>
            <w:tabs>
              <w:tab w:val="clear" w:pos="7892"/>
              <w:tab w:val="right" w:pos="9026" w:leader="dot"/>
            </w:tabs>
            <w:rPr/>
          </w:pPr>
          <w:hyperlink w:anchor="__RefHeading___Toc5148856_2314609296">
            <w:r>
              <w:rPr>
                <w:webHidden/>
                <w:rStyle w:val="IndexLink"/>
                <w:rtl w:val="true"/>
              </w:rPr>
              <w:t>مسألة الظاهر ثبوت خیار الرؤیة فی کلّ عقدٍ واقعٍ علی عینٍ شخصیّةٍ موصوفةٍ کالصلح و الإجارة؛</w:t>
            </w:r>
            <w:r>
              <w:rPr>
                <w:rStyle w:val="IndexLink"/>
                <w:rtl w:val="true"/>
              </w:rPr>
              <w:tab/>
            </w:r>
            <w:r>
              <w:rPr>
                <w:rStyle w:val="IndexLink"/>
              </w:rPr>
              <w:t>268</w:t>
            </w:r>
          </w:hyperlink>
        </w:p>
        <w:p>
          <w:pPr>
            <w:pStyle w:val="Contents5"/>
            <w:tabs>
              <w:tab w:val="clear" w:pos="7892"/>
              <w:tab w:val="right" w:pos="9026" w:leader="dot"/>
            </w:tabs>
            <w:rPr/>
          </w:pPr>
          <w:hyperlink w:anchor="__RefHeading___Toc5148858_2314609296">
            <w:r>
              <w:rPr>
                <w:webHidden/>
                <w:rStyle w:val="IndexLink"/>
                <w:rtl w:val="true"/>
              </w:rPr>
              <w:t>مسألة لو اختلفا،فقال البائع</w:t>
            </w:r>
            <w:r>
              <w:rPr>
                <w:rStyle w:val="IndexLink"/>
                <w:rtl w:val="true"/>
              </w:rPr>
              <w:t>:</w:t>
            </w:r>
            <w:r>
              <w:rPr>
                <w:rStyle w:val="IndexLink"/>
                <w:rtl w:val="true"/>
              </w:rPr>
              <w:t>لم یختلف صفته</w:t>
            </w:r>
            <w:r>
              <w:rPr>
                <w:rStyle w:val="IndexLink"/>
                <w:rtl w:val="true"/>
              </w:rPr>
              <w:tab/>
            </w:r>
            <w:r>
              <w:rPr>
                <w:rStyle w:val="IndexLink"/>
              </w:rPr>
              <w:t>269</w:t>
            </w:r>
          </w:hyperlink>
        </w:p>
        <w:p>
          <w:pPr>
            <w:pStyle w:val="Contents5"/>
            <w:tabs>
              <w:tab w:val="clear" w:pos="7892"/>
              <w:tab w:val="right" w:pos="9026" w:leader="dot"/>
            </w:tabs>
            <w:rPr/>
          </w:pPr>
          <w:hyperlink w:anchor="__RefHeading___Toc5148860_2314609296">
            <w:r>
              <w:rPr>
                <w:webHidden/>
                <w:rStyle w:val="IndexLink"/>
                <w:rtl w:val="true"/>
              </w:rPr>
              <w:t>مسألة لو نسج بعض الثوب،فاشتراه علی أن ینسج الباقی کالأوّل بطل،</w:t>
            </w:r>
            <w:r>
              <w:rPr>
                <w:rStyle w:val="IndexLink"/>
                <w:rtl w:val="true"/>
              </w:rPr>
              <w:tab/>
            </w:r>
            <w:r>
              <w:rPr>
                <w:rStyle w:val="IndexLink"/>
              </w:rPr>
              <w:t>271</w:t>
            </w:r>
          </w:hyperlink>
        </w:p>
        <w:p>
          <w:pPr>
            <w:pStyle w:val="Contents4"/>
            <w:tabs>
              <w:tab w:val="clear" w:pos="8176"/>
              <w:tab w:val="right" w:pos="9026" w:leader="dot"/>
            </w:tabs>
            <w:rPr/>
          </w:pPr>
          <w:hyperlink w:anchor="__RefHeading___Toc5148862_2314609296">
            <w:r>
              <w:rPr>
                <w:webHidden/>
                <w:rStyle w:val="IndexLink"/>
                <w:rtl w:val="true"/>
              </w:rPr>
              <w:t>السابع</w:t>
            </w:r>
            <w:r>
              <w:rPr>
                <w:rStyle w:val="IndexLink"/>
                <w:rtl w:val="true"/>
              </w:rPr>
              <w:tab/>
            </w:r>
            <w:r>
              <w:rPr>
                <w:rStyle w:val="IndexLink"/>
              </w:rPr>
              <w:t>273</w:t>
            </w:r>
          </w:hyperlink>
        </w:p>
        <w:p>
          <w:pPr>
            <w:pStyle w:val="Contents5"/>
            <w:tabs>
              <w:tab w:val="clear" w:pos="7892"/>
              <w:tab w:val="right" w:pos="9026" w:leader="dot"/>
            </w:tabs>
            <w:rPr/>
          </w:pPr>
          <w:hyperlink w:anchor="__RefHeading___Toc5148864_2314609296">
            <w:r>
              <w:rPr>
                <w:webHidden/>
                <w:rStyle w:val="IndexLink"/>
                <w:rtl w:val="true"/>
              </w:rPr>
              <w:t>اشاره</w:t>
            </w:r>
            <w:r>
              <w:rPr>
                <w:rStyle w:val="IndexLink"/>
                <w:rtl w:val="true"/>
              </w:rPr>
              <w:tab/>
            </w:r>
            <w:r>
              <w:rPr>
                <w:rStyle w:val="IndexLink"/>
              </w:rPr>
              <w:t>273</w:t>
            </w:r>
          </w:hyperlink>
        </w:p>
        <w:p>
          <w:pPr>
            <w:pStyle w:val="Contents5"/>
            <w:tabs>
              <w:tab w:val="clear" w:pos="7892"/>
              <w:tab w:val="right" w:pos="9026" w:leader="dot"/>
            </w:tabs>
            <w:rPr/>
          </w:pPr>
          <w:hyperlink w:anchor="__RefHeading___Toc5148866_2314609296">
            <w:r>
              <w:rPr>
                <w:webHidden/>
                <w:rStyle w:val="IndexLink"/>
                <w:rtl w:val="true"/>
              </w:rPr>
              <w:t>مسألة ظهور العیب فی المبیع یوجب تسلّط المشتری علی الردّ و أخذ الأرش بلا خلافٍ،</w:t>
            </w:r>
            <w:r>
              <w:rPr>
                <w:rStyle w:val="IndexLink"/>
                <w:rtl w:val="true"/>
              </w:rPr>
              <w:tab/>
            </w:r>
            <w:r>
              <w:rPr>
                <w:rStyle w:val="IndexLink"/>
              </w:rPr>
              <w:t>277</w:t>
            </w:r>
          </w:hyperlink>
        </w:p>
        <w:p>
          <w:pPr>
            <w:pStyle w:val="Contents5"/>
            <w:tabs>
              <w:tab w:val="clear" w:pos="7892"/>
              <w:tab w:val="right" w:pos="9026" w:leader="dot"/>
            </w:tabs>
            <w:rPr/>
          </w:pPr>
          <w:hyperlink w:anchor="__RefHeading___Toc5148868_2314609296">
            <w:r>
              <w:rPr>
                <w:webHidden/>
                <w:rStyle w:val="IndexLink"/>
                <w:rtl w:val="true"/>
              </w:rPr>
              <w:t>القول فی مسقطات هذا الخیار</w:t>
            </w:r>
            <w:r>
              <w:rPr>
                <w:rStyle w:val="IndexLink"/>
                <w:rtl w:val="true"/>
              </w:rPr>
              <w:tab/>
            </w:r>
            <w:r>
              <w:rPr>
                <w:rStyle w:val="IndexLink"/>
              </w:rPr>
              <w:t>281</w:t>
            </w:r>
          </w:hyperlink>
        </w:p>
        <w:p>
          <w:pPr>
            <w:pStyle w:val="Contents6"/>
            <w:tabs>
              <w:tab w:val="clear" w:pos="7609"/>
              <w:tab w:val="right" w:pos="9026" w:leader="dot"/>
            </w:tabs>
            <w:rPr/>
          </w:pPr>
          <w:hyperlink w:anchor="__RefHeading___Toc5148870_2314609296">
            <w:r>
              <w:rPr>
                <w:webHidden/>
                <w:rStyle w:val="IndexLink"/>
                <w:rtl w:val="true"/>
              </w:rPr>
              <w:t>اشاره</w:t>
            </w:r>
            <w:r>
              <w:rPr>
                <w:rStyle w:val="IndexLink"/>
                <w:rtl w:val="true"/>
              </w:rPr>
              <w:tab/>
            </w:r>
            <w:r>
              <w:rPr>
                <w:rStyle w:val="IndexLink"/>
              </w:rPr>
              <w:t>281</w:t>
            </w:r>
          </w:hyperlink>
        </w:p>
        <w:p>
          <w:pPr>
            <w:pStyle w:val="Contents6"/>
            <w:tabs>
              <w:tab w:val="clear" w:pos="7609"/>
              <w:tab w:val="right" w:pos="9026" w:leader="dot"/>
            </w:tabs>
            <w:rPr/>
          </w:pPr>
          <w:hyperlink w:anchor="__RefHeading___Toc5148872_2314609296">
            <w:r>
              <w:rPr>
                <w:webHidden/>
                <w:rStyle w:val="IndexLink"/>
                <w:rtl w:val="true"/>
              </w:rPr>
              <w:t>مسألة یسقط الردّ خاصّةً بأُمور</w:t>
            </w:r>
            <w:r>
              <w:rPr>
                <w:rStyle w:val="IndexLink"/>
                <w:rtl w:val="true"/>
              </w:rPr>
              <w:t>:</w:t>
              <w:tab/>
            </w:r>
            <w:r>
              <w:rPr>
                <w:rStyle w:val="IndexLink"/>
              </w:rPr>
              <w:t>281</w:t>
            </w:r>
          </w:hyperlink>
        </w:p>
        <w:p>
          <w:pPr>
            <w:pStyle w:val="Contents6"/>
            <w:tabs>
              <w:tab w:val="clear" w:pos="7609"/>
              <w:tab w:val="right" w:pos="9026" w:leader="dot"/>
            </w:tabs>
            <w:rPr/>
          </w:pPr>
          <w:hyperlink w:anchor="__RefHeading___Toc5148874_2314609296">
            <w:r>
              <w:rPr>
                <w:webHidden/>
                <w:rStyle w:val="IndexLink"/>
                <w:rtl w:val="true"/>
              </w:rPr>
              <w:t>أحدها</w:t>
            </w:r>
            <w:r>
              <w:rPr>
                <w:rStyle w:val="IndexLink"/>
                <w:rtl w:val="true"/>
              </w:rPr>
              <w:t xml:space="preserve">: </w:t>
            </w:r>
            <w:r>
              <w:rPr>
                <w:rStyle w:val="IndexLink"/>
                <w:rtl w:val="true"/>
              </w:rPr>
              <w:t>التصریح بالتزام العقد و إسقاط الردّ و اختیار الأرش،</w:t>
            </w:r>
            <w:r>
              <w:rPr>
                <w:rStyle w:val="IndexLink"/>
                <w:rtl w:val="true"/>
              </w:rPr>
              <w:tab/>
            </w:r>
            <w:r>
              <w:rPr>
                <w:rStyle w:val="IndexLink"/>
              </w:rPr>
              <w:t>281</w:t>
            </w:r>
          </w:hyperlink>
        </w:p>
        <w:p>
          <w:pPr>
            <w:pStyle w:val="Contents6"/>
            <w:tabs>
              <w:tab w:val="clear" w:pos="7609"/>
              <w:tab w:val="right" w:pos="9026" w:leader="dot"/>
            </w:tabs>
            <w:rPr/>
          </w:pPr>
          <w:hyperlink w:anchor="__RefHeading___Toc5148876_2314609296">
            <w:r>
              <w:rPr>
                <w:webHidden/>
                <w:rStyle w:val="IndexLink"/>
                <w:rtl w:val="true"/>
              </w:rPr>
              <w:t>الثانی</w:t>
            </w:r>
            <w:r>
              <w:rPr>
                <w:rStyle w:val="IndexLink"/>
                <w:rtl w:val="true"/>
              </w:rPr>
              <w:t xml:space="preserve">: </w:t>
            </w:r>
            <w:r>
              <w:rPr>
                <w:rStyle w:val="IndexLink"/>
                <w:rtl w:val="true"/>
              </w:rPr>
              <w:t>التصرّف فی المعیب عند علمائنا</w:t>
            </w:r>
            <w:r>
              <w:rPr>
                <w:rStyle w:val="IndexLink"/>
                <w:rtl w:val="true"/>
              </w:rPr>
              <w:tab/>
            </w:r>
            <w:r>
              <w:rPr>
                <w:rStyle w:val="IndexLink"/>
              </w:rPr>
              <w:t>281</w:t>
            </w:r>
          </w:hyperlink>
        </w:p>
        <w:p>
          <w:pPr>
            <w:pStyle w:val="Contents6"/>
            <w:tabs>
              <w:tab w:val="clear" w:pos="7609"/>
              <w:tab w:val="right" w:pos="9026" w:leader="dot"/>
            </w:tabs>
            <w:rPr/>
          </w:pPr>
          <w:hyperlink w:anchor="__RefHeading___Toc5148878_2314609296">
            <w:r>
              <w:rPr>
                <w:webHidden/>
                <w:rStyle w:val="IndexLink"/>
                <w:rtl w:val="true"/>
              </w:rPr>
              <w:t>الثالث</w:t>
            </w:r>
            <w:r>
              <w:rPr>
                <w:rStyle w:val="IndexLink"/>
                <w:rtl w:val="true"/>
              </w:rPr>
              <w:t xml:space="preserve">: </w:t>
            </w:r>
            <w:r>
              <w:rPr>
                <w:rStyle w:val="IndexLink"/>
                <w:rtl w:val="true"/>
              </w:rPr>
              <w:t>تلف العین أو صیرورته کالتالف،</w:t>
            </w:r>
            <w:r>
              <w:rPr>
                <w:rStyle w:val="IndexLink"/>
                <w:rtl w:val="true"/>
              </w:rPr>
              <w:tab/>
            </w:r>
            <w:r>
              <w:rPr>
                <w:rStyle w:val="IndexLink"/>
              </w:rPr>
              <w:t>291</w:t>
            </w:r>
          </w:hyperlink>
        </w:p>
        <w:p>
          <w:pPr>
            <w:pStyle w:val="Contents6"/>
            <w:tabs>
              <w:tab w:val="clear" w:pos="7609"/>
              <w:tab w:val="right" w:pos="9026" w:leader="dot"/>
            </w:tabs>
            <w:rPr/>
          </w:pPr>
          <w:hyperlink w:anchor="__RefHeading___Toc5148880_2314609296">
            <w:r>
              <w:rPr>
                <w:webHidden/>
                <w:rStyle w:val="IndexLink"/>
                <w:rtl w:val="true"/>
              </w:rPr>
              <w:t>«</w:t>
            </w:r>
            <w:r>
              <w:rPr>
                <w:rStyle w:val="IndexLink"/>
                <w:rtl w:val="true"/>
              </w:rPr>
              <w:t>فرع</w:t>
            </w:r>
            <w:r>
              <w:rPr>
                <w:rStyle w:val="IndexLink"/>
                <w:rtl w:val="true"/>
              </w:rPr>
              <w:t>»:</w:t>
              <w:tab/>
            </w:r>
            <w:r>
              <w:rPr>
                <w:rStyle w:val="IndexLink"/>
              </w:rPr>
              <w:t>292</w:t>
            </w:r>
          </w:hyperlink>
        </w:p>
        <w:p>
          <w:pPr>
            <w:pStyle w:val="Contents6"/>
            <w:tabs>
              <w:tab w:val="clear" w:pos="7609"/>
              <w:tab w:val="right" w:pos="9026" w:leader="dot"/>
            </w:tabs>
            <w:rPr/>
          </w:pPr>
          <w:hyperlink w:anchor="__RefHeading___Toc5148882_2314609296">
            <w:r>
              <w:rPr>
                <w:webHidden/>
                <w:rStyle w:val="IndexLink"/>
                <w:rtl w:val="true"/>
              </w:rPr>
              <w:t>الرابع</w:t>
            </w:r>
            <w:r>
              <w:rPr>
                <w:rStyle w:val="IndexLink"/>
                <w:rtl w:val="true"/>
              </w:rPr>
              <w:tab/>
            </w:r>
            <w:r>
              <w:rPr>
                <w:rStyle w:val="IndexLink"/>
              </w:rPr>
              <w:t>303</w:t>
            </w:r>
          </w:hyperlink>
        </w:p>
        <w:p>
          <w:pPr>
            <w:pStyle w:val="Contents6"/>
            <w:tabs>
              <w:tab w:val="clear" w:pos="7609"/>
              <w:tab w:val="right" w:pos="9026" w:leader="dot"/>
            </w:tabs>
            <w:rPr/>
          </w:pPr>
          <w:hyperlink w:anchor="__RefHeading___Toc5148884_2314609296">
            <w:r>
              <w:rPr>
                <w:webHidden/>
                <w:rStyle w:val="IndexLink"/>
                <w:rtl w:val="true"/>
              </w:rPr>
              <w:t>تنبیه</w:t>
            </w:r>
            <w:r>
              <w:rPr>
                <w:rStyle w:val="IndexLink"/>
                <w:rtl w:val="true"/>
              </w:rPr>
              <w:t>:</w:t>
              <w:tab/>
            </w:r>
            <w:r>
              <w:rPr>
                <w:rStyle w:val="IndexLink"/>
              </w:rPr>
              <w:t>310</w:t>
            </w:r>
          </w:hyperlink>
        </w:p>
        <w:p>
          <w:pPr>
            <w:pStyle w:val="Contents6"/>
            <w:tabs>
              <w:tab w:val="clear" w:pos="7609"/>
              <w:tab w:val="right" w:pos="9026" w:leader="dot"/>
            </w:tabs>
            <w:rPr/>
          </w:pPr>
          <w:hyperlink w:anchor="__RefHeading___Toc5148886_2314609296">
            <w:r>
              <w:rPr>
                <w:webHidden/>
                <w:rStyle w:val="IndexLink"/>
                <w:rtl w:val="true"/>
              </w:rPr>
              <w:t>مسألة یسقط الأرش دون الردّ فی موضعین</w:t>
            </w:r>
            <w:r>
              <w:rPr>
                <w:rStyle w:val="IndexLink"/>
                <w:rtl w:val="true"/>
              </w:rPr>
              <w:t>:</w:t>
              <w:tab/>
            </w:r>
            <w:r>
              <w:rPr>
                <w:rStyle w:val="IndexLink"/>
              </w:rPr>
              <w:t>319</w:t>
            </w:r>
          </w:hyperlink>
        </w:p>
        <w:p>
          <w:pPr>
            <w:pStyle w:val="Contents6"/>
            <w:tabs>
              <w:tab w:val="clear" w:pos="7609"/>
              <w:tab w:val="right" w:pos="9026" w:leader="dot"/>
            </w:tabs>
            <w:rPr/>
          </w:pPr>
          <w:hyperlink w:anchor="__RefHeading___Toc5148888_2314609296">
            <w:r>
              <w:rPr>
                <w:webHidden/>
                <w:rStyle w:val="IndexLink"/>
                <w:rtl w:val="true"/>
              </w:rPr>
              <w:t>أحدهما</w:t>
            </w:r>
            <w:r>
              <w:rPr>
                <w:rStyle w:val="IndexLink"/>
                <w:rtl w:val="true"/>
              </w:rPr>
              <w:t xml:space="preserve">: </w:t>
            </w:r>
            <w:r>
              <w:rPr>
                <w:rStyle w:val="IndexLink"/>
                <w:rtl w:val="true"/>
              </w:rPr>
              <w:t>إذا اشتری ربویّاً بجنسه فظهر عیبٌ فی أحدهما،</w:t>
            </w:r>
            <w:r>
              <w:rPr>
                <w:rStyle w:val="IndexLink"/>
                <w:rtl w:val="true"/>
              </w:rPr>
              <w:tab/>
            </w:r>
            <w:r>
              <w:rPr>
                <w:rStyle w:val="IndexLink"/>
              </w:rPr>
              <w:t>319</w:t>
            </w:r>
          </w:hyperlink>
        </w:p>
        <w:p>
          <w:pPr>
            <w:pStyle w:val="Contents6"/>
            <w:tabs>
              <w:tab w:val="clear" w:pos="7609"/>
              <w:tab w:val="right" w:pos="9026" w:leader="dot"/>
            </w:tabs>
            <w:rPr/>
          </w:pPr>
          <w:hyperlink w:anchor="__RefHeading___Toc5148890_2314609296">
            <w:r>
              <w:rPr>
                <w:webHidden/>
                <w:rStyle w:val="IndexLink"/>
                <w:rtl w:val="true"/>
              </w:rPr>
              <w:t>الثانی</w:t>
            </w:r>
            <w:r>
              <w:rPr>
                <w:rStyle w:val="IndexLink"/>
                <w:rtl w:val="true"/>
              </w:rPr>
              <w:t xml:space="preserve">: </w:t>
            </w:r>
            <w:r>
              <w:rPr>
                <w:rStyle w:val="IndexLink"/>
                <w:rtl w:val="true"/>
              </w:rPr>
              <w:t>ما لو لم یوجب العیب نقصاً فی القیمة،</w:t>
            </w:r>
            <w:r>
              <w:rPr>
                <w:rStyle w:val="IndexLink"/>
                <w:rtl w:val="true"/>
              </w:rPr>
              <w:tab/>
            </w:r>
            <w:r>
              <w:rPr>
                <w:rStyle w:val="IndexLink"/>
              </w:rPr>
              <w:t>320</w:t>
            </w:r>
          </w:hyperlink>
        </w:p>
        <w:p>
          <w:pPr>
            <w:pStyle w:val="Contents6"/>
            <w:tabs>
              <w:tab w:val="clear" w:pos="7609"/>
              <w:tab w:val="right" w:pos="9026" w:leader="dot"/>
            </w:tabs>
            <w:rPr/>
          </w:pPr>
          <w:hyperlink w:anchor="__RefHeading___Toc5148892_2314609296">
            <w:r>
              <w:rPr>
                <w:webHidden/>
                <w:rStyle w:val="IndexLink"/>
                <w:rtl w:val="true"/>
              </w:rPr>
              <w:t>مسألة یسقط الردّ و الأرش معاً بأُمور</w:t>
            </w:r>
            <w:r>
              <w:rPr>
                <w:rStyle w:val="IndexLink"/>
                <w:rtl w:val="true"/>
              </w:rPr>
              <w:t>:</w:t>
              <w:tab/>
            </w:r>
            <w:r>
              <w:rPr>
                <w:rStyle w:val="IndexLink"/>
              </w:rPr>
              <w:t>322</w:t>
            </w:r>
          </w:hyperlink>
        </w:p>
        <w:p>
          <w:pPr>
            <w:pStyle w:val="Contents6"/>
            <w:tabs>
              <w:tab w:val="clear" w:pos="7609"/>
              <w:tab w:val="right" w:pos="9026" w:leader="dot"/>
            </w:tabs>
            <w:rPr/>
          </w:pPr>
          <w:hyperlink w:anchor="__RefHeading___Toc5148894_2314609296">
            <w:r>
              <w:rPr>
                <w:webHidden/>
                <w:rStyle w:val="IndexLink"/>
                <w:rtl w:val="true"/>
              </w:rPr>
              <w:t>أحدها</w:t>
            </w:r>
            <w:r>
              <w:rPr>
                <w:rStyle w:val="IndexLink"/>
                <w:rtl w:val="true"/>
              </w:rPr>
              <w:t xml:space="preserve">: </w:t>
            </w:r>
            <w:r>
              <w:rPr>
                <w:rStyle w:val="IndexLink"/>
                <w:rtl w:val="true"/>
              </w:rPr>
              <w:t>العلم بالعیب قبل العقد بلا خلافٍ و لا إشکال؛</w:t>
            </w:r>
            <w:r>
              <w:rPr>
                <w:rStyle w:val="IndexLink"/>
                <w:rtl w:val="true"/>
              </w:rPr>
              <w:tab/>
            </w:r>
            <w:r>
              <w:rPr>
                <w:rStyle w:val="IndexLink"/>
              </w:rPr>
              <w:t>322</w:t>
            </w:r>
          </w:hyperlink>
        </w:p>
        <w:p>
          <w:pPr>
            <w:pStyle w:val="Contents6"/>
            <w:tabs>
              <w:tab w:val="clear" w:pos="7609"/>
              <w:tab w:val="right" w:pos="9026" w:leader="dot"/>
            </w:tabs>
            <w:rPr/>
          </w:pPr>
          <w:hyperlink w:anchor="__RefHeading___Toc5148896_2314609296">
            <w:r>
              <w:rPr>
                <w:webHidden/>
                <w:rStyle w:val="IndexLink"/>
                <w:rtl w:val="true"/>
              </w:rPr>
              <w:t>الثانی</w:t>
            </w:r>
            <w:r>
              <w:rPr>
                <w:rStyle w:val="IndexLink"/>
                <w:rtl w:val="true"/>
              </w:rPr>
              <w:t xml:space="preserve">: </w:t>
            </w:r>
            <w:r>
              <w:rPr>
                <w:rStyle w:val="IndexLink"/>
                <w:rtl w:val="true"/>
              </w:rPr>
              <w:t>تبرّی البائع عن العیوب إجماعاً فی الجملة</w:t>
            </w:r>
            <w:r>
              <w:rPr>
                <w:rStyle w:val="IndexLink"/>
                <w:rtl w:val="true"/>
              </w:rPr>
              <w:tab/>
            </w:r>
            <w:r>
              <w:rPr>
                <w:rStyle w:val="IndexLink"/>
              </w:rPr>
              <w:t>322</w:t>
            </w:r>
          </w:hyperlink>
        </w:p>
        <w:p>
          <w:pPr>
            <w:pStyle w:val="Contents6"/>
            <w:tabs>
              <w:tab w:val="clear" w:pos="7609"/>
              <w:tab w:val="right" w:pos="9026" w:leader="dot"/>
            </w:tabs>
            <w:rPr/>
          </w:pPr>
          <w:hyperlink w:anchor="__RefHeading___Toc5148898_2314609296">
            <w:r>
              <w:rPr>
                <w:webHidden/>
                <w:rStyle w:val="IndexLink"/>
                <w:rtl w:val="true"/>
              </w:rPr>
              <w:t>و منها</w:t>
            </w:r>
            <w:r>
              <w:rPr>
                <w:rStyle w:val="IndexLink"/>
                <w:rtl w:val="true"/>
              </w:rPr>
              <w:t xml:space="preserve">: </w:t>
            </w:r>
            <w:r>
              <w:rPr>
                <w:rStyle w:val="IndexLink"/>
                <w:rtl w:val="true"/>
              </w:rPr>
              <w:t>التصرّف بعد العلم بالعیب،</w:t>
            </w:r>
            <w:r>
              <w:rPr>
                <w:rStyle w:val="IndexLink"/>
                <w:rtl w:val="true"/>
              </w:rPr>
              <w:tab/>
            </w:r>
            <w:r>
              <w:rPr>
                <w:rStyle w:val="IndexLink"/>
              </w:rPr>
              <w:t>328</w:t>
            </w:r>
          </w:hyperlink>
        </w:p>
        <w:p>
          <w:pPr>
            <w:pStyle w:val="Contents6"/>
            <w:tabs>
              <w:tab w:val="clear" w:pos="7609"/>
              <w:tab w:val="right" w:pos="9026" w:leader="dot"/>
            </w:tabs>
            <w:rPr/>
          </w:pPr>
          <w:hyperlink w:anchor="__RefHeading___Toc5148900_2314609296">
            <w:r>
              <w:rPr>
                <w:webHidden/>
                <w:rStyle w:val="IndexLink"/>
                <w:rtl w:val="true"/>
              </w:rPr>
              <w:t>و منها</w:t>
            </w:r>
            <w:r>
              <w:rPr>
                <w:rStyle w:val="IndexLink"/>
                <w:rtl w:val="true"/>
              </w:rPr>
              <w:t xml:space="preserve">: </w:t>
            </w:r>
            <w:r>
              <w:rPr>
                <w:rStyle w:val="IndexLink"/>
                <w:rtl w:val="true"/>
              </w:rPr>
              <w:t>حدوث العیب فی المعیب المذکور،</w:t>
            </w:r>
            <w:r>
              <w:rPr>
                <w:rStyle w:val="IndexLink"/>
                <w:rtl w:val="true"/>
              </w:rPr>
              <w:tab/>
            </w:r>
            <w:r>
              <w:rPr>
                <w:rStyle w:val="IndexLink"/>
              </w:rPr>
              <w:t>329</w:t>
            </w:r>
          </w:hyperlink>
        </w:p>
        <w:p>
          <w:pPr>
            <w:pStyle w:val="Contents6"/>
            <w:tabs>
              <w:tab w:val="clear" w:pos="7609"/>
              <w:tab w:val="right" w:pos="9026" w:leader="dot"/>
            </w:tabs>
            <w:rPr/>
          </w:pPr>
          <w:hyperlink w:anchor="__RefHeading___Toc5148902_2314609296">
            <w:r>
              <w:rPr>
                <w:webHidden/>
                <w:rStyle w:val="IndexLink"/>
                <w:rtl w:val="true"/>
              </w:rPr>
              <w:t>و منها</w:t>
            </w:r>
            <w:r>
              <w:rPr>
                <w:rStyle w:val="IndexLink"/>
                <w:rtl w:val="true"/>
              </w:rPr>
              <w:t xml:space="preserve">: </w:t>
            </w:r>
            <w:r>
              <w:rPr>
                <w:rStyle w:val="IndexLink"/>
                <w:rtl w:val="true"/>
              </w:rPr>
              <w:t>ثبوت أحد مانعی الردّ</w:t>
            </w:r>
            <w:r>
              <w:rPr>
                <w:rStyle w:val="IndexLink"/>
                <w:rtl w:val="true"/>
              </w:rPr>
              <w:tab/>
            </w:r>
            <w:r>
              <w:rPr>
                <w:rStyle w:val="IndexLink"/>
              </w:rPr>
              <w:t>330</w:t>
            </w:r>
          </w:hyperlink>
        </w:p>
        <w:p>
          <w:pPr>
            <w:pStyle w:val="Contents6"/>
            <w:tabs>
              <w:tab w:val="clear" w:pos="7609"/>
              <w:tab w:val="right" w:pos="9026" w:leader="dot"/>
            </w:tabs>
            <w:rPr/>
          </w:pPr>
          <w:hyperlink w:anchor="__RefHeading___Toc5148904_2314609296">
            <w:r>
              <w:rPr>
                <w:webHidden/>
                <w:rStyle w:val="IndexLink"/>
                <w:rtl w:val="true"/>
              </w:rPr>
              <w:t>و منها</w:t>
            </w:r>
            <w:r>
              <w:rPr>
                <w:rStyle w:val="IndexLink"/>
                <w:rtl w:val="true"/>
              </w:rPr>
              <w:t xml:space="preserve">: </w:t>
            </w:r>
            <w:r>
              <w:rPr>
                <w:rStyle w:val="IndexLink"/>
                <w:rtl w:val="true"/>
              </w:rPr>
              <w:t>تأخیر الأخذ بمقتضی الخیار،</w:t>
            </w:r>
            <w:r>
              <w:rPr>
                <w:rStyle w:val="IndexLink"/>
                <w:rtl w:val="true"/>
              </w:rPr>
              <w:tab/>
            </w:r>
            <w:r>
              <w:rPr>
                <w:rStyle w:val="IndexLink"/>
              </w:rPr>
              <w:t>334</w:t>
            </w:r>
          </w:hyperlink>
        </w:p>
        <w:p>
          <w:pPr>
            <w:pStyle w:val="Contents6"/>
            <w:tabs>
              <w:tab w:val="clear" w:pos="7609"/>
              <w:tab w:val="right" w:pos="9026" w:leader="dot"/>
            </w:tabs>
            <w:rPr/>
          </w:pPr>
          <w:hyperlink w:anchor="__RefHeading___Toc5148906_2314609296">
            <w:r>
              <w:rPr>
                <w:webHidden/>
                <w:rStyle w:val="IndexLink"/>
                <w:rtl w:val="true"/>
              </w:rPr>
              <w:t>مسألة قال فی المبسوط</w:t>
            </w:r>
            <w:r>
              <w:rPr>
                <w:rStyle w:val="IndexLink"/>
                <w:rtl w:val="true"/>
              </w:rPr>
              <w:t>:</w:t>
            </w:r>
            <w:r>
              <w:rPr>
                <w:rStyle w:val="IndexLink"/>
                <w:rtl w:val="true"/>
              </w:rPr>
              <w:t>من باع شیئاً فیه عیبٌ لم یبیّنه فعل محظوراً</w:t>
            </w:r>
            <w:r>
              <w:rPr>
                <w:rStyle w:val="IndexLink"/>
                <w:rtl w:val="true"/>
              </w:rPr>
              <w:tab/>
            </w:r>
            <w:r>
              <w:rPr>
                <w:rStyle w:val="IndexLink"/>
              </w:rPr>
              <w:t>337</w:t>
            </w:r>
          </w:hyperlink>
        </w:p>
        <w:p>
          <w:pPr>
            <w:pStyle w:val="Contents5"/>
            <w:tabs>
              <w:tab w:val="clear" w:pos="7892"/>
              <w:tab w:val="right" w:pos="9026" w:leader="dot"/>
            </w:tabs>
            <w:rPr/>
          </w:pPr>
          <w:hyperlink w:anchor="__RefHeading___Toc5148908_2314609296">
            <w:r>
              <w:rPr>
                <w:webHidden/>
                <w:rStyle w:val="IndexLink"/>
                <w:rtl w:val="true"/>
              </w:rPr>
              <w:t>مسائل فی اختلاف المتبایعین</w:t>
            </w:r>
            <w:r>
              <w:rPr>
                <w:rStyle w:val="IndexLink"/>
                <w:rtl w:val="true"/>
              </w:rPr>
              <w:tab/>
            </w:r>
            <w:r>
              <w:rPr>
                <w:rStyle w:val="IndexLink"/>
              </w:rPr>
              <w:t>341</w:t>
            </w:r>
          </w:hyperlink>
        </w:p>
        <w:p>
          <w:pPr>
            <w:pStyle w:val="Contents6"/>
            <w:tabs>
              <w:tab w:val="clear" w:pos="7609"/>
              <w:tab w:val="right" w:pos="9026" w:leader="dot"/>
            </w:tabs>
            <w:rPr/>
          </w:pPr>
          <w:hyperlink w:anchor="__RefHeading___Toc5148910_2314609296">
            <w:r>
              <w:rPr>
                <w:webHidden/>
                <w:rStyle w:val="IndexLink"/>
                <w:rtl w:val="true"/>
              </w:rPr>
              <w:t>اشاره</w:t>
            </w:r>
            <w:r>
              <w:rPr>
                <w:rStyle w:val="IndexLink"/>
                <w:rtl w:val="true"/>
              </w:rPr>
              <w:tab/>
            </w:r>
            <w:r>
              <w:rPr>
                <w:rStyle w:val="IndexLink"/>
              </w:rPr>
              <w:t>341</w:t>
            </w:r>
          </w:hyperlink>
        </w:p>
        <w:p>
          <w:pPr>
            <w:pStyle w:val="Contents6"/>
            <w:tabs>
              <w:tab w:val="clear" w:pos="7609"/>
              <w:tab w:val="right" w:pos="9026" w:leader="dot"/>
            </w:tabs>
            <w:rPr/>
          </w:pPr>
          <w:hyperlink w:anchor="__RefHeading___Toc5148912_2314609296">
            <w:r>
              <w:rPr>
                <w:webHidden/>
                <w:rStyle w:val="IndexLink"/>
                <w:rtl w:val="true"/>
              </w:rPr>
              <w:t xml:space="preserve">أمّا الأوّل، </w:t>
            </w:r>
            <w:r>
              <w:rPr>
                <w:rStyle w:val="IndexLink"/>
                <w:rtl w:val="true"/>
              </w:rPr>
              <w:t>[</w:t>
            </w:r>
            <w:r>
              <w:rPr>
                <w:rStyle w:val="IndexLink"/>
                <w:rtl w:val="true"/>
              </w:rPr>
              <w:t>و هو الاختلاف فی موجب الخیار</w:t>
            </w:r>
            <w:r>
              <w:rPr>
                <w:rStyle w:val="IndexLink"/>
                <w:rtl w:val="true"/>
              </w:rPr>
              <w:t xml:space="preserve">] </w:t>
            </w:r>
            <w:r>
              <w:rPr>
                <w:rStyle w:val="IndexLink"/>
                <w:rtl w:val="true"/>
              </w:rPr>
              <w:t>ففیه مسائل</w:t>
            </w:r>
            <w:r>
              <w:rPr>
                <w:rStyle w:val="IndexLink"/>
                <w:rtl w:val="true"/>
              </w:rPr>
              <w:t>:</w:t>
              <w:tab/>
            </w:r>
            <w:r>
              <w:rPr>
                <w:rStyle w:val="IndexLink"/>
              </w:rPr>
              <w:t>341</w:t>
            </w:r>
          </w:hyperlink>
        </w:p>
        <w:p>
          <w:pPr>
            <w:pStyle w:val="Contents6"/>
            <w:tabs>
              <w:tab w:val="clear" w:pos="7609"/>
              <w:tab w:val="right" w:pos="9026" w:leader="dot"/>
            </w:tabs>
            <w:rPr/>
          </w:pPr>
          <w:hyperlink w:anchor="__RefHeading___Toc5148914_2314609296">
            <w:r>
              <w:rPr>
                <w:webHidden/>
                <w:rStyle w:val="IndexLink"/>
                <w:rtl w:val="true"/>
              </w:rPr>
              <w:t>الاُولی لو اختلفا فی تعیّب المبیع و عدمه مع تعذّر ملاحظته لتلفٍ أو نحوه،</w:t>
            </w:r>
            <w:r>
              <w:rPr>
                <w:rStyle w:val="IndexLink"/>
                <w:rtl w:val="true"/>
              </w:rPr>
              <w:tab/>
            </w:r>
            <w:r>
              <w:rPr>
                <w:rStyle w:val="IndexLink"/>
              </w:rPr>
              <w:t>341</w:t>
            </w:r>
          </w:hyperlink>
        </w:p>
        <w:p>
          <w:pPr>
            <w:pStyle w:val="Contents6"/>
            <w:tabs>
              <w:tab w:val="clear" w:pos="7609"/>
              <w:tab w:val="right" w:pos="9026" w:leader="dot"/>
            </w:tabs>
            <w:rPr/>
          </w:pPr>
          <w:hyperlink w:anchor="__RefHeading___Toc5148916_2314609296">
            <w:r>
              <w:rPr>
                <w:webHidden/>
                <w:rStyle w:val="IndexLink"/>
                <w:rtl w:val="true"/>
              </w:rPr>
              <w:t>الثانیة لو اختلفا فی کون الشیء عیباً و تعذّر تبیُّن الحال لفقد أهل الخبرة</w:t>
            </w:r>
            <w:r>
              <w:rPr>
                <w:rStyle w:val="IndexLink"/>
                <w:rtl w:val="true"/>
              </w:rPr>
              <w:tab/>
            </w:r>
            <w:r>
              <w:rPr>
                <w:rStyle w:val="IndexLink"/>
              </w:rPr>
              <w:t>341</w:t>
            </w:r>
          </w:hyperlink>
        </w:p>
        <w:p>
          <w:pPr>
            <w:pStyle w:val="Contents6"/>
            <w:tabs>
              <w:tab w:val="clear" w:pos="7609"/>
              <w:tab w:val="right" w:pos="9026" w:leader="dot"/>
            </w:tabs>
            <w:rPr/>
          </w:pPr>
          <w:hyperlink w:anchor="__RefHeading___Toc5148918_2314609296">
            <w:r>
              <w:rPr>
                <w:webHidden/>
                <w:rStyle w:val="IndexLink"/>
                <w:rtl w:val="true"/>
              </w:rPr>
              <w:t>الثالثة لو اختلفا فی حدوث العیب فی ضمان البائع أو تأخّره عن ذلک</w:t>
            </w:r>
            <w:r>
              <w:rPr>
                <w:rStyle w:val="IndexLink"/>
                <w:rtl w:val="true"/>
              </w:rPr>
              <w:tab/>
            </w:r>
            <w:r>
              <w:rPr>
                <w:rStyle w:val="IndexLink"/>
              </w:rPr>
              <w:t>341</w:t>
            </w:r>
          </w:hyperlink>
        </w:p>
        <w:p>
          <w:pPr>
            <w:pStyle w:val="Contents6"/>
            <w:tabs>
              <w:tab w:val="clear" w:pos="7609"/>
              <w:tab w:val="right" w:pos="9026" w:leader="dot"/>
            </w:tabs>
            <w:rPr/>
          </w:pPr>
          <w:hyperlink w:anchor="__RefHeading___Toc5148920_2314609296">
            <w:r>
              <w:rPr>
                <w:webHidden/>
                <w:rStyle w:val="IndexLink"/>
                <w:rtl w:val="true"/>
              </w:rPr>
              <w:t>فرعٌ</w:t>
            </w:r>
            <w:r>
              <w:rPr>
                <w:rStyle w:val="IndexLink"/>
                <w:rtl w:val="true"/>
              </w:rPr>
              <w:t>:</w:t>
              <w:tab/>
            </w:r>
            <w:r>
              <w:rPr>
                <w:rStyle w:val="IndexLink"/>
              </w:rPr>
              <w:t>344</w:t>
            </w:r>
          </w:hyperlink>
        </w:p>
        <w:p>
          <w:pPr>
            <w:pStyle w:val="Contents6"/>
            <w:tabs>
              <w:tab w:val="clear" w:pos="7609"/>
              <w:tab w:val="right" w:pos="9026" w:leader="dot"/>
            </w:tabs>
            <w:rPr/>
          </w:pPr>
          <w:hyperlink w:anchor="__RefHeading___Toc5148922_2314609296">
            <w:r>
              <w:rPr>
                <w:webHidden/>
                <w:rStyle w:val="IndexLink"/>
                <w:rtl w:val="true"/>
              </w:rPr>
              <w:t>الرابعة لو رَدّ سلعةً بالعیب فأنکر البائع أنّها سلعته،</w:t>
            </w:r>
            <w:r>
              <w:rPr>
                <w:rStyle w:val="IndexLink"/>
                <w:rtl w:val="true"/>
              </w:rPr>
              <w:tab/>
            </w:r>
            <w:r>
              <w:rPr>
                <w:rStyle w:val="IndexLink"/>
              </w:rPr>
              <w:t>346</w:t>
            </w:r>
          </w:hyperlink>
        </w:p>
        <w:p>
          <w:pPr>
            <w:pStyle w:val="Contents6"/>
            <w:tabs>
              <w:tab w:val="clear" w:pos="7609"/>
              <w:tab w:val="right" w:pos="9026" w:leader="dot"/>
            </w:tabs>
            <w:rPr/>
          </w:pPr>
          <w:hyperlink w:anchor="__RefHeading___Toc5148924_2314609296">
            <w:r>
              <w:rPr>
                <w:webHidden/>
                <w:rStyle w:val="IndexLink"/>
                <w:rtl w:val="true"/>
              </w:rPr>
              <w:t>و أمّا الثانی</w:t>
            </w:r>
            <w:r>
              <w:rPr>
                <w:rStyle w:val="IndexLink"/>
                <w:rtl w:val="true"/>
              </w:rPr>
              <w:tab/>
            </w:r>
            <w:r>
              <w:rPr>
                <w:rStyle w:val="IndexLink"/>
              </w:rPr>
              <w:t>349</w:t>
            </w:r>
          </w:hyperlink>
        </w:p>
        <w:p>
          <w:pPr>
            <w:pStyle w:val="Contents6"/>
            <w:tabs>
              <w:tab w:val="clear" w:pos="7609"/>
              <w:tab w:val="right" w:pos="9026" w:leader="dot"/>
            </w:tabs>
            <w:rPr/>
          </w:pPr>
          <w:hyperlink w:anchor="__RefHeading___Toc5148926_2314609296">
            <w:r>
              <w:rPr>
                <w:webHidden/>
                <w:rStyle w:val="IndexLink"/>
                <w:rtl w:val="true"/>
              </w:rPr>
              <w:t>الاُولی لو اختلفا فی علم المشتری بالعیب و عدمه</w:t>
            </w:r>
            <w:r>
              <w:rPr>
                <w:rStyle w:val="IndexLink"/>
                <w:rtl w:val="true"/>
              </w:rPr>
              <w:tab/>
            </w:r>
            <w:r>
              <w:rPr>
                <w:rStyle w:val="IndexLink"/>
              </w:rPr>
              <w:t>349</w:t>
            </w:r>
          </w:hyperlink>
        </w:p>
        <w:p>
          <w:pPr>
            <w:pStyle w:val="Contents6"/>
            <w:tabs>
              <w:tab w:val="clear" w:pos="7609"/>
              <w:tab w:val="right" w:pos="9026" w:leader="dot"/>
            </w:tabs>
            <w:rPr/>
          </w:pPr>
          <w:hyperlink w:anchor="__RefHeading___Toc5148928_2314609296">
            <w:r>
              <w:rPr>
                <w:webHidden/>
                <w:rStyle w:val="IndexLink"/>
                <w:rtl w:val="true"/>
              </w:rPr>
              <w:t>الثانیة لو اختلفا فی زواله قبل علم المشتری أو بعده</w:t>
            </w:r>
            <w:r>
              <w:rPr>
                <w:rStyle w:val="IndexLink"/>
                <w:rtl w:val="true"/>
              </w:rPr>
              <w:tab/>
            </w:r>
            <w:r>
              <w:rPr>
                <w:rStyle w:val="IndexLink"/>
              </w:rPr>
              <w:t>349</w:t>
            </w:r>
          </w:hyperlink>
        </w:p>
        <w:p>
          <w:pPr>
            <w:pStyle w:val="Contents6"/>
            <w:tabs>
              <w:tab w:val="clear" w:pos="7609"/>
              <w:tab w:val="right" w:pos="9026" w:leader="dot"/>
            </w:tabs>
            <w:rPr/>
          </w:pPr>
          <w:hyperlink w:anchor="__RefHeading___Toc5148930_2314609296">
            <w:r>
              <w:rPr>
                <w:webHidden/>
                <w:rStyle w:val="IndexLink"/>
                <w:rtl w:val="true"/>
              </w:rPr>
              <w:t>الثالثة لو کان عیبٌ مشاهداً</w:t>
            </w:r>
            <w:r>
              <w:rPr>
                <w:rStyle w:val="IndexLink"/>
                <w:rtl w:val="true"/>
              </w:rPr>
              <w:tab/>
            </w:r>
            <w:r>
              <w:rPr>
                <w:rStyle w:val="IndexLink"/>
              </w:rPr>
              <w:t>350</w:t>
            </w:r>
          </w:hyperlink>
        </w:p>
        <w:p>
          <w:pPr>
            <w:pStyle w:val="Contents6"/>
            <w:tabs>
              <w:tab w:val="clear" w:pos="7609"/>
              <w:tab w:val="right" w:pos="9026" w:leader="dot"/>
            </w:tabs>
            <w:rPr/>
          </w:pPr>
          <w:hyperlink w:anchor="__RefHeading___Toc5148932_2314609296">
            <w:r>
              <w:rPr>
                <w:webHidden/>
                <w:rStyle w:val="IndexLink"/>
                <w:rtl w:val="true"/>
              </w:rPr>
              <w:t>الرابعة لو اختلفا فی البراءة قدّم منکرها،</w:t>
            </w:r>
            <w:r>
              <w:rPr>
                <w:rStyle w:val="IndexLink"/>
                <w:rtl w:val="true"/>
              </w:rPr>
              <w:tab/>
            </w:r>
            <w:r>
              <w:rPr>
                <w:rStyle w:val="IndexLink"/>
              </w:rPr>
              <w:t>351</w:t>
            </w:r>
          </w:hyperlink>
        </w:p>
        <w:p>
          <w:pPr>
            <w:pStyle w:val="Contents6"/>
            <w:tabs>
              <w:tab w:val="clear" w:pos="7609"/>
              <w:tab w:val="right" w:pos="9026" w:leader="dot"/>
            </w:tabs>
            <w:rPr/>
          </w:pPr>
          <w:hyperlink w:anchor="__RefHeading___Toc5148934_2314609296">
            <w:r>
              <w:rPr>
                <w:webHidden/>
                <w:rStyle w:val="IndexLink"/>
                <w:rtl w:val="true"/>
              </w:rPr>
              <w:t>الخامسة لو ادّعی البائع رضا المشتری به بعد العلم أو إسقاط الخیار أو تصرّفه فیه أو حدوث عیبٍ عنده،</w:t>
            </w:r>
            <w:r>
              <w:rPr>
                <w:rStyle w:val="IndexLink"/>
                <w:rtl w:val="true"/>
              </w:rPr>
              <w:tab/>
            </w:r>
            <w:r>
              <w:rPr>
                <w:rStyle w:val="IndexLink"/>
              </w:rPr>
              <w:t>354</w:t>
            </w:r>
          </w:hyperlink>
        </w:p>
        <w:p>
          <w:pPr>
            <w:pStyle w:val="Contents6"/>
            <w:tabs>
              <w:tab w:val="clear" w:pos="7609"/>
              <w:tab w:val="right" w:pos="9026" w:leader="dot"/>
            </w:tabs>
            <w:rPr/>
          </w:pPr>
          <w:hyperlink w:anchor="__RefHeading___Toc5148936_2314609296">
            <w:r>
              <w:rPr>
                <w:webHidden/>
                <w:rStyle w:val="IndexLink"/>
                <w:rtl w:val="true"/>
              </w:rPr>
              <w:t>و أمّا الثالث</w:t>
            </w:r>
            <w:r>
              <w:rPr>
                <w:rStyle w:val="IndexLink"/>
                <w:rtl w:val="true"/>
              </w:rPr>
              <w:tab/>
            </w:r>
            <w:r>
              <w:rPr>
                <w:rStyle w:val="IndexLink"/>
              </w:rPr>
              <w:t>354</w:t>
            </w:r>
          </w:hyperlink>
        </w:p>
        <w:p>
          <w:pPr>
            <w:pStyle w:val="Contents6"/>
            <w:tabs>
              <w:tab w:val="clear" w:pos="7609"/>
              <w:tab w:val="right" w:pos="9026" w:leader="dot"/>
            </w:tabs>
            <w:rPr/>
          </w:pPr>
          <w:hyperlink w:anchor="__RefHeading___Toc5148938_2314609296">
            <w:r>
              <w:rPr>
                <w:webHidden/>
                <w:rStyle w:val="IndexLink"/>
                <w:rtl w:val="true"/>
              </w:rPr>
              <w:t>الاُولی لو اختلفا فی الفسخ،فإن کان الخیار باقیاً فله إنشاؤه</w:t>
            </w:r>
            <w:r>
              <w:rPr>
                <w:rStyle w:val="IndexLink"/>
                <w:rtl w:val="true"/>
              </w:rPr>
              <w:t>.</w:t>
              <w:tab/>
            </w:r>
            <w:r>
              <w:rPr>
                <w:rStyle w:val="IndexLink"/>
              </w:rPr>
              <w:t>354</w:t>
            </w:r>
          </w:hyperlink>
        </w:p>
        <w:p>
          <w:pPr>
            <w:pStyle w:val="Contents6"/>
            <w:tabs>
              <w:tab w:val="clear" w:pos="7609"/>
              <w:tab w:val="right" w:pos="9026" w:leader="dot"/>
            </w:tabs>
            <w:rPr/>
          </w:pPr>
          <w:hyperlink w:anchor="__RefHeading___Toc5148940_2314609296">
            <w:r>
              <w:rPr>
                <w:webHidden/>
                <w:rStyle w:val="IndexLink"/>
                <w:rtl w:val="true"/>
              </w:rPr>
              <w:t>الثانیة لو اختلفا فی تأخّر الفسخ عن أوّل الوقت</w:t>
            </w:r>
            <w:r>
              <w:rPr>
                <w:rStyle w:val="IndexLink"/>
                <w:rtl w:val="true"/>
              </w:rPr>
              <w:tab/>
            </w:r>
            <w:r>
              <w:rPr>
                <w:rStyle w:val="IndexLink"/>
              </w:rPr>
              <w:t>356</w:t>
            </w:r>
          </w:hyperlink>
        </w:p>
        <w:p>
          <w:pPr>
            <w:pStyle w:val="Contents6"/>
            <w:tabs>
              <w:tab w:val="clear" w:pos="7609"/>
              <w:tab w:val="right" w:pos="9026" w:leader="dot"/>
            </w:tabs>
            <w:rPr/>
          </w:pPr>
          <w:hyperlink w:anchor="__RefHeading___Toc5148942_2314609296">
            <w:r>
              <w:rPr>
                <w:webHidden/>
                <w:rStyle w:val="IndexLink"/>
                <w:rtl w:val="true"/>
              </w:rPr>
              <w:t>الثالثة لو ادّعی المشتری الجهل بالخیار أو بفوریّته بناءً علی فوریّته</w:t>
            </w:r>
            <w:r>
              <w:rPr>
                <w:rStyle w:val="IndexLink"/>
                <w:rtl w:val="true"/>
              </w:rPr>
              <w:tab/>
            </w:r>
            <w:r>
              <w:rPr>
                <w:rStyle w:val="IndexLink"/>
              </w:rPr>
              <w:t>356</w:t>
            </w:r>
          </w:hyperlink>
        </w:p>
        <w:p>
          <w:pPr>
            <w:pStyle w:val="Contents5"/>
            <w:tabs>
              <w:tab w:val="clear" w:pos="7892"/>
              <w:tab w:val="right" w:pos="9026" w:leader="dot"/>
            </w:tabs>
            <w:rPr/>
          </w:pPr>
          <w:hyperlink w:anchor="__RefHeading___Toc5148944_2314609296">
            <w:r>
              <w:rPr>
                <w:webHidden/>
                <w:rStyle w:val="IndexLink"/>
                <w:rtl w:val="true"/>
              </w:rPr>
              <w:t>القول فی ماهیّة العیب</w:t>
            </w:r>
            <w:r>
              <w:rPr>
                <w:rStyle w:val="IndexLink"/>
                <w:rtl w:val="true"/>
              </w:rPr>
              <w:tab/>
            </w:r>
            <w:r>
              <w:rPr>
                <w:rStyle w:val="IndexLink"/>
              </w:rPr>
              <w:t>357</w:t>
            </w:r>
          </w:hyperlink>
        </w:p>
        <w:p>
          <w:pPr>
            <w:pStyle w:val="Contents5"/>
            <w:tabs>
              <w:tab w:val="clear" w:pos="7892"/>
              <w:tab w:val="right" w:pos="9026" w:leader="dot"/>
            </w:tabs>
            <w:rPr/>
          </w:pPr>
          <w:hyperlink w:anchor="__RefHeading___Toc5148946_2314609296">
            <w:r>
              <w:rPr>
                <w:webHidden/>
                <w:rStyle w:val="IndexLink"/>
                <w:rtl w:val="true"/>
              </w:rPr>
              <w:t>الکلام فی بعض أفراد العیب</w:t>
            </w:r>
            <w:r>
              <w:rPr>
                <w:rStyle w:val="IndexLink"/>
                <w:rtl w:val="true"/>
              </w:rPr>
              <w:tab/>
            </w:r>
            <w:r>
              <w:rPr>
                <w:rStyle w:val="IndexLink"/>
              </w:rPr>
              <w:t>367</w:t>
            </w:r>
          </w:hyperlink>
        </w:p>
        <w:p>
          <w:pPr>
            <w:pStyle w:val="Contents6"/>
            <w:tabs>
              <w:tab w:val="clear" w:pos="7609"/>
              <w:tab w:val="right" w:pos="9026" w:leader="dot"/>
            </w:tabs>
            <w:rPr/>
          </w:pPr>
          <w:hyperlink w:anchor="__RefHeading___Toc5148948_2314609296">
            <w:r>
              <w:rPr>
                <w:webHidden/>
                <w:rStyle w:val="IndexLink"/>
                <w:rtl w:val="true"/>
              </w:rPr>
              <w:t>مسألة لا إشکال و لا خلاف فی کون المرض عیباً،</w:t>
            </w:r>
            <w:r>
              <w:rPr>
                <w:rStyle w:val="IndexLink"/>
                <w:rtl w:val="true"/>
              </w:rPr>
              <w:tab/>
            </w:r>
            <w:r>
              <w:rPr>
                <w:rStyle w:val="IndexLink"/>
              </w:rPr>
              <w:t>367</w:t>
            </w:r>
          </w:hyperlink>
        </w:p>
        <w:p>
          <w:pPr>
            <w:pStyle w:val="Contents6"/>
            <w:tabs>
              <w:tab w:val="clear" w:pos="7609"/>
              <w:tab w:val="right" w:pos="9026" w:leader="dot"/>
            </w:tabs>
            <w:rPr/>
          </w:pPr>
          <w:hyperlink w:anchor="__RefHeading___Toc5148950_2314609296">
            <w:r>
              <w:rPr>
                <w:webHidden/>
                <w:rStyle w:val="IndexLink"/>
                <w:rtl w:val="true"/>
              </w:rPr>
              <w:t>مسألة الحَبَل عیبٌ فی الإماء</w:t>
            </w:r>
            <w:r>
              <w:rPr>
                <w:rStyle w:val="IndexLink"/>
                <w:rtl w:val="true"/>
              </w:rPr>
              <w:tab/>
            </w:r>
            <w:r>
              <w:rPr>
                <w:rStyle w:val="IndexLink"/>
              </w:rPr>
              <w:t>368</w:t>
            </w:r>
          </w:hyperlink>
        </w:p>
        <w:p>
          <w:pPr>
            <w:pStyle w:val="Contents6"/>
            <w:tabs>
              <w:tab w:val="clear" w:pos="7609"/>
              <w:tab w:val="right" w:pos="9026" w:leader="dot"/>
            </w:tabs>
            <w:rPr/>
          </w:pPr>
          <w:hyperlink w:anchor="__RefHeading___Toc5148952_2314609296">
            <w:r>
              <w:rPr>
                <w:webHidden/>
                <w:rStyle w:val="IndexLink"/>
                <w:rtl w:val="true"/>
              </w:rPr>
              <w:t>مسألة الأکثر علی أنّ الثیبوبة لیست عیباً فی الإماء،</w:t>
            </w:r>
            <w:r>
              <w:rPr>
                <w:rStyle w:val="IndexLink"/>
                <w:rtl w:val="true"/>
              </w:rPr>
              <w:tab/>
            </w:r>
            <w:r>
              <w:rPr>
                <w:rStyle w:val="IndexLink"/>
              </w:rPr>
              <w:t>374</w:t>
            </w:r>
          </w:hyperlink>
        </w:p>
        <w:p>
          <w:pPr>
            <w:pStyle w:val="Contents6"/>
            <w:tabs>
              <w:tab w:val="clear" w:pos="7609"/>
              <w:tab w:val="right" w:pos="9026" w:leader="dot"/>
            </w:tabs>
            <w:rPr/>
          </w:pPr>
          <w:hyperlink w:anchor="__RefHeading___Toc5148954_2314609296">
            <w:r>
              <w:rPr>
                <w:webHidden/>
                <w:rStyle w:val="IndexLink"/>
                <w:rtl w:val="true"/>
              </w:rPr>
              <w:t>مسألة ذکر فی التذکرة و القواعد من جملة العیوب عدم الختان فی العبد الکبیر؛</w:t>
            </w:r>
            <w:r>
              <w:rPr>
                <w:rStyle w:val="IndexLink"/>
                <w:rtl w:val="true"/>
              </w:rPr>
              <w:tab/>
            </w:r>
            <w:r>
              <w:rPr>
                <w:rStyle w:val="IndexLink"/>
              </w:rPr>
              <w:t>377</w:t>
            </w:r>
          </w:hyperlink>
        </w:p>
        <w:p>
          <w:pPr>
            <w:pStyle w:val="Contents6"/>
            <w:tabs>
              <w:tab w:val="clear" w:pos="7609"/>
              <w:tab w:val="right" w:pos="9026" w:leader="dot"/>
            </w:tabs>
            <w:rPr/>
          </w:pPr>
          <w:hyperlink w:anchor="__RefHeading___Toc5148956_2314609296">
            <w:r>
              <w:rPr>
                <w:webHidden/>
                <w:rStyle w:val="IndexLink"/>
                <w:rtl w:val="true"/>
              </w:rPr>
              <w:t>مسألة عدم الحیض ممّن شأنها الحیض بحسب السنّ و المکان و غیرهما من الخصوصیّات التی لها مدخلٌ</w:t>
            </w:r>
            <w:r>
              <w:rPr>
                <w:rStyle w:val="IndexLink"/>
                <w:rtl w:val="true"/>
              </w:rPr>
              <w:tab/>
            </w:r>
            <w:r>
              <w:rPr>
                <w:rStyle w:val="IndexLink"/>
              </w:rPr>
              <w:t>379</w:t>
            </w:r>
          </w:hyperlink>
        </w:p>
        <w:p>
          <w:pPr>
            <w:pStyle w:val="Contents6"/>
            <w:tabs>
              <w:tab w:val="clear" w:pos="7609"/>
              <w:tab w:val="right" w:pos="9026" w:leader="dot"/>
            </w:tabs>
            <w:rPr/>
          </w:pPr>
          <w:hyperlink w:anchor="__RefHeading___Toc5148958_2314609296">
            <w:r>
              <w:rPr>
                <w:webHidden/>
                <w:rStyle w:val="IndexLink"/>
                <w:rtl w:val="true"/>
              </w:rPr>
              <w:t>مسألة الإباق عیبٌ بلا إشکالٍ و لا خلافٍ؛</w:t>
            </w:r>
            <w:r>
              <w:rPr>
                <w:rStyle w:val="IndexLink"/>
                <w:rtl w:val="true"/>
              </w:rPr>
              <w:tab/>
            </w:r>
            <w:r>
              <w:rPr>
                <w:rStyle w:val="IndexLink"/>
              </w:rPr>
              <w:t>380</w:t>
            </w:r>
          </w:hyperlink>
        </w:p>
        <w:p>
          <w:pPr>
            <w:pStyle w:val="Contents6"/>
            <w:tabs>
              <w:tab w:val="clear" w:pos="7609"/>
              <w:tab w:val="right" w:pos="9026" w:leader="dot"/>
            </w:tabs>
            <w:rPr/>
          </w:pPr>
          <w:hyperlink w:anchor="__RefHeading___Toc5148960_2314609296">
            <w:r>
              <w:rPr>
                <w:webHidden/>
                <w:rStyle w:val="IndexLink"/>
                <w:rtl w:val="true"/>
              </w:rPr>
              <w:t>مسألة الثفل الخارج عن العادة فی الزیت و البذر و نحوهما عیبٌ</w:t>
            </w:r>
            <w:r>
              <w:rPr>
                <w:rStyle w:val="IndexLink"/>
                <w:rtl w:val="true"/>
              </w:rPr>
              <w:tab/>
            </w:r>
            <w:r>
              <w:rPr>
                <w:rStyle w:val="IndexLink"/>
              </w:rPr>
              <w:t>382</w:t>
            </w:r>
          </w:hyperlink>
        </w:p>
        <w:p>
          <w:pPr>
            <w:pStyle w:val="Contents6"/>
            <w:tabs>
              <w:tab w:val="clear" w:pos="7609"/>
              <w:tab w:val="right" w:pos="9026" w:leader="dot"/>
            </w:tabs>
            <w:rPr/>
          </w:pPr>
          <w:hyperlink w:anchor="__RefHeading___Toc5148962_2314609296">
            <w:r>
              <w:rPr>
                <w:webHidden/>
                <w:rStyle w:val="IndexLink"/>
                <w:rtl w:val="true"/>
              </w:rPr>
              <w:t>مسألة قد عرفت</w:t>
            </w:r>
            <w:r>
              <w:rPr>
                <w:rStyle w:val="IndexLink"/>
                <w:rtl w:val="true"/>
              </w:rPr>
              <w:tab/>
            </w:r>
            <w:r>
              <w:rPr>
                <w:rStyle w:val="IndexLink"/>
              </w:rPr>
              <w:t>385</w:t>
            </w:r>
          </w:hyperlink>
        </w:p>
        <w:p>
          <w:pPr>
            <w:pStyle w:val="Contents5"/>
            <w:tabs>
              <w:tab w:val="clear" w:pos="7892"/>
              <w:tab w:val="right" w:pos="9026" w:leader="dot"/>
            </w:tabs>
            <w:rPr/>
          </w:pPr>
          <w:hyperlink w:anchor="__RefHeading___Toc5148964_2314609296">
            <w:r>
              <w:rPr>
                <w:webHidden/>
                <w:rStyle w:val="IndexLink"/>
                <w:rtl w:val="true"/>
              </w:rPr>
              <w:t>خاتمة فی عیوبٍ متفرّقة</w:t>
            </w:r>
            <w:r>
              <w:rPr>
                <w:rStyle w:val="IndexLink"/>
                <w:rtl w:val="true"/>
              </w:rPr>
              <w:tab/>
            </w:r>
            <w:r>
              <w:rPr>
                <w:rStyle w:val="IndexLink"/>
              </w:rPr>
              <w:t>391</w:t>
            </w:r>
          </w:hyperlink>
        </w:p>
        <w:p>
          <w:pPr>
            <w:pStyle w:val="Contents5"/>
            <w:tabs>
              <w:tab w:val="clear" w:pos="7892"/>
              <w:tab w:val="right" w:pos="9026" w:leader="dot"/>
            </w:tabs>
            <w:rPr/>
          </w:pPr>
          <w:hyperlink w:anchor="__RefHeading___Toc5148966_2314609296">
            <w:r>
              <w:rPr>
                <w:webHidden/>
                <w:rStyle w:val="IndexLink"/>
                <w:rtl w:val="true"/>
              </w:rPr>
              <w:t>القول فی الأرش</w:t>
            </w:r>
            <w:r>
              <w:rPr>
                <w:rStyle w:val="IndexLink"/>
                <w:rtl w:val="true"/>
              </w:rPr>
              <w:tab/>
            </w:r>
            <w:r>
              <w:rPr>
                <w:rStyle w:val="IndexLink"/>
              </w:rPr>
              <w:t>393</w:t>
            </w:r>
          </w:hyperlink>
        </w:p>
        <w:p>
          <w:pPr>
            <w:pStyle w:val="Contents6"/>
            <w:tabs>
              <w:tab w:val="clear" w:pos="7609"/>
              <w:tab w:val="right" w:pos="9026" w:leader="dot"/>
            </w:tabs>
            <w:rPr/>
          </w:pPr>
          <w:hyperlink w:anchor="__RefHeading___Toc5148968_2314609296">
            <w:r>
              <w:rPr>
                <w:webHidden/>
                <w:rStyle w:val="IndexLink"/>
                <w:rtl w:val="true"/>
              </w:rPr>
              <w:t>اشاره</w:t>
            </w:r>
            <w:r>
              <w:rPr>
                <w:rStyle w:val="IndexLink"/>
                <w:rtl w:val="true"/>
              </w:rPr>
              <w:tab/>
            </w:r>
            <w:r>
              <w:rPr>
                <w:rStyle w:val="IndexLink"/>
              </w:rPr>
              <w:t>393</w:t>
            </w:r>
          </w:hyperlink>
        </w:p>
        <w:p>
          <w:pPr>
            <w:pStyle w:val="Contents6"/>
            <w:tabs>
              <w:tab w:val="clear" w:pos="7609"/>
              <w:tab w:val="right" w:pos="9026" w:leader="dot"/>
            </w:tabs>
            <w:rPr/>
          </w:pPr>
          <w:hyperlink w:anchor="__RefHeading___Toc5148970_2314609296">
            <w:r>
              <w:rPr>
                <w:webHidden/>
                <w:rStyle w:val="IndexLink"/>
                <w:rtl w:val="true"/>
              </w:rPr>
              <w:t>مسألة یُعرف الأرش بمعرفة قیمتی الصحیح و المعیب لیعرف التفاوت بینهما، فیؤخذ من البائع بنسبة ذلک التفاوت</w:t>
            </w:r>
            <w:r>
              <w:rPr>
                <w:rStyle w:val="IndexLink"/>
                <w:rtl w:val="true"/>
              </w:rPr>
              <w:t>.</w:t>
              <w:tab/>
            </w:r>
            <w:r>
              <w:rPr>
                <w:rStyle w:val="IndexLink"/>
              </w:rPr>
              <w:t>405</w:t>
            </w:r>
          </w:hyperlink>
        </w:p>
        <w:p>
          <w:pPr>
            <w:pStyle w:val="Contents6"/>
            <w:tabs>
              <w:tab w:val="clear" w:pos="7609"/>
              <w:tab w:val="right" w:pos="9026" w:leader="dot"/>
            </w:tabs>
            <w:rPr/>
          </w:pPr>
          <w:hyperlink w:anchor="__RefHeading___Toc5148972_2314609296">
            <w:r>
              <w:rPr>
                <w:webHidden/>
                <w:rStyle w:val="IndexLink"/>
                <w:rtl w:val="true"/>
              </w:rPr>
              <w:t>مسألة لو تعارض المقوّمون،</w:t>
            </w:r>
            <w:r>
              <w:rPr>
                <w:rStyle w:val="IndexLink"/>
                <w:rtl w:val="true"/>
              </w:rPr>
              <w:tab/>
            </w:r>
            <w:r>
              <w:rPr>
                <w:rStyle w:val="IndexLink"/>
              </w:rPr>
              <w:t>407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864_220627"/>
      <w:bookmarkStart w:id="1" w:name="pg19864_220627"/>
      <w:bookmarkEnd w:id="1"/>
    </w:p>
    <w:p>
      <w:pPr>
        <w:pStyle w:val="Heading2"/>
        <w:numPr>
          <w:ilvl w:val="1"/>
          <w:numId w:val="1"/>
        </w:numPr>
        <w:rPr/>
      </w:pPr>
      <w:bookmarkStart w:id="2" w:name="pg19864_220627"/>
      <w:bookmarkStart w:id="3" w:name="__RefHeading___Toc5148512_231460929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محمدامین، </w:t>
      </w:r>
      <w:r>
        <w:rPr>
          <w:rFonts w:ascii="IRNazanin" w:hAnsi="IRNazanin" w:eastAsia="IRNazanin"/>
          <w:color w:val="111111"/>
          <w:sz w:val="28"/>
          <w:sz w:val="28"/>
          <w:szCs w:val="28"/>
          <w:lang w:bidi="fa-IR"/>
        </w:rPr>
        <w:t>۱۲۱۴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المولف مرتضی الانصاری؛ اعداد لجنه تحقیق تراث الشیخ الاعظم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الفکر الاسلامی، </w:t>
      </w:r>
      <w:r>
        <w:rPr>
          <w:rFonts w:ascii="IRNazanin" w:hAnsi="IRNazanin" w:eastAsia="IRNazanin"/>
          <w:color w:val="111111"/>
          <w:sz w:val="28"/>
          <w:sz w:val="28"/>
          <w:szCs w:val="28"/>
          <w:lang w:bidi="fa-IR"/>
        </w:rPr>
        <w:t>۱۴</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مجمع‌الفکرالاسلامی ؛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5662</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5662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5662</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5662</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5662</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5662</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5662</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براساس جلد چهارم،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به مناسبت دویستمین سالگرد تولد شیخ انصاری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الفکر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تحقیق تراث الشیخ الاعظم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الفکر الاسلامی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جهانی بزرگداشت دویستمین سالگرد تولد شیخ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 دزفول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ی‌الف</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۱۹۳۷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148514_231460929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bookmarkStart w:id="7" w:name="pg19864_220633"/>
    </w:p>
    <w:p>
      <w:pPr>
        <w:pStyle w:val="Heading2"/>
        <w:numPr>
          <w:ilvl w:val="1"/>
          <w:numId w:val="1"/>
        </w:numPr>
        <w:rPr/>
      </w:pPr>
      <w:bookmarkStart w:id="8" w:name="__RefHeading___Toc5148516_2314609296"/>
      <w:bookmarkStart w:id="9" w:name="_Toc3"/>
      <w:bookmarkEnd w:id="7"/>
      <w:bookmarkEnd w:id="8"/>
      <w:r>
        <w:rPr>
          <w:rtl w:val="true"/>
        </w:rPr>
        <w:t>[</w:t>
      </w:r>
      <w:r>
        <w:rPr>
          <w:rtl w:val="true"/>
        </w:rPr>
        <w:t>مقدمة التحقیق</w:t>
      </w:r>
      <w:r>
        <w:rPr>
          <w:rtl w:val="true"/>
        </w:rPr>
        <w:t>]</w:t>
      </w:r>
      <w:bookmarkEnd w:id="9"/>
    </w:p>
    <w:p>
      <w:pPr>
        <w:pStyle w:val="BookText"/>
        <w:rPr/>
      </w:pPr>
      <w:r>
        <w:rPr>
          <w:rFonts w:ascii="Amiri" w:hAnsi="Amiri" w:eastAsia="Amiri" w:cs="Amiri"/>
          <w:color w:val="111111"/>
          <w:sz w:val="28"/>
          <w:sz w:val="28"/>
          <w:szCs w:val="28"/>
          <w:rtl w:val="true"/>
          <w:lang w:bidi="ar-SA"/>
        </w:rPr>
        <w:t>بِسْمِ اللّٰهِ الرَّحْمٰنِ الرَّحِیمِ الحمد للّٰه ربّ العالمین،و الصلاة و السلام علی نبیّه المصطفی و أهل بیته الطاهرین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تمّ بعون اللّٰه و فضله تحقیق القسم الثالث من کتاب المکاسب للشیخ الأعظم الأنصاری قدّس سرّه الذی تضمّن مباحث الخیارات و النقد و النسیئة و القبض،بعد أن أکملنا القسمین الأوّلین منه،و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المکاسب المحرّمة و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أشرنا فی مقدّمة الجزء الأوّل إلی حصولنا علی مصوّرة النسخة الأصلیّة لقسم الخیارات من مکتبة الإمام الرضا علیه السلام بمشهد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ذکرنا خصوصیّاتها و أنّا رمزنا لها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علی ما تقدّم کان عملنا فی هذا القسم وفقاً للآتی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اکتفینا فی تحقیق هذا القسم و هو قسم الخیارات و مباحث النقد و النسیئة و القبض بالنسخة الأصلیّة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سائر النسخ فلم نُشر إلیها إلّا عند الضرورة</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رجّحنا نسخة الأصل علی غیرها عند الاختلاف إلّا إذا</w:t>
      </w:r>
    </w:p>
    <w:p>
      <w:pPr>
        <w:pStyle w:val="BookText"/>
        <w:rPr/>
      </w:pPr>
      <w:r>
        <w:rPr>
          <w:rFonts w:ascii="IRNazanin" w:hAnsi="IRNazanin" w:eastAsia="IRNazanin"/>
          <w:color w:val="111111"/>
          <w:sz w:val="28"/>
          <w:sz w:val="28"/>
          <w:szCs w:val="28"/>
          <w:rtl w:val="true"/>
          <w:lang w:bidi="fa-IR"/>
        </w:rPr>
        <w:t>ثبت خطؤها فرجّحنا غیرها مع الإشارة إلی ذلک فی الهامش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أثبتنا الزیادات الضروریّة من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غیرها فی المتن بین معقوفتین،و جعلنا غیرها فی الهامش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نذکر الزیادات أو الاختلافات التی ثبت کونها مغلوطة أو کانت خالیة من الفائدة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افتقدت نسخة الأصل بعض الصفحات فأبدلناها بنسخة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کانت أقرب النسخ إلی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جاء هذا القسم من کتاب المکاسب بحمد اللّٰه أقرب إلی الأصل،بل مطابقاً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أخیراً نودّ أن نوجّه شکرنا لجمیع الإخوة الذین بذلوا جهودهم فی إصدار الکتاب ضمن مجموعة تراث الشیخ الأعظم قدّس سرّه جامعاً بین الدقّة فی التحقیق و الجودة فی الإخراج،سواء الذین ذکرناهم فی مقدّمة الجزء الأوّل و من اشترکوا معهم بعد ذلک،سیّما حجّة الإسلام و المسلمین الشیخ محمّد حسین الأحمدی الشاهرودی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مسؤول لجنة التحقیق محمّد علی الأنصاری</w:t>
      </w:r>
      <w:bookmarkStart w:id="10" w:name="pg19864_220635"/>
    </w:p>
    <w:p>
      <w:pPr>
        <w:pStyle w:val="Heading2"/>
        <w:numPr>
          <w:ilvl w:val="1"/>
          <w:numId w:val="1"/>
        </w:numPr>
        <w:rPr/>
      </w:pPr>
      <w:bookmarkStart w:id="11" w:name="__RefHeading___Toc5148518_2314609296"/>
      <w:bookmarkStart w:id="12" w:name="_Toc4"/>
      <w:bookmarkEnd w:id="10"/>
      <w:bookmarkEnd w:id="11"/>
      <w:r>
        <w:rPr>
          <w:rtl w:val="true"/>
        </w:rPr>
        <w:t>القول فی الخیار و أقسامه و أحکامه</w:t>
      </w:r>
      <w:bookmarkEnd w:id="12"/>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5148520_2314609296"/>
      <w:bookmarkStart w:id="14" w:name="_Toc5"/>
      <w:bookmarkEnd w:id="13"/>
      <w:r>
        <w:rPr>
          <w:rtl w:val="true"/>
        </w:rPr>
        <w:t>اشاره</w:t>
      </w:r>
      <w:bookmarkEnd w:id="14"/>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الحمد للّٰه ربّ العالمین و الصلاة و السلام علی محمّد و آله الطاهرین و لعنة اللّٰه علی أعدائهم أجمعین</w:t>
      </w:r>
      <w:r>
        <w:rPr>
          <w:rFonts w:eastAsia="IRNazanin" w:cs="IRNazanin"/>
          <w:color w:val="111111"/>
          <w:sz w:val="28"/>
          <w:szCs w:val="28"/>
          <w:rtl w:val="true"/>
          <w:lang w:bidi="fa-IR"/>
        </w:rPr>
        <w:t>.</w:t>
      </w:r>
      <w:bookmarkStart w:id="15" w:name="pg19864_220637"/>
    </w:p>
    <w:p>
      <w:pPr>
        <w:pStyle w:val="BookText"/>
        <w:rPr/>
      </w:pPr>
      <w:bookmarkEnd w:id="15"/>
      <w:r>
        <w:rPr>
          <w:rFonts w:ascii="IRNazanin" w:hAnsi="IRNazanin" w:eastAsia="IRNazanin"/>
          <w:color w:val="111111"/>
          <w:sz w:val="28"/>
          <w:sz w:val="28"/>
          <w:szCs w:val="28"/>
          <w:rtl w:val="true"/>
          <w:lang w:bidi="fa-IR"/>
        </w:rPr>
        <w:t>القول فی الخیار و أقسامه و أحکامه</w:t>
      </w:r>
    </w:p>
    <w:p>
      <w:pPr>
        <w:pStyle w:val="Heading3"/>
        <w:numPr>
          <w:ilvl w:val="2"/>
          <w:numId w:val="1"/>
        </w:numPr>
        <w:rPr/>
      </w:pPr>
      <w:bookmarkStart w:id="16" w:name="__RefHeading___Toc5148522_2314609296"/>
      <w:bookmarkStart w:id="17" w:name="_Toc6"/>
      <w:bookmarkEnd w:id="16"/>
      <w:r>
        <w:rPr>
          <w:rtl w:val="true"/>
        </w:rPr>
        <w:t>مقدّمتان</w:t>
      </w:r>
      <w:r>
        <w:rPr>
          <w:rtl w:val="true"/>
        </w:rPr>
        <w:t>:</w:t>
      </w:r>
      <w:bookmarkEnd w:id="17"/>
    </w:p>
    <w:p>
      <w:pPr>
        <w:pStyle w:val="Heading4"/>
        <w:numPr>
          <w:ilvl w:val="3"/>
          <w:numId w:val="1"/>
        </w:numPr>
        <w:rPr/>
      </w:pPr>
      <w:bookmarkStart w:id="18" w:name="__RefHeading___Toc5148524_2314609296"/>
      <w:bookmarkStart w:id="19" w:name="_Toc7"/>
      <w:bookmarkEnd w:id="18"/>
      <w:r>
        <w:rPr>
          <w:rtl w:val="true"/>
        </w:rPr>
        <w:t xml:space="preserve">الاُولی </w:t>
      </w:r>
      <w:r>
        <w:rPr>
          <w:rtl w:val="true"/>
        </w:rPr>
        <w:t>[</w:t>
      </w:r>
      <w:r>
        <w:rPr>
          <w:rtl w:val="true"/>
        </w:rPr>
        <w:t>فی معنی الخیار</w:t>
      </w:r>
      <w:r>
        <w:rPr>
          <w:rtl w:val="true"/>
        </w:rPr>
        <w:t>]</w:t>
      </w:r>
      <w:bookmarkEnd w:id="19"/>
    </w:p>
    <w:p>
      <w:pPr>
        <w:pStyle w:val="BookText"/>
        <w:rPr/>
      </w:pPr>
      <w:r>
        <w:rPr>
          <w:rFonts w:ascii="Amiri" w:hAnsi="Amiri" w:eastAsia="Amiri" w:cs="Amiri"/>
          <w:color w:val="111111"/>
          <w:sz w:val="28"/>
          <w:sz w:val="28"/>
          <w:szCs w:val="28"/>
          <w:rtl w:val="true"/>
          <w:lang w:bidi="ar-SA"/>
        </w:rPr>
        <w:t>الخیار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مصدرٍ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الاختیار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 فی کلمات جماعةٍ من المتأخّرین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مِلْکِ فسخ العقد</w:t>
      </w:r>
      <w:r>
        <w:rPr>
          <w:rFonts w:eastAsia="Amiri" w:cs="Amiri" w:ascii="Amiri" w:hAnsi="Amiri"/>
          <w:color w:val="111111"/>
          <w:sz w:val="28"/>
          <w:szCs w:val="28"/>
          <w:rtl w:val="true"/>
          <w:lang w:bidi="ar-SA"/>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علی ما فسّره به فی موضعٍ من الإیضاح </w:t>
      </w:r>
      <w:r>
        <w:rPr>
          <w:rStyle w:val="FootnoteAnchor"/>
          <w:rtl w:val="true"/>
        </w:rPr>
        <w:footnoteReference w:id="3"/>
      </w:r>
      <w:r>
        <w:rPr>
          <w:rFonts w:ascii="IRNazanin" w:hAnsi="IRNazanin" w:eastAsia="IRNazanin"/>
          <w:color w:val="111111"/>
          <w:sz w:val="28"/>
          <w:sz w:val="28"/>
          <w:szCs w:val="28"/>
          <w:rtl w:val="true"/>
          <w:lang w:bidi="fa-IR"/>
        </w:rPr>
        <w:t>،فیدخل ملک الفسخ فی العقود الجائزة و فی عقد الفضولی، و ملک الوارث ردَّ العقد علی ما زاد علی الثلث،و ملک العمّة و الخالة لفسخ العقد علی بنت الأخ و الأُخت،و ملک الأمة المزوّجة من عبدٍ فسخ العقد إذا أُعتقت،و ملک کلٍّ من الزوجین للفسخ بالعیوب</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للتنبیه علی أنّ الخیار من الحقوق لا من</w:t>
      </w:r>
    </w:p>
    <w:p>
      <w:pPr>
        <w:pStyle w:val="BookText"/>
        <w:rPr/>
      </w:pPr>
      <w:r>
        <w:rPr>
          <w:rFonts w:ascii="IRNazanin" w:hAnsi="IRNazanin" w:eastAsia="IRNazanin"/>
          <w:color w:val="111111"/>
          <w:sz w:val="28"/>
          <w:sz w:val="28"/>
          <w:szCs w:val="28"/>
          <w:rtl w:val="true"/>
          <w:lang w:bidi="fa-IR"/>
        </w:rPr>
        <w:t>الأحکام،فیخرج ما کان من قبیل الإجازة و الردّ لعقد الفضولی و التسلّط علی فسخ العقود الجائزة،فإنّ ذلک من الأحکام الشرعیّة لا من الحقوق؛ و لذا لا تورّث و لا تسقط بالإسقاط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یعرّف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مِلْک إقرار العقد و إزالته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الخدشة فیه بأنّه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أُرید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إبقاؤه علی حاله بترک الفسخ،فذکره مستدرَکٌ؛لأنّ القدرة علی الفسخ عین القدرة علی ترکه؛إذ القدرة لا تتعلّق بأحد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أُرید منه إلزام العقد و جعله غیر قابلٍ لأن یفسخ،ففیه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مرجعه إلی إسقاط حقّ الخیار،فلا یؤخذ فی تعریف نفس الخیار،مع أنّ ظاهر الإلزام فی مقابل الفسخ جعله لازماً مطلقاً،فینتقض بالخیار المشترک،فإنّ لکلٍّ منهما إلزامه من طرفه لا مطلقاً</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ما ذکرناه من معنی الخیار هو المتبادر منه </w:t>
      </w:r>
      <w:r>
        <w:rPr>
          <w:rStyle w:val="FootnoteAnchor"/>
          <w:rtl w:val="true"/>
        </w:rPr>
        <w:footnoteReference w:id="5"/>
      </w:r>
      <w:r>
        <w:rPr>
          <w:rFonts w:ascii="IRNazanin" w:hAnsi="IRNazanin" w:eastAsia="IRNazanin"/>
          <w:color w:val="111111"/>
          <w:sz w:val="28"/>
          <w:sz w:val="28"/>
          <w:szCs w:val="28"/>
          <w:rtl w:val="true"/>
          <w:lang w:bidi="fa-IR"/>
        </w:rPr>
        <w:t xml:space="preserve">عند الإطلاق فی کلمات المتأخّرین،و إلّا فإطلاقه فی الأخبار </w:t>
      </w:r>
      <w:r>
        <w:rPr>
          <w:rStyle w:val="FootnoteAnchor"/>
          <w:rtl w:val="true"/>
        </w:rPr>
        <w:footnoteReference w:id="6"/>
      </w:r>
      <w:r>
        <w:rPr>
          <w:rFonts w:ascii="IRNazanin" w:hAnsi="IRNazanin" w:eastAsia="IRNazanin"/>
          <w:color w:val="111111"/>
          <w:sz w:val="28"/>
          <w:sz w:val="28"/>
          <w:szCs w:val="28"/>
          <w:rtl w:val="true"/>
          <w:lang w:bidi="fa-IR"/>
        </w:rPr>
        <w:t>و کلمات الأصحاب علی سلطنة الإجازة و الردّ لعقد الفضولی و سلطنة الرجوع فی الهبة و غیرهما من أفراد السلطنة شائع</w:t>
      </w:r>
      <w:r>
        <w:rPr>
          <w:rFonts w:eastAsia="IRNazanin" w:cs="IRNazanin"/>
          <w:color w:val="111111"/>
          <w:sz w:val="28"/>
          <w:szCs w:val="28"/>
          <w:rtl w:val="true"/>
          <w:lang w:bidi="fa-IR"/>
        </w:rPr>
        <w:t>.</w:t>
      </w:r>
      <w:bookmarkStart w:id="20" w:name="pg19864_220639"/>
    </w:p>
    <w:p>
      <w:pPr>
        <w:pStyle w:val="Heading4"/>
        <w:numPr>
          <w:ilvl w:val="3"/>
          <w:numId w:val="1"/>
        </w:numPr>
        <w:rPr/>
      </w:pPr>
      <w:bookmarkStart w:id="21" w:name="__RefHeading___Toc5148526_2314609296"/>
      <w:bookmarkStart w:id="22" w:name="_Toc8"/>
      <w:bookmarkEnd w:id="20"/>
      <w:bookmarkEnd w:id="21"/>
      <w:r>
        <w:rPr>
          <w:rtl w:val="true"/>
        </w:rPr>
        <w:t xml:space="preserve">الثانیة </w:t>
      </w:r>
      <w:r>
        <w:rPr>
          <w:rtl w:val="true"/>
        </w:rPr>
        <w:t>[</w:t>
      </w:r>
      <w:r>
        <w:rPr>
          <w:rtl w:val="true"/>
        </w:rPr>
        <w:t>الأصل فی البیع اللزوم</w:t>
      </w:r>
      <w:r>
        <w:rPr>
          <w:rtl w:val="true"/>
        </w:rPr>
        <w:t>]</w:t>
      </w:r>
      <w:bookmarkEnd w:id="22"/>
    </w:p>
    <w:p>
      <w:pPr>
        <w:pStyle w:val="Heading5"/>
        <w:numPr>
          <w:ilvl w:val="4"/>
          <w:numId w:val="1"/>
        </w:numPr>
        <w:rPr/>
      </w:pPr>
      <w:bookmarkStart w:id="23" w:name="__RefHeading___Toc5148528_2314609296"/>
      <w:bookmarkStart w:id="24" w:name="_Toc9"/>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 xml:space="preserve">ذکر غیر واحدٍ </w:t>
      </w:r>
      <w:r>
        <w:rPr>
          <w:rStyle w:val="FootnoteAnchor"/>
          <w:rtl w:val="true"/>
        </w:rPr>
        <w:footnoteReference w:id="7"/>
      </w:r>
      <w:r>
        <w:rPr>
          <w:rFonts w:ascii="Amiri" w:hAnsi="Amiri" w:eastAsia="Amiri" w:cs="Amiri"/>
          <w:color w:val="111111"/>
          <w:sz w:val="28"/>
          <w:sz w:val="28"/>
          <w:szCs w:val="28"/>
          <w:rtl w:val="true"/>
          <w:lang w:bidi="ar-SA"/>
        </w:rPr>
        <w:t xml:space="preserve">تبعاً للعلّامة فی کتبه </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الأصل فی البیع اللزوم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الأصل فی البیع اللزوم؛لأنّ الشارع وضعه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مفیداً </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لنقل الملک،و الأصل الاستصحاب،و الغرض تمکّن کلٍّ من المتعاقدین من التصرّف فیما صار إلیه،و إنّما یتمّ باللزوم لیأمن من نقض صاحبه علیه </w:t>
      </w:r>
      <w:r>
        <w:rPr>
          <w:rStyle w:val="FootnoteAnchor"/>
          <w:rtl w:val="true"/>
        </w:rPr>
        <w:footnoteReference w:id="1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5"/>
        <w:numPr>
          <w:ilvl w:val="4"/>
          <w:numId w:val="1"/>
        </w:numPr>
        <w:rPr/>
      </w:pPr>
      <w:bookmarkStart w:id="25" w:name="__RefHeading___Toc5148530_2314609296"/>
      <w:bookmarkStart w:id="26" w:name="_Toc10"/>
      <w:bookmarkEnd w:id="25"/>
      <w:r>
        <w:rPr>
          <w:rtl w:val="true"/>
        </w:rPr>
        <w:t>[</w:t>
      </w:r>
      <w:r>
        <w:rPr>
          <w:rtl w:val="true"/>
        </w:rPr>
        <w:t>معانی الأصل</w:t>
      </w:r>
      <w:r>
        <w:rPr>
          <w:rtl w:val="true"/>
        </w:rPr>
        <w:t>]</w:t>
      </w:r>
      <w:bookmarkEnd w:id="26"/>
    </w:p>
    <w:p>
      <w:pPr>
        <w:pStyle w:val="Heading6"/>
        <w:numPr>
          <w:ilvl w:val="5"/>
          <w:numId w:val="1"/>
        </w:numPr>
        <w:rPr/>
      </w:pPr>
      <w:bookmarkStart w:id="27" w:name="__RefHeading___Toc5148532_2314609296"/>
      <w:bookmarkStart w:id="28" w:name="_Toc11"/>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المستفاد من کلمات جماعةٍ أنّ الأصل هنا قابلٌ لإرادة معانٍ</w:t>
      </w:r>
    </w:p>
    <w:p>
      <w:pPr>
        <w:pStyle w:val="Heading6"/>
        <w:numPr>
          <w:ilvl w:val="5"/>
          <w:numId w:val="1"/>
        </w:numPr>
        <w:rPr/>
      </w:pPr>
      <w:bookmarkStart w:id="29" w:name="__RefHeading___Toc5148534_2314609296"/>
      <w:bookmarkStart w:id="30" w:name="_Toc12"/>
      <w:bookmarkEnd w:id="29"/>
      <w:r>
        <w:rPr>
          <w:rtl w:val="true"/>
        </w:rPr>
        <w:t>الأوّل</w:t>
      </w:r>
      <w:r>
        <w:rPr>
          <w:rtl w:val="true"/>
        </w:rPr>
        <w:t>:</w:t>
      </w:r>
      <w:r>
        <w:rPr>
          <w:rtl w:val="true"/>
        </w:rPr>
        <w:t>الراجح،</w:t>
      </w:r>
      <w:bookmarkEnd w:id="30"/>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احتمله فی جامع المقاصد مستنداً فی تصحیحه إلی الغلبة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bookmarkStart w:id="31" w:name="pg19864_220640"/>
    </w:p>
    <w:p>
      <w:pPr>
        <w:pStyle w:val="BookText"/>
        <w:rPr/>
      </w:pPr>
      <w:bookmarkEnd w:id="31"/>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 أراد غلبة الأفراد،فغالبها ینعقد جائزاً لأجل خیار المجلس أو الحیوان أو الشرط،و إن أراد غلبة الأزمان،فهی لا تنفع فی الأفراد المشکوکة؛مع أنّه لا یناسب ما فی القواعد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یخرج من الأصل 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ثبوتِ خیارٍ أو ظهورِ عیب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 w:name="__RefHeading___Toc5148536_2314609296"/>
      <w:bookmarkStart w:id="33" w:name="_Toc13"/>
      <w:bookmarkEnd w:id="32"/>
      <w:r>
        <w:rPr>
          <w:rtl w:val="true"/>
        </w:rPr>
        <w:t>الثانی</w:t>
      </w:r>
      <w:r>
        <w:rPr>
          <w:rtl w:val="true"/>
        </w:rPr>
        <w:t>:</w:t>
      </w:r>
      <w:r>
        <w:rPr>
          <w:rtl w:val="true"/>
        </w:rPr>
        <w:t>القاعدة المستفادة من العمومات التی یجب الرجوع إلیها عند الشکّ فی بعض الأفراد أو بعض الأحوال</w:t>
      </w:r>
      <w:bookmarkEnd w:id="33"/>
    </w:p>
    <w:p>
      <w:pPr>
        <w:pStyle w:val="BookText"/>
        <w:rPr/>
      </w:pP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حسنٌ،لکن لا یناسب ما ذکره فی التذکرة فی توجیه الأصل</w:t>
      </w:r>
      <w:r>
        <w:rPr>
          <w:rFonts w:eastAsia="IRNazanin" w:cs="IRNazanin"/>
          <w:color w:val="111111"/>
          <w:sz w:val="28"/>
          <w:szCs w:val="28"/>
          <w:rtl w:val="true"/>
          <w:lang w:bidi="fa-IR"/>
        </w:rPr>
        <w:t>.</w:t>
      </w:r>
    </w:p>
    <w:p>
      <w:pPr>
        <w:pStyle w:val="Heading6"/>
        <w:numPr>
          <w:ilvl w:val="5"/>
          <w:numId w:val="1"/>
        </w:numPr>
        <w:rPr/>
      </w:pPr>
      <w:bookmarkStart w:id="34" w:name="__RefHeading___Toc5148538_2314609296"/>
      <w:bookmarkStart w:id="35" w:name="_Toc14"/>
      <w:bookmarkEnd w:id="34"/>
      <w:r>
        <w:rPr>
          <w:rtl w:val="true"/>
        </w:rPr>
        <w:t>الثالث</w:t>
      </w:r>
      <w:r>
        <w:rPr>
          <w:rtl w:val="true"/>
        </w:rPr>
        <w:t>:</w:t>
      </w:r>
      <w:r>
        <w:rPr>
          <w:rtl w:val="true"/>
        </w:rPr>
        <w:t>الاستصحاب</w:t>
      </w:r>
      <w:bookmarkEnd w:id="35"/>
    </w:p>
    <w:p>
      <w:pPr>
        <w:pStyle w:val="BookText"/>
        <w:rPr/>
      </w:pP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مرجعه إلی أصالة عدم ارتفاع أثر العقد بمجرّد فسخ أحدهما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حسنٌ</w:t>
      </w:r>
      <w:r>
        <w:rPr>
          <w:rFonts w:eastAsia="Amiri" w:cs="Amiri" w:ascii="Amiri" w:hAnsi="Amiri"/>
          <w:color w:val="111111"/>
          <w:sz w:val="28"/>
          <w:szCs w:val="28"/>
          <w:rtl w:val="true"/>
          <w:lang w:bidi="ar-SA"/>
        </w:rPr>
        <w:t>.</w:t>
      </w:r>
    </w:p>
    <w:p>
      <w:pPr>
        <w:pStyle w:val="Heading6"/>
        <w:numPr>
          <w:ilvl w:val="5"/>
          <w:numId w:val="1"/>
        </w:numPr>
        <w:rPr/>
      </w:pPr>
      <w:bookmarkStart w:id="36" w:name="__RefHeading___Toc5148540_2314609296"/>
      <w:bookmarkStart w:id="37" w:name="_Toc15"/>
      <w:bookmarkEnd w:id="36"/>
      <w:r>
        <w:rPr>
          <w:rtl w:val="true"/>
        </w:rPr>
        <w:t>الرابع</w:t>
      </w:r>
      <w:r>
        <w:rPr>
          <w:rtl w:val="true"/>
        </w:rPr>
        <w:t>:</w:t>
      </w:r>
      <w:r>
        <w:rPr>
          <w:rtl w:val="true"/>
        </w:rPr>
        <w:t>المعنی اللغوی،</w:t>
      </w:r>
      <w:bookmarkEnd w:id="37"/>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بمعنی أنّ وضع البیع و بناءَه عرفاً و شرعاً علی اللزوم و صیرورة المالک الأوّل کالأجنبی،و إنّما جعل الخیار فیه حقّا خارجیّاً لأحدهما أو لهما،یسقط بالإسقاط و بغیره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البیع کالهبة التی حَکَم الشارع فیها بجواز رجوع الواهب،بمعنی کونه حکماً شرعیّاً له أصلاً و بالذات بحیث لا یقبل الإسقاط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bookmarkStart w:id="38" w:name="pg19864_220641"/>
    </w:p>
    <w:p>
      <w:pPr>
        <w:pStyle w:val="BookText"/>
        <w:rPr/>
      </w:pPr>
      <w:bookmarkEnd w:id="38"/>
      <w:r>
        <w:rPr>
          <w:rFonts w:ascii="IRNazanin" w:hAnsi="IRNazanin" w:eastAsia="IRNazanin"/>
          <w:color w:val="111111"/>
          <w:sz w:val="28"/>
          <w:sz w:val="28"/>
          <w:szCs w:val="28"/>
          <w:rtl w:val="true"/>
          <w:lang w:bidi="fa-IR"/>
        </w:rPr>
        <w:t>و من هنا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ثبوت خیار المجلس فی أوّل أزمنة انعقاد البیع لا ینافی کونه فی حدّ ذاته مبنیّاً علی اللزوم؛لأنّ الخیار حقٌّ خارجیٌّ قابلٌ للانفکاک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کان فی أوّل انعقاده محکوماً شرعاً بجواز الرجوع بحیث یکون حکماً فیه،لا حقّا مجعولاً قابلاً للسقوط،کان منافیاً لبنائه علی اللزوم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فالأصل هنا کما قیل </w:t>
      </w:r>
      <w:r>
        <w:rPr>
          <w:rStyle w:val="FootnoteAnchor"/>
          <w:rtl w:val="true"/>
        </w:rPr>
        <w:footnoteReference w:id="16"/>
      </w:r>
      <w:r>
        <w:rPr>
          <w:rFonts w:ascii="IRNazanin" w:hAnsi="IRNazanin" w:eastAsia="IRNazanin"/>
          <w:color w:val="111111"/>
          <w:sz w:val="28"/>
          <w:sz w:val="28"/>
          <w:szCs w:val="28"/>
          <w:rtl w:val="true"/>
          <w:lang w:bidi="fa-IR"/>
        </w:rPr>
        <w:t>نظیر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الأصل فی الجسم الاستدارة،فإنّه لا ینافی کون أکثر الأجسام علی غیر الاستدارة لأجل القاسر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ذکرنا ظهر وجه النظر فی کلام صاحب الوافیة،حیث أنکر هذا الأصل لأجل خیار المجلس </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یرید أنّ الأصل بعد ثبوت خیار المجلس بقاء عدم اللزوم،و سیأتی ما فیه</w:t>
      </w:r>
      <w:r>
        <w:rPr>
          <w:rFonts w:eastAsia="IRNazanin" w:cs="IRNazanin"/>
          <w:color w:val="111111"/>
          <w:sz w:val="28"/>
          <w:szCs w:val="28"/>
          <w:rtl w:val="true"/>
          <w:lang w:bidi="fa-IR"/>
        </w:rPr>
        <w:t>.</w:t>
      </w:r>
    </w:p>
    <w:p>
      <w:pPr>
        <w:pStyle w:val="Heading6"/>
        <w:numPr>
          <w:ilvl w:val="5"/>
          <w:numId w:val="1"/>
        </w:numPr>
        <w:rPr/>
      </w:pPr>
      <w:bookmarkStart w:id="39" w:name="__RefHeading___Toc5148542_2314609296"/>
      <w:bookmarkStart w:id="40" w:name="_Toc16"/>
      <w:bookmarkEnd w:id="39"/>
      <w:r>
        <w:rPr>
          <w:rtl w:val="true"/>
        </w:rPr>
        <w:t>بقی الکلام فی معنی قول العلّامة فی القواعد و التذکرة</w:t>
      </w:r>
      <w:r>
        <w:rPr>
          <w:rtl w:val="true"/>
        </w:rPr>
        <w:t>:</w:t>
      </w:r>
      <w:bookmarkEnd w:id="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یخرج من هذا الأصل إلّا بأمرین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خیارٍ،أو ظهور 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ظاهره أنّ ظهور العیب سببٌ لتزلزل البیع فی مقابل الخیار،مع أنّه من أسباب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توجیهه بعطف الخاصّ علی العامّ کما فی جامع المقاصد </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ظاهر؛إذ لم یعطف العیب علی أسباب الخیار،بل عطف علی نفسه،و هو مباینٌ له لا أعمّ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نعم،قد یساعد علیه ما فی التذکرة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یخرج عن</w:t>
      </w:r>
    </w:p>
    <w:p>
      <w:pPr>
        <w:pStyle w:val="BookText"/>
        <w:rPr/>
      </w:pPr>
      <w:r>
        <w:rPr>
          <w:rFonts w:ascii="IRNazanin" w:hAnsi="IRNazanin" w:eastAsia="IRNazanin"/>
          <w:color w:val="111111"/>
          <w:sz w:val="28"/>
          <w:sz w:val="28"/>
          <w:szCs w:val="28"/>
          <w:rtl w:val="true"/>
          <w:lang w:bidi="fa-IR"/>
        </w:rPr>
        <w:t>الأصل بأمرین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الخیار لهما أو لأحدهما من غیر نقصٍ فی أحد العوضین،بل للتروّی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ظهور عیبٍ فی أحد العوضین </w:t>
      </w:r>
      <w:r>
        <w:rPr>
          <w:rStyle w:val="FootnoteAnchor"/>
          <w:rtl w:val="true"/>
        </w:rPr>
        <w:footnoteReference w:id="1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التوجیه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الخروج عن اللزوم لا یکون إلّا بتزلزل العقد لأجل الخیار،و المراد بالخیار فی المعطوف علیه ما کان ثابتاً بأصل الشرع أو بجعل المتعاقدین،لا لاقتضاء نقصٍ فی أحد العوضین،و بظهور العیب ما کان الخیار لنقص أحد العوضین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مع عدم تمامه تکلّفٌ فی عبارة القواعد؛مع أنّه فی التذکرة ذکر فی الأمر الأوّل الذی هو الخیار فصولاً سبعة بعدد أسباب الخیار، و جعل السابع منها خیار العیب،و تکلّم فیه کثیراً </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التوجیه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یتکلّم فی الأمر الأوّل فیما عدا خیار العیب</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توجیه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العیب سببٌ مستقلٌّ لتزلزل العقد فی مقابل الخیار،فإنّ نفس ثبوت الأرش بمقتضی العیب و إن لم یثبت خیار الفسخ،موجبٌ لاسترداد جزءٍ من الثمن،فالعقد بالنسبة إلی جزءٍ من الثمن متزلزلٌ قابلٌ لإبقائه فی ملک البائع و إخراجه عنه،و یکفی فی تزلزل العقد مِلْکُ إخراجِ جزءٍ ممّا مَلِکَه البائع بالعقد عن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مرجع ذلک إلی مِلْک فسخ العقد الواقع علی مجموع العوضین من حیث المجموع،و نقض مقتضاه من تملک کلٍّ من مجموع العوضین فی مقابل الآخر</w:t>
      </w:r>
      <w:r>
        <w:rPr>
          <w:rFonts w:eastAsia="IRNazanin" w:cs="IRNazanin"/>
          <w:color w:val="111111"/>
          <w:sz w:val="28"/>
          <w:szCs w:val="28"/>
          <w:rtl w:val="true"/>
          <w:lang w:bidi="fa-IR"/>
        </w:rPr>
        <w:t>.</w:t>
      </w:r>
      <w:bookmarkStart w:id="41" w:name="pg19864_220643"/>
    </w:p>
    <w:p>
      <w:pPr>
        <w:pStyle w:val="BookText"/>
        <w:rPr/>
      </w:pPr>
      <w:bookmarkEnd w:id="41"/>
      <w:r>
        <w:rPr>
          <w:rFonts w:ascii="Amiri" w:hAnsi="Amiri" w:eastAsia="Amiri" w:cs="Amiri"/>
          <w:color w:val="111111"/>
          <w:sz w:val="28"/>
          <w:sz w:val="28"/>
          <w:szCs w:val="28"/>
          <w:rtl w:val="true"/>
          <w:lang w:bidi="ar-SA"/>
        </w:rPr>
        <w:t>لکنّه مبنیٌّ علی کون الأرش جزءاً حقیقیّا من الثمن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عن بعض العامّة </w:t>
      </w:r>
      <w:r>
        <w:rPr>
          <w:rStyle w:val="FootnoteAnchor"/>
          <w:rtl w:val="true"/>
        </w:rPr>
        <w:footnoteReference w:id="21"/>
      </w:r>
      <w:r>
        <w:rPr>
          <w:rFonts w:ascii="IRNazanin" w:hAnsi="IRNazanin" w:eastAsia="IRNazanin"/>
          <w:color w:val="111111"/>
          <w:sz w:val="28"/>
          <w:sz w:val="28"/>
          <w:szCs w:val="28"/>
          <w:rtl w:val="true"/>
          <w:lang w:bidi="fa-IR"/>
        </w:rPr>
        <w:t>لیتحقّق انفساخ العقد بالنسبة إلیه عند استرداده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صرّح العلّامة فی کتبه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لا یعتبر فی الأرش کونه جزءاً من الثمن،بل له إبداله؛لأنّ الأرش غرامة </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فثبوت الأرش لا یوجب تزلزلاً فی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بالمعنی الرابع إنّما ینفع مع الشکّ فی ثبوت خیارٍ فی خصوص البیع؛لأنّ الخیار حقٌّ خارجیٌّ یحتاج ثبوته إلی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شکّ فی عقدٍ آخر من حیث اللزوم و الجواز فلا یقتضی ذلک الأصل لزومه؛لأنّ مرجع الشکّ حینئذٍ إلی الشکّ فی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الأصل بالمعنی الأوّل فقد عرفت عدم تمامه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بمعنی الاستصحاب فیجری فی البیع و غیره إذا شکّ فی لزومه و جوازه</w:t>
      </w:r>
      <w:r>
        <w:rPr>
          <w:rFonts w:eastAsia="IRNazanin" w:cs="IRNazanin"/>
          <w:color w:val="111111"/>
          <w:sz w:val="28"/>
          <w:szCs w:val="28"/>
          <w:rtl w:val="true"/>
          <w:lang w:bidi="fa-IR"/>
        </w:rPr>
        <w:t>.</w:t>
      </w:r>
    </w:p>
    <w:p>
      <w:pPr>
        <w:pStyle w:val="Heading5"/>
        <w:numPr>
          <w:ilvl w:val="4"/>
          <w:numId w:val="1"/>
        </w:numPr>
        <w:rPr/>
      </w:pPr>
      <w:bookmarkStart w:id="42" w:name="__RefHeading___Toc5148544_2314609296"/>
      <w:bookmarkStart w:id="43" w:name="_Toc17"/>
      <w:bookmarkEnd w:id="42"/>
      <w:r>
        <w:rPr>
          <w:rtl w:val="true"/>
        </w:rPr>
        <w:t>[</w:t>
      </w:r>
      <w:r>
        <w:rPr>
          <w:rtl w:val="true"/>
        </w:rPr>
        <w:t>الأدلة علی أصالة اللزوم</w:t>
      </w:r>
      <w:r>
        <w:rPr>
          <w:rtl w:val="true"/>
        </w:rPr>
        <w:t>]</w:t>
      </w:r>
      <w:bookmarkEnd w:id="43"/>
    </w:p>
    <w:p>
      <w:pPr>
        <w:pStyle w:val="Heading6"/>
        <w:numPr>
          <w:ilvl w:val="5"/>
          <w:numId w:val="1"/>
        </w:numPr>
        <w:rPr/>
      </w:pPr>
      <w:bookmarkStart w:id="44" w:name="__RefHeading___Toc5148546_2314609296"/>
      <w:bookmarkStart w:id="45" w:name="_Toc18"/>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و أمّا بمعنی القاعدة فیجری فی البیع و غیره؛لأنّ أکثر العمومات الدالّة علی هذا المطلب یعمّ غیر البیع،و قد أشرنا فی مسألة المعاطاة إلیها،و نذکرها هنا تسهیلاً علی الطالب</w:t>
      </w:r>
      <w:r>
        <w:rPr>
          <w:rFonts w:eastAsia="IRNazanin" w:cs="IRNazanin"/>
          <w:color w:val="111111"/>
          <w:sz w:val="28"/>
          <w:szCs w:val="28"/>
          <w:rtl w:val="true"/>
          <w:lang w:bidi="fa-IR"/>
        </w:rPr>
        <w:t>:</w:t>
      </w:r>
    </w:p>
    <w:p>
      <w:pPr>
        <w:pStyle w:val="Heading6"/>
        <w:numPr>
          <w:ilvl w:val="5"/>
          <w:numId w:val="1"/>
        </w:numPr>
        <w:rPr/>
      </w:pPr>
      <w:bookmarkStart w:id="46" w:name="__RefHeading___Toc5148548_2314609296"/>
      <w:bookmarkStart w:id="47" w:name="_Toc19"/>
      <w:bookmarkEnd w:id="46"/>
      <w:r>
        <w:rPr>
          <w:rtl w:val="true"/>
        </w:rPr>
        <w:t>[</w:t>
      </w:r>
      <w:r>
        <w:rPr>
          <w:rtl w:val="true"/>
        </w:rPr>
        <w:t>الاستدلال بآیة أوفوا بالعقود</w:t>
      </w:r>
      <w:r>
        <w:rPr>
          <w:rtl w:val="true"/>
        </w:rPr>
        <w:t>]</w:t>
      </w:r>
      <w:bookmarkEnd w:id="47"/>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Style w:val="FootnoteAnchor"/>
          <w:rtl w:val="true"/>
        </w:rPr>
        <w:footnoteReference w:id="23"/>
      </w:r>
      <w:r>
        <w:rPr>
          <w:rFonts w:ascii="IRNazanin" w:hAnsi="IRNazanin" w:eastAsia="IRNazanin"/>
          <w:color w:val="111111"/>
          <w:sz w:val="28"/>
          <w:sz w:val="28"/>
          <w:szCs w:val="28"/>
          <w:rtl w:val="true"/>
          <w:lang w:bidi="fa-IR"/>
        </w:rPr>
        <w:t>دلّ علی وجوب الوفاء بکلّ 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مطلق العهد کما فسّر به فی صحیحة ابن سنان المرویّة فی تفسیر علیّ بن إبراهیم </w:t>
      </w:r>
      <w:r>
        <w:rPr>
          <w:rStyle w:val="FootnoteAnchor"/>
          <w:rtl w:val="true"/>
        </w:rPr>
        <w:footnoteReference w:id="24"/>
      </w:r>
      <w:r>
        <w:rPr>
          <w:rFonts w:ascii="Amiri" w:hAnsi="Amiri" w:eastAsia="Amiri" w:cs="Amiri"/>
          <w:color w:val="111111"/>
          <w:sz w:val="28"/>
          <w:sz w:val="28"/>
          <w:szCs w:val="28"/>
          <w:rtl w:val="true"/>
          <w:lang w:bidi="ar-SA"/>
        </w:rPr>
        <w:t>أو ما یسمّی عقداً لغةً</w:t>
      </w:r>
    </w:p>
    <w:p>
      <w:pPr>
        <w:pStyle w:val="BookText"/>
        <w:rPr/>
      </w:pPr>
      <w:r>
        <w:rPr>
          <w:rFonts w:ascii="IRNazanin" w:hAnsi="IRNazanin" w:eastAsia="IRNazanin"/>
          <w:color w:val="111111"/>
          <w:sz w:val="28"/>
          <w:sz w:val="28"/>
          <w:szCs w:val="28"/>
          <w:rtl w:val="true"/>
          <w:lang w:bidi="fa-IR"/>
        </w:rPr>
        <w:t>و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بوجوب الوفاء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العمل بما اقتضاه العقد فی نفسه بحسب دلالته اللفظیّة،نظیر الوفاء بالنذر،فإذا دلّ العقد مثلاً علی تملیک العاقد ماله من غیره وجب العمل بما یقتضیه التملیک </w:t>
      </w:r>
      <w:r>
        <w:rPr>
          <w:rStyle w:val="FootnoteAnchor"/>
          <w:rtl w:val="true"/>
        </w:rPr>
        <w:footnoteReference w:id="25"/>
      </w:r>
      <w:r>
        <w:rPr>
          <w:rFonts w:ascii="IRNazanin" w:hAnsi="IRNazanin" w:eastAsia="IRNazanin"/>
          <w:color w:val="111111"/>
          <w:sz w:val="28"/>
          <w:sz w:val="28"/>
          <w:szCs w:val="28"/>
          <w:rtl w:val="true"/>
          <w:lang w:bidi="fa-IR"/>
        </w:rPr>
        <w:t>من ترتیب آثار ملکیّة ذلک الغیر له،فأخذه من یده بغیر رضاه و التصرّف فیه کذلک نقضٌ لمقتضی ذلک العهد،فهو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حرم بإطلاق الآیة جمیع ما یکون نقضاً لمضمون 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التصرّفات الواقعة بعد فسخ المتصرّف من دون رضا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هذا لازماً مساویاً للزوم العقد و عدم انفساخه بمجرّد فسخ أحدهما، فیستدلّ بالحکم التکلیفی علی الحکم الوضعی أعنی فساد الفسخ من أحدهما بغیر رضا الآخر،و هو معنی اللزوم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ذکرنا ظهر ضعف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معنی وجوب الوفاء بالعقد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العملُ بما یقتضیه من لزومٍ و جواز </w:t>
      </w:r>
      <w:r>
        <w:rPr>
          <w:rStyle w:val="FootnoteAnchor"/>
          <w:rtl w:val="true"/>
        </w:rPr>
        <w:footnoteReference w:id="27"/>
      </w:r>
      <w:r>
        <w:rPr>
          <w:rFonts w:ascii="IRNazanin" w:hAnsi="IRNazanin" w:eastAsia="IRNazanin"/>
          <w:color w:val="111111"/>
          <w:sz w:val="28"/>
          <w:sz w:val="28"/>
          <w:szCs w:val="28"/>
          <w:rtl w:val="true"/>
          <w:lang w:bidi="fa-IR"/>
        </w:rPr>
        <w:t>،فلا یتمّ الاستدلال به علی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الضعف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اللزوم و الجواز من الأحکام الشرعیّة للعقد، و لیسا من مقتضیات العقد فی نفسه مع قطع النظر عن حکم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الوفاء بما یقتضیه العقد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یصیر بدلالة الآیة حکماً شرعیّاً للعقد،مساویاً للّزوم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أضعف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نشأ من عدم التفطّن لوجه دلالة الآیة علی</w:t>
      </w:r>
      <w:bookmarkStart w:id="48" w:name="pg19864_220645"/>
    </w:p>
    <w:p>
      <w:pPr>
        <w:pStyle w:val="BookText"/>
        <w:rPr/>
      </w:pPr>
      <w:bookmarkEnd w:id="48"/>
      <w:r>
        <w:rPr>
          <w:rFonts w:ascii="Amiri" w:hAnsi="Amiri" w:eastAsia="Amiri" w:cs="Amiri"/>
          <w:color w:val="111111"/>
          <w:sz w:val="28"/>
          <w:sz w:val="28"/>
          <w:szCs w:val="28"/>
          <w:rtl w:val="true"/>
          <w:lang w:bidi="ar-SA"/>
        </w:rPr>
        <w:t>اللزوم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الاعتراف بأصل الدلالة لمتابعة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w:t>
      </w:r>
      <w:r>
        <w:rPr>
          <w:rStyle w:val="FootnoteAnchor"/>
          <w:rtl w:val="true"/>
        </w:rPr>
        <w:footnoteReference w:id="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المفهوم من الآیة عرفاً حکمان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تکلیفیٌّ و وضعیٌّ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عرفت أن لیس المستفاد منها إلّا حکمٌ واحدٌ تکلیفیٌّ یستلزم حکماً وضعیّاً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9" w:name="__RefHeading___Toc5148550_2314609296"/>
      <w:bookmarkStart w:id="50" w:name="_Toc20"/>
      <w:bookmarkEnd w:id="49"/>
      <w:r>
        <w:rPr>
          <w:rtl w:val="true"/>
        </w:rPr>
        <w:t>[</w:t>
      </w:r>
      <w:r>
        <w:rPr>
          <w:rtl w:val="true"/>
        </w:rPr>
        <w:t>الاستدلال بآیة أحل الله البیع</w:t>
      </w:r>
      <w:r>
        <w:rPr>
          <w:rtl w:val="true"/>
        </w:rPr>
        <w:t>]</w:t>
      </w:r>
      <w:bookmarkEnd w:id="50"/>
    </w:p>
    <w:p>
      <w:pPr>
        <w:pStyle w:val="BookText"/>
        <w:rPr/>
      </w:pPr>
      <w:r>
        <w:rPr>
          <w:rFonts w:ascii="Amiri" w:hAnsi="Amiri" w:eastAsia="Amiri" w:cs="Amiri"/>
          <w:color w:val="111111"/>
          <w:sz w:val="28"/>
          <w:sz w:val="28"/>
          <w:szCs w:val="28"/>
          <w:rtl w:val="true"/>
          <w:lang w:bidi="ar-SA"/>
        </w:rPr>
        <w:t>و من ذلک یظهر لک الوجه فی دلالة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الْبَیْعَ </w:t>
      </w:r>
      <w:r>
        <w:rPr>
          <w:rStyle w:val="FootnoteAnchor"/>
          <w:rtl w:val="true"/>
        </w:rPr>
        <w:footnoteReference w:id="31"/>
      </w:r>
      <w:r>
        <w:rPr>
          <w:rFonts w:ascii="IRNazanin" w:hAnsi="IRNazanin" w:eastAsia="IRNazanin"/>
          <w:color w:val="111111"/>
          <w:sz w:val="28"/>
          <w:sz w:val="28"/>
          <w:szCs w:val="28"/>
          <w:rtl w:val="true"/>
          <w:lang w:bidi="fa-IR"/>
        </w:rPr>
        <w:t>علی اللزوم،فإنّ حلّیة البیع التی لا یراد منها إلّا حلّیة جمیع التصرّفات المترتّبة علیه التی منها ما یقع بعد فسخ أحد المتبایعین بغیر رضا الآخر مستلزمةٌ لعدم تأثیر ذلک الفسخ و کونه لغواً غیر مؤثّر</w:t>
      </w:r>
      <w:r>
        <w:rPr>
          <w:rFonts w:eastAsia="IRNazanin" w:cs="IRNazanin"/>
          <w:color w:val="111111"/>
          <w:sz w:val="28"/>
          <w:szCs w:val="28"/>
          <w:rtl w:val="true"/>
          <w:lang w:bidi="fa-IR"/>
        </w:rPr>
        <w:t>.</w:t>
      </w:r>
    </w:p>
    <w:p>
      <w:pPr>
        <w:pStyle w:val="Heading6"/>
        <w:numPr>
          <w:ilvl w:val="5"/>
          <w:numId w:val="1"/>
        </w:numPr>
        <w:rPr/>
      </w:pPr>
      <w:bookmarkStart w:id="51" w:name="__RefHeading___Toc5148552_2314609296"/>
      <w:bookmarkStart w:id="52" w:name="_Toc21"/>
      <w:bookmarkEnd w:id="51"/>
      <w:r>
        <w:rPr>
          <w:rtl w:val="true"/>
        </w:rPr>
        <w:t>[</w:t>
      </w:r>
      <w:r>
        <w:rPr>
          <w:rtl w:val="true"/>
        </w:rPr>
        <w:t>الاستدلال بآیة تجارة عن تراض</w:t>
      </w:r>
      <w:r>
        <w:rPr>
          <w:rtl w:val="true"/>
        </w:rPr>
        <w:t>]</w:t>
      </w:r>
      <w:bookmarkEnd w:id="52"/>
    </w:p>
    <w:p>
      <w:pPr>
        <w:pStyle w:val="BookText"/>
        <w:rPr/>
      </w:pPr>
      <w:r>
        <w:rPr>
          <w:rFonts w:ascii="IRNazanin" w:hAnsi="IRNazanin" w:eastAsia="IRNazanin"/>
          <w:color w:val="111111"/>
          <w:sz w:val="28"/>
          <w:sz w:val="28"/>
          <w:szCs w:val="28"/>
          <w:rtl w:val="true"/>
          <w:lang w:bidi="fa-IR"/>
        </w:rPr>
        <w:t xml:space="preserve">و منه یظهر وجه الاستدلال علی اللزوم بإطلاق حلّیة أکل المال بالتجارة عن تراضٍ </w:t>
      </w:r>
      <w:r>
        <w:rPr>
          <w:rStyle w:val="FootnoteAnchor"/>
          <w:rtl w:val="true"/>
        </w:rPr>
        <w:footnoteReference w:id="32"/>
      </w:r>
      <w:r>
        <w:rPr>
          <w:rFonts w:ascii="Amiri" w:hAnsi="Amiri" w:eastAsia="Amiri" w:cs="Amiri"/>
          <w:color w:val="111111"/>
          <w:sz w:val="28"/>
          <w:sz w:val="28"/>
          <w:szCs w:val="28"/>
          <w:rtl w:val="true"/>
          <w:lang w:bidi="ar-SA"/>
        </w:rPr>
        <w:t>،فإنّه یدلّ علی أنّ التجارة سببٌ لحلّیة التصرّف بقولٍ مطلق حتّی بعد فسخ أحدهما من دون رضا الآخر</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فدلالة الآیات الثلاث علی أصالة اللزوم علی نهجٍ واحد،لکن الإنصاف أنّ فی دلالة الآیتین بأنفسهما علی اللزوم نظراً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bookmarkStart w:id="53" w:name="pg19864_220646"/>
    </w:p>
    <w:p>
      <w:pPr>
        <w:pStyle w:val="Heading6"/>
        <w:numPr>
          <w:ilvl w:val="5"/>
          <w:numId w:val="1"/>
        </w:numPr>
        <w:rPr/>
      </w:pPr>
      <w:bookmarkStart w:id="54" w:name="__RefHeading___Toc5148554_2314609296"/>
      <w:bookmarkStart w:id="55" w:name="_Toc22"/>
      <w:bookmarkEnd w:id="53"/>
      <w:bookmarkEnd w:id="54"/>
      <w:r>
        <w:rPr>
          <w:rtl w:val="true"/>
        </w:rPr>
        <w:t>[</w:t>
      </w:r>
      <w:r>
        <w:rPr>
          <w:rtl w:val="true"/>
        </w:rPr>
        <w:t>الاستدلال بآیة أکل المال بالباطل</w:t>
      </w:r>
      <w:r>
        <w:rPr>
          <w:rtl w:val="true"/>
        </w:rPr>
        <w:t>]</w:t>
      </w:r>
      <w:bookmarkEnd w:id="55"/>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تَأْکُلُوا أَمْوٰالَکُمْ بَیْنَکُمْ بِالْبٰاطِلِ </w:t>
      </w:r>
      <w:r>
        <w:rPr>
          <w:rStyle w:val="FootnoteAnchor"/>
          <w:rtl w:val="true"/>
        </w:rPr>
        <w:footnoteReference w:id="34"/>
      </w:r>
      <w:r>
        <w:rPr>
          <w:rFonts w:ascii="IRNazanin" w:hAnsi="IRNazanin" w:eastAsia="IRNazanin"/>
          <w:color w:val="111111"/>
          <w:sz w:val="28"/>
          <w:sz w:val="28"/>
          <w:szCs w:val="28"/>
          <w:rtl w:val="true"/>
          <w:lang w:bidi="fa-IR"/>
        </w:rPr>
        <w:t xml:space="preserve">دلّ علی حرمة الأکل بکلّ وجهٍ یسمّی باطلاً عرفاً،و موارد ترخیص الشارع لیس من الباطل،فإنّ أکل المارّة من ثمر </w:t>
      </w:r>
      <w:r>
        <w:rPr>
          <w:rStyle w:val="FootnoteAnchor"/>
          <w:rtl w:val="true"/>
        </w:rPr>
        <w:footnoteReference w:id="35"/>
      </w:r>
      <w:r>
        <w:rPr>
          <w:rFonts w:ascii="IRNazanin" w:hAnsi="IRNazanin" w:eastAsia="IRNazanin"/>
          <w:color w:val="111111"/>
          <w:sz w:val="28"/>
          <w:sz w:val="28"/>
          <w:szCs w:val="28"/>
          <w:rtl w:val="true"/>
          <w:lang w:bidi="fa-IR"/>
        </w:rPr>
        <w:t xml:space="preserve">الأشجار التی یمرّ بها باطلٌ لو لا إذن الشارع الکاشف عن عدم بطلانه،و کذلک الأخذ بالشفعة و الخیار؛فإنّ رخصة الشارع فی الأخذ بهما </w:t>
      </w:r>
      <w:r>
        <w:rPr>
          <w:rStyle w:val="FootnoteAnchor"/>
          <w:rtl w:val="true"/>
        </w:rPr>
        <w:footnoteReference w:id="36"/>
      </w:r>
      <w:r>
        <w:rPr>
          <w:rFonts w:ascii="IRNazanin" w:hAnsi="IRNazanin" w:eastAsia="IRNazanin"/>
          <w:color w:val="111111"/>
          <w:sz w:val="28"/>
          <w:sz w:val="28"/>
          <w:szCs w:val="28"/>
          <w:rtl w:val="true"/>
          <w:lang w:bidi="fa-IR"/>
        </w:rPr>
        <w:t>یکشف عن ثبوت حقٍّ لذوی الخیار و الشفعة؛و ما نحن فیه من هذا القبیل،فإنّ أخذ مال الغیر و تملّکه من دون إذن صاحبه باطلٌ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دلّ الشارع علی جوازه کما فی العقود الجائزة بالذات أو بالعارض کشف ذلک عن حقٍّ للفاسخ متعلّقٍ بالعین</w:t>
      </w:r>
      <w:r>
        <w:rPr>
          <w:rFonts w:eastAsia="IRNazanin" w:cs="IRNazanin"/>
          <w:color w:val="111111"/>
          <w:sz w:val="28"/>
          <w:szCs w:val="28"/>
          <w:rtl w:val="true"/>
          <w:lang w:bidi="fa-IR"/>
        </w:rPr>
        <w:t>.</w:t>
      </w:r>
    </w:p>
    <w:p>
      <w:pPr>
        <w:pStyle w:val="Heading6"/>
        <w:numPr>
          <w:ilvl w:val="5"/>
          <w:numId w:val="1"/>
        </w:numPr>
        <w:rPr/>
      </w:pPr>
      <w:bookmarkStart w:id="56" w:name="__RefHeading___Toc5148556_2314609296"/>
      <w:bookmarkStart w:id="57" w:name="_Toc23"/>
      <w:bookmarkEnd w:id="56"/>
      <w:r>
        <w:rPr>
          <w:rtl w:val="true"/>
        </w:rPr>
        <w:t>[</w:t>
      </w:r>
      <w:r>
        <w:rPr>
          <w:rtl w:val="true"/>
        </w:rPr>
        <w:t>الاستدلال بروایتی لا یحل مال امرئ مسلم و الناس مسلطون</w:t>
      </w:r>
      <w:r>
        <w:rPr>
          <w:rtl w:val="true"/>
        </w:rPr>
        <w:t>]</w:t>
      </w:r>
      <w:bookmarkEnd w:id="57"/>
    </w:p>
    <w:p>
      <w:pPr>
        <w:pStyle w:val="BookText"/>
        <w:rPr/>
      </w:pPr>
      <w:r>
        <w:rPr>
          <w:rFonts w:ascii="IRNazanin" w:hAnsi="IRNazanin" w:eastAsia="IRNazanin"/>
          <w:color w:val="111111"/>
          <w:sz w:val="28"/>
          <w:sz w:val="28"/>
          <w:szCs w:val="28"/>
          <w:rtl w:val="true"/>
          <w:lang w:bidi="fa-IR"/>
        </w:rPr>
        <w:t>و ممّا ذکرنا یظهر وجه الاستدلال بقوله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امرئٍ مسلمٍ إلّا عن طیب نفسه</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فإنّ مقتضی السلطنة التی أمضاها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یجوز أخذه من یده و تملّکه علیه من دون رضاه؛و لذا استدلّ المحقّق فی الشرائع علی عدم جواز رجوع المقرض فیما أقرضه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فائدة الملک التسلّط </w:t>
      </w:r>
      <w:r>
        <w:rPr>
          <w:rStyle w:val="FootnoteAnchor"/>
          <w:rtl w:val="true"/>
        </w:rPr>
        <w:footnoteReference w:id="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 العلّامة</w:t>
      </w:r>
      <w:bookmarkStart w:id="58" w:name="pg19864_220647"/>
    </w:p>
    <w:p>
      <w:pPr>
        <w:pStyle w:val="BookText"/>
        <w:rPr/>
      </w:pPr>
      <w:bookmarkEnd w:id="58"/>
      <w:r>
        <w:rPr>
          <w:rFonts w:ascii="IRNazanin" w:hAnsi="IRNazanin" w:eastAsia="IRNazanin"/>
          <w:color w:val="111111"/>
          <w:sz w:val="28"/>
          <w:sz w:val="28"/>
          <w:szCs w:val="28"/>
          <w:rtl w:val="true"/>
          <w:lang w:bidi="fa-IR"/>
        </w:rPr>
        <w:t xml:space="preserve">فی بعض کتبه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جواز العقد الراجع إلی تسلّط الفاسخ علی تملّک ما انتقل عنه و صار مالاً لغیره و أخذه منه بغیر رضاه منافٍ لهذا العموم</w:t>
      </w:r>
      <w:r>
        <w:rPr>
          <w:rFonts w:eastAsia="IRNazanin" w:cs="IRNazanin"/>
          <w:color w:val="111111"/>
          <w:sz w:val="28"/>
          <w:szCs w:val="28"/>
          <w:rtl w:val="true"/>
          <w:lang w:bidi="fa-IR"/>
        </w:rPr>
        <w:t>.</w:t>
      </w:r>
    </w:p>
    <w:p>
      <w:pPr>
        <w:pStyle w:val="Heading6"/>
        <w:numPr>
          <w:ilvl w:val="5"/>
          <w:numId w:val="1"/>
        </w:numPr>
        <w:rPr/>
      </w:pPr>
      <w:bookmarkStart w:id="59" w:name="__RefHeading___Toc5148558_2314609296"/>
      <w:bookmarkStart w:id="60" w:name="_Toc24"/>
      <w:bookmarkEnd w:id="59"/>
      <w:r>
        <w:rPr>
          <w:rtl w:val="true"/>
        </w:rPr>
        <w:t>[</w:t>
      </w:r>
      <w:r>
        <w:rPr>
          <w:rtl w:val="true"/>
        </w:rPr>
        <w:t>الاستدلال بروایة المؤمنون عند شروطهم</w:t>
      </w:r>
      <w:r>
        <w:rPr>
          <w:rtl w:val="true"/>
        </w:rPr>
        <w:t>]</w:t>
      </w:r>
      <w:bookmarkEnd w:id="60"/>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استدلّ به علی اللزوم غیر واحدٍ منهم المحقّق الأردبیلی قدّس سرّه </w:t>
      </w:r>
      <w:r>
        <w:rPr>
          <w:rStyle w:val="FootnoteAnchor"/>
          <w:rtl w:val="true"/>
        </w:rPr>
        <w:footnoteReference w:id="42"/>
      </w:r>
      <w:r>
        <w:rPr>
          <w:rFonts w:ascii="Amiri" w:hAnsi="Amiri" w:eastAsia="Amiri" w:cs="Amiri"/>
          <w:color w:val="111111"/>
          <w:sz w:val="28"/>
          <w:sz w:val="28"/>
          <w:szCs w:val="28"/>
          <w:rtl w:val="true"/>
          <w:lang w:bidi="ar-SA"/>
        </w:rPr>
        <w:t xml:space="preserve">بناءً علی أنّ الشرط مطلق الإلزام و الالتزام و لو ابتداءً من غیر ربطٍ بعقدٍ آخر،فإنّ العقد علی هذا شرطٌ،فیجب الوقوف عنده و یحرم التعدّی عنه،فیدلّ علی اللزوم بالتقریب المتقدّم فی أَوْفُوا بِالْعُقُودِ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 لا یبعد منع صدق الشرط فی الالتزامات الابتدائیّة،بل المتبادر عرفاً هو الإلزام التابع،کما یشهد به موارد استعمال هذا اللفظ حتّی فی مثل قوله علیه السلام فی دعاء 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 یا ربِّ شرطی أن لا أعود فی مکروهک،و عهدی أن أهجر جمیع معاصیک</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،و قوله علیه السلام فی أوّل دعاء الندبة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شرطت علیهم الزهد فی درجات هذه الدنیا</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کما لا یخفی علی من تأمّلها</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کلام بعض أهل اللغة یساعد علی ما ادّعینا من الاختصاص،</w:t>
      </w:r>
      <w:bookmarkStart w:id="61" w:name="pg19864_220648"/>
    </w:p>
    <w:p>
      <w:pPr>
        <w:pStyle w:val="BookText"/>
        <w:rPr/>
      </w:pPr>
      <w:bookmarkEnd w:id="61"/>
      <w:r>
        <w:rPr>
          <w:rFonts w:ascii="IRNazanin" w:hAnsi="IRNazanin" w:eastAsia="IRNazanin"/>
          <w:color w:val="111111"/>
          <w:sz w:val="28"/>
          <w:sz w:val="28"/>
          <w:szCs w:val="28"/>
          <w:rtl w:val="true"/>
          <w:lang w:bidi="fa-IR"/>
        </w:rPr>
        <w:t>ففی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الشرط إلزام الشیء و التزامه فی البیع و نحوه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2" w:name="__RefHeading___Toc5148560_2314609296"/>
      <w:bookmarkStart w:id="63" w:name="_Toc25"/>
      <w:bookmarkEnd w:id="62"/>
      <w:r>
        <w:rPr>
          <w:rtl w:val="true"/>
        </w:rPr>
        <w:t>و منها</w:t>
      </w:r>
      <w:r>
        <w:rPr>
          <w:rtl w:val="true"/>
        </w:rPr>
        <w:t>:</w:t>
      </w:r>
      <w:r>
        <w:rPr>
          <w:rtl w:val="true"/>
        </w:rPr>
        <w:t>الأخبار المستفیضة</w:t>
      </w:r>
      <w:bookmarkEnd w:id="63"/>
    </w:p>
    <w:p>
      <w:pPr>
        <w:pStyle w:val="BookText"/>
        <w:rPr/>
      </w:pPr>
      <w:r>
        <w:rPr>
          <w:rFonts w:ascii="Amiri" w:hAnsi="Amiri" w:eastAsia="Amiri" w:cs="Amiri"/>
          <w:color w:val="111111"/>
          <w:sz w:val="28"/>
          <w:sz w:val="28"/>
          <w:szCs w:val="28"/>
          <w:rtl w:val="true"/>
          <w:lang w:bidi="ar-SA"/>
        </w:rPr>
        <w:t>فی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البیّعان </w:t>
      </w:r>
      <w:r>
        <w:rPr>
          <w:rStyle w:val="FootnoteAnchor"/>
          <w:rtl w:val="true"/>
        </w:rPr>
        <w:footnoteReference w:id="46"/>
      </w:r>
      <w:r>
        <w:rPr>
          <w:rFonts w:ascii="IRNazanin" w:hAnsi="IRNazanin" w:eastAsia="IRNazanin"/>
          <w:color w:val="111111"/>
          <w:sz w:val="28"/>
          <w:sz w:val="28"/>
          <w:szCs w:val="28"/>
          <w:rtl w:val="true"/>
          <w:lang w:bidi="fa-IR"/>
        </w:rPr>
        <w:t>بالخیار ما لم یفترقا</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 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افترقا وجب البیع</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خیار لهما بعد الرضا</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جملةٌ من العمومات الدالّة علی لزوم البیع عموماً أو خصوصاً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عرفت أنّ ذلک مقتضی الاستصحاب أیضاً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4" w:name="__RefHeading___Toc5148562_2314609296"/>
      <w:bookmarkStart w:id="65" w:name="_Toc26"/>
      <w:bookmarkEnd w:id="64"/>
      <w:r>
        <w:rPr>
          <w:rtl w:val="true"/>
        </w:rPr>
        <w:t>[</w:t>
      </w:r>
      <w:r>
        <w:rPr>
          <w:rtl w:val="true"/>
        </w:rPr>
        <w:t>مقتضی الاستصحاب أیضا اللزوم</w:t>
      </w:r>
      <w:r>
        <w:rPr>
          <w:rtl w:val="true"/>
        </w:rPr>
        <w:t>]</w:t>
      </w:r>
      <w:bookmarkEnd w:id="65"/>
    </w:p>
    <w:p>
      <w:p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مقتضی الاستصحاب عدم انقطاع علاقة المالک </w:t>
      </w:r>
      <w:r>
        <w:rPr>
          <w:rStyle w:val="FootnoteAnchor"/>
          <w:rtl w:val="true"/>
        </w:rPr>
        <w:footnoteReference w:id="51"/>
      </w:r>
      <w:r>
        <w:rPr>
          <w:rFonts w:ascii="IRNazanin" w:hAnsi="IRNazanin" w:eastAsia="IRNazanin"/>
          <w:color w:val="111111"/>
          <w:sz w:val="28"/>
          <w:sz w:val="28"/>
          <w:szCs w:val="28"/>
          <w:rtl w:val="true"/>
          <w:lang w:bidi="fa-IR"/>
        </w:rPr>
        <w:t>، فإنّ الظاهر من کلماتهم عدم انقطاع علاقة المالک عن العین التی له فیها الرجوع،و هذا الاستصحاب حاکمٌ علی الاستصحاب المتقدّم المقتضی للّزوم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 بأنّه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أُرید بقاء علاقة الملک أو علاقةٍ تتفرّع علی الملک،فلا ریب</w:t>
      </w:r>
      <w:bookmarkStart w:id="66" w:name="pg19864_220649"/>
    </w:p>
    <w:p>
      <w:pPr>
        <w:pStyle w:val="BookText"/>
        <w:rPr/>
      </w:pPr>
      <w:bookmarkEnd w:id="66"/>
      <w:r>
        <w:rPr>
          <w:rFonts w:ascii="IRNazanin" w:hAnsi="IRNazanin" w:eastAsia="IRNazanin"/>
          <w:color w:val="111111"/>
          <w:sz w:val="28"/>
          <w:sz w:val="28"/>
          <w:szCs w:val="28"/>
          <w:rtl w:val="true"/>
          <w:lang w:bidi="fa-IR"/>
        </w:rPr>
        <w:t>فی زوالها بزوال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أُرید بها سلطنة إعادة العین فی ملکه،فهذه علاقة یستحیل اجتماعها مع الملک،و إنّما تحدث بعد زوال الملک لدلالة دلیلٍ؛فإذا فقد الدلیل فالأصل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أُرید بها العلاقة التی کانت فی مجلس البیع،فإنّها تستصحب عند الشکّ،فیصیر الأصل فی البیع بقاء الخیار،کما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الأصل فی الهبة بقاء جوازها بعد التصرّف،فی مقابل من جعلها لازمةً بالتصرّف،ففیه مع عدم جریانه فیما لا خیار فیه فی المجلس،بل مطلقاً بناءً علی أنّ الواجب هنا الرجوع فی زمان الشکّ إلی عموم أَوْفُوا </w:t>
      </w:r>
      <w:r>
        <w:rPr>
          <w:rStyle w:val="FootnoteAnchor"/>
          <w:rtl w:val="true"/>
        </w:rPr>
        <w:footnoteReference w:id="52"/>
      </w:r>
      <w:r>
        <w:rPr>
          <w:rFonts w:ascii="IRNazanin" w:hAnsi="IRNazanin" w:eastAsia="IRNazanin"/>
          <w:color w:val="111111"/>
          <w:sz w:val="28"/>
          <w:sz w:val="28"/>
          <w:szCs w:val="28"/>
          <w:rtl w:val="true"/>
          <w:lang w:bidi="fa-IR"/>
        </w:rPr>
        <w:t>لا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 لا یجدی بعد تواتر الأخبار بانقطاع الخیار مع الافتراق،فیبقی ذلک الاستصحاب سلیماً عن الحاکم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 w:name="__RefHeading___Toc5148564_2314609296"/>
      <w:bookmarkStart w:id="68" w:name="_Toc27"/>
      <w:bookmarkEnd w:id="67"/>
      <w:r>
        <w:rPr>
          <w:rtl w:val="true"/>
        </w:rPr>
        <w:t>[</w:t>
      </w:r>
      <w:r>
        <w:rPr>
          <w:rtl w:val="true"/>
        </w:rPr>
        <w:t>ظاهر المختلف أن الأصل عدم اللزوم و المناقشة فیه</w:t>
      </w:r>
      <w:r>
        <w:rPr>
          <w:rtl w:val="true"/>
        </w:rPr>
        <w:t>]</w:t>
      </w:r>
      <w:bookmarkEnd w:id="6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یظهر من المختلف فی مسألة أنّ المسابقة لازمة أو جائزة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الأصل عدم اللزوم </w:t>
      </w:r>
      <w:r>
        <w:rPr>
          <w:rStyle w:val="FootnoteAnchor"/>
          <w:rtl w:val="true"/>
        </w:rPr>
        <w:footnoteReference w:id="54"/>
      </w:r>
      <w:r>
        <w:rPr>
          <w:rFonts w:ascii="Amiri" w:hAnsi="Amiri" w:eastAsia="Amiri" w:cs="Amiri"/>
          <w:color w:val="111111"/>
          <w:sz w:val="28"/>
          <w:sz w:val="28"/>
          <w:szCs w:val="28"/>
          <w:rtl w:val="true"/>
          <w:lang w:bidi="ar-SA"/>
        </w:rPr>
        <w:t xml:space="preserve">،و لم یردّه من تأخّر عنه </w:t>
      </w:r>
      <w:r>
        <w:rPr>
          <w:rStyle w:val="FootnoteAnchor"/>
          <w:rtl w:val="true"/>
        </w:rPr>
        <w:footnoteReference w:id="55"/>
      </w:r>
      <w:r>
        <w:rPr>
          <w:rFonts w:ascii="Amiri" w:hAnsi="Amiri" w:eastAsia="Amiri" w:cs="Amiri"/>
          <w:color w:val="111111"/>
          <w:sz w:val="28"/>
          <w:sz w:val="28"/>
          <w:szCs w:val="28"/>
          <w:rtl w:val="true"/>
          <w:lang w:bidi="ar-SA"/>
        </w:rPr>
        <w:t>إلّا بعموم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Style w:val="FootnoteAnchor"/>
          <w:rtl w:val="true"/>
        </w:rPr>
        <w:footnoteReference w:id="56"/>
      </w:r>
      <w:r>
        <w:rPr>
          <w:rFonts w:ascii="Amiri" w:hAnsi="Amiri" w:eastAsia="Amiri" w:cs="Amiri"/>
          <w:color w:val="111111"/>
          <w:sz w:val="28"/>
          <w:sz w:val="28"/>
          <w:szCs w:val="28"/>
          <w:rtl w:val="true"/>
          <w:lang w:bidi="ar-SA"/>
        </w:rPr>
        <w:t xml:space="preserve">،و لم یُعلم </w:t>
      </w:r>
      <w:r>
        <w:rPr>
          <w:rStyle w:val="FootnoteAnchor"/>
          <w:rtl w:val="true"/>
        </w:rPr>
        <w:footnoteReference w:id="57"/>
      </w:r>
      <w:r>
        <w:rPr>
          <w:rFonts w:ascii="IRNazanin" w:hAnsi="IRNazanin" w:eastAsia="IRNazanin"/>
          <w:color w:val="111111"/>
          <w:sz w:val="28"/>
          <w:sz w:val="28"/>
          <w:szCs w:val="28"/>
          <w:rtl w:val="true"/>
          <w:lang w:bidi="fa-IR"/>
        </w:rPr>
        <w:t>وجهٌ صحیحٌ لتقریر هذا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نعم،هو حسنٌ فی خصوص عقد المسابقة و شبهه ممّا لا یتضمّن</w:t>
      </w:r>
      <w:bookmarkStart w:id="69" w:name="pg19864_220650"/>
    </w:p>
    <w:p>
      <w:pPr>
        <w:pStyle w:val="BookText"/>
        <w:rPr/>
      </w:pPr>
      <w:bookmarkEnd w:id="69"/>
      <w:r>
        <w:rPr>
          <w:rFonts w:ascii="IRNazanin" w:hAnsi="IRNazanin" w:eastAsia="IRNazanin"/>
          <w:color w:val="111111"/>
          <w:sz w:val="28"/>
          <w:sz w:val="28"/>
          <w:szCs w:val="28"/>
          <w:rtl w:val="true"/>
          <w:lang w:bidi="fa-IR"/>
        </w:rPr>
        <w:t>تملیکاً أو تسلیطاً؛لیکون الأصل بقاء ذلک الأثر و عدم زواله بدون رضا الطرفین</w:t>
      </w:r>
      <w:r>
        <w:rPr>
          <w:rFonts w:eastAsia="IRNazanin" w:cs="IRNazanin"/>
          <w:color w:val="111111"/>
          <w:sz w:val="28"/>
          <w:szCs w:val="28"/>
          <w:rtl w:val="true"/>
          <w:lang w:bidi="fa-IR"/>
        </w:rPr>
        <w:t>.</w:t>
      </w:r>
    </w:p>
    <w:p>
      <w:pPr>
        <w:pStyle w:val="Heading5"/>
        <w:numPr>
          <w:ilvl w:val="4"/>
          <w:numId w:val="1"/>
        </w:numPr>
        <w:rPr/>
      </w:pPr>
      <w:bookmarkStart w:id="70" w:name="__RefHeading___Toc5148566_2314609296"/>
      <w:bookmarkStart w:id="71" w:name="_Toc28"/>
      <w:bookmarkEnd w:id="70"/>
      <w:r>
        <w:rPr>
          <w:rtl w:val="true"/>
        </w:rPr>
        <w:t>[</w:t>
      </w:r>
      <w:r>
        <w:rPr>
          <w:rtl w:val="true"/>
        </w:rPr>
        <w:t>إذا شک فی عقد أنه من مصادیق العقد اللازم أو الجائز</w:t>
      </w:r>
      <w:r>
        <w:rPr>
          <w:rtl w:val="true"/>
        </w:rPr>
        <w:t>]</w:t>
      </w:r>
      <w:bookmarkEnd w:id="71"/>
    </w:p>
    <w:p>
      <w:pPr>
        <w:pStyle w:val="BookText"/>
        <w:rPr/>
      </w:pPr>
      <w:r>
        <w:rPr>
          <w:rFonts w:ascii="IRNazanin" w:hAnsi="IRNazanin" w:eastAsia="IRNazanin"/>
          <w:color w:val="111111"/>
          <w:sz w:val="28"/>
          <w:sz w:val="28"/>
          <w:szCs w:val="28"/>
          <w:rtl w:val="true"/>
          <w:lang w:bidi="fa-IR"/>
        </w:rPr>
        <w:t xml:space="preserve">ثمّ إنّ ما ذکرنا من العمومات المثبتة لأصالة اللزوم إنّما هو فی الشکّ فی حکم الشارع باللزوم،و یجری أیضاً فیما إذا شکّ فی عقدٍ خارجیٍّ أنّه من مصادیق العقد اللازم أو الجائز </w:t>
      </w:r>
      <w:r>
        <w:rPr>
          <w:rStyle w:val="FootnoteAnchor"/>
          <w:rtl w:val="true"/>
        </w:rPr>
        <w:footnoteReference w:id="58"/>
      </w:r>
      <w:r>
        <w:rPr>
          <w:rFonts w:ascii="IRNazanin" w:hAnsi="IRNazanin" w:eastAsia="IRNazanin"/>
          <w:color w:val="111111"/>
          <w:sz w:val="28"/>
          <w:sz w:val="28"/>
          <w:szCs w:val="28"/>
          <w:rtl w:val="true"/>
          <w:lang w:bidi="fa-IR"/>
        </w:rPr>
        <w:t>،بناءً علی أنّ المرجع فی الفرد المردّد بین عنوانی العامّ و المخصّص إلی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بناءً علی خلاف ذلک،فالواجب الرجوع عند الشکّ فی اللزوم إلی الأصل،بمعنی استصحاب الأثر و عدم زواله بمجرّد فسخ أحد المتعاقدین،إلّا أن یکون هنا أصلٌ موضوعیٌّ یثبت العقد الجائز،کما إذا شکّ فی أنّ الواقع هبةٌ أو صدقةٌ،فإنّ الأصل عدم قصد القربة،فیحکم بالهبة الجائزة</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الاستصحاب المذکور إنّما ینفع فی إثبات صفة اللزوم،و أمّا تعیین العقد اللازم حتّی یترتّب علیه سائر آثار العقد اللازم کما إذا أُرید تعیین البیع عند الشکّ فیه و فی الهبة فلا،بل یُرجع فی أثر کلّ عقدٍ إلی ما یقتضیه الأصل بالنسبة إلیه،فإذا شکّ فی اشتغال الذمّة بالعوض حکم بالبراءة التی هی من آثار الهبة،و إذا شکّ فی الضمان مع فساد العقد حکم بالضمان؛لعموم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هو المستند فی الضمان بالعقود الفاسدة،و إن کان المستند دخوله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قلنا بأنّ خروج الهبة من ذلک العموم مانعٌ عن الرجوع إلیه فیما احتمل کونه مصداقاً لها،کان الأصل البراءة أیضاً</w:t>
      </w:r>
      <w:r>
        <w:rPr>
          <w:rFonts w:eastAsia="IRNazanin" w:cs="IRNazanin"/>
          <w:color w:val="111111"/>
          <w:sz w:val="28"/>
          <w:szCs w:val="28"/>
          <w:rtl w:val="true"/>
          <w:lang w:bidi="fa-IR"/>
        </w:rPr>
        <w:t>.</w:t>
      </w:r>
      <w:bookmarkStart w:id="72" w:name="pg19864_220651"/>
    </w:p>
    <w:p>
      <w:pPr>
        <w:pStyle w:val="Heading3"/>
        <w:numPr>
          <w:ilvl w:val="2"/>
          <w:numId w:val="1"/>
        </w:numPr>
        <w:rPr/>
      </w:pPr>
      <w:bookmarkStart w:id="73" w:name="__RefHeading___Toc5148568_2314609296"/>
      <w:bookmarkStart w:id="74" w:name="_Toc29"/>
      <w:bookmarkEnd w:id="72"/>
      <w:bookmarkEnd w:id="73"/>
      <w:r>
        <w:rPr>
          <w:rtl w:val="true"/>
        </w:rPr>
        <w:t>فی أقسام الخیار</w:t>
      </w:r>
      <w:bookmarkEnd w:id="74"/>
    </w:p>
    <w:p>
      <w:pPr>
        <w:pStyle w:val="Heading4"/>
        <w:numPr>
          <w:ilvl w:val="3"/>
          <w:numId w:val="1"/>
        </w:numPr>
        <w:rPr/>
      </w:pPr>
      <w:bookmarkStart w:id="75" w:name="__RefHeading___Toc5148570_2314609296"/>
      <w:bookmarkStart w:id="76" w:name="_Toc30"/>
      <w:bookmarkEnd w:id="75"/>
      <w:r>
        <w:rPr>
          <w:rtl w:val="true"/>
        </w:rPr>
        <w:t>اشاره</w:t>
      </w:r>
      <w:bookmarkEnd w:id="76"/>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 کثیرةٌ إلّا أنّ أکثرها متفرّقةٌ،و المجتمع منها فی کلِّ کتابٍ سبعةٌ،و قد أنهاها بعضهم إلی أزید من ذلک،حتّی أنّ المذکور فی اللمعة مجتمعاً أربعة عشر </w:t>
      </w:r>
      <w:r>
        <w:rPr>
          <w:rStyle w:val="FootnoteAnchor"/>
          <w:rtl w:val="true"/>
        </w:rPr>
        <w:footnoteReference w:id="59"/>
      </w:r>
      <w:r>
        <w:rPr>
          <w:rFonts w:ascii="IRNazanin" w:hAnsi="IRNazanin" w:eastAsia="IRNazanin"/>
          <w:color w:val="111111"/>
          <w:sz w:val="28"/>
          <w:sz w:val="28"/>
          <w:szCs w:val="28"/>
          <w:rtl w:val="true"/>
          <w:lang w:bidi="fa-IR"/>
        </w:rPr>
        <w:t xml:space="preserve">،مع عدم ذکره لبعضها،و نحن نقتفی أثَر المقتصِر علی السبعة کالمحقّق </w:t>
      </w:r>
      <w:r>
        <w:rPr>
          <w:rStyle w:val="FootnoteAnchor"/>
          <w:rtl w:val="true"/>
        </w:rPr>
        <w:footnoteReference w:id="60"/>
      </w:r>
      <w:r>
        <w:rPr>
          <w:rFonts w:ascii="Amiri" w:hAnsi="Amiri" w:eastAsia="Amiri" w:cs="Amiri"/>
          <w:color w:val="111111"/>
          <w:sz w:val="28"/>
          <w:sz w:val="28"/>
          <w:szCs w:val="28"/>
          <w:rtl w:val="true"/>
          <w:lang w:bidi="ar-SA"/>
        </w:rPr>
        <w:t xml:space="preserve">و العلّامة </w:t>
      </w:r>
      <w:r>
        <w:rPr>
          <w:rStyle w:val="FootnoteAnchor"/>
          <w:rtl w:val="true"/>
        </w:rPr>
        <w:footnoteReference w:id="61"/>
      </w:r>
      <w:r>
        <w:rPr>
          <w:rFonts w:ascii="IRNazanin" w:hAnsi="IRNazanin" w:eastAsia="IRNazanin"/>
          <w:color w:val="111111"/>
          <w:sz w:val="28"/>
          <w:sz w:val="28"/>
          <w:szCs w:val="28"/>
          <w:rtl w:val="true"/>
          <w:lang w:bidi="fa-IR"/>
        </w:rPr>
        <w:t>قدّس سرّهما لأنّ ما عداها لا یستحقّ عنواناً مستقلا،إذ لیس له أحکامٌ مغایرةٌ لسائر أنواع الخیار،فنقول و باللّٰه التوفیق</w:t>
      </w:r>
      <w:bookmarkStart w:id="77" w:name="pg19864_220653"/>
    </w:p>
    <w:p>
      <w:pPr>
        <w:pStyle w:val="Heading4"/>
        <w:numPr>
          <w:ilvl w:val="3"/>
          <w:numId w:val="1"/>
        </w:numPr>
        <w:rPr/>
      </w:pPr>
      <w:bookmarkStart w:id="78" w:name="__RefHeading___Toc5148572_2314609296"/>
      <w:bookmarkStart w:id="79" w:name="_Toc31"/>
      <w:bookmarkEnd w:id="77"/>
      <w:bookmarkEnd w:id="78"/>
      <w:r>
        <w:rPr>
          <w:rtl w:val="true"/>
        </w:rPr>
        <w:t>الأوّل فی خیار المجلس</w:t>
      </w:r>
      <w:bookmarkEnd w:id="79"/>
    </w:p>
    <w:p>
      <w:pPr>
        <w:pStyle w:val="Heading5"/>
        <w:numPr>
          <w:ilvl w:val="4"/>
          <w:numId w:val="1"/>
        </w:numPr>
        <w:rPr/>
      </w:pPr>
      <w:bookmarkStart w:id="80" w:name="__RefHeading___Toc5148574_2314609296"/>
      <w:bookmarkStart w:id="81" w:name="_Toc32"/>
      <w:bookmarkEnd w:id="80"/>
      <w:r>
        <w:rPr>
          <w:rtl w:val="true"/>
        </w:rPr>
        <w:t>اشاره</w:t>
      </w:r>
      <w:bookmarkEnd w:id="81"/>
    </w:p>
    <w:p>
      <w:pPr>
        <w:pStyle w:val="BookText"/>
        <w:rPr/>
      </w:pPr>
      <w:r>
        <w:rPr>
          <w:rFonts w:ascii="IRNazanin" w:hAnsi="IRNazanin" w:eastAsia="IRNazanin"/>
          <w:color w:val="111111"/>
          <w:sz w:val="28"/>
          <w:sz w:val="28"/>
          <w:szCs w:val="28"/>
          <w:rtl w:val="true"/>
          <w:lang w:bidi="fa-IR"/>
        </w:rPr>
        <w:t>و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مکان المتبایعین حین البیع،و إنّما عبّر بفرده الغالب،و إضافة الخیار إلیه لاختصاصه به و ارتفاعه بانقضائه الذی هو الافتراق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خلاف بین الإمامیّة فی ثبوت هذا الخیار،و النصوص به مستفیضة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الموثّق الحاکی لقول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صفق الرجل علی البیع فقد وجب</w:t>
      </w:r>
      <w:r>
        <w:rPr>
          <w:rFonts w:eastAsia="IRNazanin" w:cs="IRNazanin"/>
          <w:color w:val="111111"/>
          <w:sz w:val="28"/>
          <w:szCs w:val="28"/>
          <w:rtl w:val="true"/>
          <w:lang w:bidi="fa-IR"/>
        </w:rPr>
        <w:t xml:space="preserve">» </w:t>
      </w:r>
      <w:r>
        <w:rPr>
          <w:rStyle w:val="FootnoteAnchor"/>
          <w:rtl w:val="true"/>
        </w:rPr>
        <w:footnoteReference w:id="63"/>
      </w:r>
      <w:r>
        <w:rPr>
          <w:rFonts w:ascii="Amiri" w:hAnsi="Amiri" w:eastAsia="Amiri" w:cs="Amiri"/>
          <w:color w:val="111111"/>
          <w:sz w:val="28"/>
          <w:sz w:val="28"/>
          <w:szCs w:val="28"/>
          <w:rtl w:val="true"/>
          <w:lang w:bidi="ar-SA"/>
        </w:rPr>
        <w:t>مطروحٌ أو مؤوّلٌ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فرق بین أقسام البیع و أنواع المبیع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نعم،سیجیء استثناء بعض أشخاص المبیع کالمنعتق علی المشتری</w:t>
      </w:r>
      <w:r>
        <w:rPr>
          <w:rFonts w:eastAsia="IRNazanin" w:cs="IRNazanin"/>
          <w:color w:val="111111"/>
          <w:sz w:val="28"/>
          <w:szCs w:val="28"/>
          <w:rtl w:val="true"/>
          <w:lang w:bidi="fa-IR"/>
        </w:rPr>
        <w:t>.</w:t>
      </w:r>
    </w:p>
    <w:p>
      <w:pPr>
        <w:pStyle w:val="Heading5"/>
        <w:numPr>
          <w:ilvl w:val="4"/>
          <w:numId w:val="1"/>
        </w:numPr>
        <w:rPr/>
      </w:pPr>
      <w:bookmarkStart w:id="82" w:name="__RefHeading___Toc5148576_2314609296"/>
      <w:bookmarkStart w:id="83" w:name="_Toc33"/>
      <w:bookmarkEnd w:id="82"/>
      <w:r>
        <w:rPr>
          <w:rtl w:val="true"/>
        </w:rPr>
        <w:t>و تنقیح مباحث هذا الخیار و مسقطاته یحصل برسم مسائل</w:t>
      </w:r>
      <w:r>
        <w:rPr>
          <w:rtl w:val="true"/>
        </w:rPr>
        <w:t>:</w:t>
      </w:r>
      <w:bookmarkEnd w:id="83"/>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84" w:name="__RefHeading___Toc5148578_2314609296"/>
      <w:bookmarkStart w:id="85" w:name="_Toc34"/>
      <w:bookmarkEnd w:id="84"/>
      <w:r>
        <w:rPr>
          <w:rtl w:val="true"/>
        </w:rPr>
        <w:t>اشاره</w:t>
      </w:r>
      <w:bookmarkStart w:id="86" w:name="pg19864_220654"/>
      <w:bookmarkEnd w:id="85"/>
    </w:p>
    <w:p>
      <w:pPr>
        <w:pStyle w:val="Heading6"/>
        <w:numPr>
          <w:ilvl w:val="5"/>
          <w:numId w:val="1"/>
        </w:numPr>
        <w:rPr/>
      </w:pPr>
      <w:bookmarkStart w:id="87" w:name="__RefHeading___Toc5148580_2314609296"/>
      <w:bookmarkStart w:id="88" w:name="_Toc35"/>
      <w:bookmarkEnd w:id="86"/>
      <w:bookmarkEnd w:id="87"/>
      <w:r>
        <w:rPr>
          <w:rtl w:val="true"/>
        </w:rPr>
        <w:t>[</w:t>
      </w:r>
      <w:r>
        <w:rPr>
          <w:rtl w:val="true"/>
        </w:rPr>
        <w:t>مسائل فی خیار المجلس</w:t>
      </w:r>
      <w:r>
        <w:rPr>
          <w:rtl w:val="true"/>
        </w:rPr>
        <w:t>]</w:t>
      </w:r>
      <w:bookmarkEnd w:id="88"/>
    </w:p>
    <w:p>
      <w:pPr>
        <w:pStyle w:val="Heading6"/>
        <w:numPr>
          <w:ilvl w:val="5"/>
          <w:numId w:val="1"/>
        </w:numPr>
        <w:rPr/>
      </w:pPr>
      <w:bookmarkStart w:id="89" w:name="__RefHeading___Toc5148582_2314609296"/>
      <w:bookmarkStart w:id="90" w:name="_Toc36"/>
      <w:bookmarkEnd w:id="89"/>
      <w:r>
        <w:rPr>
          <w:rtl w:val="true"/>
        </w:rPr>
        <w:t>مسألة لا إشکال فی ثبوته للمتبایعین إذا کانا أصیلین،</w:t>
      </w:r>
      <w:bookmarkEnd w:id="90"/>
    </w:p>
    <w:p>
      <w:pPr>
        <w:pStyle w:val="BookText"/>
        <w:rPr/>
      </w:pPr>
      <w:r>
        <w:rPr>
          <w:rFonts w:ascii="IRNazanin" w:hAnsi="IRNazanin" w:eastAsia="IRNazanin"/>
          <w:color w:val="111111"/>
          <w:sz w:val="28"/>
          <w:sz w:val="28"/>
          <w:szCs w:val="28"/>
          <w:rtl w:val="true"/>
          <w:lang w:bidi="fa-IR"/>
        </w:rPr>
        <w:t>و لا فی ثبوته للوکیلین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یثبت لهما مطلقاً؟خلاف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اشتری الوکیل أو باع أو تعاقد الوکیلان تعلّق الخیار بهما و بالموکّلین مع حضورهما فی المجلس،و إلّا فبالوکیلین، فلو مات الوکیل فی المجلس و الموکّل غائبٌ انتقل الخیار إلیه؛لأنّ ملکه أقوی من ملک الوارث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للشافعیّة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یتعلّق بالموکّل، 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یتعلّق بالوکیل </w:t>
      </w:r>
      <w:r>
        <w:rPr>
          <w:rStyle w:val="FootnoteAnchor"/>
          <w:rtl w:val="true"/>
        </w:rPr>
        <w:footnoteReference w:id="6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6"/>
        <w:numPr>
          <w:ilvl w:val="5"/>
          <w:numId w:val="1"/>
        </w:numPr>
        <w:rPr/>
      </w:pPr>
      <w:bookmarkStart w:id="91" w:name="__RefHeading___Toc5148584_2314609296"/>
      <w:bookmarkStart w:id="92" w:name="_Toc37"/>
      <w:bookmarkEnd w:id="91"/>
      <w:r>
        <w:rPr>
          <w:rtl w:val="true"/>
        </w:rPr>
        <w:t>[</w:t>
      </w:r>
      <w:r>
        <w:rPr>
          <w:rtl w:val="true"/>
        </w:rPr>
        <w:t>أقسام الوکیل</w:t>
      </w:r>
      <w:r>
        <w:rPr>
          <w:rtl w:val="true"/>
        </w:rPr>
        <w:t>]</w:t>
      </w:r>
      <w:bookmarkEnd w:id="92"/>
    </w:p>
    <w:p>
      <w:pPr>
        <w:pStyle w:val="Heading6"/>
        <w:numPr>
          <w:ilvl w:val="5"/>
          <w:numId w:val="1"/>
        </w:numPr>
        <w:rPr/>
      </w:pPr>
      <w:bookmarkStart w:id="93" w:name="__RefHeading___Toc5148586_2314609296"/>
      <w:bookmarkStart w:id="94" w:name="_Toc38"/>
      <w:bookmarkEnd w:id="93"/>
      <w:r>
        <w:rPr>
          <w:rtl w:val="true"/>
        </w:rPr>
        <w:t>[</w:t>
      </w:r>
      <w:r>
        <w:rPr/>
        <w:t>1</w:t>
      </w:r>
      <w:r>
        <w:rPr>
          <w:rtl w:val="true"/>
        </w:rPr>
        <w:t>-</w:t>
      </w:r>
      <w:r>
        <w:rPr>
          <w:rtl w:val="true"/>
        </w:rPr>
        <w:t>أن یکون وکیلا فی مجرد إجراء العقد</w:t>
      </w:r>
      <w:r>
        <w:rPr>
          <w:rtl w:val="true"/>
        </w:rPr>
        <w:t>]</w:t>
      </w:r>
      <w:bookmarkEnd w:id="94"/>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الوکیل إن کان وکیلاً فی مجرّد إجراء العقد،فالظاهر عدم ثبوت الخیار لهما وفاقاً لجماعةٍ منهم المحقّق و الشهید الثانیان </w:t>
      </w:r>
      <w:r>
        <w:rPr>
          <w:rStyle w:val="FootnoteAnchor"/>
          <w:rtl w:val="true"/>
        </w:rPr>
        <w:footnoteReference w:id="65"/>
      </w:r>
      <w:r>
        <w:rPr>
          <w:rFonts w:ascii="IRNazanin" w:hAnsi="IRNazanin" w:eastAsia="IRNazanin"/>
          <w:color w:val="111111"/>
          <w:sz w:val="28"/>
          <w:sz w:val="28"/>
          <w:szCs w:val="28"/>
          <w:rtl w:val="true"/>
          <w:lang w:bidi="fa-IR"/>
        </w:rPr>
        <w:t xml:space="preserve">لأنّ المتبادر من النصّ غیرهما و إن عمّمناه لبعض أفراد الوکیل </w:t>
      </w:r>
      <w:r>
        <w:rPr>
          <w:rStyle w:val="FootnoteAnchor"/>
          <w:rtl w:val="true"/>
        </w:rPr>
        <w:footnoteReference w:id="66"/>
      </w:r>
      <w:r>
        <w:rPr>
          <w:rFonts w:ascii="IRNazanin" w:hAnsi="IRNazanin" w:eastAsia="IRNazanin"/>
          <w:color w:val="111111"/>
          <w:sz w:val="28"/>
          <w:sz w:val="28"/>
          <w:szCs w:val="28"/>
          <w:rtl w:val="true"/>
          <w:lang w:bidi="fa-IR"/>
        </w:rPr>
        <w:t xml:space="preserve">و لم نقل بما قیل </w:t>
      </w:r>
      <w:r>
        <w:rPr>
          <w:rStyle w:val="FootnoteAnchor"/>
          <w:rtl w:val="true"/>
        </w:rPr>
        <w:footnoteReference w:id="67"/>
      </w:r>
      <w:r>
        <w:rPr>
          <w:rFonts w:ascii="IRNazanin" w:hAnsi="IRNazanin" w:eastAsia="IRNazanin"/>
          <w:color w:val="111111"/>
          <w:sz w:val="28"/>
          <w:sz w:val="28"/>
          <w:szCs w:val="28"/>
          <w:rtl w:val="true"/>
          <w:lang w:bidi="fa-IR"/>
        </w:rPr>
        <w:t xml:space="preserve">تبعاً لجامع المقاصد </w:t>
      </w:r>
      <w:r>
        <w:rPr>
          <w:rStyle w:val="FootnoteAnchor"/>
          <w:rtl w:val="true"/>
        </w:rPr>
        <w:footnoteReference w:id="68"/>
      </w:r>
      <w:r>
        <w:rPr>
          <w:rFonts w:ascii="IRNazanin" w:hAnsi="IRNazanin" w:eastAsia="IRNazanin"/>
          <w:color w:val="111111"/>
          <w:sz w:val="28"/>
          <w:sz w:val="28"/>
          <w:szCs w:val="28"/>
          <w:rtl w:val="true"/>
          <w:lang w:bidi="fa-IR"/>
        </w:rPr>
        <w:t>بانصرافه</w:t>
      </w:r>
    </w:p>
    <w:p>
      <w:pPr>
        <w:pStyle w:val="BookText"/>
        <w:rPr/>
      </w:pPr>
      <w:r>
        <w:rPr>
          <w:rFonts w:ascii="IRNazanin" w:hAnsi="IRNazanin" w:eastAsia="IRNazanin"/>
          <w:color w:val="111111"/>
          <w:sz w:val="28"/>
          <w:sz w:val="28"/>
          <w:szCs w:val="28"/>
          <w:rtl w:val="true"/>
          <w:lang w:bidi="fa-IR"/>
        </w:rPr>
        <w:t>بحکم الغلبة إلی خصوص العاقد المالک؛مضافاً إلی أنّ مفاد أدلّة الخیار إثبات حقٍّ و سلطنةٍ لکلٍّ من المتعاقدین علی ما انتقل إلی الآخر بعد الفراغ عن تسلّطه علی ما انتقل إلیه،فلا یثبت بها هذا التسلّط لو لم یکن مفروغاً عنه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شکّ المشتری فی کون المبیع ممّن ینعتق علیه لقرابةٍ أو یجب صرفه لنفقةٍ أو إعتاقه لنذرٍ،فلا یمکن الحکم بعدم وجوبه لأدلّة الخیار،بزعم إثباتها للخیار المستلزم لجواز ردّه علی البائع و عدم وجوب عتقه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مضافاً إلی ملاحظة بعض أخبار هذا الخیار المقرون فیه بینه و بین خیار الحیوان </w:t>
      </w:r>
      <w:r>
        <w:rPr>
          <w:rStyle w:val="FootnoteAnchor"/>
          <w:rtl w:val="true"/>
        </w:rPr>
        <w:footnoteReference w:id="69"/>
      </w:r>
      <w:r>
        <w:rPr>
          <w:rFonts w:ascii="IRNazanin" w:hAnsi="IRNazanin" w:eastAsia="IRNazanin"/>
          <w:color w:val="111111"/>
          <w:sz w:val="28"/>
          <w:sz w:val="28"/>
          <w:szCs w:val="28"/>
          <w:rtl w:val="true"/>
          <w:lang w:bidi="fa-IR"/>
        </w:rPr>
        <w:t>،الذی لا یرضی الفقیه بالتزام ثبوته للوکیل فی إجراء الصیغة،فإنّ المقام و إن لم یکن من تعارض المطلق و المقیّد إلّا أنّ سیاق الجمیع یشهد باتّحاد المراد من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المتبایعین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ملاحظة حکمة الخیار تبعّد ثبوته للوکیل المذکور؛مضافاً إلی أدلّة سائر الخیارات، فإنّ القول بثبوتها لمُوقع الصیغة لا ینبغی من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عدم دخوله فی إطلاق العبارة المتقدّمة عن التذکرة </w:t>
      </w:r>
      <w:r>
        <w:rPr>
          <w:rStyle w:val="FootnoteAnchor"/>
          <w:rtl w:val="true"/>
        </w:rPr>
        <w:footnoteReference w:id="70"/>
      </w:r>
      <w:r>
        <w:rPr>
          <w:rFonts w:ascii="IRNazanin" w:hAnsi="IRNazanin" w:eastAsia="IRNazanin"/>
          <w:color w:val="111111"/>
          <w:sz w:val="28"/>
          <w:sz w:val="28"/>
          <w:szCs w:val="28"/>
          <w:rtl w:val="true"/>
          <w:lang w:bidi="fa-IR"/>
        </w:rPr>
        <w:t>، فإنّ الظاهر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 الوکیل أو 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الوکیل بالبیع و الشراء،لا مجرّد إیقاع الصیغة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جمیع ذلک یظهر ضعف القول بثبوته للوکیلین المذکورین،کما</w:t>
      </w:r>
      <w:bookmarkStart w:id="95" w:name="pg19864_220656"/>
    </w:p>
    <w:p>
      <w:pPr>
        <w:pStyle w:val="BookText"/>
        <w:rPr/>
      </w:pPr>
      <w:bookmarkEnd w:id="95"/>
      <w:r>
        <w:rPr>
          <w:rFonts w:ascii="IRNazanin" w:hAnsi="IRNazanin" w:eastAsia="IRNazanin"/>
          <w:color w:val="111111"/>
          <w:sz w:val="28"/>
          <w:sz w:val="28"/>
          <w:szCs w:val="28"/>
          <w:rtl w:val="true"/>
          <w:lang w:bidi="fa-IR"/>
        </w:rPr>
        <w:t xml:space="preserve">هو ظاهر الحدائق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أضعف منه تعمیم الحکم لصورة منع الموکّل من الفسخ بزعم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الخیار حقٌّ ثبت للعاقد بمجرّد إجرائه للعقد،فلا یبطل بمنع الموکّل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المختار،فهل یثبت للموکِّلَین؟فیه إشکالٌ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أنّ الظاهر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النصّ المتعاقدان،فلا یعمّ الموکّلین؛ و ذکروا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حلف علی عدم البیع لم یحنث ببیع وکیله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أنّ الوکیلین فیما نحن فیه کالآلة للمالکین،و نسبة الفعل إلیهما شائعة،و لذا لا یتبادر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 فلان ملکه الکذائی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مباشراً للصیغة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الحِنث بمجرّد التوکیل فی إجراء الصیغة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فالأقوی ثبوته لهما و لکن مع حضورهما فی مجلس العقد،و المراد به مجلسهما المضاف عرفاً إلی العقد،فلو جلس هذا فی مکانٍ و ذاک فی مکانٍ آخر فاطّلعا علی عقد الوکیلین،فمجرّد ذلک لا یوجب الخیار لهما، إلّا إذا صدق کون مکانیهما مجلساً لذلک العقد،بحیث یکون الوکیلان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لسانی الموکّلین،و العبرة بافتراق الموکّلین عن هذا المجلس لا بالوکیلین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إن کان وکیلاً فی مجرّد إیقاع العقد</w:t>
      </w:r>
      <w:r>
        <w:rPr>
          <w:rFonts w:eastAsia="IRNazanin" w:cs="IRNazanin"/>
          <w:color w:val="111111"/>
          <w:sz w:val="28"/>
          <w:szCs w:val="28"/>
          <w:rtl w:val="true"/>
          <w:lang w:bidi="fa-IR"/>
        </w:rPr>
        <w:t>.</w:t>
      </w:r>
    </w:p>
    <w:p>
      <w:pPr>
        <w:pStyle w:val="Heading6"/>
        <w:numPr>
          <w:ilvl w:val="5"/>
          <w:numId w:val="1"/>
        </w:numPr>
        <w:rPr/>
      </w:pPr>
      <w:bookmarkStart w:id="96" w:name="__RefHeading___Toc5148588_2314609296"/>
      <w:bookmarkStart w:id="97" w:name="_Toc39"/>
      <w:bookmarkEnd w:id="96"/>
      <w:r>
        <w:rPr>
          <w:rtl w:val="true"/>
        </w:rPr>
        <w:t>[</w:t>
      </w:r>
      <w:r>
        <w:rPr/>
        <w:t>2</w:t>
      </w:r>
      <w:r>
        <w:rPr>
          <w:rtl w:val="true"/>
        </w:rPr>
        <w:t>-</w:t>
      </w:r>
      <w:r>
        <w:rPr>
          <w:rtl w:val="true"/>
        </w:rPr>
        <w:t>أن یکون وکیلا مستقلا فی التصرف المالی</w:t>
      </w:r>
      <w:r>
        <w:rPr>
          <w:rtl w:val="true"/>
        </w:rPr>
        <w:t>]</w:t>
      </w:r>
      <w:bookmarkEnd w:id="9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وکیلاً فی التصرّف المالی کأکثر الوکلاء،فإن کان مستقلا فی التصرّف فی مال الموکّل بحیث یشمل فسخ المعاوضة بعد تحقّقها نظیر العامل فی القراض و أولیاء القاصرین فالظاهر ثبوت الخیار له،</w:t>
      </w:r>
    </w:p>
    <w:p>
      <w:pPr>
        <w:pStyle w:val="BookText"/>
        <w:rPr/>
      </w:pPr>
      <w:r>
        <w:rPr>
          <w:rFonts w:ascii="Amiri" w:hAnsi="Amiri" w:eastAsia="Amiri" w:cs="Amiri"/>
          <w:color w:val="111111"/>
          <w:sz w:val="28"/>
          <w:sz w:val="28"/>
          <w:szCs w:val="28"/>
          <w:rtl w:val="true"/>
          <w:lang w:bidi="ar-SA"/>
        </w:rPr>
        <w:t>لعموم النصّ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دعوی تبادر المالکین ممنوعةٌ،خصوصاً إذا استندت إلی الغلبة، فإنّ معاملة الوکلاء و الأولیاء لا تحصی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هل یثبت للموکّلین أیضاً مع حضورهما کما تقدّم عن التذکرة </w:t>
      </w:r>
      <w:r>
        <w:rPr>
          <w:rStyle w:val="FootnoteAnchor"/>
          <w:rtl w:val="true"/>
        </w:rPr>
        <w:footnoteReference w:id="72"/>
      </w:r>
      <w:r>
        <w:rPr>
          <w:rFonts w:ascii="Amiri" w:hAnsi="Amiri" w:eastAsia="Amiri" w:cs="Amiri"/>
          <w:color w:val="111111"/>
          <w:sz w:val="28"/>
          <w:sz w:val="28"/>
          <w:szCs w:val="28"/>
          <w:rtl w:val="true"/>
          <w:lang w:bidi="ar-SA"/>
        </w:rPr>
        <w:t>؟ إشکالٌ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تبادر المتعاقدین من النصّ،و قد تقدّم عدم حِنث الحالف علی ترک البیع ببیع وکیله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أنّ المستفاد من أدلّة سائر الخیارات و خیار الحیوان المقرون بهذا الخیار فی بعض النصوص </w:t>
      </w:r>
      <w:r>
        <w:rPr>
          <w:rStyle w:val="FootnoteAnchor"/>
          <w:rtl w:val="true"/>
        </w:rPr>
        <w:footnoteReference w:id="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کون الخیار حقّا لصاحب المال،شُرّع </w:t>
      </w:r>
      <w:r>
        <w:rPr>
          <w:rStyle w:val="FootnoteAnchor"/>
          <w:rtl w:val="true"/>
        </w:rPr>
        <w:footnoteReference w:id="74"/>
      </w:r>
      <w:r>
        <w:rPr>
          <w:rFonts w:ascii="IRNazanin" w:hAnsi="IRNazanin" w:eastAsia="IRNazanin"/>
          <w:color w:val="111111"/>
          <w:sz w:val="28"/>
          <w:sz w:val="28"/>
          <w:szCs w:val="28"/>
          <w:rtl w:val="true"/>
          <w:lang w:bidi="fa-IR"/>
        </w:rPr>
        <w:t>إرفاقاً له،و أنّ ثبوته للوکیل لکونه نائباً عنه یستلزم ثبوته للمنوب عنه، إلّا أن یدّعی مدخلیّة المباشرة للعقد،فلا یثبت لغیر المباشر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الوجه الأخیر لا یخلو عن قوّةٍ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حینئذٍ فقد یتحقّق فی عقدٍ واحدٍ الخیار لأشخاصٍ کثیرةٍ من طرفٍ واحدٍ أو من الطرفین،فکلّ من سبق من أهل الطرف الواحد إلی إعماله نفذ و سقط خیار الباقین بلزوم العقد أو بانفساخه،و لیس المقام من تقدیم الفاسخ علی المجیز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bookmarkStart w:id="98" w:name="pg19864_220658"/>
    </w:p>
    <w:p>
      <w:pPr>
        <w:pStyle w:val="BookText"/>
        <w:rPr/>
      </w:pPr>
      <w:bookmarkEnd w:id="98"/>
      <w:r>
        <w:rPr>
          <w:rFonts w:ascii="IRNazanin" w:hAnsi="IRNazanin" w:eastAsia="IRNazanin"/>
          <w:color w:val="111111"/>
          <w:sz w:val="28"/>
          <w:sz w:val="28"/>
          <w:szCs w:val="28"/>
          <w:rtl w:val="true"/>
          <w:lang w:bidi="fa-IR"/>
        </w:rPr>
        <w:t xml:space="preserve">ثمّ علی المختار من ثبوته للموکِّلین،فهل العبرة فیه بتفرّقهما عن مجلسهما حال العقد،أو عن مجلس العقد،أو بتفرّق المتعاقدین،أو بتفرّق الکلّ،فیکفی بقاء أصیلٍ مع وکیل الآخر </w:t>
      </w:r>
      <w:r>
        <w:rPr>
          <w:rStyle w:val="FootnoteAnchor"/>
          <w:rtl w:val="true"/>
        </w:rPr>
        <w:footnoteReference w:id="76"/>
      </w:r>
      <w:r>
        <w:rPr>
          <w:rFonts w:ascii="IRNazanin" w:hAnsi="IRNazanin" w:eastAsia="IRNazanin"/>
          <w:color w:val="111111"/>
          <w:sz w:val="28"/>
          <w:sz w:val="28"/>
          <w:szCs w:val="28"/>
          <w:rtl w:val="true"/>
          <w:lang w:bidi="fa-IR"/>
        </w:rPr>
        <w:t>فی مجلس العقد؟ وجوهٌ،أقواها الأخیر</w:t>
      </w:r>
      <w:r>
        <w:rPr>
          <w:rFonts w:eastAsia="IRNazanin" w:cs="IRNazanin"/>
          <w:color w:val="111111"/>
          <w:sz w:val="28"/>
          <w:szCs w:val="28"/>
          <w:rtl w:val="true"/>
          <w:lang w:bidi="fa-IR"/>
        </w:rPr>
        <w:t>.</w:t>
      </w:r>
    </w:p>
    <w:p>
      <w:pPr>
        <w:pStyle w:val="Heading6"/>
        <w:numPr>
          <w:ilvl w:val="5"/>
          <w:numId w:val="1"/>
        </w:numPr>
        <w:rPr/>
      </w:pPr>
      <w:bookmarkStart w:id="99" w:name="__RefHeading___Toc5148590_2314609296"/>
      <w:bookmarkStart w:id="100" w:name="_Toc40"/>
      <w:bookmarkEnd w:id="99"/>
      <w:r>
        <w:rPr>
          <w:rtl w:val="true"/>
        </w:rPr>
        <w:t>[</w:t>
      </w:r>
      <w:r>
        <w:rPr/>
        <w:t>3</w:t>
      </w:r>
      <w:r>
        <w:rPr>
          <w:rtl w:val="true"/>
        </w:rPr>
        <w:t>-</w:t>
      </w:r>
      <w:r>
        <w:rPr>
          <w:rtl w:val="true"/>
        </w:rPr>
        <w:t>أن لا یکون مستقلا فی التصرف</w:t>
      </w:r>
      <w:r>
        <w:rPr>
          <w:rtl w:val="true"/>
        </w:rPr>
        <w:t>]</w:t>
      </w:r>
      <w:bookmarkEnd w:id="100"/>
    </w:p>
    <w:p>
      <w:pPr>
        <w:pStyle w:val="BookText"/>
        <w:rPr/>
      </w:pPr>
      <w:r>
        <w:rPr>
          <w:rFonts w:ascii="IRNazanin" w:hAnsi="IRNazanin" w:eastAsia="IRNazanin"/>
          <w:color w:val="111111"/>
          <w:sz w:val="28"/>
          <w:sz w:val="28"/>
          <w:szCs w:val="28"/>
          <w:rtl w:val="true"/>
          <w:lang w:bidi="fa-IR"/>
        </w:rPr>
        <w:t>و إن لم یکن مستقلا فی التصرّف فی مال الموکّل قبل العقد و بعده،بل کان وکیلاً فی التصرّف علی وجه المعاوضة کما إذا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اشتر لی عبداً فالظاهر حینئذٍ عدم الخیار للوکیل،لا لانصراف الإطلاق إلی غیر ذلک،بل لما ذکرنا فی القسم الأوّل </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إطلاق أدلّة الخیار مسوقٌ لإفادة سلطنة کلٍّ من العاقدین علی ما نقله عنه بعد الفراغ عن تمکّنه من ردّ ما انتقل إلیه،فلا تنهض لإثبات هذا التمکّن عند الشکّ فیه،و لا لتخصیص ما دلّ علی سلطنة الموکّل علی ما انتقل إلیه المستلزمة لعدم جواز تصرّف الوکیل فیه بردّه إلی مالکه الأصلی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ثبوته للموکّلین ما تقدّم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الأقوی اعتبار الافتراق عن مجلس العقد کما عرفت فی سابقه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1" w:name="__RefHeading___Toc5148592_2314609296"/>
      <w:bookmarkStart w:id="102" w:name="_Toc41"/>
      <w:bookmarkEnd w:id="101"/>
      <w:r>
        <w:rPr>
          <w:rtl w:val="true"/>
        </w:rPr>
        <w:t>[</w:t>
      </w:r>
      <w:r>
        <w:rPr>
          <w:rtl w:val="true"/>
        </w:rPr>
        <w:t>هل للموکل تفویض حق الخیار إلی الوکیل؟</w:t>
      </w:r>
      <w:r>
        <w:rPr>
          <w:rtl w:val="true"/>
        </w:rPr>
        <w:t>]</w:t>
      </w:r>
      <w:bookmarkEnd w:id="102"/>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هل للموکّل بناءً علی ثبوت الخیار له تفویض الأمر إلی الوکیل بحیث یصیر ذا حقٍّ خیاری؟الأقوی العدم؛لأنّ المتیقّن من</w:t>
      </w:r>
      <w:bookmarkStart w:id="103" w:name="pg19864_220659"/>
    </w:p>
    <w:p>
      <w:pPr>
        <w:pStyle w:val="BookText"/>
        <w:rPr/>
      </w:pPr>
      <w:bookmarkEnd w:id="103"/>
      <w:r>
        <w:rPr>
          <w:rFonts w:ascii="IRNazanin" w:hAnsi="IRNazanin" w:eastAsia="IRNazanin"/>
          <w:color w:val="111111"/>
          <w:sz w:val="28"/>
          <w:sz w:val="28"/>
          <w:szCs w:val="28"/>
          <w:rtl w:val="true"/>
          <w:lang w:bidi="fa-IR"/>
        </w:rPr>
        <w:t>الدلیل ثبوت الخیار للعاقد فی صورة القول به عند العقد لا لحوقه له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نعم،یمکن توکیله فی الفسخ أو فی مطلق التصرّف فسخاً أو التزاماً</w:t>
      </w:r>
      <w:r>
        <w:rPr>
          <w:rFonts w:eastAsia="IRNazanin" w:cs="IRNazanin"/>
          <w:color w:val="111111"/>
          <w:sz w:val="28"/>
          <w:szCs w:val="28"/>
          <w:rtl w:val="true"/>
          <w:lang w:bidi="fa-IR"/>
        </w:rPr>
        <w:t>.</w:t>
      </w:r>
    </w:p>
    <w:p>
      <w:pPr>
        <w:pStyle w:val="Heading6"/>
        <w:numPr>
          <w:ilvl w:val="5"/>
          <w:numId w:val="1"/>
        </w:numPr>
        <w:rPr/>
      </w:pPr>
      <w:bookmarkStart w:id="104" w:name="__RefHeading___Toc5148594_2314609296"/>
      <w:bookmarkStart w:id="105" w:name="_Toc42"/>
      <w:bookmarkEnd w:id="104"/>
      <w:r>
        <w:rPr>
          <w:rtl w:val="true"/>
        </w:rPr>
        <w:t>[</w:t>
      </w:r>
      <w:r>
        <w:rPr>
          <w:rtl w:val="true"/>
        </w:rPr>
        <w:t>عدم ثبوت الخیار للفضولی</w:t>
      </w:r>
      <w:r>
        <w:rPr>
          <w:rtl w:val="true"/>
        </w:rPr>
        <w:t>]</w:t>
      </w:r>
      <w:bookmarkEnd w:id="105"/>
    </w:p>
    <w:p>
      <w:pPr>
        <w:pStyle w:val="BookText"/>
        <w:rPr/>
      </w:pPr>
      <w:r>
        <w:rPr>
          <w:rFonts w:ascii="IRNazanin" w:hAnsi="IRNazanin" w:eastAsia="IRNazanin"/>
          <w:color w:val="111111"/>
          <w:sz w:val="28"/>
          <w:sz w:val="28"/>
          <w:szCs w:val="28"/>
          <w:rtl w:val="true"/>
          <w:lang w:bidi="fa-IR"/>
        </w:rPr>
        <w:t>و ممّا ذکرنا اتّضح عدم ثبوت الخیار للفضولیّین و إن جعلنا الإجازة کاشفةً،لا لعدم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المتبایعین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البیع النقل و لا نقل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قیل </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لاندفاعه بأنّ البیع النقل العرفی،و هو موجودٌ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نعم،ربما کان ظاهر الأخبار حصول الملک شرعاً بالبیع،و هذا المعنی منتفٍ فی الفضولی قبل 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مقتضی ذلک عدم الخیار فی الصرف و السلم قبل القبض،مع أنّ هذا المعنی لا یصحّ علی مذهب الشیخ القائل بتوقّف الملک علی انقضاء الخیار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فالوجه فی عدم ثبوته للفضولیّین فحوی 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عدم ثبوته للوکیلین الغیر المستقلّین </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نعم،فی ثبوته للمالکین بعد الإجازة مع حضورهما فی مجلس العقد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اعتبار مجلس الإجازة علی القول بالنقل،له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خصوصاً علی القول بأنّ الإجازة عقدٌ مستأنف، علی ما تقدّم توضیحه فی مسألة عقد الفضولی </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حینئذٍ الإنشاء أصالةً من أحدهما،و الإجازة من الآخر إذا جمعهما مجلسٌ</w:t>
      </w:r>
    </w:p>
    <w:p>
      <w:pPr>
        <w:pStyle w:val="BookText"/>
        <w:rPr/>
      </w:pPr>
      <w:r>
        <w:rPr>
          <w:rFonts w:ascii="IRNazanin" w:hAnsi="IRNazanin" w:eastAsia="IRNazanin"/>
          <w:color w:val="111111"/>
          <w:sz w:val="28"/>
          <w:sz w:val="28"/>
          <w:szCs w:val="28"/>
          <w:rtl w:val="true"/>
          <w:lang w:bidi="fa-IR"/>
        </w:rPr>
        <w:t>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نعم،یحتمل فی 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الإجازة من المجیز التزاماً بالعقد،فلا خیار بعدها خصوصاً إذا کانت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فرق فی الفضولیّین بین الغاصب و غیره،فلو تبایع غاصبان ثمّ تفاسخا لم یزُل العقد عن قابلیّة لحوق الإجازة،بخلاف ما لو ردّ الموجب منهما قبل قبول الآخر،لاختلال صورة المعاقدة،و اللّٰه العالم</w:t>
      </w:r>
      <w:r>
        <w:rPr>
          <w:rFonts w:eastAsia="IRNazanin" w:cs="IRNazanin"/>
          <w:color w:val="111111"/>
          <w:sz w:val="28"/>
          <w:szCs w:val="28"/>
          <w:rtl w:val="true"/>
          <w:lang w:bidi="fa-IR"/>
        </w:rPr>
        <w:t>.</w:t>
      </w:r>
      <w:bookmarkStart w:id="106" w:name="pg19864_220661"/>
    </w:p>
    <w:p>
      <w:pPr>
        <w:pStyle w:val="Heading6"/>
        <w:numPr>
          <w:ilvl w:val="5"/>
          <w:numId w:val="1"/>
        </w:numPr>
        <w:rPr/>
      </w:pPr>
      <w:bookmarkStart w:id="107" w:name="__RefHeading___Toc5148596_2314609296"/>
      <w:bookmarkStart w:id="108" w:name="_Toc43"/>
      <w:bookmarkEnd w:id="106"/>
      <w:bookmarkEnd w:id="107"/>
      <w:r>
        <w:rPr>
          <w:rtl w:val="true"/>
        </w:rPr>
        <w:t xml:space="preserve">مسألة </w:t>
      </w:r>
      <w:r>
        <w:rPr>
          <w:rtl w:val="true"/>
        </w:rPr>
        <w:t>[</w:t>
      </w:r>
      <w:r>
        <w:rPr>
          <w:rtl w:val="true"/>
        </w:rPr>
        <w:t>هل یثبت الخیار إذا کان العاقد واحدا؟</w:t>
      </w:r>
      <w:r>
        <w:rPr>
          <w:rtl w:val="true"/>
        </w:rPr>
        <w:t>]</w:t>
      </w:r>
      <w:bookmarkEnd w:id="108"/>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کان العاقد واحداً لنفسه أو غیره عن نفسه أو غیره ولایةً أو وکالةً علی وجهٍ یثبت له الخیار مع التعدّد بأن کان ولیّاً أو وکیلاً مستقلا فی التصرّف فالمحکیّ عن ظاهر الخلاف و القاضی و المحقّق </w:t>
      </w:r>
      <w:r>
        <w:rPr>
          <w:rStyle w:val="FootnoteAnchor"/>
          <w:rtl w:val="true"/>
        </w:rPr>
        <w:footnoteReference w:id="85"/>
      </w:r>
      <w:r>
        <w:rPr>
          <w:rFonts w:ascii="Amiri" w:hAnsi="Amiri" w:eastAsia="Amiri" w:cs="Amiri"/>
          <w:color w:val="111111"/>
          <w:sz w:val="28"/>
          <w:sz w:val="28"/>
          <w:szCs w:val="28"/>
          <w:rtl w:val="true"/>
          <w:lang w:bidi="ar-SA"/>
        </w:rPr>
        <w:t xml:space="preserve">و العلّامة </w:t>
      </w:r>
      <w:r>
        <w:rPr>
          <w:rStyle w:val="FootnoteAnchor"/>
          <w:rtl w:val="true"/>
        </w:rPr>
        <w:footnoteReference w:id="86"/>
      </w:r>
      <w:r>
        <w:rPr>
          <w:rFonts w:ascii="IRNazanin" w:hAnsi="IRNazanin" w:eastAsia="IRNazanin"/>
          <w:color w:val="111111"/>
          <w:sz w:val="28"/>
          <w:sz w:val="28"/>
          <w:szCs w:val="28"/>
          <w:rtl w:val="true"/>
          <w:lang w:bidi="fa-IR"/>
        </w:rPr>
        <w:t xml:space="preserve">و الشهیدین </w:t>
      </w:r>
      <w:r>
        <w:rPr>
          <w:rStyle w:val="FootnoteAnchor"/>
          <w:rtl w:val="true"/>
        </w:rPr>
        <w:footnoteReference w:id="87"/>
      </w:r>
      <w:r>
        <w:rPr>
          <w:rFonts w:ascii="IRNazanin" w:hAnsi="IRNazanin" w:eastAsia="IRNazanin"/>
          <w:color w:val="111111"/>
          <w:sz w:val="28"/>
          <w:sz w:val="28"/>
          <w:szCs w:val="28"/>
          <w:rtl w:val="true"/>
          <w:lang w:bidi="fa-IR"/>
        </w:rPr>
        <w:t xml:space="preserve">و المحقّق الثانی </w:t>
      </w:r>
      <w:r>
        <w:rPr>
          <w:rStyle w:val="FootnoteAnchor"/>
          <w:rtl w:val="true"/>
        </w:rPr>
        <w:footnoteReference w:id="88"/>
      </w:r>
      <w:r>
        <w:rPr>
          <w:rFonts w:ascii="IRNazanin" w:hAnsi="IRNazanin" w:eastAsia="IRNazanin"/>
          <w:color w:val="111111"/>
          <w:sz w:val="28"/>
          <w:sz w:val="28"/>
          <w:szCs w:val="28"/>
          <w:rtl w:val="true"/>
          <w:lang w:bidi="fa-IR"/>
        </w:rPr>
        <w:t xml:space="preserve">و المحقّق المیسی </w:t>
      </w:r>
      <w:r>
        <w:rPr>
          <w:rStyle w:val="FootnoteAnchor"/>
          <w:rtl w:val="true"/>
        </w:rPr>
        <w:footnoteReference w:id="89"/>
      </w:r>
      <w:r>
        <w:rPr>
          <w:rFonts w:ascii="IRNazanin" w:hAnsi="IRNazanin" w:eastAsia="IRNazanin"/>
          <w:color w:val="111111"/>
          <w:sz w:val="28"/>
          <w:sz w:val="28"/>
          <w:szCs w:val="28"/>
          <w:rtl w:val="true"/>
          <w:lang w:bidi="fa-IR"/>
        </w:rPr>
        <w:t xml:space="preserve">و الصیمری </w:t>
      </w:r>
      <w:r>
        <w:rPr>
          <w:rStyle w:val="FootnoteAnchor"/>
          <w:rtl w:val="true"/>
        </w:rPr>
        <w:footnoteReference w:id="90"/>
      </w:r>
      <w:r>
        <w:rPr>
          <w:rFonts w:ascii="IRNazanin" w:hAnsi="IRNazanin" w:eastAsia="IRNazanin"/>
          <w:color w:val="111111"/>
          <w:sz w:val="28"/>
          <w:sz w:val="28"/>
          <w:szCs w:val="28"/>
          <w:rtl w:val="true"/>
          <w:lang w:bidi="fa-IR"/>
        </w:rPr>
        <w:t>و غیرهم،ثبوتُ هذا الخیار له عن الاثنین؛لأنّه بائعٌ و مشترٍ،فله ما لکلٍّ منهما کسائر أحکامهما الثابتة لهما من حیث کونهما متبایعین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کون الخیار لکلٍّ منهما بشرط انفراده بإنشائه فلا یثبت مع قیام العنوانین بشخصٍ واحد،مندفعٌ باستقرار سائر أحکام المتبایعین، و جعل الغایة التفرّق المستلزم للتعدّد مبنیٌّ علی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خلافاً للمحکیّ فی التحریر من القول بالعدم </w:t>
      </w:r>
      <w:r>
        <w:rPr>
          <w:rStyle w:val="FootnoteAnchor"/>
          <w:rtl w:val="true"/>
        </w:rPr>
        <w:footnoteReference w:id="91"/>
      </w:r>
      <w:r>
        <w:rPr>
          <w:rFonts w:ascii="Amiri" w:hAnsi="Amiri" w:eastAsia="Amiri" w:cs="Amiri"/>
          <w:color w:val="111111"/>
          <w:sz w:val="28"/>
          <w:sz w:val="28"/>
          <w:szCs w:val="28"/>
          <w:rtl w:val="true"/>
          <w:lang w:bidi="ar-SA"/>
        </w:rPr>
        <w:t xml:space="preserve">،و استقربه فخر الدین قدّس اللّٰه سرّه </w:t>
      </w:r>
      <w:r>
        <w:rPr>
          <w:rStyle w:val="FootnoteAnchor"/>
          <w:rtl w:val="true"/>
        </w:rPr>
        <w:footnoteReference w:id="92"/>
      </w:r>
      <w:r>
        <w:rPr>
          <w:rFonts w:ascii="IRNazanin" w:hAnsi="IRNazanin" w:eastAsia="IRNazanin"/>
          <w:color w:val="111111"/>
          <w:sz w:val="28"/>
          <w:sz w:val="28"/>
          <w:szCs w:val="28"/>
          <w:rtl w:val="true"/>
          <w:lang w:bidi="fa-IR"/>
        </w:rPr>
        <w:t xml:space="preserve">،و مال إلیه المحقّق الأردبیلی </w:t>
      </w:r>
      <w:r>
        <w:rPr>
          <w:rStyle w:val="FootnoteAnchor"/>
          <w:rtl w:val="true"/>
        </w:rPr>
        <w:footnoteReference w:id="93"/>
      </w:r>
      <w:r>
        <w:rPr>
          <w:rFonts w:ascii="IRNazanin" w:hAnsi="IRNazanin" w:eastAsia="IRNazanin"/>
          <w:color w:val="111111"/>
          <w:sz w:val="28"/>
          <w:sz w:val="28"/>
          <w:szCs w:val="28"/>
          <w:rtl w:val="true"/>
          <w:lang w:bidi="fa-IR"/>
        </w:rPr>
        <w:t xml:space="preserve">و الفاضل الخراسانی </w:t>
      </w:r>
      <w:r>
        <w:rPr>
          <w:rStyle w:val="FootnoteAnchor"/>
          <w:rtl w:val="true"/>
        </w:rPr>
        <w:footnoteReference w:id="94"/>
      </w:r>
      <w:r>
        <w:rPr>
          <w:rFonts w:ascii="IRNazanin" w:hAnsi="IRNazanin" w:eastAsia="IRNazanin"/>
          <w:color w:val="111111"/>
          <w:sz w:val="28"/>
          <w:sz w:val="28"/>
          <w:szCs w:val="28"/>
          <w:rtl w:val="true"/>
          <w:lang w:bidi="fa-IR"/>
        </w:rPr>
        <w:t xml:space="preserve">و المحدّث البحرانی </w:t>
      </w:r>
      <w:r>
        <w:rPr>
          <w:rStyle w:val="FootnoteAnchor"/>
          <w:rtl w:val="true"/>
        </w:rPr>
        <w:footnoteReference w:id="95"/>
      </w:r>
      <w:r>
        <w:rPr>
          <w:rFonts w:ascii="IRNazanin" w:hAnsi="IRNazanin" w:eastAsia="IRNazanin"/>
          <w:color w:val="111111"/>
          <w:sz w:val="28"/>
          <w:sz w:val="28"/>
          <w:szCs w:val="28"/>
          <w:rtl w:val="true"/>
          <w:lang w:bidi="fa-IR"/>
        </w:rPr>
        <w:t xml:space="preserve">،و استظهره بعض الأفاضل ممّن عاصرناهم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یخلو عن قوّةٍ بالنظر إلی ظاهر النصّ؛لأنّ الموضوع فیه صورة التعدّد،و الغایة فیه الافتراق المستلزم للتعدّد،و لولاها لأمکن استظهار کون التعدّد فی الموضوع لبیان حکم کلٍّ من البائع و المشتری کسائر أحکامهما؛إذ لا یفرِّق العرف بین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المتبایعان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من البائع و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التقیید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یفترقا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فی اختصاص الحکم بصورة إمکان فرض الغایة،و لا یمکن فرض التفرّق فی غیر المتعدّد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یظهر سقوط القول بأنّ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تدخل علی الممکن و المستحیل،إلّا أن یدّعی أنّ التفرّق غایةٌ مختصّةٌ بصورة التعدّد،</w:t>
      </w:r>
    </w:p>
    <w:p>
      <w:pPr>
        <w:pStyle w:val="BookText"/>
        <w:rPr/>
      </w:pPr>
      <w:r>
        <w:rPr>
          <w:rFonts w:ascii="Amiri" w:hAnsi="Amiri" w:eastAsia="Amiri" w:cs="Amiri"/>
          <w:color w:val="111111"/>
          <w:sz w:val="28"/>
          <w:sz w:val="28"/>
          <w:szCs w:val="28"/>
          <w:rtl w:val="true"/>
          <w:lang w:bidi="ar-SA"/>
        </w:rPr>
        <w:t>لا مخصّصةٌ للحکم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بالجملة،فحکم المشهور بالنظر إلی ظاهر اللفظ مشکلٌ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یبعد بَعد تنقیح المناط،لکن الإشکال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الأولی التوقّف،تبعاً للتحریر و جامع المقاصد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لو قلنا بالخیار،فالظاهر بقاؤه إلی أن یسقط بأحد المسقطات غیر التفرّق</w:t>
      </w:r>
      <w:r>
        <w:rPr>
          <w:rFonts w:eastAsia="IRNazanin" w:cs="IRNazanin"/>
          <w:color w:val="111111"/>
          <w:sz w:val="28"/>
          <w:szCs w:val="28"/>
          <w:rtl w:val="true"/>
          <w:lang w:bidi="fa-IR"/>
        </w:rPr>
        <w:t>.</w:t>
      </w:r>
      <w:bookmarkStart w:id="109" w:name="pg19864_220664"/>
    </w:p>
    <w:p>
      <w:pPr>
        <w:pStyle w:val="Heading6"/>
        <w:numPr>
          <w:ilvl w:val="5"/>
          <w:numId w:val="1"/>
        </w:numPr>
        <w:rPr/>
      </w:pPr>
      <w:bookmarkStart w:id="110" w:name="__RefHeading___Toc5148598_2314609296"/>
      <w:bookmarkStart w:id="111" w:name="_Toc44"/>
      <w:bookmarkEnd w:id="109"/>
      <w:bookmarkEnd w:id="110"/>
      <w:r>
        <w:rPr>
          <w:rtl w:val="true"/>
        </w:rPr>
        <w:t>مسألة قد یستثنی بعض أشخاص المبیع عن عموم ثبوت هذا الخیار</w:t>
      </w:r>
      <w:r>
        <w:rPr>
          <w:rtl w:val="true"/>
        </w:rPr>
        <w:t>:</w:t>
      </w:r>
      <w:bookmarkEnd w:id="111"/>
    </w:p>
    <w:p>
      <w:pPr>
        <w:pStyle w:val="Heading6"/>
        <w:numPr>
          <w:ilvl w:val="5"/>
          <w:numId w:val="1"/>
        </w:numPr>
        <w:rPr/>
      </w:pPr>
      <w:bookmarkStart w:id="112" w:name="__RefHeading___Toc5148600_2314609296"/>
      <w:bookmarkStart w:id="113" w:name="_Toc45"/>
      <w:bookmarkEnd w:id="112"/>
      <w:r>
        <w:rPr>
          <w:rtl w:val="true"/>
        </w:rPr>
        <w:t>منها</w:t>
      </w:r>
      <w:r>
        <w:rPr>
          <w:rtl w:val="true"/>
        </w:rPr>
        <w:t xml:space="preserve">: </w:t>
      </w:r>
      <w:r>
        <w:rPr>
          <w:rtl w:val="true"/>
        </w:rPr>
        <w:t>من ینعتق علی أحد المتبایعین،</w:t>
      </w:r>
      <w:bookmarkEnd w:id="113"/>
    </w:p>
    <w:p>
      <w:pPr>
        <w:pStyle w:val="BookText"/>
        <w:rPr/>
      </w:pPr>
      <w:r>
        <w:rPr>
          <w:rFonts w:ascii="IRNazanin" w:hAnsi="IRNazanin" w:eastAsia="IRNazanin"/>
          <w:color w:val="111111"/>
          <w:sz w:val="28"/>
          <w:sz w:val="28"/>
          <w:szCs w:val="28"/>
          <w:rtl w:val="true"/>
          <w:lang w:bidi="fa-IR"/>
        </w:rPr>
        <w:t xml:space="preserve">و المشهور کما قیل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الخیار مطلقاً،بل عن ظاهر المسالک أنّه محلّ وفاق </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احتمل فی الدروس ثبوت الخیار للبائع </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فیه مبنیٌّ علی قول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عدم توقّف الملک علی انقضاء الخیار،و إلّا فلا إشکال فی ثبوت الخیار</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أنّه لا إشکال فی عدم ثبوت الخیار بالنسبة إلی نفس العین؛لأنّ مقتضی الأدلّة الانعتاق بمجرّد الملک،و الفسخ بالخیار من حینه لا من أصله،و لا دلیل علی زواله بالفسخ مع قیام الدلیل علی عدم</w:t>
      </w:r>
    </w:p>
    <w:p>
      <w:pPr>
        <w:pStyle w:val="BookText"/>
        <w:rPr/>
      </w:pPr>
      <w:r>
        <w:rPr>
          <w:rFonts w:ascii="IRNazanin" w:hAnsi="IRNazanin" w:eastAsia="IRNazanin"/>
          <w:color w:val="111111"/>
          <w:sz w:val="28"/>
          <w:sz w:val="28"/>
          <w:szCs w:val="28"/>
          <w:rtl w:val="true"/>
          <w:lang w:bidi="fa-IR"/>
        </w:rPr>
        <w:t xml:space="preserve">زوال الحرّیة بعد تحقّقها إلّا علی احتمالٍ ضعّفه فی التحریر فیما لو ظهر من ینعتق علیه معیباً </w:t>
      </w:r>
      <w:r>
        <w:rPr>
          <w:rStyle w:val="FootnoteAnchor"/>
          <w:rtl w:val="true"/>
        </w:rPr>
        <w:footnoteReference w:id="101"/>
      </w:r>
      <w:r>
        <w:rPr>
          <w:rFonts w:ascii="Amiri" w:hAnsi="Amiri" w:eastAsia="Amiri" w:cs="Amiri"/>
          <w:color w:val="111111"/>
          <w:sz w:val="28"/>
          <w:sz w:val="28"/>
          <w:szCs w:val="28"/>
          <w:rtl w:val="true"/>
          <w:lang w:bidi="ar-SA"/>
        </w:rPr>
        <w:t>مبنیٍّ علی تزلزل العتق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الخیار بالنسبة إلی أخذ القیمة،فقد یقال </w:t>
      </w:r>
      <w:r>
        <w:rPr>
          <w:rStyle w:val="FootnoteAnchor"/>
          <w:rtl w:val="true"/>
        </w:rPr>
        <w:footnoteReference w:id="1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 الجمع بین أدلّة الخیار و دلیل عدم عود الحرّ إلی الرقّیة،فیفرض المنعتق کالتالف،فلمن انتقل إلیه أن یدفع القیمة و یستردّ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فی التذکرة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أنّه وطّن نفسه علی الغبن المالی،و المقصود من الخیار أن ینظر و یتروّی لدفع الغبن عن نفسه ممنوعٌ؛لأنّ التوطین علی شرائه عالماً بانعتاقه علیه لیس توطیناً علی الغبن من حیث المعاملة،و کذا لمن انتقل عنه أن یدفع الثمن و یأخذ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تغلیب جانب العتق </w:t>
      </w:r>
      <w:r>
        <w:rPr>
          <w:rStyle w:val="FootnoteAnchor"/>
          <w:rtl w:val="true"/>
        </w:rPr>
        <w:footnoteReference w:id="104"/>
      </w:r>
      <w:r>
        <w:rPr>
          <w:rFonts w:ascii="IRNazanin" w:hAnsi="IRNazanin" w:eastAsia="IRNazanin"/>
          <w:color w:val="111111"/>
          <w:sz w:val="28"/>
          <w:sz w:val="28"/>
          <w:szCs w:val="28"/>
          <w:rtl w:val="true"/>
          <w:lang w:bidi="fa-IR"/>
        </w:rPr>
        <w:t>إنّما یجدی مانعاً عن دفع العین</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وجه للخیار لمن انتقل إلیه؛لأنّ شراءه إتلافٌ له فی الحقیقة و إخراجٌ له عن المالیّة،و سیجیء سقوط الخیار بالإتلاف بل بأدنی تصرّف </w:t>
      </w:r>
      <w:r>
        <w:rPr>
          <w:rStyle w:val="FootnoteAnchor"/>
          <w:rtl w:val="true"/>
        </w:rPr>
        <w:footnoteReference w:id="105"/>
      </w:r>
      <w:r>
        <w:rPr>
          <w:rFonts w:ascii="IRNazanin" w:hAnsi="IRNazanin" w:eastAsia="IRNazanin"/>
          <w:color w:val="111111"/>
          <w:sz w:val="28"/>
          <w:sz w:val="28"/>
          <w:szCs w:val="28"/>
          <w:rtl w:val="true"/>
          <w:lang w:bidi="fa-IR"/>
        </w:rPr>
        <w:t>،فعدم ثبوته به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یظهر عدم ثبوت الخیار لمن انتقل عنه؛لأنّ بیعه ممّن ینعتق علیه إقدامٌ علی إتلافه و إخراجه عن المالیّة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إذا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الملک فی من ینعتق علیه تقدیریٌّ لا تحقیقی،فالمعاملة علیه من المتبایعین مواطاةٌ علی إخراجه عن المالیّة، و سلکه فی سلک ما لا یتموّل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حسنٌ مع علمهما،فتأمّل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یقال </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ثبوت الخیار لمن انتقل عنه مبنیٌّ علی أنّ الخیار و الانعتاق هل یحصلان بمجرّد البیع أو بعد ثبوت الملک آناً ما،أو الأوّل بالأوّل و الثانی بالثانی،أو العکس؟ فعلی الأوّلین و الأخیر یقوی القول بالعدم؛لأنصیّة أخبار العتق و کون القیمة بدل العین،فیمتنع استحقاقها من دون المبدل،و لسبق تعلّقه علی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قریباً الثبوت؛جمعاً بین الحقّین و دفعاً للمنافاة من البین،و عملاً بالنصّین و بالإجماع علی عدم إمکان زوال ید البائع عن العوضین،و تنزیلاً للفسخ منزلة الأرش مع ظهور عیبٍ فی أحدهما، و للعتق منزلة تلف العین،و لأنهم حکموا بجواز الفسخ و الرجوع إلی القیمة فیما إذا باع بشرط العتق فظهر کونه ممّن ینعتق علی المشتری،أو تعیّب بما یوجب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عدم الفرق بینه و بین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الثالث یتّجه الثانی؛لما مرّ،و لسبق تعلّق حقّ الخیار و عروض العتق</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کان المختار فی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بمجرّد العقد،و فی العتق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بعد الملک،و دلّ ظاهر الأخبار و کلام الأصحاب علی أنّ أحکام العقود و الإیقاعات تتبعها بمجرّد حصولها إذا لم یمنع عنها مانعٌ، من غیر فرقٍ بین الخیار و غیره،بل قد صرّحوا بأنّ الخیار یثبت بعد</w:t>
      </w:r>
    </w:p>
    <w:p>
      <w:pPr>
        <w:pStyle w:val="BookText"/>
        <w:rPr/>
      </w:pPr>
      <w:r>
        <w:rPr>
          <w:rFonts w:ascii="IRNazanin" w:hAnsi="IRNazanin" w:eastAsia="IRNazanin"/>
          <w:color w:val="111111"/>
          <w:sz w:val="28"/>
          <w:sz w:val="28"/>
          <w:szCs w:val="28"/>
          <w:rtl w:val="true"/>
          <w:lang w:bidi="fa-IR"/>
        </w:rPr>
        <w:t xml:space="preserve">العقد و أنّه علّةٌ و المعلول لا یتخلّف عن علّته،کما أنّ الانعتاق لا یتخلّف عن الملک،فالأقرب هو الأخیر،کما هو ظاهر المختلف و التحریر </w:t>
      </w:r>
      <w:r>
        <w:rPr>
          <w:rStyle w:val="FootnoteAnchor"/>
          <w:rtl w:val="true"/>
        </w:rPr>
        <w:footnoteReference w:id="107"/>
      </w:r>
      <w:r>
        <w:rPr>
          <w:rFonts w:ascii="IRNazanin" w:hAnsi="IRNazanin" w:eastAsia="IRNazanin"/>
          <w:color w:val="111111"/>
          <w:sz w:val="28"/>
          <w:sz w:val="28"/>
          <w:szCs w:val="28"/>
          <w:rtl w:val="true"/>
          <w:lang w:bidi="fa-IR"/>
        </w:rPr>
        <w:t xml:space="preserve">و مال إلیه الشهید </w:t>
      </w:r>
      <w:r>
        <w:rPr>
          <w:rStyle w:val="FootnoteAnchor"/>
          <w:rtl w:val="true"/>
        </w:rPr>
        <w:footnoteReference w:id="108"/>
      </w:r>
      <w:r>
        <w:rPr>
          <w:rFonts w:ascii="IRNazanin" w:hAnsi="IRNazanin" w:eastAsia="IRNazanin"/>
          <w:color w:val="111111"/>
          <w:sz w:val="28"/>
          <w:sz w:val="28"/>
          <w:szCs w:val="28"/>
          <w:rtl w:val="true"/>
          <w:lang w:bidi="fa-IR"/>
        </w:rPr>
        <w:t xml:space="preserve">إن لم یثبت الإجماع علی خلافه،و یؤیّده إطلاق الأکثر و دعوی ابن زهرة الإجماع علی ثبوت خیار المجلس فی جمیع ضروب البیع </w:t>
      </w:r>
      <w:r>
        <w:rPr>
          <w:rStyle w:val="FootnoteAnchor"/>
          <w:rtl w:val="true"/>
        </w:rPr>
        <w:footnoteReference w:id="109"/>
      </w:r>
      <w:r>
        <w:rPr>
          <w:rFonts w:ascii="IRNazanin" w:hAnsi="IRNazanin" w:eastAsia="IRNazanin"/>
          <w:color w:val="111111"/>
          <w:sz w:val="28"/>
          <w:sz w:val="28"/>
          <w:szCs w:val="28"/>
          <w:rtl w:val="true"/>
          <w:lang w:bidi="fa-IR"/>
        </w:rPr>
        <w:t xml:space="preserve">من غیر استثناءٍ </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کلامه </w:t>
      </w:r>
      <w:r>
        <w:rPr>
          <w:rStyle w:val="FootnoteAnchor"/>
          <w:rtl w:val="true"/>
        </w:rPr>
        <w:footnoteReference w:id="111"/>
      </w:r>
      <w:r>
        <w:rPr>
          <w:rFonts w:ascii="IRNazanin" w:hAnsi="IRNazanin" w:eastAsia="IRNazanin"/>
          <w:color w:val="111111"/>
          <w:sz w:val="28"/>
          <w:sz w:val="28"/>
          <w:szCs w:val="28"/>
          <w:rtl w:val="true"/>
          <w:lang w:bidi="fa-IR"/>
        </w:rPr>
        <w:t>،رفع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یعتبر فی فسخ العقد بالخیار أو بالتقایل خروج الملک عن ملک مَن انتقل إلیه إلی ملک مَن انتقل عنه نظراً إلی أنّ خروج أحد العوضین عن ملک أحدهما یستلزم دخول الآخر فیه و لو تقدیراً لم یکن وجهٌ للخیار فیما نحن فیه و لو قلنا بکون الخیار بمجرّد العقد و الانعتاق عقیب الملک آناً ما،إذ برفع العقد لا یقبل المنعتق علیه لأن یخرج من ملک المشتری إلی ملک البائع و لو تقدیراً؛إذ ملکیّة المشتری لمن ینعتق علیه لیس علی وجهٍ یترتّب علیه سوی الانعتاق، و لا یجوز تقدیره بعد الفسخ قبل الانعتاق خارجاً عن ملک المشتری إلی ملک البائع ثمّ انعتاقه مضموناً علی المشتری،کما لو فرض بیع المشتری للمبیع فی زمن الخیار ثمّ فسخ البائع</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الفاسخ یتلقّی الملک من المفسوخ علیه،و هذا غیر</w:t>
      </w:r>
    </w:p>
    <w:p>
      <w:pPr>
        <w:pStyle w:val="BookText"/>
        <w:rPr/>
      </w:pPr>
      <w:r>
        <w:rPr>
          <w:rFonts w:ascii="IRNazanin" w:hAnsi="IRNazanin" w:eastAsia="IRNazanin"/>
          <w:color w:val="111111"/>
          <w:sz w:val="28"/>
          <w:sz w:val="28"/>
          <w:szCs w:val="28"/>
          <w:rtl w:val="true"/>
          <w:lang w:bidi="fa-IR"/>
        </w:rPr>
        <w:t>حاصلٍ فیما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الفسخ لا یقتضی أزید من ردّ العین إن کان موجوداً و بدله إن کان تالفاً أو کالتالف،و لا یعتبر فی صورة التلف إمکان تقدیر تلقّی الفاسخ الملک من المفسوخ علیه و تملّکه منه،بل یکفی أن تکون العین المضمونةُ قبل الفسخ بثمنها مضمونةً بعد الفسخ بقیمتها مع التلف کما یشهد به الحکم بجواز الفسخ و الرجوع إلی القیمة فیما </w:t>
      </w:r>
      <w:r>
        <w:rPr>
          <w:rStyle w:val="FootnoteAnchor"/>
          <w:rtl w:val="true"/>
        </w:rPr>
        <w:footnoteReference w:id="112"/>
      </w:r>
      <w:r>
        <w:rPr>
          <w:rFonts w:ascii="Amiri" w:hAnsi="Amiri" w:eastAsia="Amiri" w:cs="Amiri"/>
          <w:color w:val="111111"/>
          <w:sz w:val="28"/>
          <w:sz w:val="28"/>
          <w:szCs w:val="28"/>
          <w:rtl w:val="true"/>
          <w:lang w:bidi="ar-SA"/>
        </w:rPr>
        <w:t xml:space="preserve">تقدّم من </w:t>
      </w:r>
      <w:r>
        <w:rPr>
          <w:rStyle w:val="FootnoteAnchor"/>
          <w:rtl w:val="true"/>
        </w:rPr>
        <w:footnoteReference w:id="113"/>
      </w:r>
      <w:r>
        <w:rPr>
          <w:rFonts w:ascii="IRNazanin" w:hAnsi="IRNazanin" w:eastAsia="IRNazanin"/>
          <w:color w:val="111111"/>
          <w:sz w:val="28"/>
          <w:sz w:val="28"/>
          <w:szCs w:val="28"/>
          <w:rtl w:val="true"/>
          <w:lang w:bidi="fa-IR"/>
        </w:rPr>
        <w:t xml:space="preserve">مسألة البیع بشرط العتق ثمّ ظهور المبیع منعتقاً علی المشتری </w:t>
      </w:r>
      <w:r>
        <w:rPr>
          <w:rStyle w:val="FootnoteAnchor"/>
          <w:rtl w:val="true"/>
        </w:rPr>
        <w:footnoteReference w:id="114"/>
      </w:r>
      <w:r>
        <w:rPr>
          <w:rFonts w:ascii="IRNazanin" w:hAnsi="IRNazanin" w:eastAsia="IRNazanin"/>
          <w:color w:val="111111"/>
          <w:sz w:val="28"/>
          <w:sz w:val="28"/>
          <w:szCs w:val="28"/>
          <w:rtl w:val="true"/>
          <w:lang w:bidi="fa-IR"/>
        </w:rPr>
        <w:t>،و حکمهم برجوع الفاسخ إلی القیمة لو وجد العین منتقلةً بعقدٍ لازمٍ مع عدم إمکان تقدیر عود الملک قبل الانتقال الذی هو بمنزلة التلف إلی الفاسخ کان الأوفق بعمومات الخیار القول به هنا و الرجوع إلی القیمة،إلّا مع إقدام المتبایعین علی المعاملة مع العلم بکونه ممّن ینعتق علیه،فالأقوی العدم؛لأنّهما قد تواطئا علی إخراجه عن المالیّة الذی هو بمنزلة إتلافه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بالجملة،فإنّ الخیار حقٌّ فی العین،و إنّما یتعلّق بالبدل بعد تعذّره لا ابتداءً،فإذا کان نقل العین إبطالاً لمالیّته و تفویتاً لمحلّ الخیار و </w:t>
      </w:r>
      <w:r>
        <w:rPr>
          <w:rStyle w:val="FootnoteAnchor"/>
          <w:rtl w:val="true"/>
        </w:rPr>
        <w:footnoteReference w:id="115"/>
      </w:r>
      <w:r>
        <w:rPr>
          <w:rFonts w:ascii="IRNazanin" w:hAnsi="IRNazanin" w:eastAsia="IRNazanin"/>
          <w:color w:val="111111"/>
          <w:sz w:val="28"/>
          <w:sz w:val="28"/>
          <w:szCs w:val="28"/>
          <w:rtl w:val="true"/>
          <w:lang w:bidi="fa-IR"/>
        </w:rPr>
        <w:t>کان کتفویت نفس الخیار باشتراط سقوطه،فلم یحدث حقٌّ فی العین حتّی یتعلّق ببدله</w:t>
      </w:r>
      <w:r>
        <w:rPr>
          <w:rFonts w:eastAsia="IRNazanin" w:cs="IRNazanin"/>
          <w:color w:val="111111"/>
          <w:sz w:val="28"/>
          <w:szCs w:val="28"/>
          <w:rtl w:val="true"/>
          <w:lang w:bidi="fa-IR"/>
        </w:rPr>
        <w:t>.</w:t>
      </w:r>
      <w:bookmarkStart w:id="114" w:name="pg19864_220669"/>
    </w:p>
    <w:p>
      <w:pPr>
        <w:pStyle w:val="BookText"/>
        <w:rPr/>
      </w:pPr>
      <w:bookmarkEnd w:id="114"/>
      <w:r>
        <w:rPr>
          <w:rFonts w:ascii="IRNazanin" w:hAnsi="IRNazanin" w:eastAsia="IRNazanin"/>
          <w:color w:val="111111"/>
          <w:sz w:val="28"/>
          <w:sz w:val="28"/>
          <w:szCs w:val="28"/>
          <w:rtl w:val="true"/>
          <w:lang w:bidi="fa-IR"/>
        </w:rPr>
        <w:t xml:space="preserve">و قد صرّح بعضهم بارتفاع خیار البائع بإتلاف المبیع </w:t>
      </w:r>
      <w:r>
        <w:rPr>
          <w:rStyle w:val="FootnoteAnchor"/>
          <w:rtl w:val="true"/>
        </w:rPr>
        <w:footnoteReference w:id="116"/>
      </w:r>
      <w:r>
        <w:rPr>
          <w:rFonts w:ascii="IRNazanin" w:hAnsi="IRNazanin" w:eastAsia="IRNazanin"/>
          <w:color w:val="111111"/>
          <w:sz w:val="28"/>
          <w:sz w:val="28"/>
          <w:szCs w:val="28"/>
          <w:rtl w:val="true"/>
          <w:lang w:bidi="fa-IR"/>
        </w:rPr>
        <w:t>و نقله إلی من ینعتق علیه کالإتلاف له من حیث المالیّة،فدفع الخیار به أولی و أهون من رفعه،فتأمّل</w:t>
      </w:r>
      <w:r>
        <w:rPr>
          <w:rFonts w:eastAsia="IRNazanin" w:cs="IRNazanin"/>
          <w:color w:val="111111"/>
          <w:sz w:val="28"/>
          <w:szCs w:val="28"/>
          <w:rtl w:val="true"/>
          <w:lang w:bidi="fa-IR"/>
        </w:rPr>
        <w:t>.</w:t>
      </w:r>
    </w:p>
    <w:p>
      <w:pPr>
        <w:pStyle w:val="Heading6"/>
        <w:numPr>
          <w:ilvl w:val="5"/>
          <w:numId w:val="1"/>
        </w:numPr>
        <w:rPr/>
      </w:pPr>
      <w:bookmarkStart w:id="115" w:name="__RefHeading___Toc5148602_2314609296"/>
      <w:bookmarkStart w:id="116" w:name="_Toc46"/>
      <w:bookmarkEnd w:id="115"/>
      <w:r>
        <w:rPr>
          <w:rtl w:val="true"/>
        </w:rPr>
        <w:t>و منها</w:t>
      </w:r>
      <w:r>
        <w:rPr>
          <w:rtl w:val="true"/>
        </w:rPr>
        <w:t xml:space="preserve">: </w:t>
      </w:r>
      <w:r>
        <w:rPr>
          <w:rtl w:val="true"/>
        </w:rPr>
        <w:t>العبد المسلم المشتری من الکافر</w:t>
      </w:r>
      <w:bookmarkEnd w:id="116"/>
    </w:p>
    <w:p>
      <w:pPr>
        <w:pStyle w:val="BookText"/>
        <w:rPr/>
      </w:pPr>
      <w:r>
        <w:rPr>
          <w:rFonts w:ascii="IRNazanin" w:hAnsi="IRNazanin" w:eastAsia="IRNazanin"/>
          <w:color w:val="111111"/>
          <w:sz w:val="28"/>
          <w:sz w:val="28"/>
          <w:szCs w:val="28"/>
          <w:rtl w:val="true"/>
          <w:lang w:bidi="fa-IR"/>
        </w:rPr>
        <w:t>بناءً علی عدم تملّک الکافر للمسلم اختیاراً،فإنّه قد یقال بعدم ثبوت الخیار لأحدهما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بالنسبة إلی العین فلفرض عدم جواز تملّک الکافر للمسلم و تملیکه إیّاه، و أمّا بالنسبة إلی القیمة فلما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الفسخ یتوقّف علی رجوع العین إلی مالکه الأصلی و لو تقدیراً </w:t>
      </w:r>
      <w:r>
        <w:rPr>
          <w:rStyle w:val="FootnoteAnchor"/>
          <w:rtl w:val="true"/>
        </w:rPr>
        <w:footnoteReference w:id="117"/>
      </w:r>
      <w:r>
        <w:rPr>
          <w:rFonts w:ascii="IRNazanin" w:hAnsi="IRNazanin" w:eastAsia="IRNazanin"/>
          <w:color w:val="111111"/>
          <w:sz w:val="28"/>
          <w:sz w:val="28"/>
          <w:szCs w:val="28"/>
          <w:rtl w:val="true"/>
          <w:lang w:bidi="fa-IR"/>
        </w:rPr>
        <w:t>لتکون مضمونةً له بقیمته علی من انتقل إلیه،و رجوع المسلم إلی الکافر غیر جائزٍ،و هذا هو المحکیّ عن حواشی الشهید رحمه اللّٰه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یباع و لا یثبت له خیار المجلس و لا الشرط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یرید بذلک عدم ثبوت الخیار للکافر فقط و إن ثبت للمشتری،فیوافق مقتضی کلام فخر الدین قدّس سرّه فی الإیضاح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البیع بالنسبة إلی الکافر استنقاذٌ،و بالنسبة إلی المشتری کالبیع </w:t>
      </w:r>
      <w:r>
        <w:rPr>
          <w:rStyle w:val="FootnoteAnchor"/>
          <w:rtl w:val="true"/>
        </w:rPr>
        <w:footnoteReference w:id="119"/>
      </w:r>
      <w:r>
        <w:rPr>
          <w:rFonts w:ascii="Amiri" w:hAnsi="Amiri" w:eastAsia="Amiri" w:cs="Amiri"/>
          <w:color w:val="111111"/>
          <w:sz w:val="28"/>
          <w:sz w:val="28"/>
          <w:szCs w:val="28"/>
          <w:rtl w:val="true"/>
          <w:lang w:bidi="ar-SA"/>
        </w:rPr>
        <w:t>بناءً منه علی عدم تملّک السیّد الکافر له؛لأنّ الملک سبیلٌ،و إنّما له حقّ استیفاء</w:t>
      </w:r>
    </w:p>
    <w:p>
      <w:pPr>
        <w:pStyle w:val="BookText"/>
        <w:rPr/>
      </w:pPr>
      <w:r>
        <w:rPr>
          <w:rFonts w:ascii="IRNazanin" w:hAnsi="IRNazanin" w:eastAsia="IRNazanin"/>
          <w:color w:val="111111"/>
          <w:sz w:val="28"/>
          <w:sz w:val="28"/>
          <w:szCs w:val="28"/>
          <w:rtl w:val="true"/>
          <w:lang w:bidi="fa-IR"/>
        </w:rPr>
        <w:t>ثمنه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 هذا التقدیر لا دلیل علی ثبوت الخیار للمشتری أیضاً؛لأنّ الظاهر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 xml:space="preserve">اختصاص الخیار بصورة تحقّق البیع من الطرفین؛مع أنّه لا معنی لتحقّق العقد البیعی من طرفٍ واحد،فإنّ شروط البیع إن کانت موجودة تحقّق من الطرفین و إلّا لم یتحقّق أصلاً،کما اعترف به بعضهم </w:t>
      </w:r>
      <w:r>
        <w:rPr>
          <w:rStyle w:val="FootnoteAnchor"/>
          <w:rtl w:val="true"/>
        </w:rPr>
        <w:footnoteReference w:id="121"/>
      </w:r>
      <w:r>
        <w:rPr>
          <w:rFonts w:ascii="IRNazanin" w:hAnsi="IRNazanin" w:eastAsia="IRNazanin"/>
          <w:color w:val="111111"/>
          <w:sz w:val="28"/>
          <w:sz w:val="28"/>
          <w:szCs w:val="28"/>
          <w:rtl w:val="true"/>
          <w:lang w:bidi="fa-IR"/>
        </w:rPr>
        <w:t>فی مسألة بیع الکافر الحربی من ینعتق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الأقوی فی المسألة وفاقاً لظاهر الأکثر </w:t>
      </w:r>
      <w:r>
        <w:rPr>
          <w:rStyle w:val="FootnoteAnchor"/>
          <w:rtl w:val="true"/>
        </w:rPr>
        <w:footnoteReference w:id="122"/>
      </w:r>
      <w:r>
        <w:rPr>
          <w:rFonts w:ascii="Amiri" w:hAnsi="Amiri" w:eastAsia="Amiri" w:cs="Amiri"/>
          <w:color w:val="111111"/>
          <w:sz w:val="28"/>
          <w:sz w:val="28"/>
          <w:szCs w:val="28"/>
          <w:rtl w:val="true"/>
          <w:lang w:bidi="ar-SA"/>
        </w:rPr>
        <w:t xml:space="preserve">و صریح کثیرٍ </w:t>
      </w:r>
      <w:r>
        <w:rPr>
          <w:rStyle w:val="FootnoteAnchor"/>
          <w:rtl w:val="true"/>
        </w:rPr>
        <w:footnoteReference w:id="123"/>
      </w:r>
      <w:r>
        <w:rPr>
          <w:rFonts w:ascii="IRNazanin" w:hAnsi="IRNazanin" w:eastAsia="IRNazanin"/>
          <w:color w:val="111111"/>
          <w:sz w:val="28"/>
          <w:sz w:val="28"/>
          <w:szCs w:val="28"/>
          <w:rtl w:val="true"/>
          <w:lang w:bidi="fa-IR"/>
        </w:rPr>
        <w:t xml:space="preserve">ثبوت الخیار فی المقام،و إن تردّد فی القواعد بین استرداد العین و </w:t>
      </w:r>
      <w:r>
        <w:rPr>
          <w:rStyle w:val="FootnoteAnchor"/>
          <w:rtl w:val="true"/>
        </w:rPr>
        <w:footnoteReference w:id="124"/>
      </w:r>
      <w:r>
        <w:rPr>
          <w:rFonts w:ascii="IRNazanin" w:hAnsi="IRNazanin" w:eastAsia="IRNazanin"/>
          <w:color w:val="111111"/>
          <w:sz w:val="28"/>
          <w:sz w:val="28"/>
          <w:szCs w:val="28"/>
          <w:rtl w:val="true"/>
          <w:lang w:bidi="fa-IR"/>
        </w:rPr>
        <w:t xml:space="preserve">القیمة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الرجوع بالقیمة مبنیٌّ علی إمکان تقدیر الملک فی ملک المالک الأصلی،لو أغمضنا عن منعه کما تقدّم فی المسألة السابقة </w:t>
      </w:r>
      <w:r>
        <w:rPr>
          <w:rStyle w:val="FootnoteAnchor"/>
          <w:rtl w:val="true"/>
        </w:rPr>
        <w:footnoteReference w:id="126"/>
      </w:r>
      <w:r>
        <w:rPr>
          <w:rFonts w:ascii="IRNazanin" w:hAnsi="IRNazanin" w:eastAsia="IRNazanin"/>
          <w:color w:val="111111"/>
          <w:sz w:val="28"/>
          <w:sz w:val="28"/>
          <w:szCs w:val="28"/>
          <w:rtl w:val="true"/>
          <w:lang w:bidi="fa-IR"/>
        </w:rPr>
        <w:t>غیر قادحٍ هنا؛لأنّ تقدیر المسلم فی ملک الکافر بمقدارٍ یثبت علیه بدله لیس سبیلاً للکافر علی المسلم،و لذا جوّزنا له شراء من</w:t>
      </w:r>
      <w:bookmarkStart w:id="117" w:name="pg19864_220671"/>
    </w:p>
    <w:p>
      <w:pPr>
        <w:pStyle w:val="BookText"/>
        <w:rPr/>
      </w:pPr>
      <w:bookmarkEnd w:id="117"/>
      <w:r>
        <w:rPr>
          <w:rFonts w:ascii="IRNazanin" w:hAnsi="IRNazanin" w:eastAsia="IRNazanin"/>
          <w:color w:val="111111"/>
          <w:sz w:val="28"/>
          <w:sz w:val="28"/>
          <w:szCs w:val="28"/>
          <w:rtl w:val="true"/>
          <w:lang w:bidi="fa-IR"/>
        </w:rPr>
        <w:t>ینعتق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مرّ بعض الکلام فی ذلک فی شروط المتعاقدین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8" w:name="__RefHeading___Toc5148604_2314609296"/>
      <w:bookmarkStart w:id="119" w:name="_Toc47"/>
      <w:bookmarkEnd w:id="118"/>
      <w:r>
        <w:rPr>
          <w:rtl w:val="true"/>
        </w:rPr>
        <w:t>و منها</w:t>
      </w:r>
      <w:r>
        <w:rPr>
          <w:rtl w:val="true"/>
        </w:rPr>
        <w:t xml:space="preserve">: </w:t>
      </w:r>
      <w:r>
        <w:rPr>
          <w:rtl w:val="true"/>
        </w:rPr>
        <w:t>شراء العبد نفسه بناءً علی جوازه</w:t>
      </w:r>
      <w:bookmarkEnd w:id="119"/>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الظاهر عدم الخیار فیه و لو بالنسبة إلی القیمة؛لعدم شمول أدلّة الخیار له،و اختاره فی التذکرة </w:t>
      </w:r>
      <w:r>
        <w:rPr>
          <w:rStyle w:val="FootnoteAnchor"/>
          <w:rtl w:val="true"/>
        </w:rPr>
        <w:footnoteReference w:id="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فیها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لو اشتری جَمَداً فی شدّة الحرّ ففی الخیار إشکالٌ </w:t>
      </w:r>
      <w:r>
        <w:rPr>
          <w:rStyle w:val="FootnoteAnchor"/>
          <w:rtl w:val="true"/>
        </w:rPr>
        <w:footnoteReference w:id="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من جهة احتمال اعتبار قابلیّة العین للبقاء بعد العقد لیتعلّق بها الخیار،فلا یندفع الإشکال بما فی 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الخیار لا یسقط بالتلف </w:t>
      </w:r>
      <w:r>
        <w:rPr>
          <w:rStyle w:val="FootnoteAnchor"/>
          <w:rtl w:val="true"/>
        </w:rPr>
        <w:footnoteReference w:id="130"/>
      </w:r>
      <w:r>
        <w:rPr>
          <w:rFonts w:ascii="IRNazanin" w:hAnsi="IRNazanin" w:eastAsia="IRNazanin"/>
          <w:color w:val="111111"/>
          <w:sz w:val="28"/>
          <w:sz w:val="28"/>
          <w:szCs w:val="28"/>
          <w:rtl w:val="true"/>
          <w:lang w:bidi="fa-IR"/>
        </w:rPr>
        <w:t>لأنّه لا یسقط به إذا ثبت قبله،فتأمّل</w:t>
      </w:r>
      <w:r>
        <w:rPr>
          <w:rFonts w:eastAsia="IRNazanin" w:cs="IRNazanin"/>
          <w:color w:val="111111"/>
          <w:sz w:val="28"/>
          <w:szCs w:val="28"/>
          <w:rtl w:val="true"/>
          <w:lang w:bidi="fa-IR"/>
        </w:rPr>
        <w:t>.</w:t>
      </w:r>
      <w:bookmarkStart w:id="120" w:name="pg19864_220672"/>
    </w:p>
    <w:p>
      <w:pPr>
        <w:pStyle w:val="Heading6"/>
        <w:numPr>
          <w:ilvl w:val="5"/>
          <w:numId w:val="1"/>
        </w:numPr>
        <w:rPr/>
      </w:pPr>
      <w:bookmarkStart w:id="121" w:name="__RefHeading___Toc5148606_2314609296"/>
      <w:bookmarkStart w:id="122" w:name="_Toc48"/>
      <w:bookmarkEnd w:id="120"/>
      <w:bookmarkEnd w:id="121"/>
      <w:r>
        <w:rPr>
          <w:rtl w:val="true"/>
        </w:rPr>
        <w:t>مسألة لا یثبت خیار المجلس فی شیءٍ من العقود سوی البیع عند علمائنا،</w:t>
      </w:r>
      <w:bookmarkEnd w:id="122"/>
    </w:p>
    <w:p>
      <w:pPr>
        <w:pStyle w:val="BookText"/>
        <w:rPr/>
      </w:pPr>
      <w:r>
        <w:rPr>
          <w:rFonts w:ascii="IRNazanin" w:hAnsi="IRNazanin" w:eastAsia="IRNazanin"/>
          <w:color w:val="111111"/>
          <w:sz w:val="28"/>
          <w:sz w:val="28"/>
          <w:szCs w:val="28"/>
          <w:rtl w:val="true"/>
          <w:lang w:bidi="fa-IR"/>
        </w:rPr>
        <w:t xml:space="preserve">کما فی التذکرة </w:t>
      </w:r>
      <w:r>
        <w:rPr>
          <w:rStyle w:val="FootnoteAnchor"/>
          <w:rtl w:val="true"/>
        </w:rPr>
        <w:footnoteReference w:id="131"/>
      </w:r>
      <w:r>
        <w:rPr>
          <w:rFonts w:ascii="IRNazanin" w:hAnsi="IRNazanin" w:eastAsia="IRNazanin"/>
          <w:color w:val="111111"/>
          <w:sz w:val="28"/>
          <w:sz w:val="28"/>
          <w:szCs w:val="28"/>
          <w:rtl w:val="true"/>
          <w:lang w:bidi="fa-IR"/>
        </w:rPr>
        <w:t xml:space="preserve">،و عن تعلیق الإرشاد </w:t>
      </w:r>
      <w:r>
        <w:rPr>
          <w:rStyle w:val="FootnoteAnchor"/>
          <w:rtl w:val="true"/>
        </w:rPr>
        <w:footnoteReference w:id="132"/>
      </w:r>
      <w:r>
        <w:rPr>
          <w:rFonts w:ascii="IRNazanin" w:hAnsi="IRNazanin" w:eastAsia="IRNazanin"/>
          <w:color w:val="111111"/>
          <w:sz w:val="28"/>
          <w:sz w:val="28"/>
          <w:szCs w:val="28"/>
          <w:rtl w:val="true"/>
          <w:lang w:bidi="fa-IR"/>
        </w:rPr>
        <w:t xml:space="preserve">و غیرهما </w:t>
      </w:r>
      <w:r>
        <w:rPr>
          <w:rStyle w:val="FootnoteAnchor"/>
          <w:rtl w:val="true"/>
        </w:rPr>
        <w:footnoteReference w:id="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الغنیة</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الإجماع علیه </w:t>
      </w:r>
      <w:r>
        <w:rPr>
          <w:rStyle w:val="FootnoteAnchor"/>
          <w:rtl w:val="true"/>
        </w:rPr>
        <w:footnoteReference w:id="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صرّح الشیخ فی غیر موضعٍ من المبسوط بذلک أیضاً </w:t>
      </w:r>
      <w:r>
        <w:rPr>
          <w:rStyle w:val="FootnoteAnchor"/>
          <w:rtl w:val="true"/>
        </w:rPr>
        <w:footnoteReference w:id="135"/>
      </w:r>
      <w:r>
        <w:rPr>
          <w:rFonts w:ascii="IRNazanin" w:hAnsi="IRNazanin" w:eastAsia="IRNazanin"/>
          <w:color w:val="111111"/>
          <w:sz w:val="28"/>
          <w:sz w:val="28"/>
          <w:szCs w:val="28"/>
          <w:rtl w:val="true"/>
          <w:lang w:bidi="fa-IR"/>
        </w:rPr>
        <w:t>، بل عن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الإجماع علی عدم دخوله فی الوکالة و العاریة و القراض و الحوالة و الودیعة </w:t>
      </w:r>
      <w:r>
        <w:rPr>
          <w:rStyle w:val="FootnoteAnchor"/>
          <w:rtl w:val="true"/>
        </w:rPr>
        <w:footnoteReference w:id="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فی المبسوط بعد ذکر جملةٍ من العقود التی یدخلها الخیار و التی لا یدخلها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الوکالة و الودیعة و العاریة</w:t>
      </w:r>
    </w:p>
    <w:p>
      <w:pPr>
        <w:pStyle w:val="BookText"/>
        <w:rPr/>
      </w:pPr>
      <w:r>
        <w:rPr>
          <w:rFonts w:ascii="IRNazanin" w:hAnsi="IRNazanin" w:eastAsia="IRNazanin"/>
          <w:color w:val="111111"/>
          <w:sz w:val="28"/>
          <w:sz w:val="28"/>
          <w:szCs w:val="28"/>
          <w:rtl w:val="true"/>
          <w:lang w:bidi="fa-IR"/>
        </w:rPr>
        <w:t xml:space="preserve">و القراض و الجعالة فلا یمنع من دخول الخیارین فیها مانعٌ </w:t>
      </w:r>
      <w:r>
        <w:rPr>
          <w:rStyle w:val="FootnoteAnchor"/>
          <w:rtl w:val="true"/>
        </w:rPr>
        <w:footnoteReference w:id="13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مراده خیار المجلس و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حکی نحوه عن القاضی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لم یُعلم معنی الخیار فی هذه العقود </w:t>
      </w:r>
      <w:r>
        <w:rPr>
          <w:rStyle w:val="FootnoteAnchor"/>
          <w:rtl w:val="true"/>
        </w:rPr>
        <w:footnoteReference w:id="139"/>
      </w:r>
      <w:r>
        <w:rPr>
          <w:rFonts w:ascii="IRNazanin" w:hAnsi="IRNazanin" w:eastAsia="IRNazanin"/>
          <w:color w:val="111111"/>
          <w:sz w:val="28"/>
          <w:sz w:val="28"/>
          <w:szCs w:val="28"/>
          <w:rtl w:val="true"/>
          <w:lang w:bidi="fa-IR"/>
        </w:rPr>
        <w:t>،بل جزم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لا معنی للخیار فیها؛لأنّ الخیار فیها أبداً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احتمل فی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یراد بذلک عدم جواز التصرّف قبل انقضاء الخیار </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لعلّ مراده التصرّف المرخّص فیه شرعاً للقابل فی هذه العقود،لا الموجب؛إذ لا معنی لتوقّف جواز تصرّف المالک فی هذه العقود علی انقضاء الخیار،و </w:t>
      </w:r>
      <w:r>
        <w:rPr>
          <w:rStyle w:val="FootnoteAnchor"/>
          <w:rtl w:val="true"/>
        </w:rPr>
        <w:footnoteReference w:id="142"/>
      </w:r>
      <w:r>
        <w:rPr>
          <w:rFonts w:ascii="IRNazanin" w:hAnsi="IRNazanin" w:eastAsia="IRNazanin"/>
          <w:color w:val="111111"/>
          <w:sz w:val="28"/>
          <w:sz w:val="28"/>
          <w:szCs w:val="28"/>
          <w:rtl w:val="true"/>
          <w:lang w:bidi="fa-IR"/>
        </w:rPr>
        <w:t xml:space="preserve">لأنّ أثر هذه العقود تمکّن غیر المالک من التصرّف،فهو الذی یمکن توقّفه علی انقضاء الخیار الذی جعل الشیخ قدّس سرّه أثر البیع متوقّفاً علیه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تتبّع کلام الشیخ فی المبسوط فی هذا المقام یشهد بعدم إرادته هذا المعنی،فإنّه صرّح فی مواضع قبل هذا الکلام و بعده باختصاص خیار المجلس بالبیع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 یخطر بالبال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مراده دخول الخیارین فی هذه العقود إذا وقعت فی ضمن عقد البیع،فتنفسخ بفسخه فی المجلس؛و هذا المعنی و إن کان بعیداً فی نفسه،إلّا أنّ ملاحظة کلام الشیخ فی المقام یقرّبه إلی الذهن،و قد ذکر نظیر ذلک فی جریان الخیارین فی الرهن و الضمان </w:t>
      </w:r>
      <w:r>
        <w:rPr>
          <w:rStyle w:val="FootnoteAnchor"/>
          <w:rtl w:val="true"/>
        </w:rPr>
        <w:footnoteReference w:id="145"/>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کان،فلا إشکال فی أصل هذه المسألة</w:t>
      </w:r>
      <w:r>
        <w:rPr>
          <w:rFonts w:eastAsia="IRNazanin" w:cs="IRNazanin"/>
          <w:color w:val="111111"/>
          <w:sz w:val="28"/>
          <w:szCs w:val="28"/>
          <w:rtl w:val="true"/>
          <w:lang w:bidi="fa-IR"/>
        </w:rPr>
        <w:t>.</w:t>
      </w:r>
      <w:bookmarkStart w:id="123" w:name="pg19864_220675"/>
    </w:p>
    <w:p>
      <w:pPr>
        <w:pStyle w:val="Heading6"/>
        <w:numPr>
          <w:ilvl w:val="5"/>
          <w:numId w:val="1"/>
        </w:numPr>
        <w:rPr/>
      </w:pPr>
      <w:bookmarkStart w:id="124" w:name="__RefHeading___Toc5148608_2314609296"/>
      <w:bookmarkStart w:id="125" w:name="_Toc49"/>
      <w:bookmarkEnd w:id="123"/>
      <w:bookmarkEnd w:id="124"/>
      <w:r>
        <w:rPr>
          <w:rtl w:val="true"/>
        </w:rPr>
        <w:t>مسألة مبدأ هذا الخیار من حین العقد؛</w:t>
      </w:r>
      <w:bookmarkEnd w:id="125"/>
    </w:p>
    <w:p>
      <w:pPr>
        <w:pStyle w:val="BookText"/>
        <w:rPr/>
      </w:pPr>
      <w:r>
        <w:rPr>
          <w:rFonts w:ascii="Amiri" w:hAnsi="Amiri" w:eastAsia="Amiri" w:cs="Amiri"/>
          <w:color w:val="111111"/>
          <w:sz w:val="28"/>
          <w:sz w:val="28"/>
          <w:szCs w:val="28"/>
          <w:rtl w:val="true"/>
          <w:lang w:bidi="ar-SA"/>
        </w:rPr>
        <w:t xml:space="preserve">لأنّ ظاهر النصّ </w:t>
      </w:r>
      <w:r>
        <w:rPr>
          <w:rStyle w:val="FootnoteAnchor"/>
          <w:rtl w:val="true"/>
        </w:rPr>
        <w:footnoteReference w:id="147"/>
      </w:r>
      <w:r>
        <w:rPr>
          <w:rFonts w:ascii="IRNazanin" w:hAnsi="IRNazanin" w:eastAsia="IRNazanin"/>
          <w:color w:val="111111"/>
          <w:sz w:val="28"/>
          <w:sz w:val="28"/>
          <w:szCs w:val="28"/>
          <w:rtl w:val="true"/>
          <w:lang w:bidi="fa-IR"/>
        </w:rPr>
        <w:t>کون البیع علّةً تامّة،و مقتضاه کظاهر الفتاوی شمول الحکم للصرف و السلم قبل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إشکال فیه لو قلنا بوجوب التقابض فی المجلس فی الصرف و السلم وجوباً تکلیفیّاً،إمّا للزوم الربا کما صرّح به فی صرف التذکرة </w:t>
      </w:r>
      <w:r>
        <w:rPr>
          <w:rStyle w:val="FootnoteAnchor"/>
          <w:rtl w:val="true"/>
        </w:rPr>
        <w:footnoteReference w:id="148"/>
      </w:r>
      <w:r>
        <w:rPr>
          <w:rFonts w:ascii="IRNazanin" w:hAnsi="IRNazanin" w:eastAsia="IRNazanin"/>
          <w:color w:val="111111"/>
          <w:sz w:val="28"/>
          <w:sz w:val="28"/>
          <w:szCs w:val="28"/>
          <w:rtl w:val="true"/>
          <w:lang w:bidi="fa-IR"/>
        </w:rPr>
        <w:t>و إمّا لوجوب الوفاء بالعقد و إن لم یکن بنفسه مملّکاً؛لأنّ ثمرة الخیار حینئذٍ جواز الفسخ،فلا یجب التقابض</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لو قلنا بعدم وجوب التقابض و جواز ترکه إلی التفرّق المبطل للعقد،ففی أثر الخیار خفاءٌ،لأنّ المفروض بقاء سلطنة کلٍّ من المتعاقدین علی ملکه و عدم حقٍّ لأحدهما فی مال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یکون أثر الخیار خروج العقد بفسخ ذی الخیار عن قابلیّة لحوق القبض المملّک، فلو فرض اشتراط سقوط الخیار فی العقد لم یخرج العقد بفسخ المشروط</w:t>
      </w:r>
    </w:p>
    <w:p>
      <w:pPr>
        <w:pStyle w:val="BookText"/>
        <w:rPr/>
      </w:pPr>
      <w:r>
        <w:rPr>
          <w:rFonts w:ascii="IRNazanin" w:hAnsi="IRNazanin" w:eastAsia="IRNazanin"/>
          <w:color w:val="111111"/>
          <w:sz w:val="28"/>
          <w:sz w:val="28"/>
          <w:szCs w:val="28"/>
          <w:rtl w:val="true"/>
          <w:lang w:bidi="fa-IR"/>
        </w:rPr>
        <w:t>علیه عن قابلیّة التأثیر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تقابضا فی عقد الصرف ثمّ أجازا فی المجلس لزم العقد،و إن أجازا قبل التقابض فکذلک،و علیهما التقابض،فإن تفرّقا قبله انفسخ العقد،ثمّ إن تفرّقا عن تراضٍ لم یحکم بعصیانهما، فإن انفرد أحدهما بالمفارقة عصی </w:t>
      </w:r>
      <w:r>
        <w:rPr>
          <w:rStyle w:val="FootnoteAnchor"/>
          <w:rtl w:val="true"/>
        </w:rPr>
        <w:footnoteReference w:id="14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یعنی خیار المجلس فی الصرف،تقابضا أو لا،فإن التزما به قبل القبض وجب التقابض،فلو هرب أحدهما عصی و انفسخ العقد،و لو هرب قبل الالتزام فلا معصیة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یحتمل قویّاً عدم العصیان مطلقاً؛لأنّ للقبض مدخلاً فی اللزوم فله ترکه </w:t>
      </w:r>
      <w:r>
        <w:rPr>
          <w:rStyle w:val="FootnoteAnchor"/>
          <w:rtl w:val="true"/>
        </w:rPr>
        <w:footnoteReference w:id="15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صرّح الشیخ أیضاً فی المبسوط بثبوت التخایر فی الصرف قبل التقابض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یظهر الوجه فی کون مبدأ الخیار للمالکین الحاضرین فی مجلس عقد الفضولیّین علی القول بثبوت الخیار لهما من زمان إجازتهما علی القول بالنقل،و کذا علی الکشف،مع احتمال کونه من زمان العقد</w:t>
      </w:r>
      <w:r>
        <w:rPr>
          <w:rFonts w:eastAsia="IRNazanin" w:cs="IRNazanin"/>
          <w:color w:val="111111"/>
          <w:sz w:val="28"/>
          <w:szCs w:val="28"/>
          <w:rtl w:val="true"/>
          <w:lang w:bidi="fa-IR"/>
        </w:rPr>
        <w:t>.</w:t>
      </w:r>
      <w:bookmarkStart w:id="126" w:name="pg19864_220677"/>
    </w:p>
    <w:p>
      <w:pPr>
        <w:pStyle w:val="Heading6"/>
        <w:numPr>
          <w:ilvl w:val="5"/>
          <w:numId w:val="1"/>
        </w:numPr>
        <w:rPr/>
      </w:pPr>
      <w:bookmarkStart w:id="127" w:name="__RefHeading___Toc5148610_2314609296"/>
      <w:bookmarkStart w:id="128" w:name="_Toc50"/>
      <w:bookmarkEnd w:id="126"/>
      <w:bookmarkEnd w:id="127"/>
      <w:r>
        <w:rPr>
          <w:rtl w:val="true"/>
        </w:rPr>
        <w:t>القول فی مسقطات الخیار</w:t>
      </w:r>
      <w:bookmarkEnd w:id="128"/>
    </w:p>
    <w:p>
      <w:pPr>
        <w:pStyle w:val="BookText"/>
        <w:rPr/>
      </w:pPr>
      <w:r>
        <w:rPr>
          <w:rFonts w:ascii="IRNazanin" w:hAnsi="IRNazanin" w:eastAsia="IRNazanin"/>
          <w:color w:val="111111"/>
          <w:sz w:val="28"/>
          <w:sz w:val="28"/>
          <w:szCs w:val="28"/>
          <w:rtl w:val="true"/>
          <w:lang w:bidi="fa-IR"/>
        </w:rPr>
        <w:t xml:space="preserve">و هی أربعة علی ما ذکرها فی التذکرة </w:t>
      </w:r>
      <w:r>
        <w:rPr>
          <w:rStyle w:val="FootnoteAnchor"/>
          <w:rtl w:val="true"/>
        </w:rPr>
        <w:footnoteReference w:id="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سقوطه فی ضمن العقد،و إسقاطه بعد العقد،و التفرّق،و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فیقع الکلام فی مسائل</w:t>
      </w:r>
      <w:r>
        <w:rPr>
          <w:rFonts w:eastAsia="IRNazanin" w:cs="IRNazanin"/>
          <w:color w:val="111111"/>
          <w:sz w:val="28"/>
          <w:szCs w:val="28"/>
          <w:rtl w:val="true"/>
          <w:lang w:bidi="fa-IR"/>
        </w:rPr>
        <w:t>:</w:t>
      </w:r>
    </w:p>
    <w:p>
      <w:pPr>
        <w:pStyle w:val="Heading6"/>
        <w:numPr>
          <w:ilvl w:val="5"/>
          <w:numId w:val="1"/>
        </w:numPr>
        <w:rPr/>
      </w:pPr>
      <w:bookmarkStart w:id="129" w:name="__RefHeading___Toc5148612_2314609296"/>
      <w:bookmarkStart w:id="130" w:name="_Toc51"/>
      <w:bookmarkEnd w:id="129"/>
      <w:r>
        <w:rPr>
          <w:rtl w:val="true"/>
        </w:rPr>
        <w:t xml:space="preserve">مسألة </w:t>
      </w:r>
      <w:r>
        <w:rPr>
          <w:rtl w:val="true"/>
        </w:rPr>
        <w:t>[</w:t>
      </w:r>
      <w:r>
        <w:rPr>
          <w:rtl w:val="true"/>
        </w:rPr>
        <w:t>المسقط الأول اشتراط السقوط فی ضمن العقد</w:t>
      </w:r>
      <w:r>
        <w:rPr>
          <w:rtl w:val="true"/>
        </w:rPr>
        <w:t>]</w:t>
      </w:r>
      <w:bookmarkEnd w:id="130"/>
    </w:p>
    <w:p>
      <w:pPr>
        <w:pStyle w:val="BookText"/>
        <w:rPr/>
      </w:pPr>
      <w:r>
        <w:rPr>
          <w:rFonts w:ascii="IRNazanin" w:hAnsi="IRNazanin" w:eastAsia="IRNazanin"/>
          <w:color w:val="111111"/>
          <w:sz w:val="28"/>
          <w:sz w:val="28"/>
          <w:szCs w:val="28"/>
          <w:rtl w:val="true"/>
          <w:lang w:bidi="fa-IR"/>
        </w:rPr>
        <w:t>لا خلاف ظاهراً فی سقوط هذا الخیار باشتراط سقوطه فی ضمن العقد،و عن الغنیة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الإجماع علیه </w:t>
      </w:r>
      <w:r>
        <w:rPr>
          <w:rStyle w:val="FootnoteAnchor"/>
          <w:rtl w:val="true"/>
        </w:rPr>
        <w:footnoteReference w:id="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علیه قبل ذلک عموم المستفیض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المؤمنون </w:t>
      </w:r>
      <w:r>
        <w:rPr>
          <w:rStyle w:val="FootnoteAnchor"/>
          <w:rtl w:val="true"/>
        </w:rPr>
        <w:footnoteReference w:id="154"/>
      </w:r>
      <w:r>
        <w:rPr>
          <w:rFonts w:ascii="IRNazanin" w:hAnsi="IRNazanin" w:eastAsia="IRNazanin"/>
          <w:color w:val="111111"/>
          <w:sz w:val="28"/>
          <w:sz w:val="28"/>
          <w:szCs w:val="28"/>
          <w:rtl w:val="true"/>
          <w:lang w:bidi="fa-IR"/>
        </w:rPr>
        <w:t xml:space="preserve">أو المسلمون </w:t>
      </w:r>
      <w:r>
        <w:rPr>
          <w:rStyle w:val="FootnoteAnchor"/>
          <w:rtl w:val="true"/>
        </w:rPr>
        <w:footnoteReference w:id="155"/>
      </w:r>
      <w:r>
        <w:rPr>
          <w:rFonts w:ascii="IRNazanin" w:hAnsi="IRNazanin" w:eastAsia="IRNazanin"/>
          <w:color w:val="111111"/>
          <w:sz w:val="28"/>
          <w:sz w:val="28"/>
          <w:szCs w:val="28"/>
          <w:rtl w:val="true"/>
          <w:lang w:bidi="fa-IR"/>
        </w:rPr>
        <w:t>عند شروطهم</w:t>
      </w:r>
      <w:r>
        <w:rPr>
          <w:rFonts w:eastAsia="IRNazanin" w:cs="IRNazanin"/>
          <w:color w:val="111111"/>
          <w:sz w:val="28"/>
          <w:szCs w:val="28"/>
          <w:rtl w:val="true"/>
          <w:lang w:bidi="fa-IR"/>
        </w:rPr>
        <w:t>».</w:t>
      </w:r>
    </w:p>
    <w:p>
      <w:pPr>
        <w:pStyle w:val="Heading6"/>
        <w:numPr>
          <w:ilvl w:val="5"/>
          <w:numId w:val="1"/>
        </w:numPr>
        <w:rPr/>
      </w:pPr>
      <w:bookmarkStart w:id="131" w:name="__RefHeading___Toc5148614_2314609296"/>
      <w:bookmarkStart w:id="132" w:name="_Toc52"/>
      <w:bookmarkEnd w:id="131"/>
      <w:r>
        <w:rPr>
          <w:rtl w:val="true"/>
        </w:rPr>
        <w:t>[</w:t>
      </w:r>
      <w:r>
        <w:rPr>
          <w:rtl w:val="true"/>
        </w:rPr>
        <w:t>توهم معارضة اشتراط السقوط لعموم أدلة الخیار و دفعه</w:t>
      </w:r>
      <w:r>
        <w:rPr>
          <w:rtl w:val="true"/>
        </w:rPr>
        <w:t>]</w:t>
      </w:r>
      <w:bookmarkEnd w:id="13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یتخیّل معارضته لعموم </w:t>
      </w:r>
      <w:r>
        <w:rPr>
          <w:rStyle w:val="FootnoteAnchor"/>
          <w:rtl w:val="true"/>
        </w:rPr>
        <w:footnoteReference w:id="156"/>
      </w:r>
      <w:r>
        <w:rPr>
          <w:rFonts w:ascii="IRNazanin" w:hAnsi="IRNazanin" w:eastAsia="IRNazanin"/>
          <w:color w:val="111111"/>
          <w:sz w:val="28"/>
          <w:sz w:val="28"/>
          <w:szCs w:val="28"/>
          <w:rtl w:val="true"/>
          <w:lang w:bidi="fa-IR"/>
        </w:rPr>
        <w:t>أدلّة الخیار،و یرجّح علی تلک الأدلّة</w:t>
      </w:r>
    </w:p>
    <w:p>
      <w:pPr>
        <w:pStyle w:val="BookText"/>
        <w:rPr/>
      </w:pPr>
      <w:r>
        <w:rPr>
          <w:rFonts w:ascii="Amiri" w:hAnsi="Amiri" w:eastAsia="Amiri" w:cs="Amiri"/>
          <w:color w:val="111111"/>
          <w:sz w:val="28"/>
          <w:sz w:val="28"/>
          <w:szCs w:val="28"/>
          <w:rtl w:val="true"/>
          <w:lang w:bidi="ar-SA"/>
        </w:rPr>
        <w:t xml:space="preserve">بالمرجّحات </w:t>
      </w:r>
      <w:r>
        <w:rPr>
          <w:rStyle w:val="FootnoteAnchor"/>
          <w:rtl w:val="true"/>
        </w:rPr>
        <w:footnoteReference w:id="157"/>
      </w:r>
      <w:r>
        <w:rPr>
          <w:rFonts w:ascii="IRNazanin" w:hAnsi="IRNazanin" w:eastAsia="IRNazanin"/>
          <w:color w:val="111111"/>
          <w:sz w:val="28"/>
          <w:sz w:val="28"/>
          <w:szCs w:val="28"/>
          <w:rtl w:val="true"/>
          <w:lang w:bidi="fa-IR"/>
        </w:rPr>
        <w:t>و هو ضعیفٌ؛لأنّ الترجیح من حیث الدلالة و السند مفقودٌ، و موافقة عمل الأصحاب لا یصیر مرجّحاً بعد العلم بانحصار مستندهم فی عموم أدلّة الشروط،کما یظهر من کتبهم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نحوه فی الضعف التمسّک بعموم أَوْفُوا بِالْعُقُودِ </w:t>
      </w:r>
      <w:r>
        <w:rPr>
          <w:rStyle w:val="FootnoteAnchor"/>
          <w:rtl w:val="true"/>
        </w:rPr>
        <w:footnoteReference w:id="158"/>
      </w:r>
      <w:r>
        <w:rPr>
          <w:rFonts w:ascii="IRNazanin" w:hAnsi="IRNazanin" w:eastAsia="IRNazanin"/>
          <w:color w:val="111111"/>
          <w:sz w:val="28"/>
          <w:sz w:val="28"/>
          <w:szCs w:val="28"/>
          <w:rtl w:val="true"/>
          <w:lang w:bidi="fa-IR"/>
        </w:rPr>
        <w:t>بناءً علی صیرورة شرط عدم الخیار کالجزء من العقد الذی یجب الوفاء به؛إذ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أدلّة الخیار أخصّ،فیخصّص بها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الوجه مع انحصار المستند فی عموم دلیل الشروط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نهوض أدلّة الخیار للمعارضة؛لأنّها مسوقةٌ لبیان ثبوت الخیار بأصل الشرع،فلا ینافی سقوطه بالمسقط الخارجی و هو الشرط؛لوجوب العمل به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التأمّل فی دلیل الشرط یقضی بأنّ المقصود منه رفع الید عن الأحکام الأصلیّة الثابتة للمشروطات قبل وقوعها فی حیّز الاشتراط، فلا تعارضه أدلّة تلک الأحکام،فحاله حال أدلّة وجوب الوفاء بالنذر و العهد فی عدم مزاحمتها بأدلّة أحکام الأفعال المنذورة لو لا النذر</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یشهد لما ذکرنا من حکومة أدلّة الشرط و عدم معارضتها للأحکام الأصلیّة حتّی یحتاج إلی المرجّح استشهاد الإمام فی کثیرٍ من الأخبار بهذا العموم علی مخالفة کثیرٍ من الأحکام الأصلیّة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مالک بن عطیّة،قال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رجلٍ کان له أبٌ مملوک و کان تحت أبیه جاریةٌ مکاتبة قد أدّت بعض ما علیها،فقال لها ابن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لکِ أن أُعینک فی مکاتبتک حتّی تؤدّی ما علیکِ بشرط أن لا یکون لک الخیار </w:t>
      </w:r>
      <w:r>
        <w:rPr>
          <w:rStyle w:val="FootnoteAnchor"/>
          <w:rtl w:val="true"/>
        </w:rPr>
        <w:footnoteReference w:id="159"/>
      </w:r>
      <w:r>
        <w:rPr>
          <w:rFonts w:ascii="IRNazanin" w:hAnsi="IRNazanin" w:eastAsia="IRNazanin"/>
          <w:color w:val="111111"/>
          <w:sz w:val="28"/>
          <w:sz w:val="28"/>
          <w:szCs w:val="28"/>
          <w:rtl w:val="true"/>
          <w:lang w:bidi="fa-IR"/>
        </w:rPr>
        <w:t>علی أبی إذا أنت ملکت نفسکِ؟قالت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نعم،فأعطاها فی مکاتبتها علی أن لا یکون لها الخیار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لها الخیار،المسلمون عند شروطهم</w:t>
      </w:r>
      <w:r>
        <w:rPr>
          <w:rFonts w:eastAsia="IRNazanin" w:cs="IRNazanin"/>
          <w:color w:val="111111"/>
          <w:sz w:val="28"/>
          <w:szCs w:val="28"/>
          <w:rtl w:val="true"/>
          <w:lang w:bidi="fa-IR"/>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الروایة محمولةٌ بقرینة الإجماع علی عدم لزوم الشروط الابتدائیّة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صورة وقوع الاشتراط فی ضمن عقدٍ لازم،أو المصالحة علی إسقاط الخیار المتحقّق سببه بالمکاتبة بذلک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کان،فالاستدلال فیها بقاعدة الشروط علی نفی الخیار الثابت بالعمومات دلیلٌ علی حکومتها علیها،لا معارضتها المحوجة إلی التماس المرجّح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نعم،قد یستشکل التمسّک بدلیل الشروط فی المقام من وجوه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الشرط یجب الوفاء به إذا کان العقد المشروط فیه لازماً؛لأنّ الشرط </w:t>
      </w:r>
      <w:r>
        <w:rPr>
          <w:rStyle w:val="FootnoteAnchor"/>
          <w:rtl w:val="true"/>
        </w:rPr>
        <w:footnoteReference w:id="161"/>
      </w:r>
      <w:r>
        <w:rPr>
          <w:rFonts w:ascii="IRNazanin" w:hAnsi="IRNazanin" w:eastAsia="IRNazanin"/>
          <w:color w:val="111111"/>
          <w:sz w:val="28"/>
          <w:sz w:val="28"/>
          <w:szCs w:val="28"/>
          <w:rtl w:val="true"/>
          <w:lang w:bidi="fa-IR"/>
        </w:rPr>
        <w:t>فی ضمن العقد الجائز لا یزید حکمه علی أصل العقد،بل هو کالوعد،فلزوم الشرط یتوقّف علی لزوم العقد،فلو ثبت لزوم العقد بلزوم الشرط لزم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الشرط مخالفٌ لمقتضی العقد علی ما هو ظاهر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فاشتراط عدم کونهما بالخیار اشتراطٌ لعدم بعض مقتضیات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استدلّ به بعض الشافعیّة علی عدم جواز اشتراط السقوط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إسقاط الخیار فی ضمن العقد إسقاطٌ لما لم یجب؛ لأنّ الخیار لا یحدث إلّا بعد البیع،فإسقاطه فیه کإسقاطه قبله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هذا،و لکن شیءٌ من هذه الوجوه لا یصلح للاستشکال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الأوّل؛فلأنّ الخارج من عموم الشروط </w:t>
      </w:r>
      <w:r>
        <w:rPr>
          <w:rStyle w:val="FootnoteAnchor"/>
          <w:rtl w:val="true"/>
        </w:rPr>
        <w:footnoteReference w:id="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الشروط الابتدائیّة، لأنّها کالوعد،و الواقعة فی ضمن العقود الجائزة بالذات أو بالخیار مع بقائها علی الجواز؛لأنّ الحکم بلزوم الشرط مع فرض جواز العقد المشروط به ممّا لا یجتمعان؛لأنّ الشرط تابعٌ و کالتقیید للعقد المشروط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کان نفس مؤدّی الشرط لزوم ذلک العقد المشروط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التزاماً آخر مغایراً لالتزام أصل العقد،فلزومه الثابت بمقتضی عموم وجوب الوفاء بالشرط عین لزوم العقد،فلا یلزم تفکیکٌ بین التابع و المتبوع فی اللزوم و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الثانی؛فلأنّ الخیار حقٌّ للمتعاقدین اقتضاه العقد لو خُلّی و نفسه،فلا ینافی سقوطه بالشرط</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المقتضی للخیار العقد بشرط لا،لا طبیعة العقد من حیث هی حتّی لا یوجد بدونه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w:t>
      </w:r>
      <w:bookmarkStart w:id="133" w:name="pg19864_220681"/>
    </w:p>
    <w:p>
      <w:pPr>
        <w:pStyle w:val="BookText"/>
        <w:rPr/>
      </w:pPr>
      <w:bookmarkEnd w:id="133"/>
      <w:r>
        <w:rPr>
          <w:rFonts w:ascii="IRNazanin" w:hAnsi="IRNazanin" w:eastAsia="IRNazanin"/>
          <w:color w:val="111111"/>
          <w:sz w:val="28"/>
          <w:sz w:val="28"/>
          <w:szCs w:val="28"/>
          <w:rtl w:val="true"/>
          <w:lang w:bidi="fa-IR"/>
        </w:rPr>
        <w:t>له ظهورٌ فی العلّیة التامّة،إلّا أنّ المتبادر من إطلاقه صورة الخلوّ عن شرط السقوط؛مع أنّ مقتضی الجمع بینه و بین دلیل الشرط کون العقد مقتضیاً،لا تمام العلّة لیکون التخلّف ممتنعاً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نعم،یبقی الکلام فی دفع 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بُنی علی الجمع بهذا الوجه بین دلیل الشرط و عمومات الکتاب و السنّة لم یبقَ شرطٌ مخالفٌ للکتاب و السنّة،بل و لا لمقتضی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 ذلک و إن کان فی باب الشروط، إلّا أنّ مجمل القول فی دفع ذلک فیما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حیث علمنا بالنصّ و الإجماع أنّ الخیار حقٌّ مالیٌّ قابلٌ للإسقاط و الإرث،لم یکن سقوطه منافیاً للمشروع </w:t>
      </w:r>
      <w:r>
        <w:rPr>
          <w:rStyle w:val="FootnoteAnchor"/>
          <w:rtl w:val="true"/>
        </w:rPr>
        <w:footnoteReference w:id="164"/>
      </w:r>
      <w:r>
        <w:rPr>
          <w:rFonts w:ascii="IRNazanin" w:hAnsi="IRNazanin" w:eastAsia="IRNazanin"/>
          <w:color w:val="111111"/>
          <w:sz w:val="28"/>
          <w:sz w:val="28"/>
          <w:szCs w:val="28"/>
          <w:rtl w:val="true"/>
          <w:lang w:bidi="fa-IR"/>
        </w:rPr>
        <w:t>،فلم یکن اشتراطه اشتراط المنافی،کما لو اشترطا فی هذا العقد سقوط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عقد آخر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166"/>
      </w:r>
      <w:r>
        <w:rPr>
          <w:rFonts w:ascii="IRNazanin" w:hAnsi="IRNazanin" w:eastAsia="IRNazanin"/>
          <w:color w:val="111111"/>
          <w:sz w:val="28"/>
          <w:sz w:val="28"/>
          <w:szCs w:val="28"/>
          <w:rtl w:val="true"/>
          <w:lang w:bidi="fa-IR"/>
        </w:rPr>
        <w:t>عن الثالث بما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المتبادر من النصّ المثبت للخیار صورة الخلوّ عن الاشتراط و إقدام المتبایعین علی عدم الخیار،ففائدة الشرط إبطال المقتضی لا إثبات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أن یستأنس لدفع الإشکال من هذا الوجه الثالث و من سابقه بصحیحة مالک بن عطیّة المتقدّمة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4" w:name="__RefHeading___Toc5148616_2314609296"/>
      <w:bookmarkStart w:id="135" w:name="_Toc53"/>
      <w:bookmarkEnd w:id="134"/>
      <w:r>
        <w:rPr>
          <w:rtl w:val="true"/>
        </w:rPr>
        <w:t>ثمّ إنّ هذا الشرط یتصوّر علی وجوه</w:t>
      </w:r>
      <w:r>
        <w:rPr>
          <w:rtl w:val="true"/>
        </w:rPr>
        <w:t>:</w:t>
      </w:r>
      <w:bookmarkEnd w:id="135"/>
    </w:p>
    <w:p>
      <w:pPr>
        <w:pStyle w:val="Heading6"/>
        <w:numPr>
          <w:ilvl w:val="5"/>
          <w:numId w:val="1"/>
        </w:numPr>
        <w:rPr/>
      </w:pPr>
      <w:bookmarkStart w:id="136" w:name="__RefHeading___Toc5148618_2314609296"/>
      <w:bookmarkStart w:id="137" w:name="_Toc54"/>
      <w:bookmarkEnd w:id="136"/>
      <w:r>
        <w:rPr>
          <w:rtl w:val="true"/>
        </w:rPr>
        <w:t>أحدها</w:t>
      </w:r>
      <w:r>
        <w:rPr>
          <w:rtl w:val="true"/>
        </w:rPr>
        <w:t>:</w:t>
      </w:r>
      <w:r>
        <w:rPr>
          <w:rtl w:val="true"/>
        </w:rPr>
        <w:t>أن یشترط عدم الخیار</w:t>
      </w:r>
      <w:bookmarkEnd w:id="13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هو مراد المشهور من</w:t>
      </w:r>
      <w:bookmarkStart w:id="138" w:name="pg19864_220682"/>
    </w:p>
    <w:p>
      <w:pPr>
        <w:pStyle w:val="BookText"/>
        <w:rPr/>
      </w:pPr>
      <w:bookmarkEnd w:id="138"/>
      <w:r>
        <w:rPr>
          <w:rFonts w:ascii="IRNazanin" w:hAnsi="IRNazanin" w:eastAsia="IRNazanin"/>
          <w:color w:val="111111"/>
          <w:sz w:val="28"/>
          <w:sz w:val="28"/>
          <w:szCs w:val="28"/>
          <w:rtl w:val="true"/>
          <w:lang w:bidi="fa-IR"/>
        </w:rPr>
        <w:t>اشتراط السقوط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بشرط أن لا یثبت بیننا خیار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مثّل به فی الخلاف و المبسوط و الغنیة و التذکرة </w:t>
      </w:r>
      <w:r>
        <w:rPr>
          <w:rStyle w:val="FootnoteAnchor"/>
          <w:rtl w:val="true"/>
        </w:rPr>
        <w:footnoteReference w:id="168"/>
      </w:r>
      <w:r>
        <w:rPr>
          <w:rFonts w:ascii="IRNazanin" w:hAnsi="IRNazanin" w:eastAsia="IRNazanin"/>
          <w:color w:val="111111"/>
          <w:sz w:val="28"/>
          <w:sz w:val="28"/>
          <w:szCs w:val="28"/>
          <w:rtl w:val="true"/>
          <w:lang w:bidi="fa-IR"/>
        </w:rPr>
        <w:t>لأنّ المراد بالسقوط هنا عدم الثبوت،لا الارتفاع</w:t>
      </w:r>
      <w:r>
        <w:rPr>
          <w:rFonts w:eastAsia="IRNazanin" w:cs="IRNazanin"/>
          <w:color w:val="111111"/>
          <w:sz w:val="28"/>
          <w:szCs w:val="28"/>
          <w:rtl w:val="true"/>
          <w:lang w:bidi="fa-IR"/>
        </w:rPr>
        <w:t>.</w:t>
      </w:r>
    </w:p>
    <w:p>
      <w:pPr>
        <w:pStyle w:val="Heading6"/>
        <w:numPr>
          <w:ilvl w:val="5"/>
          <w:numId w:val="1"/>
        </w:numPr>
        <w:rPr/>
      </w:pPr>
      <w:bookmarkStart w:id="139" w:name="__RefHeading___Toc5148620_2314609296"/>
      <w:bookmarkStart w:id="140" w:name="_Toc55"/>
      <w:bookmarkEnd w:id="139"/>
      <w:r>
        <w:rPr>
          <w:rtl w:val="true"/>
        </w:rPr>
        <w:t>الثانی</w:t>
      </w:r>
      <w:r>
        <w:rPr>
          <w:rtl w:val="true"/>
        </w:rPr>
        <w:t>:</w:t>
      </w:r>
      <w:r>
        <w:rPr>
          <w:rtl w:val="true"/>
        </w:rPr>
        <w:t>أن یشترط عدم الفسخ</w:t>
      </w:r>
      <w:bookmarkEnd w:id="140"/>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بشرط أن لا أفسخ فی المجلس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فیرجع إلی التزام ترک حقّه،فلو خالف الشرط و فسخ فیحتمل قویّاً عدم نفوذ الفسخ؛لأنّ وجوب الوفاء بالشرط مستلزم لوجوب إجباره علیه و عدم سلطنته علی ترکه،کما لو باع منذور التصدّق به علی ما ذهب إلیه </w:t>
      </w:r>
      <w:r>
        <w:rPr>
          <w:rStyle w:val="FootnoteAnchor"/>
          <w:rtl w:val="true"/>
        </w:rPr>
        <w:footnoteReference w:id="169"/>
      </w:r>
      <w:r>
        <w:rPr>
          <w:rFonts w:ascii="IRNazanin" w:hAnsi="IRNazanin" w:eastAsia="IRNazanin"/>
          <w:color w:val="111111"/>
          <w:sz w:val="28"/>
          <w:sz w:val="28"/>
          <w:szCs w:val="28"/>
          <w:rtl w:val="true"/>
          <w:lang w:bidi="fa-IR"/>
        </w:rPr>
        <w:t xml:space="preserve">غیر واحد </w:t>
      </w:r>
      <w:r>
        <w:rPr>
          <w:rStyle w:val="FootnoteAnchor"/>
          <w:rtl w:val="true"/>
        </w:rPr>
        <w:footnoteReference w:id="170"/>
      </w:r>
      <w:r>
        <w:rPr>
          <w:rFonts w:ascii="IRNazanin" w:hAnsi="IRNazanin" w:eastAsia="IRNazanin"/>
          <w:color w:val="111111"/>
          <w:sz w:val="28"/>
          <w:sz w:val="28"/>
          <w:szCs w:val="28"/>
          <w:rtl w:val="true"/>
          <w:lang w:bidi="fa-IR"/>
        </w:rPr>
        <w:t>فمخالفة الشرط و هو الفسخ غیر نافذةٍ فی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النفوذ،لعموم دلیل الخیار، و الالتزام بترک الفسخ لا یوجب فساد الفسخ علی ما قاله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بیع منذور التصدّق حِنثٌ موجبٌ للکفّارة،لا فاسدٌ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فلا فائدة فی هذا غیر الإثم علی مخالفته،إذ ما یترتّب</w:t>
      </w:r>
      <w:bookmarkStart w:id="141" w:name="pg19864_220683"/>
    </w:p>
    <w:p>
      <w:pPr>
        <w:pStyle w:val="BookText"/>
        <w:rPr/>
      </w:pPr>
      <w:bookmarkEnd w:id="141"/>
      <w:r>
        <w:rPr>
          <w:rFonts w:ascii="IRNazanin" w:hAnsi="IRNazanin" w:eastAsia="IRNazanin"/>
          <w:color w:val="111111"/>
          <w:sz w:val="28"/>
          <w:sz w:val="28"/>
          <w:szCs w:val="28"/>
          <w:rtl w:val="true"/>
          <w:lang w:bidi="fa-IR"/>
        </w:rPr>
        <w:t>علی مخالفة الشرط فی غیر هذا المقام من تسلّط المشروط له علی الفسخ لو خولف الشرط غیر مترتّب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الاحتمال الأوّل أوفق بعموم وجوب الوفاء بالشرط الدالّ علی وجوب ترتّب آثار الشرط،و هو عدم الفسخ فی جمیع الأحوال حتّی بعد الفسخ،فیستلزم ذلک کون الفسخ الواقع لغواً،کما تقدّم نظیره فی الاستدلال بعموم وجوب الوفاء بالعقد علی کون فسخ أحدهما منفرداً لغواً لا یرفع وجوب الوفاء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2" w:name="__RefHeading___Toc5148622_2314609296"/>
      <w:bookmarkStart w:id="143" w:name="_Toc56"/>
      <w:bookmarkEnd w:id="142"/>
      <w:r>
        <w:rPr>
          <w:rtl w:val="true"/>
        </w:rPr>
        <w:t>الثالث</w:t>
      </w:r>
      <w:r>
        <w:rPr>
          <w:rtl w:val="true"/>
        </w:rPr>
        <w:t>:</w:t>
      </w:r>
      <w:r>
        <w:rPr>
          <w:rtl w:val="true"/>
        </w:rPr>
        <w:t>أن یشترط إسقاط الخیار،</w:t>
      </w:r>
      <w:bookmarkEnd w:id="143"/>
    </w:p>
    <w:p>
      <w:pPr>
        <w:pStyle w:val="BookText"/>
        <w:rPr/>
      </w:pPr>
      <w:r>
        <w:rPr>
          <w:rFonts w:ascii="IRNazanin" w:hAnsi="IRNazanin" w:eastAsia="IRNazanin"/>
          <w:color w:val="111111"/>
          <w:sz w:val="28"/>
          <w:sz w:val="28"/>
          <w:szCs w:val="28"/>
          <w:rtl w:val="true"/>
          <w:lang w:bidi="fa-IR"/>
        </w:rPr>
        <w:t>و مقتضی ظاهره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الإسقاط بعد العقد،فلو أخلّ به و فسخ العقد،ففی تأثیر الفسخ الوجهان المتقدّمان،و الأقوی عدم التأثیر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للمشروط له الفسخُ بمجرّد عدم إسقاط المشترط الخیارَ بعد العقد و إن لم یفسخ؟وجهان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حصول الشرط،و من أنّ المقصود منه إبقاء العقد،فلا یحصل التخلّف إلّا إذا 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القول بعدم تأثیر الفسخ هو عدم الخیار؛لعدم تخلّف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القول بتأثیره ثبوت الخیار؛لأنّه قد یکون الغرض من الشرط عدم تزلزل العقد و یکون بقاء المشترط علی سلطنة الفسخ مخالفاً لمصلحة المشروط له،و قد یموت ذو الخیار و ینتقل إلی وارثه</w:t>
      </w:r>
      <w:r>
        <w:rPr>
          <w:rFonts w:eastAsia="IRNazanin" w:cs="IRNazanin"/>
          <w:color w:val="111111"/>
          <w:sz w:val="28"/>
          <w:szCs w:val="28"/>
          <w:rtl w:val="true"/>
          <w:lang w:bidi="fa-IR"/>
        </w:rPr>
        <w:t>.</w:t>
      </w:r>
    </w:p>
    <w:p>
      <w:pPr>
        <w:pStyle w:val="Heading6"/>
        <w:numPr>
          <w:ilvl w:val="5"/>
          <w:numId w:val="1"/>
        </w:numPr>
        <w:rPr/>
      </w:pPr>
      <w:bookmarkStart w:id="144" w:name="__RefHeading___Toc5148624_2314609296"/>
      <w:bookmarkStart w:id="145" w:name="_Toc57"/>
      <w:bookmarkEnd w:id="144"/>
      <w:r>
        <w:rPr>
          <w:rtl w:val="true"/>
        </w:rPr>
        <w:t>بقی الکلام فی أنّ المشهور</w:t>
      </w:r>
      <w:r>
        <w:rPr>
          <w:rtl w:val="true"/>
        </w:rPr>
        <w:t>:</w:t>
      </w:r>
      <w:r>
        <w:rPr>
          <w:rtl w:val="true"/>
        </w:rPr>
        <w:t>أنّ تأثیر الشرط إنّما هو مع ذکره فی متن العقد،</w:t>
      </w:r>
      <w:bookmarkEnd w:id="145"/>
    </w:p>
    <w:p>
      <w:pPr>
        <w:pStyle w:val="BookText"/>
        <w:rPr/>
      </w:pPr>
      <w:r>
        <w:rPr>
          <w:rFonts w:ascii="IRNazanin" w:hAnsi="IRNazanin" w:eastAsia="IRNazanin"/>
          <w:color w:val="111111"/>
          <w:sz w:val="28"/>
          <w:sz w:val="28"/>
          <w:szCs w:val="28"/>
          <w:rtl w:val="true"/>
          <w:lang w:bidi="fa-IR"/>
        </w:rPr>
        <w:t>فلو ذکراه قبله لم یفد،لعدم الدلیل علی وجوب الوفاء به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صدق الشرط علی غیر المذکور فی العقد غیر ثابت؛لأنّ المتبادر عرفاً</w:t>
      </w:r>
    </w:p>
    <w:p>
      <w:pPr>
        <w:pStyle w:val="BookText"/>
        <w:rPr/>
      </w:pPr>
      <w:r>
        <w:rPr>
          <w:rFonts w:ascii="IRNazanin" w:hAnsi="IRNazanin" w:eastAsia="IRNazanin"/>
          <w:color w:val="111111"/>
          <w:sz w:val="28"/>
          <w:sz w:val="28"/>
          <w:szCs w:val="28"/>
          <w:rtl w:val="true"/>
          <w:lang w:bidi="fa-IR"/>
        </w:rPr>
        <w:t>هو الإلزام و الالتزام المرتبط بمطلبٍ آخر؛و قد تقدّم عن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الإلزام و الالتزام فی البیع و نحوه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الشیخ و القاضی تأثیر الشرط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محکیّ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شرطا قبل العقد أن لا یثبت بینهما خیارٌ بعد العقد صحّ الشرط و لزم العقد بنفس الإیجاب و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نقل الخلاف عن بعض أصحاب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مانع من هذا الشرط و الأصل جوازه و عموم الأخبار فی جواز الشرط یشمل هذا الموضع </w:t>
      </w:r>
      <w:r>
        <w:rPr>
          <w:rStyle w:val="FootnoteAnchor"/>
          <w:rtl w:val="true"/>
        </w:rPr>
        <w:footnoteReference w:id="17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نحوه المحکیّ عن جواهر القاضی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المختلف علی ما حکی عنه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عندی فی ذلک نظرٌ،فإنّ الشرط إنّما یعتبر حکمه لو وقع فی متن العقد،نعم لو شرطا قبل العقد و تبایعا علی ذلک الشرط صحّ ما شرطاه </w:t>
      </w:r>
      <w:r>
        <w:rPr>
          <w:rStyle w:val="FootnoteAnchor"/>
          <w:rtl w:val="true"/>
        </w:rPr>
        <w:footnoteReference w:id="17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التبایع علی ذلک الشرط إن کان بالإشارة إلیه فی العقد بأن یقول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علی 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من المذکور فی متن العقد، و إن کان بالقصد إلیه و البناء علیه عند الإنشاء،فهذا هو ظاهر کلام الشیخ</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نعم،یحتمل أن یرید الصورة الاُولی </w:t>
      </w:r>
      <w:r>
        <w:rPr>
          <w:rStyle w:val="FootnoteAnchor"/>
          <w:rtl w:val="true"/>
        </w:rPr>
        <w:footnoteReference w:id="177"/>
      </w:r>
      <w:r>
        <w:rPr>
          <w:rFonts w:ascii="IRNazanin" w:hAnsi="IRNazanin" w:eastAsia="IRNazanin"/>
          <w:color w:val="111111"/>
          <w:sz w:val="28"/>
          <w:sz w:val="28"/>
          <w:szCs w:val="28"/>
          <w:rtl w:val="true"/>
          <w:lang w:bidi="fa-IR"/>
        </w:rPr>
        <w:t>،و هذا هو المناسب للاستدلال</w:t>
      </w:r>
    </w:p>
    <w:p>
      <w:pPr>
        <w:pStyle w:val="BookText"/>
        <w:rPr/>
      </w:pPr>
      <w:r>
        <w:rPr>
          <w:rFonts w:ascii="IRNazanin" w:hAnsi="IRNazanin" w:eastAsia="IRNazanin"/>
          <w:color w:val="111111"/>
          <w:sz w:val="28"/>
          <w:sz w:val="28"/>
          <w:szCs w:val="28"/>
          <w:rtl w:val="true"/>
          <w:lang w:bidi="fa-IR"/>
        </w:rPr>
        <w:t>له بعدم المانع من هذا الاشتراط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أیضاً،بل یعیّنه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بعض أصحاب الشافعی إنّما یخالف فی صحّة هذا الاشتراط فی متن العقد،و قد صرّح فی التذکرة بذکر خلاف بعض الشافعیّة فی اشتراط عدم الخیار فی متن العقد،و استدلّ عنهم بأنّ الخیار بعد تمام العقد،فلا یصحّ إسقاطه قبل تمامه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ملاحظة عنوان المسألة فی الخلاف و التذکرة و استدلال الشیخ علی الجواز و استدلال </w:t>
      </w:r>
      <w:r>
        <w:rPr>
          <w:rStyle w:val="FootnoteAnchor"/>
          <w:rtl w:val="true"/>
        </w:rPr>
        <w:footnoteReference w:id="179"/>
      </w:r>
      <w:r>
        <w:rPr>
          <w:rFonts w:ascii="IRNazanin" w:hAnsi="IRNazanin" w:eastAsia="IRNazanin"/>
          <w:color w:val="111111"/>
          <w:sz w:val="28"/>
          <w:sz w:val="28"/>
          <w:szCs w:val="28"/>
          <w:rtl w:val="true"/>
          <w:lang w:bidi="fa-IR"/>
        </w:rPr>
        <w:t>بعض الشافعیّة علی المنع یکاد یوجب القطع بعدم إرادة الشیخ صورة ترک الشرط فی متن العقد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کان،فالأقوی أنّ الشرط الغیر المذکور فی متن العقد غیر مؤثّر؛لأنّه لا یلزم بنفس اشتراطه السابق؛لأنّ المتحقّق فی السابق إمّا وعدٌ بالتزام،أو التزامٌ تبرّعیٌّ لا یجب الوفاء به،و العقد اللاحق و إن وقع مبنیّاً علیه لا یُلزمه،لأنّ الشرط إلزامٌ مستقلٌّ لا یرتبط بالتزام العقد إلّا بجعل المتکلّم،و إلّا فهو بنفسه لیس من متعلّقات الکلام العقدی مثل العوضین و قیودهما حتّی یقدّر </w:t>
      </w:r>
      <w:r>
        <w:rPr>
          <w:rStyle w:val="FootnoteAnchor"/>
          <w:rtl w:val="true"/>
        </w:rPr>
        <w:footnoteReference w:id="180"/>
      </w:r>
      <w:r>
        <w:rPr>
          <w:rFonts w:ascii="IRNazanin" w:hAnsi="IRNazanin" w:eastAsia="IRNazanin"/>
          <w:color w:val="111111"/>
          <w:sz w:val="28"/>
          <w:sz w:val="28"/>
          <w:szCs w:val="28"/>
          <w:rtl w:val="true"/>
          <w:lang w:bidi="fa-IR"/>
        </w:rPr>
        <w:t>منویّاً،فیکون کالمحذوف النحوی بعد نصب القرینة،فإنّ من باع داره فی حال بنائه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عدم الخیار له لم یحصل له فی ضمن بیعه إنشاء التزام بعدم الخیار و لم یُقیِّد إنشاءَه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علی أن لا 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bookmarkStart w:id="146" w:name="pg19864_220686"/>
    </w:p>
    <w:p>
      <w:pPr>
        <w:pStyle w:val="BookText"/>
        <w:rPr/>
      </w:pPr>
      <w:bookmarkEnd w:id="146"/>
      <w:r>
        <w:rPr>
          <w:rFonts w:ascii="IRNazanin" w:hAnsi="IRNazanin" w:eastAsia="IRNazanin"/>
          <w:color w:val="111111"/>
          <w:sz w:val="28"/>
          <w:sz w:val="28"/>
          <w:szCs w:val="28"/>
          <w:rtl w:val="true"/>
          <w:lang w:bidi="fa-IR"/>
        </w:rPr>
        <w:t>الذی مؤدّاه بعتک ملتزماً علی نفسی و بانیاً علی أن لا خیار لی،فإنّ إنشاءه للبیع قد اعتبر مقیّداً بإنشائه التزامَ عدم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فحاصل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إلزامٌ فی التزامٍ مع اعتبار تقیید الثانی بالأوّل؛ و تمام الکلام فی باب الشروط إن شاء اللّٰه تعالی</w:t>
      </w:r>
      <w:r>
        <w:rPr>
          <w:rFonts w:eastAsia="IRNazanin" w:cs="IRNazanin"/>
          <w:color w:val="111111"/>
          <w:sz w:val="28"/>
          <w:szCs w:val="28"/>
          <w:rtl w:val="true"/>
          <w:lang w:bidi="fa-IR"/>
        </w:rPr>
        <w:t>.</w:t>
      </w:r>
    </w:p>
    <w:p>
      <w:pPr>
        <w:pStyle w:val="Heading6"/>
        <w:numPr>
          <w:ilvl w:val="5"/>
          <w:numId w:val="1"/>
        </w:numPr>
        <w:rPr/>
      </w:pPr>
      <w:bookmarkStart w:id="147" w:name="__RefHeading___Toc5148626_2314609296"/>
      <w:bookmarkStart w:id="148" w:name="_Toc58"/>
      <w:bookmarkEnd w:id="147"/>
      <w:r>
        <w:rPr>
          <w:rtl w:val="true"/>
        </w:rPr>
        <w:t>فرع</w:t>
      </w:r>
      <w:r>
        <w:rPr>
          <w:rtl w:val="true"/>
        </w:rPr>
        <w:t>:</w:t>
      </w:r>
      <w:bookmarkEnd w:id="148"/>
    </w:p>
    <w:p>
      <w:pPr>
        <w:pStyle w:val="BookText"/>
        <w:rPr/>
      </w:pPr>
      <w:r>
        <w:rPr>
          <w:rFonts w:ascii="IRNazanin" w:hAnsi="IRNazanin" w:eastAsia="IRNazanin"/>
          <w:color w:val="111111"/>
          <w:sz w:val="28"/>
          <w:sz w:val="28"/>
          <w:szCs w:val="28"/>
          <w:rtl w:val="true"/>
          <w:lang w:bidi="fa-IR"/>
        </w:rPr>
        <w:t>ذکر العلّامة فی التذکرة مورداً لعدم جواز اشتراط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نفی </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المجلس و غیره فی متن العقد،و هو ما إذا نذر المولی أن یعتق عبده إذا باعه،بأن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أنْ أُعتقک إذا بعتک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باعه بشرط نفی الخیار لم یصحّ البیع؛لصحّة النذر،فیجب الوفاء به،و لا یتمّ برفع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قول بعض علمائنا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صحّة البیع مع بطلان الشرط، یلغو الشرط و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البیع و یعتق </w:t>
      </w:r>
      <w:r>
        <w:rPr>
          <w:rStyle w:val="FootnoteAnchor"/>
          <w:rtl w:val="true"/>
        </w:rPr>
        <w:footnoteReference w:id="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مبنیٌّ علی أنّ النذر المعلّق بالعین یوجب عدم تسلّط الناذر علی التصرّفات المنافیة له،و قد مرّ أنّ الأقوی فی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أیضاً </w:t>
      </w:r>
      <w:r>
        <w:rPr>
          <w:rStyle w:val="FootnoteAnchor"/>
          <w:rtl w:val="true"/>
        </w:rPr>
        <w:footnoteReference w:id="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کونه کذلک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bookmarkStart w:id="149" w:name="pg19864_220687"/>
    </w:p>
    <w:p>
      <w:pPr>
        <w:pStyle w:val="Heading6"/>
        <w:numPr>
          <w:ilvl w:val="5"/>
          <w:numId w:val="1"/>
        </w:numPr>
        <w:rPr/>
      </w:pPr>
      <w:bookmarkStart w:id="150" w:name="__RefHeading___Toc5148628_2314609296"/>
      <w:bookmarkStart w:id="151" w:name="_Toc59"/>
      <w:bookmarkEnd w:id="149"/>
      <w:bookmarkEnd w:id="150"/>
      <w:r>
        <w:rPr>
          <w:rtl w:val="true"/>
        </w:rPr>
        <w:t xml:space="preserve">مسألة </w:t>
      </w:r>
      <w:r>
        <w:rPr>
          <w:rtl w:val="true"/>
        </w:rPr>
        <w:t>[</w:t>
      </w:r>
      <w:r>
        <w:rPr>
          <w:rtl w:val="true"/>
        </w:rPr>
        <w:t>المسقط الثانی إسقاط هذا الخیار بعد العقد</w:t>
      </w:r>
      <w:r>
        <w:rPr>
          <w:rtl w:val="true"/>
        </w:rPr>
        <w:t>]</w:t>
      </w:r>
      <w:bookmarkEnd w:id="151"/>
    </w:p>
    <w:p>
      <w:pPr>
        <w:pStyle w:val="BookText"/>
        <w:rPr/>
      </w:pPr>
      <w:r>
        <w:rPr>
          <w:rFonts w:ascii="IRNazanin" w:hAnsi="IRNazanin" w:eastAsia="IRNazanin"/>
          <w:color w:val="111111"/>
          <w:sz w:val="28"/>
          <w:sz w:val="28"/>
          <w:szCs w:val="28"/>
          <w:rtl w:val="true"/>
          <w:lang w:bidi="fa-IR"/>
        </w:rPr>
        <w:t>و من المسقطات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إسقاط هذا الخیار بعد العقد،بل هذا هو المسقط الحقیقی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خلاف ظاهراً فی سقوطه بالإسقاط،و یدلّ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فحوی ما سیجیء </w:t>
      </w:r>
      <w:r>
        <w:rPr>
          <w:rStyle w:val="FootnoteAnchor"/>
          <w:rtl w:val="true"/>
        </w:rPr>
        <w:footnoteReference w:id="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النصّ الدالّ علی سقوط الخیار بالتصرّف،معلّلاً بأنّه رضی بالبیع؛مضافاً إلی القاعدة المسلّمة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لکلّ ذی حقٍّ إسقاط حقّه،و لعلّه لفحوی تسلّط الناس علی أموالهم، فهم أولی بالتسلّط علی حقوقهم المتعلّقة بالأموال،و لا معنی لتسلّطهم علی مثل هذه الحقوق الغیر القابلة للنقل،إلّا نفوذ تصرّفهم فیها بما یشمل الإسقاط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الاستدلال له بدلیل الشرط لو فرض شموله للالتزام الابتدائی</w:t>
      </w:r>
      <w:r>
        <w:rPr>
          <w:rFonts w:eastAsia="IRNazanin" w:cs="IRNazanin"/>
          <w:color w:val="111111"/>
          <w:sz w:val="28"/>
          <w:szCs w:val="28"/>
          <w:rtl w:val="true"/>
          <w:lang w:bidi="fa-IR"/>
        </w:rPr>
        <w:t>.</w:t>
      </w:r>
    </w:p>
    <w:p>
      <w:pPr>
        <w:pStyle w:val="Heading6"/>
        <w:numPr>
          <w:ilvl w:val="5"/>
          <w:numId w:val="1"/>
        </w:numPr>
        <w:rPr/>
      </w:pPr>
      <w:bookmarkStart w:id="152" w:name="__RefHeading___Toc5148630_2314609296"/>
      <w:bookmarkStart w:id="153" w:name="_Toc60"/>
      <w:bookmarkEnd w:id="152"/>
      <w:r>
        <w:rPr>
          <w:rtl w:val="true"/>
        </w:rPr>
        <w:t>ثمّ إنّ الظاهر سقوط الخیار بکلّ لفظٍ یدلّ علیه بإحدی الدلالات العرفیّة،</w:t>
      </w:r>
      <w:bookmarkEnd w:id="15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للفحوی المتقدّمة </w:t>
      </w:r>
      <w:r>
        <w:rPr>
          <w:rStyle w:val="FootnoteAnchor"/>
          <w:rtl w:val="true"/>
        </w:rPr>
        <w:footnoteReference w:id="188"/>
      </w:r>
      <w:r>
        <w:rPr>
          <w:rFonts w:ascii="IRNazanin" w:hAnsi="IRNazanin" w:eastAsia="IRNazanin"/>
          <w:color w:val="111111"/>
          <w:sz w:val="28"/>
          <w:sz w:val="28"/>
          <w:szCs w:val="28"/>
          <w:rtl w:val="true"/>
          <w:lang w:bidi="fa-IR"/>
        </w:rPr>
        <w:t>،و فحوی ما دلّ علی کفایة بعض الأفعال</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إجازة عقد الفضولی </w:t>
      </w:r>
      <w:r>
        <w:rPr>
          <w:rStyle w:val="FootnoteAnchor"/>
          <w:rtl w:val="true"/>
        </w:rPr>
        <w:footnoteReference w:id="189"/>
      </w:r>
      <w:r>
        <w:rPr>
          <w:rFonts w:ascii="IRNazanin" w:hAnsi="IRNazanin" w:eastAsia="IRNazanin"/>
          <w:color w:val="111111"/>
          <w:sz w:val="28"/>
          <w:sz w:val="28"/>
          <w:szCs w:val="28"/>
          <w:rtl w:val="true"/>
          <w:lang w:bidi="fa-IR"/>
        </w:rPr>
        <w:t>،و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الإسقاط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النافذ بمقتضی ما تقدّم من التسلّط علی إسقاط الحقوق؛و علی هذا فلو قال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أسقطت الخیار من الطرفین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 الآخر سقط خیار الراضی أیضاً،لکون رضاه بإسقاط الآخر خیارَه إسقاطاً أیضاً</w:t>
      </w:r>
      <w:r>
        <w:rPr>
          <w:rFonts w:eastAsia="IRNazanin" w:cs="IRNazanin"/>
          <w:color w:val="111111"/>
          <w:sz w:val="28"/>
          <w:szCs w:val="28"/>
          <w:rtl w:val="true"/>
          <w:lang w:bidi="fa-IR"/>
        </w:rPr>
        <w:t>.</w:t>
      </w:r>
      <w:bookmarkStart w:id="154" w:name="pg19864_220689"/>
    </w:p>
    <w:p>
      <w:pPr>
        <w:pStyle w:val="Heading6"/>
        <w:numPr>
          <w:ilvl w:val="5"/>
          <w:numId w:val="1"/>
        </w:numPr>
        <w:rPr/>
      </w:pPr>
      <w:bookmarkStart w:id="155" w:name="__RefHeading___Toc5148632_2314609296"/>
      <w:bookmarkStart w:id="156" w:name="_Toc61"/>
      <w:bookmarkEnd w:id="154"/>
      <w:bookmarkEnd w:id="155"/>
      <w:r>
        <w:rPr>
          <w:rtl w:val="true"/>
        </w:rPr>
        <w:t>مسألة لو قال أحدهما لصاحبه</w:t>
      </w:r>
      <w:r>
        <w:rPr>
          <w:rtl w:val="true"/>
        </w:rPr>
        <w:t>:«</w:t>
      </w:r>
      <w:r>
        <w:rPr>
          <w:rtl w:val="true"/>
        </w:rPr>
        <w:t>اختر</w:t>
      </w:r>
      <w:r>
        <w:rPr>
          <w:rtl w:val="true"/>
        </w:rPr>
        <w:t>»</w:t>
      </w:r>
      <w:r>
        <w:rPr>
          <w:rtl w:val="true"/>
        </w:rPr>
        <w:t>،</w:t>
      </w:r>
      <w:bookmarkEnd w:id="156"/>
    </w:p>
    <w:p>
      <w:pPr>
        <w:pStyle w:val="BookText"/>
        <w:rPr/>
      </w:pPr>
      <w:r>
        <w:rPr>
          <w:rFonts w:ascii="IRNazanin" w:hAnsi="IRNazanin" w:eastAsia="IRNazanin"/>
          <w:color w:val="111111"/>
          <w:sz w:val="28"/>
          <w:sz w:val="28"/>
          <w:szCs w:val="28"/>
          <w:rtl w:val="true"/>
          <w:lang w:bidi="fa-IR"/>
        </w:rPr>
        <w:t>فإن اختار المأمور الفسخ، فلا إشکال فی انفساخ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اختار الإمضاء،ففی سقوط خیار الآمر أیضاً مطلقاً کما عن ظاهر الأکثر </w:t>
      </w:r>
      <w:r>
        <w:rPr>
          <w:rStyle w:val="FootnoteAnchor"/>
          <w:rtl w:val="true"/>
        </w:rPr>
        <w:footnoteReference w:id="190"/>
      </w:r>
      <w:r>
        <w:rPr>
          <w:rFonts w:ascii="IRNazanin" w:hAnsi="IRNazanin" w:eastAsia="IRNazanin"/>
          <w:color w:val="111111"/>
          <w:sz w:val="28"/>
          <w:sz w:val="28"/>
          <w:szCs w:val="28"/>
          <w:rtl w:val="true"/>
          <w:lang w:bidi="fa-IR"/>
        </w:rPr>
        <w:t>،بل عن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الإجماع علیه </w:t>
      </w:r>
      <w:r>
        <w:rPr>
          <w:rStyle w:val="FootnoteAnchor"/>
          <w:rtl w:val="true"/>
        </w:rPr>
        <w:footnoteReference w:id="191"/>
      </w:r>
      <w:r>
        <w:rPr>
          <w:rFonts w:ascii="IRNazanin" w:hAnsi="IRNazanin" w:eastAsia="IRNazanin"/>
          <w:color w:val="111111"/>
          <w:sz w:val="28"/>
          <w:sz w:val="28"/>
          <w:szCs w:val="28"/>
          <w:rtl w:val="true"/>
          <w:lang w:bidi="fa-IR"/>
        </w:rPr>
        <w:t xml:space="preserve">أو بشرط إرادته تملیک الخیار لصاحبه،و إلّا فهو باقٍ مطلقاً </w:t>
      </w:r>
      <w:r>
        <w:rPr>
          <w:rStyle w:val="FootnoteAnchor"/>
          <w:rtl w:val="true"/>
        </w:rPr>
        <w:footnoteReference w:id="192"/>
      </w:r>
      <w:r>
        <w:rPr>
          <w:rFonts w:ascii="IRNazanin" w:hAnsi="IRNazanin" w:eastAsia="IRNazanin"/>
          <w:color w:val="111111"/>
          <w:sz w:val="28"/>
          <w:sz w:val="28"/>
          <w:szCs w:val="28"/>
          <w:rtl w:val="true"/>
          <w:lang w:bidi="fa-IR"/>
        </w:rPr>
        <w:t xml:space="preserve">کما هو ظاهر التذکرة </w:t>
      </w:r>
      <w:r>
        <w:rPr>
          <w:rStyle w:val="FootnoteAnchor"/>
          <w:rtl w:val="true"/>
        </w:rPr>
        <w:footnoteReference w:id="193"/>
      </w:r>
      <w:r>
        <w:rPr>
          <w:rFonts w:ascii="IRNazanin" w:hAnsi="IRNazanin" w:eastAsia="IRNazanin"/>
          <w:color w:val="111111"/>
          <w:sz w:val="28"/>
          <w:sz w:val="28"/>
          <w:szCs w:val="28"/>
          <w:rtl w:val="true"/>
          <w:lang w:bidi="fa-IR"/>
        </w:rPr>
        <w:t>أو مع قید إرادة الاستکشاف دون التفویض و یکون حکم التفویض کالتملیک، أقوال</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سکت،فخیار الساکت باقٍ إجماعاً،و وجهه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w:t>
      </w:r>
    </w:p>
    <w:p>
      <w:pPr>
        <w:pStyle w:val="BookText"/>
        <w:rPr/>
      </w:pPr>
      <w:r>
        <w:rPr>
          <w:rFonts w:ascii="IRNazanin" w:hAnsi="IRNazanin" w:eastAsia="IRNazanin"/>
          <w:color w:val="111111"/>
          <w:sz w:val="28"/>
          <w:sz w:val="28"/>
          <w:szCs w:val="28"/>
          <w:rtl w:val="true"/>
          <w:lang w:bidi="fa-IR"/>
        </w:rPr>
        <w:t xml:space="preserve">خیار الآمر،ففی بقائه مطلقاً،أو بشرط عدم إرادته </w:t>
      </w:r>
      <w:r>
        <w:rPr>
          <w:rStyle w:val="FootnoteAnchor"/>
          <w:rtl w:val="true"/>
        </w:rPr>
        <w:footnoteReference w:id="194"/>
      </w:r>
      <w:r>
        <w:rPr>
          <w:rFonts w:ascii="IRNazanin" w:hAnsi="IRNazanin" w:eastAsia="IRNazanin"/>
          <w:color w:val="111111"/>
          <w:sz w:val="28"/>
          <w:sz w:val="28"/>
          <w:szCs w:val="28"/>
          <w:rtl w:val="true"/>
          <w:lang w:bidi="fa-IR"/>
        </w:rPr>
        <w:t xml:space="preserve">تملیک الخیار کما هو ظاهر التذکرة </w:t>
      </w:r>
      <w:r>
        <w:rPr>
          <w:rStyle w:val="FootnoteAnchor"/>
          <w:rtl w:val="true"/>
        </w:rPr>
        <w:footnoteReference w:id="195"/>
      </w:r>
      <w:r>
        <w:rPr>
          <w:rFonts w:ascii="IRNazanin" w:hAnsi="IRNazanin" w:eastAsia="IRNazanin"/>
          <w:color w:val="111111"/>
          <w:sz w:val="28"/>
          <w:sz w:val="28"/>
          <w:szCs w:val="28"/>
          <w:rtl w:val="true"/>
          <w:lang w:bidi="fa-IR"/>
        </w:rPr>
        <w:t xml:space="preserve">،أو سقوط خیاره مطلقاً کما عن الشیخ </w:t>
      </w:r>
      <w:r>
        <w:rPr>
          <w:rStyle w:val="FootnoteAnchor"/>
          <w:rtl w:val="true"/>
        </w:rPr>
        <w:footnoteReference w:id="196"/>
      </w:r>
      <w:r>
        <w:rPr>
          <w:rFonts w:ascii="Amiri" w:hAnsi="Amiri" w:eastAsia="Amiri" w:cs="Amiri"/>
          <w:color w:val="111111"/>
          <w:sz w:val="28"/>
          <w:sz w:val="28"/>
          <w:szCs w:val="28"/>
          <w:rtl w:val="true"/>
          <w:lang w:bidi="ar-SA"/>
        </w:rPr>
        <w:t>؟أقوالٌ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الأولی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وضعه لطلب اختیار المخاطب أحد طرفی العقد من الفسخ و الإمضاء،و لیس فیه دلالةٌ علی ما ذکروه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تملیک الخیار أو تفویض الأمر أو استکشاف الحال</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نعم،الظاهر عرفاً من حال الآمر أنّ داعیه استکشاف حال المخاطب،و کأنّه فی العرف السابق کان ظاهراً فی تملیک المخاطب أمر الشیء،کما یظهر من باب الطلاق </w:t>
      </w:r>
      <w:r>
        <w:rPr>
          <w:rStyle w:val="FootnoteAnchor"/>
          <w:rtl w:val="true"/>
        </w:rPr>
        <w:footnoteReference w:id="197"/>
      </w:r>
      <w:r>
        <w:rPr>
          <w:rFonts w:ascii="IRNazanin" w:hAnsi="IRNazanin" w:eastAsia="IRNazanin"/>
          <w:color w:val="111111"/>
          <w:sz w:val="28"/>
          <w:sz w:val="28"/>
          <w:szCs w:val="28"/>
          <w:rtl w:val="true"/>
          <w:lang w:bidi="fa-IR"/>
        </w:rPr>
        <w:t>،فإن تمّ دلالته حینئذٍ علی إسقاط الآمر خیاره بذلک،و إلّا فلا مزیل لخیاره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یحمل علی تقدیر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فی ذیل بعض أخبار خیار المجلس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بالخیار ما لم یفترقا،أو یقول أحدهما لصاحبه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اختر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 لا إشکال فی أنّ إسقاط أحدهما خیاره لا یوجب سقوط خیار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أجاز أحدهما و فسخ الآخر انفسخ العقد؛لأنّه مقتضی ثبوت الخیار،فکان العقد بعد إجازة أحدهما جائزاً من طرف الفاسخ دون المجیز،کما لو جعل الخیار من أوّل الأمر لأحدهما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لیس تعارضاً بین الإجازة و الفسخ و ترجیحاً له علیها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نعم،لو اقتضت الإجازة لزوم العقد من الطرفین کما لو فرض ثبوت الخیار من طرف أحد المتعاقدین أو من طرفهما لمتعدّدٍ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کالأصیل و الوکیل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فأجاز أحدهما و فسخ الآخر دفعةً واحدة،أو تصرّف ذو الخیار فی العوضین دفعةً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باع عبداً بجاریةٍ،ثمّ أعتقهما جمیعاً، حیث إنّ إعتاق العبد فسخٌ،و إعتاق الجاریة 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اختلف الورثة فی الفسخ و الإجازة تحقّق التعارض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ظاهر العلّامة فی جمیع هذه الصور تقدیم الفسخ </w:t>
      </w:r>
      <w:r>
        <w:rPr>
          <w:rStyle w:val="FootnoteAnchor"/>
          <w:rtl w:val="true"/>
        </w:rPr>
        <w:footnoteReference w:id="200"/>
      </w:r>
      <w:r>
        <w:rPr>
          <w:rFonts w:ascii="IRNazanin" w:hAnsi="IRNazanin" w:eastAsia="IRNazanin"/>
          <w:color w:val="111111"/>
          <w:sz w:val="28"/>
          <w:sz w:val="28"/>
          <w:szCs w:val="28"/>
          <w:rtl w:val="true"/>
          <w:lang w:bidi="fa-IR"/>
        </w:rPr>
        <w:t xml:space="preserve">و لم یظهر له وجهٌ تامّ؛و سیجیء الإشارة إلی ذلک فی موضعه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bookmarkStart w:id="157" w:name="pg19864_220692"/>
    </w:p>
    <w:p>
      <w:pPr>
        <w:pStyle w:val="Heading6"/>
        <w:numPr>
          <w:ilvl w:val="5"/>
          <w:numId w:val="1"/>
        </w:numPr>
        <w:rPr/>
      </w:pPr>
      <w:bookmarkStart w:id="158" w:name="__RefHeading___Toc5148634_2314609296"/>
      <w:bookmarkStart w:id="159" w:name="_Toc62"/>
      <w:bookmarkEnd w:id="157"/>
      <w:bookmarkEnd w:id="158"/>
      <w:r>
        <w:rPr>
          <w:rtl w:val="true"/>
        </w:rPr>
        <w:t xml:space="preserve">مسألة </w:t>
      </w:r>
      <w:r>
        <w:rPr>
          <w:rtl w:val="true"/>
        </w:rPr>
        <w:t>[</w:t>
      </w:r>
      <w:r>
        <w:rPr>
          <w:rtl w:val="true"/>
        </w:rPr>
        <w:t>المسقط الثالث افتراق المتبایعین</w:t>
      </w:r>
      <w:r>
        <w:rPr>
          <w:rtl w:val="true"/>
        </w:rPr>
        <w:t>]</w:t>
      </w:r>
      <w:bookmarkEnd w:id="159"/>
    </w:p>
    <w:p>
      <w:pPr>
        <w:pStyle w:val="BookText"/>
        <w:rPr/>
      </w:pPr>
      <w:r>
        <w:rPr>
          <w:rFonts w:ascii="IRNazanin" w:hAnsi="IRNazanin" w:eastAsia="IRNazanin"/>
          <w:color w:val="111111"/>
          <w:sz w:val="28"/>
          <w:sz w:val="28"/>
          <w:szCs w:val="28"/>
          <w:rtl w:val="true"/>
          <w:lang w:bidi="fa-IR"/>
        </w:rPr>
        <w:t>من جملة مسقطات الخیار افتراق المتبایعین،و لا إشکال فی سقوط الخیار به،و لا فی عدم اعتبار ظهوره فی رضاهما بالبیع،و إن کان ظاهر بعض الأخبار ذلک،مثل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افترقا فلا خیار لهما بعد الرضا</w:t>
      </w:r>
      <w:r>
        <w:rPr>
          <w:rFonts w:eastAsia="IRNazanin" w:cs="IRNazanin"/>
          <w:color w:val="111111"/>
          <w:sz w:val="28"/>
          <w:szCs w:val="28"/>
          <w:rtl w:val="true"/>
          <w:lang w:bidi="fa-IR"/>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0" w:name="__RefHeading___Toc5148636_2314609296"/>
      <w:bookmarkStart w:id="161" w:name="_Toc63"/>
      <w:bookmarkEnd w:id="160"/>
      <w:r>
        <w:rPr>
          <w:rtl w:val="true"/>
        </w:rPr>
        <w:t>[</w:t>
      </w:r>
      <w:r>
        <w:rPr>
          <w:rtl w:val="true"/>
        </w:rPr>
        <w:t>معنی الافتراق المسقط</w:t>
      </w:r>
      <w:r>
        <w:rPr>
          <w:rtl w:val="true"/>
        </w:rPr>
        <w:t>]</w:t>
      </w:r>
      <w:bookmarkEnd w:id="161"/>
    </w:p>
    <w:p>
      <w:pPr>
        <w:pStyle w:val="BookText"/>
        <w:rPr/>
      </w:pPr>
      <w:r>
        <w:rPr>
          <w:rFonts w:ascii="IRNazanin" w:hAnsi="IRNazanin" w:eastAsia="IRNazanin"/>
          <w:color w:val="111111"/>
          <w:sz w:val="28"/>
          <w:sz w:val="28"/>
          <w:szCs w:val="28"/>
          <w:rtl w:val="true"/>
          <w:lang w:bidi="fa-IR"/>
        </w:rPr>
        <w:t>و معنی حدوث افتراقهما المسقط مع کونهما متفرّقین حین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افتراقهما بالنسبة إلی الهیئة الاجتماعیّة الحاصلة لهما حین العقد،فإذا حصل الافتراق الإضافی و لو بمسمّاه ارتفع الخیار،فلا یعتبر الخطوة؛ و لذا حکی عن جماعةٍ التعبیر بأدنی الانتقال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ذکره فی بعض العبارات لبیان أقلّ الأفراد،خصوصاً مثل قول الشیخ فی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ما ینقطع به خیار المجلس خطوة</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w:t>
      </w:r>
      <w:bookmarkStart w:id="162" w:name="pg19864_220693"/>
    </w:p>
    <w:p>
      <w:pPr>
        <w:pStyle w:val="BookText"/>
        <w:rPr/>
      </w:pPr>
      <w:bookmarkEnd w:id="162"/>
      <w:r>
        <w:rPr>
          <w:rFonts w:ascii="IRNazanin" w:hAnsi="IRNazanin" w:eastAsia="IRNazanin"/>
          <w:color w:val="111111"/>
          <w:sz w:val="28"/>
          <w:sz w:val="28"/>
          <w:szCs w:val="28"/>
          <w:rtl w:val="true"/>
          <w:lang w:bidi="fa-IR"/>
        </w:rPr>
        <w:t>مبنیٌّ علی الغالب فی الخارج أو فی التمثیل لأقلّ الافتراق؛فلو تبایعا فی سفینتین متلاصقتین کفی مجرّد افتراقهما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یظهر من بعضٍ </w:t>
      </w:r>
      <w:r>
        <w:rPr>
          <w:rStyle w:val="FootnoteAnchor"/>
          <w:rtl w:val="true"/>
        </w:rPr>
        <w:footnoteReference w:id="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الخطوة،اغتراراً بتمثیل کثیرٍ من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صریح آخر </w:t>
      </w:r>
      <w:r>
        <w:rPr>
          <w:rStyle w:val="FootnoteAnchor"/>
          <w:rtl w:val="true"/>
        </w:rPr>
        <w:footnoteReference w:id="2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التأمّل فی کفایة الخطوة؛لانصراف الإطلاق إلی أزید منها </w:t>
      </w:r>
      <w:r>
        <w:rPr>
          <w:rStyle w:val="FootnoteAnchor"/>
          <w:rtl w:val="true"/>
        </w:rPr>
        <w:footnoteReference w:id="207"/>
      </w:r>
      <w:r>
        <w:rPr>
          <w:rFonts w:ascii="IRNazanin" w:hAnsi="IRNazanin" w:eastAsia="IRNazanin"/>
          <w:color w:val="111111"/>
          <w:sz w:val="28"/>
          <w:sz w:val="28"/>
          <w:szCs w:val="28"/>
          <w:rtl w:val="true"/>
          <w:lang w:bidi="fa-IR"/>
        </w:rPr>
        <w:t>،فیستصحب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قوله علیه السلام فی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استوجبتها قمت فمشیت خُطیً لیجب البیع حین افترقنا</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الانصراف و دلالة الروایة</w:t>
      </w:r>
      <w:r>
        <w:rPr>
          <w:rFonts w:eastAsia="IRNazanin" w:cs="IRNazanin"/>
          <w:color w:val="111111"/>
          <w:sz w:val="28"/>
          <w:szCs w:val="28"/>
          <w:rtl w:val="true"/>
          <w:lang w:bidi="fa-IR"/>
        </w:rPr>
        <w:t>.</w:t>
      </w:r>
    </w:p>
    <w:p>
      <w:pPr>
        <w:pStyle w:val="Heading6"/>
        <w:numPr>
          <w:ilvl w:val="5"/>
          <w:numId w:val="1"/>
        </w:numPr>
        <w:rPr/>
      </w:pPr>
      <w:bookmarkStart w:id="163" w:name="__RefHeading___Toc5148638_2314609296"/>
      <w:bookmarkStart w:id="164" w:name="_Toc64"/>
      <w:bookmarkEnd w:id="163"/>
      <w:r>
        <w:rPr>
          <w:rtl w:val="true"/>
        </w:rPr>
        <w:t>[</w:t>
      </w:r>
      <w:r>
        <w:rPr>
          <w:rtl w:val="true"/>
        </w:rPr>
        <w:t>ما یحصل به الافتراق</w:t>
      </w:r>
      <w:r>
        <w:rPr>
          <w:rtl w:val="true"/>
        </w:rPr>
        <w:t>]</w:t>
      </w:r>
      <w:bookmarkEnd w:id="164"/>
    </w:p>
    <w:p>
      <w:pPr>
        <w:pStyle w:val="BookText"/>
        <w:rPr/>
      </w:pPr>
      <w:r>
        <w:rPr>
          <w:rFonts w:ascii="IRNazanin" w:hAnsi="IRNazanin" w:eastAsia="IRNazanin"/>
          <w:color w:val="111111"/>
          <w:sz w:val="28"/>
          <w:sz w:val="28"/>
          <w:szCs w:val="28"/>
          <w:rtl w:val="true"/>
          <w:lang w:bidi="fa-IR"/>
        </w:rPr>
        <w:t>ثمّ اعلم أنّ الافتراق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عرفت من معناه یحصل بحرکة أحدهما و بقاء الآخر فی مکانه،فلا یعتبر الحرکة من الطرفین فی صدق افتراقهما،فالحرکة من أحدهما لا یسمّی افتراقاً حتّی یحصل عدم المصاحبة من الآخر،فذات الافتراق الخارجی </w:t>
      </w:r>
      <w:r>
        <w:rPr>
          <w:rStyle w:val="FootnoteAnchor"/>
          <w:rtl w:val="true"/>
        </w:rPr>
        <w:footnoteReference w:id="209"/>
      </w:r>
      <w:r>
        <w:rPr>
          <w:rFonts w:ascii="IRNazanin" w:hAnsi="IRNazanin" w:eastAsia="IRNazanin"/>
          <w:color w:val="111111"/>
          <w:sz w:val="28"/>
          <w:sz w:val="28"/>
          <w:szCs w:val="28"/>
          <w:rtl w:val="true"/>
          <w:lang w:bidi="fa-IR"/>
        </w:rPr>
        <w:t>من المتحرّک،و اتّصافها بکونها افتراقاً من الساکن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تحرّک کلٌّ منهما کان حرکة کلٍّ منهما افتراقاً بملاحظة عدم مصاحبة الآخر</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کان،فلا یعتبر فی الافتراق المسقط حرکةُ کلٍّ منهما إلی غیر جانب الآخر،کما تدلّ علیه الروایات الحاکیة لشراء الإمام علیه السلام</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أرضاً و أنّه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استوجبتها قمت فمشیت خُطیً لیجب البیع حین افترقنا</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،فأثبت افتراق الطرفین بمشیه علیه السلام فقط</w:t>
      </w:r>
      <w:r>
        <w:rPr>
          <w:rFonts w:eastAsia="IRNazanin" w:cs="IRNazanin"/>
          <w:color w:val="111111"/>
          <w:sz w:val="28"/>
          <w:szCs w:val="28"/>
          <w:rtl w:val="true"/>
          <w:lang w:bidi="fa-IR"/>
        </w:rPr>
        <w:t>.</w:t>
      </w:r>
      <w:bookmarkStart w:id="165" w:name="pg19864_220695"/>
    </w:p>
    <w:p>
      <w:pPr>
        <w:pStyle w:val="Heading6"/>
        <w:numPr>
          <w:ilvl w:val="5"/>
          <w:numId w:val="1"/>
        </w:numPr>
        <w:rPr/>
      </w:pPr>
      <w:bookmarkStart w:id="166" w:name="__RefHeading___Toc5148640_2314609296"/>
      <w:bookmarkStart w:id="167" w:name="_Toc65"/>
      <w:bookmarkEnd w:id="165"/>
      <w:bookmarkEnd w:id="166"/>
      <w:r>
        <w:rPr>
          <w:rtl w:val="true"/>
        </w:rPr>
        <w:t>مسألة المعروف أنّه لا اعتبار بالافتراق عن إکراه</w:t>
      </w:r>
      <w:bookmarkEnd w:id="167"/>
    </w:p>
    <w:p>
      <w:pPr>
        <w:pStyle w:val="BookText"/>
        <w:rPr/>
      </w:pPr>
      <w:r>
        <w:rPr>
          <w:rFonts w:ascii="IRNazanin" w:hAnsi="IRNazanin" w:eastAsia="IRNazanin"/>
          <w:color w:val="111111"/>
          <w:sz w:val="28"/>
          <w:sz w:val="28"/>
          <w:szCs w:val="28"/>
          <w:rtl w:val="true"/>
          <w:lang w:bidi="fa-IR"/>
        </w:rPr>
        <w:t xml:space="preserve">إذا منع من التخایر أیضاً،سواء بلغ حدّ سلب الاختیار أم لا،لأصالة بقاء الخیار بعد تبادر الاختیار من الفعل المسند إلی الفاعل المختار،مضافاً إلی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استکرهوا علیه</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 xml:space="preserve">،و قد تقدّم فی مسألة اشتراط الاختیار فی المتبایعین </w:t>
      </w:r>
      <w:r>
        <w:rPr>
          <w:rStyle w:val="FootnoteAnchor"/>
          <w:rtl w:val="true"/>
        </w:rPr>
        <w:footnoteReference w:id="212"/>
      </w:r>
      <w:r>
        <w:rPr>
          <w:rFonts w:ascii="IRNazanin" w:hAnsi="IRNazanin" w:eastAsia="IRNazanin"/>
          <w:color w:val="111111"/>
          <w:sz w:val="28"/>
          <w:sz w:val="28"/>
          <w:szCs w:val="28"/>
          <w:rtl w:val="true"/>
          <w:lang w:bidi="fa-IR"/>
        </w:rPr>
        <w:t>ما یظهر منه عموم الرفع للحکم الوضعی المحمول علی المکلّف،فلا یختصّ برفع التکلیف</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هذا،و لکن یمکن منع التبادر،فإنّ المتبادر هو الاختیاری فی مقابل الاضطراری الذی لم یعدّ فعلاً حقیقیّا قائماً بنفس الفاعل،بل یکون صورة فعلٍ قائمةً بجسم المضطرّ،لا فی مقابل المکرَه الفاعل بالاختیار لدفع الضرر المتوعَّد علی ترکه،فإنّ التبادر ممنوعٌ،فإذا دخل</w:t>
      </w:r>
      <w:bookmarkStart w:id="168" w:name="pg19864_220696"/>
    </w:p>
    <w:p>
      <w:pPr>
        <w:pStyle w:val="BookText"/>
        <w:rPr/>
      </w:pPr>
      <w:bookmarkEnd w:id="168"/>
      <w:r>
        <w:rPr>
          <w:rFonts w:ascii="IRNazanin" w:hAnsi="IRNazanin" w:eastAsia="IRNazanin"/>
          <w:color w:val="111111"/>
          <w:sz w:val="28"/>
          <w:sz w:val="28"/>
          <w:szCs w:val="28"/>
          <w:rtl w:val="true"/>
          <w:lang w:bidi="fa-IR"/>
        </w:rPr>
        <w:t>الاختیاری المکرَه علیه دخل الاضطراری لعدم القول بالفصل؛مع أنّ المعروف بین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الافتراق و لو اضطراراً مسقطٌ للخیار إذا کان الشخص متمکّناً من الفسخ و الإمضاء،مستدلّین علیه بحصول التفرّق المسقط للخیار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المبسوط فی تعلیل الحکم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 إذا کان متمکّناً من الإمضاء و الفسخ فلم یفعل حتّی وقع التفرّق،کان ذلک دلیلاً علی الرضا و الإمضاء </w:t>
      </w:r>
      <w:r>
        <w:rPr>
          <w:rStyle w:val="FootnoteAnchor"/>
          <w:rtl w:val="true"/>
        </w:rPr>
        <w:footnoteReference w:id="21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جامع المقاصد تعلیل الحکم المذکور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لتحقّق الافتراق مع التمکّن من الاختیار </w:t>
      </w:r>
      <w:r>
        <w:rPr>
          <w:rStyle w:val="FootnoteAnchor"/>
          <w:rtl w:val="true"/>
        </w:rPr>
        <w:footnoteReference w:id="21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وجه للاستدلال بحدیث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الحکم عن المکره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؛للاعتراف بدخول المکره و المضطرّ إذا تمکّنا من التخایر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فتوی الأصحاب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التفرّق عن إکراهٍ علیه و علی ترک التخایر غیر مسقطٍ للخیار،و أنّه لو حصل أحدهما باختیاره سقط خیاره،و هذه لا یصحّ الاستدلال علیها </w:t>
      </w:r>
      <w:r>
        <w:rPr>
          <w:rStyle w:val="FootnoteAnchor"/>
          <w:rtl w:val="true"/>
        </w:rPr>
        <w:footnoteReference w:id="215"/>
      </w:r>
      <w:r>
        <w:rPr>
          <w:rFonts w:ascii="IRNazanin" w:hAnsi="IRNazanin" w:eastAsia="IRNazanin"/>
          <w:color w:val="111111"/>
          <w:sz w:val="28"/>
          <w:sz w:val="28"/>
          <w:szCs w:val="28"/>
          <w:rtl w:val="true"/>
          <w:lang w:bidi="fa-IR"/>
        </w:rPr>
        <w:t>باختصاص الأدلّة بالتفرّق الاختیاری،و لا بأنّ مقتضی حدیث الرفع جعل التفرّق المکره علیه کلا تفرّق؛لأنّ المفروض أنّ التفرّق الاضطراری أیضاً مسقطٌ مع وقوعه فی حال التمکّن من التخایر</w:t>
      </w:r>
      <w:r>
        <w:rPr>
          <w:rFonts w:eastAsia="IRNazanin" w:cs="IRNazanin"/>
          <w:color w:val="111111"/>
          <w:sz w:val="28"/>
          <w:szCs w:val="28"/>
          <w:rtl w:val="true"/>
          <w:lang w:bidi="fa-IR"/>
        </w:rPr>
        <w:t>.</w:t>
      </w:r>
    </w:p>
    <w:p>
      <w:pPr>
        <w:pStyle w:val="Heading6"/>
        <w:numPr>
          <w:ilvl w:val="5"/>
          <w:numId w:val="1"/>
        </w:numPr>
        <w:rPr/>
      </w:pPr>
      <w:bookmarkStart w:id="169" w:name="__RefHeading___Toc5148642_2314609296"/>
      <w:bookmarkStart w:id="170" w:name="_Toc66"/>
      <w:bookmarkEnd w:id="169"/>
      <w:r>
        <w:rPr>
          <w:rtl w:val="true"/>
        </w:rPr>
        <w:t>[</w:t>
      </w:r>
      <w:r>
        <w:rPr>
          <w:rtl w:val="true"/>
        </w:rPr>
        <w:t>الاستدلال علی کون المسقط هو الافتراق عن رضا</w:t>
      </w:r>
      <w:r>
        <w:rPr>
          <w:rtl w:val="true"/>
        </w:rPr>
        <w:t>]</w:t>
      </w:r>
      <w:bookmarkEnd w:id="17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فالأولی الاستدلال علیه مضافاً إلی الشهرة المحقّقة الجابرة</w:t>
      </w:r>
    </w:p>
    <w:p>
      <w:pPr>
        <w:pStyle w:val="BookText"/>
        <w:rPr/>
      </w:pPr>
      <w:r>
        <w:rPr>
          <w:rFonts w:ascii="IRNazanin" w:hAnsi="IRNazanin" w:eastAsia="IRNazanin"/>
          <w:color w:val="111111"/>
          <w:sz w:val="28"/>
          <w:sz w:val="28"/>
          <w:szCs w:val="28"/>
          <w:rtl w:val="true"/>
          <w:lang w:bidi="fa-IR"/>
        </w:rPr>
        <w:t xml:space="preserve">للإجماع المحکیّ </w:t>
      </w:r>
      <w:r>
        <w:rPr>
          <w:rStyle w:val="FootnoteAnchor"/>
          <w:rtl w:val="true"/>
        </w:rPr>
        <w:footnoteReference w:id="216"/>
      </w:r>
      <w:r>
        <w:rPr>
          <w:rFonts w:ascii="IRNazanin" w:hAnsi="IRNazanin" w:eastAsia="IRNazanin"/>
          <w:color w:val="111111"/>
          <w:sz w:val="28"/>
          <w:sz w:val="28"/>
          <w:szCs w:val="28"/>
          <w:rtl w:val="true"/>
          <w:lang w:bidi="fa-IR"/>
        </w:rPr>
        <w:t>،و إلی أنّ المتبادر من التفرّق ما کان عن رضا بالعقد، سواء وقع اختیاراً أو اضطراراً بقوله علیه السلام فی صحیحة الفضیل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افترقا فلا خیار بعد الرضا منهما</w:t>
      </w:r>
      <w:r>
        <w:rPr>
          <w:rFonts w:eastAsia="IRNazanin" w:cs="IRNazanin"/>
          <w:color w:val="111111"/>
          <w:sz w:val="28"/>
          <w:szCs w:val="28"/>
          <w:rtl w:val="true"/>
          <w:lang w:bidi="fa-IR"/>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 علی أنّ الشرط فی السقوط الافتراق و الرضا منهما،و لا ریب أنّ الرضا المعتبر لیس إلّا المتّصل بالتفرّق بحیث یکون التفرّق عنه؛إذ لا یعتبر الرضا فی زمانٍ آخر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إشارةٌ إلی إناطة السقوط بالرضا بالعقد المستکشَف عن افتراقهما </w:t>
      </w:r>
      <w:r>
        <w:rPr>
          <w:rStyle w:val="FootnoteAnchor"/>
          <w:rtl w:val="true"/>
        </w:rPr>
        <w:footnoteReference w:id="218"/>
      </w:r>
      <w:r>
        <w:rPr>
          <w:rFonts w:ascii="IRNazanin" w:hAnsi="IRNazanin" w:eastAsia="IRNazanin"/>
          <w:color w:val="111111"/>
          <w:sz w:val="28"/>
          <w:sz w:val="28"/>
          <w:szCs w:val="28"/>
          <w:rtl w:val="true"/>
          <w:lang w:bidi="fa-IR"/>
        </w:rPr>
        <w:t>فیکون الافتراق مسقطاً،لکونه کاشفاً نوعاً عن رضاهما بالعقد و إعراضهما عن الفسخ</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کلّ تقدیرٍ،فیدلّ علی أنّ المتفرّقین و لو اضطراراً إذا کانا متمکّنین من الفسخ و لم یفسخا کشف ذلک نوعاً عن رضاهما بالعقد فسقط </w:t>
      </w:r>
      <w:r>
        <w:rPr>
          <w:rStyle w:val="FootnoteAnchor"/>
          <w:rtl w:val="true"/>
        </w:rPr>
        <w:footnoteReference w:id="219"/>
      </w:r>
      <w:r>
        <w:rPr>
          <w:rFonts w:ascii="IRNazanin" w:hAnsi="IRNazanin" w:eastAsia="IRNazanin"/>
          <w:color w:val="111111"/>
          <w:sz w:val="28"/>
          <w:sz w:val="28"/>
          <w:szCs w:val="28"/>
          <w:rtl w:val="true"/>
          <w:lang w:bidi="fa-IR"/>
        </w:rPr>
        <w:t>خیارهما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هو الذی استفاده الشیخ قدّس سرّه کما صرّح به فی عبارة المبسوط المتقدّمة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bookmarkStart w:id="171" w:name="pg19864_220698"/>
    </w:p>
    <w:p>
      <w:pPr>
        <w:pStyle w:val="Heading6"/>
        <w:numPr>
          <w:ilvl w:val="5"/>
          <w:numId w:val="1"/>
        </w:numPr>
        <w:rPr/>
      </w:pPr>
      <w:bookmarkStart w:id="172" w:name="__RefHeading___Toc5148644_2314609296"/>
      <w:bookmarkStart w:id="173" w:name="_Toc67"/>
      <w:bookmarkEnd w:id="171"/>
      <w:bookmarkEnd w:id="172"/>
      <w:r>
        <w:rPr>
          <w:rtl w:val="true"/>
        </w:rPr>
        <w:t>مسألة لو أُکره أحدهما علی التفرّق و منع عن التخایر و بقی الآخر فی المجلس،</w:t>
      </w:r>
      <w:bookmarkEnd w:id="173"/>
    </w:p>
    <w:p>
      <w:pPr>
        <w:pStyle w:val="BookText"/>
        <w:rPr/>
      </w:pPr>
      <w:r>
        <w:rPr>
          <w:rFonts w:ascii="IRNazanin" w:hAnsi="IRNazanin" w:eastAsia="IRNazanin"/>
          <w:color w:val="111111"/>
          <w:sz w:val="28"/>
          <w:sz w:val="28"/>
          <w:szCs w:val="28"/>
          <w:rtl w:val="true"/>
          <w:lang w:bidi="fa-IR"/>
        </w:rPr>
        <w:t>فإن منع من المصاحبة و التخایر لم یسقط خیار أحدهما؛لأنّهما مکرَهان علی الافتراق و ترک التخایر،فدخل فی المسألة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یمنع من المصاحبة،ففیه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افتراقهما المستند إلی اختیارهما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یحصل بحرکة أحدهما اختیاراً و عدم مصاحبة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Style w:val="FootnoteAnchor"/>
          <w:rtl w:val="true"/>
        </w:rPr>
        <w:footnoteReference w:id="2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کذلک،و أنّ الإکراه علی التفرّق لا یسقط حکمه ما لم ینضمّ معه الإکراه علی ترک التخایر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الإکراه المسقط فی أحدهما دون الآخر یحصل تارةً بإکراه أحدهما علی التفرّق و ترک التخایر و بقاء الآخر فی المجلس مختاراً فی المصاحبة أو التخایر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أُخری بالعکس بإبقاء أحدهما فی المجلس کرهاً مع المنع عن التخایر و ذهاب الآخر اختیاراً</w:t>
      </w:r>
      <w:r>
        <w:rPr>
          <w:rFonts w:eastAsia="IRNazanin" w:cs="IRNazanin"/>
          <w:color w:val="111111"/>
          <w:sz w:val="28"/>
          <w:szCs w:val="28"/>
          <w:rtl w:val="true"/>
          <w:lang w:bidi="fa-IR"/>
        </w:rPr>
        <w:t>.</w:t>
      </w:r>
    </w:p>
    <w:p>
      <w:pPr>
        <w:pStyle w:val="Heading6"/>
        <w:numPr>
          <w:ilvl w:val="5"/>
          <w:numId w:val="1"/>
        </w:numPr>
        <w:rPr/>
      </w:pPr>
      <w:bookmarkStart w:id="174" w:name="__RefHeading___Toc5148646_2314609296"/>
      <w:bookmarkStart w:id="175" w:name="_Toc68"/>
      <w:bookmarkEnd w:id="174"/>
      <w:r>
        <w:rPr>
          <w:rtl w:val="true"/>
        </w:rPr>
        <w:t>[</w:t>
      </w:r>
      <w:r>
        <w:rPr>
          <w:rtl w:val="true"/>
        </w:rPr>
        <w:t>محل الکلام ما لو أکره أحدهما المعین علی الافتراق</w:t>
      </w:r>
      <w:r>
        <w:rPr>
          <w:rtl w:val="true"/>
        </w:rPr>
        <w:t>]</w:t>
      </w:r>
      <w:bookmarkEnd w:id="175"/>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محلّ الکلام هو الأوّل،و سیتّضح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w:t>
      </w:r>
      <w:r>
        <w:rPr>
          <w:rStyle w:val="FootnoteAnchor"/>
          <w:rtl w:val="true"/>
        </w:rPr>
        <w:footnoteReference w:id="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الأقوال</w:t>
      </w:r>
    </w:p>
    <w:p>
      <w:pPr>
        <w:pStyle w:val="BookText"/>
        <w:rPr/>
      </w:pPr>
      <w:r>
        <w:rPr>
          <w:rFonts w:ascii="IRNazanin" w:hAnsi="IRNazanin" w:eastAsia="IRNazanin"/>
          <w:color w:val="111111"/>
          <w:sz w:val="28"/>
          <w:sz w:val="28"/>
          <w:szCs w:val="28"/>
          <w:rtl w:val="true"/>
          <w:lang w:bidi="fa-IR"/>
        </w:rPr>
        <w:t>فیه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سقوط خیارهما،کما عن ظاهر المحقّق و العلّامة و ولده السعید و السیّد العمید و شیخنا الشهید </w:t>
      </w:r>
      <w:r>
        <w:rPr>
          <w:rStyle w:val="FootnoteAnchor"/>
          <w:rtl w:val="true"/>
        </w:rPr>
        <w:footnoteReference w:id="223"/>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ثبوته لهما،کما عن ظاهر المبسوط و المحقّق و الشهید الثانیین و محتمل الإرشاد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سقوطه فی حقّ المختار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فصّل فی التحریر بین بقاء المختار فی المجلس فالثبوت لهما،و بین مفارقته فالسقوط عنهما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مبنی الأقوال علی أنّ افتراقهما المجعول غایةً لخیارهما هل یتوقّف علی حصوله عن اختیارهما،أو یکفی فیه حصوله عن اختیار أحدهما؟ و علی الأوّل،هل یکون اختیار کلٍّ منهما مسقطاً لخیاره،أو یتوقّف سقوط خیار کلِّ واحدٍ علی مجموع اختیارهما؟فعلی الأوّل</w:t>
      </w:r>
    </w:p>
    <w:p>
      <w:pPr>
        <w:pStyle w:val="BookText"/>
        <w:rPr/>
      </w:pPr>
      <w:r>
        <w:rPr>
          <w:rFonts w:ascii="IRNazanin" w:hAnsi="IRNazanin" w:eastAsia="IRNazanin"/>
          <w:color w:val="111111"/>
          <w:sz w:val="28"/>
          <w:sz w:val="28"/>
          <w:szCs w:val="28"/>
          <w:rtl w:val="true"/>
          <w:lang w:bidi="fa-IR"/>
        </w:rPr>
        <w:t xml:space="preserve">یسقط خیار المختار خاصّةً،کما عن الخلاف </w:t>
      </w:r>
      <w:r>
        <w:rPr>
          <w:rStyle w:val="FootnoteAnchor"/>
          <w:rtl w:val="true"/>
        </w:rPr>
        <w:footnoteReference w:id="226"/>
      </w:r>
      <w:r>
        <w:rPr>
          <w:rFonts w:ascii="IRNazanin" w:hAnsi="IRNazanin" w:eastAsia="IRNazanin"/>
          <w:color w:val="111111"/>
          <w:sz w:val="28"/>
          <w:sz w:val="28"/>
          <w:szCs w:val="28"/>
          <w:rtl w:val="true"/>
          <w:lang w:bidi="fa-IR"/>
        </w:rPr>
        <w:t xml:space="preserve">و جواهر القاضی </w:t>
      </w:r>
      <w:r>
        <w:rPr>
          <w:rStyle w:val="FootnoteAnchor"/>
          <w:rtl w:val="true"/>
        </w:rPr>
        <w:footnoteReference w:id="2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الثانی یثبت الخیاران،کما عن ظاهر المبسوط و المحقّق و الشهید الثانیین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یعتبر فی المسقط لخیارهما کونه فعلاً وجودیّاً و حرکةً صادرةً باختیار أحدهما،أو یکفی کونه ترکاً اختیاریّاً،کالبقاء فی مجلس العقد مختاراً؟ فعلی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یتوجّه التفصیل المصرَّح به فی التحریر بین بقاء الآخر فی مجلس العقد و ذهابه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یسقط الخیاران،کما عن ظاهر المحقّق و العلّامة و ولده السعید و السیّد العمید و شیخنا الشهید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ظاهر الإیضاح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 التحریر لیس قولاً مغایراً للثبوت لهما،و أنّ محلّ الخلاف ما إذا لم یفارق الآخر المجلس اختیاراً، و إلّا سقط خیارهما اتّفاقاً،حیث قال فی شرح قول والده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حمل أحدهما و منع من التخایر لم یسقط خیاره علی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الثابت،فإن مُنع من المصاحبة و التخایر لم یسقط خیاره،و إلّا فالأقرب سقوطه،فیسقط خیار الأوّل</w:t>
      </w:r>
      <w:r>
        <w:rPr>
          <w:rFonts w:eastAsia="IRNazanin" w:cs="IRNazanin"/>
          <w:color w:val="111111"/>
          <w:sz w:val="28"/>
          <w:szCs w:val="28"/>
          <w:rtl w:val="true"/>
          <w:lang w:bidi="fa-IR"/>
        </w:rPr>
        <w:t xml:space="preserve">» </w:t>
      </w:r>
      <w:r>
        <w:rPr>
          <w:rStyle w:val="FootnoteAnchor"/>
          <w:rtl w:val="true"/>
        </w:rPr>
        <w:footnoteReference w:id="231"/>
      </w:r>
      <w:r>
        <w:rPr>
          <w:rFonts w:ascii="Amiri" w:hAnsi="Amiri" w:eastAsia="Amiri" w:cs="Amiri"/>
          <w:color w:val="111111"/>
          <w:sz w:val="28"/>
          <w:sz w:val="28"/>
          <w:szCs w:val="28"/>
          <w:rtl w:val="true"/>
          <w:lang w:bidi="ar-SA"/>
        </w:rPr>
        <w:t>انتهی،قال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مبنیٌّ علی بقاء</w:t>
      </w:r>
    </w:p>
    <w:p>
      <w:pPr>
        <w:pStyle w:val="BookText"/>
        <w:rPr/>
      </w:pPr>
      <w:r>
        <w:rPr>
          <w:rFonts w:ascii="IRNazanin" w:hAnsi="IRNazanin" w:eastAsia="IRNazanin"/>
          <w:color w:val="111111"/>
          <w:sz w:val="28"/>
          <w:sz w:val="28"/>
          <w:szCs w:val="28"/>
          <w:rtl w:val="true"/>
          <w:lang w:bidi="fa-IR"/>
        </w:rPr>
        <w:t>الأکوان و عدمه و افتقار الباقی إلی المؤثّر و عدمه و أنّ الافتراق ثبوتیٌّ أو عدمیٌّ،فعلی عدم البقاء أو افتقار الباقی إلی المؤثّر یسقط؛لأنّه فَعَل المفارقة،و علی القول ببقائها و استغناء الباقی عن المؤثّر و ثبوتیّة الافتراق لم یسقط خیاره؛لأنّه لم یفعل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قلنا بعدمیّة الافتراق و العدم لیس بمعلّل فکذلک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یعلّل سقط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الأقرب عندی السقوط؛لأنّه مختارٌ فی المفارقة </w:t>
      </w:r>
      <w:r>
        <w:rPr>
          <w:rStyle w:val="FootnoteAnchor"/>
          <w:rtl w:val="true"/>
        </w:rPr>
        <w:footnoteReference w:id="23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الکلام و إن نوقش فیه بمنع بناء الأحکام علی هذه التدقیقات،إلّا أنّه علی کلّ حالٍ صریحٌ فی أنّ الباقی لو ذهب اختیاراً فلا خلاف فی سقوط خیاره؛و ظاهره کظاهر عبارة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سقوط خیاره لا ینفکّ عن سقوط خیار الآخر،فینتفی القول المحکیّ عن الخلاف و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العبارة المحکیّة عن الخلاف ظاهرةٌ فی هذا القول،قال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أُکرها أو أحدهما علی التفرّق بالأبدان علی وجهٍ یتمکّنان من الفسخ و التخایر فلم یفعلا بطل خیارهما أو خیار من تمکّن من ذلک</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 xml:space="preserve">و نحوه المحکیّ عن القاضی </w:t>
      </w:r>
      <w:r>
        <w:rPr>
          <w:rStyle w:val="FootnoteAnchor"/>
          <w:rtl w:val="true"/>
        </w:rPr>
        <w:footnoteReference w:id="234"/>
      </w:r>
      <w:r>
        <w:rPr>
          <w:rFonts w:ascii="IRNazanin" w:hAnsi="IRNazanin" w:eastAsia="IRNazanin"/>
          <w:color w:val="111111"/>
          <w:sz w:val="28"/>
          <w:sz w:val="28"/>
          <w:szCs w:val="28"/>
          <w:rtl w:val="true"/>
          <w:lang w:bidi="fa-IR"/>
        </w:rPr>
        <w:t>فإنّه لولا جواز التفکیک بین الخیارین لاقتصر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 خیارهما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حکی هذا القول عن ظاهر التذکرة أو صریحها </w:t>
      </w:r>
      <w:r>
        <w:rPr>
          <w:rStyle w:val="FootnoteAnchor"/>
          <w:rtl w:val="true"/>
        </w:rPr>
        <w:footnoteReference w:id="2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فیه تأمّل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کان،فالأظهر فی بادئ النظر ثبوت الخیارین،للأصل</w:t>
      </w:r>
    </w:p>
    <w:p>
      <w:pPr>
        <w:pStyle w:val="BookText"/>
        <w:rPr/>
      </w:pPr>
      <w:r>
        <w:rPr>
          <w:rFonts w:ascii="IRNazanin" w:hAnsi="IRNazanin" w:eastAsia="IRNazanin"/>
          <w:color w:val="111111"/>
          <w:sz w:val="28"/>
          <w:sz w:val="28"/>
          <w:szCs w:val="28"/>
          <w:rtl w:val="true"/>
          <w:lang w:bidi="fa-IR"/>
        </w:rPr>
        <w:t>و 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تبادر تفرّقهما عن رضا منهما،فإنّ التفرّق و إن لم یعتبر کونه اختیاریّاً من الطرفین و لا من أحدهما،إلّا أنّ المتبادر رضاهما بالبیع حین التفرّق،فرضا أحدهما فی المقام و هو الماکث لا دلیل علی کفایته فی سقوط خیارهما،و لا فی سقوط خیار خصوص الراضی؛إذ الغایة غایةٌ للخیارین،فإن تحقّقت سقطا و إلّا ثبتا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یدلّ علیه ما تقدّم من صحیحة الفضیل </w:t>
      </w:r>
      <w:r>
        <w:rPr>
          <w:rStyle w:val="FootnoteAnchor"/>
          <w:rtl w:val="true"/>
        </w:rPr>
        <w:footnoteReference w:id="236"/>
      </w:r>
      <w:r>
        <w:rPr>
          <w:rFonts w:ascii="IRNazanin" w:hAnsi="IRNazanin" w:eastAsia="IRNazanin"/>
          <w:color w:val="111111"/>
          <w:sz w:val="28"/>
          <w:sz w:val="28"/>
          <w:szCs w:val="28"/>
          <w:rtl w:val="true"/>
          <w:lang w:bidi="fa-IR"/>
        </w:rPr>
        <w:t>المصرّحة بإناطة سقوط الخیار بالرضا منهما المنفیّ بانتفاء رضا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یمکن التفصّی عن الأصل بصدق تفرّقهما،و تبادر تقیّده بکونه عن رضا کلیهما ممنوعٌ،بل المتیقّن اعتبار رضا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الصحیحة و إن کان اعتبار ذلک،إلّا أنّه معارضٌ بإطلاق ما یستفاد من الروایة السابقة الحاکیة لفعل الإمام علیه السلام و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فمشیت خُطیً لیجب البیع حین افترقنا</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،جَعَل مجرّد مشیه علیه السلام سبباً لصدق الافتراق المجعول غایةً للخیار،و جَعَل وجوب البیع علّةً غائیةً له من دون اعتبار رضا الآخر أو شعوره بمشی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انصرافه إلی صورة شعور الآخر و ترکه المصاحبة اختیاراً، ممنوعة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الصحیحة و إن کان أخصّ،إلّا أنّ ظهور الروایة فی عدم مدخلیّة شیءٍ آخر زائداً علی مفارقة أحدهما صاحبه مؤیَّدٌ بالتزام مقتضاه فی غیر واحدٍ من المقامات،مثل ما إذا مات أحدهما و فارق</w:t>
      </w:r>
    </w:p>
    <w:p>
      <w:pPr>
        <w:pStyle w:val="BookText"/>
        <w:rPr/>
      </w:pPr>
      <w:r>
        <w:rPr>
          <w:rFonts w:ascii="IRNazanin" w:hAnsi="IRNazanin" w:eastAsia="IRNazanin"/>
          <w:color w:val="111111"/>
          <w:sz w:val="28"/>
          <w:sz w:val="28"/>
          <w:szCs w:val="28"/>
          <w:rtl w:val="true"/>
          <w:lang w:bidi="fa-IR"/>
        </w:rPr>
        <w:t xml:space="preserve">الآخرُ اختیاراً،فإنّ الظاهر منهم عدم الخلاف فی سقوط الخیارین،و قد قطع به فی جامع المقاصد مستدلاً بأنّه قد تحقّق الافتراق،فسقط الخیاران </w:t>
      </w:r>
      <w:r>
        <w:rPr>
          <w:rStyle w:val="FootnoteAnchor"/>
          <w:rtl w:val="true"/>
        </w:rPr>
        <w:footnoteReference w:id="238"/>
      </w:r>
      <w:r>
        <w:rPr>
          <w:rFonts w:ascii="IRNazanin" w:hAnsi="IRNazanin" w:eastAsia="IRNazanin"/>
          <w:color w:val="111111"/>
          <w:sz w:val="28"/>
          <w:sz w:val="28"/>
          <w:szCs w:val="28"/>
          <w:rtl w:val="true"/>
          <w:lang w:bidi="fa-IR"/>
        </w:rPr>
        <w:t xml:space="preserve">مع أنّ المنسوب إلیه ثبوت الخیار لهما فیما نحن فیه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کذا لو فارق أحدهما فی حال نوم الآخر أو غفلته عن مفارقة صاحبه مع تأیّد ذلک بنقل الإجماع عن السیّد عمید الدین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ظاهر المبنی المتقدّم عن الإیضاح </w:t>
      </w:r>
      <w:r>
        <w:rPr>
          <w:rStyle w:val="FootnoteAnchor"/>
          <w:rtl w:val="true"/>
        </w:rPr>
        <w:footnoteReference w:id="241"/>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الخلاف فی عدم اعتبار الرضا من الطرفین،و إنّما الخلاف فی أنّ البقاء اختیاراً مفارقةٌ اختیاریّةٌ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ظاهر القواعد </w:t>
      </w:r>
      <w:r>
        <w:rPr>
          <w:rStyle w:val="FootnoteAnchor"/>
          <w:rtl w:val="true"/>
        </w:rPr>
        <w:footnoteReference w:id="242"/>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سقوط خیار المکره متفرّعٌ علی سقوط خیار الماکث،من غیر إشارةٍ إلی وجود خلافٍ فی هذا التفریع،و هو الذی ینبغی؛لأنّ الغایة إن حصلت سقط الخیاران،و إلّا بقیا،فتأمّل</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عبارة الخلاف المتقدّمة </w:t>
      </w:r>
      <w:r>
        <w:rPr>
          <w:rStyle w:val="FootnoteAnchor"/>
          <w:rtl w:val="true"/>
        </w:rPr>
        <w:footnoteReference w:id="243"/>
      </w:r>
      <w:r>
        <w:rPr>
          <w:rFonts w:ascii="IRNazanin" w:hAnsi="IRNazanin" w:eastAsia="IRNazanin"/>
          <w:color w:val="111111"/>
          <w:sz w:val="28"/>
          <w:sz w:val="28"/>
          <w:szCs w:val="28"/>
          <w:rtl w:val="true"/>
          <w:lang w:bidi="fa-IR"/>
        </w:rPr>
        <w:t>و إن کانت ظاهرةً فی التفکیک بین المتبایعین فی الخیار،إلّا أنّها لیست بتلک الظهور،لاحتمال إرادة سقوط خیار المتمکّن من التخایر من حیث تمکّنه مع قطع النظر عن حال</w:t>
      </w:r>
      <w:bookmarkStart w:id="176" w:name="pg19864_220704"/>
    </w:p>
    <w:p>
      <w:pPr>
        <w:pStyle w:val="BookText"/>
        <w:rPr/>
      </w:pPr>
      <w:bookmarkEnd w:id="176"/>
      <w:r>
        <w:rPr>
          <w:rFonts w:ascii="IRNazanin" w:hAnsi="IRNazanin" w:eastAsia="IRNazanin"/>
          <w:color w:val="111111"/>
          <w:sz w:val="28"/>
          <w:sz w:val="28"/>
          <w:szCs w:val="28"/>
          <w:rtl w:val="true"/>
          <w:lang w:bidi="fa-IR"/>
        </w:rPr>
        <w:t>الآخر،فلا ینافی سقوط خیار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لأجل التلازم بین الخیارین من حیث اتّحادهما فی الغایة </w:t>
      </w:r>
      <w:r>
        <w:rPr>
          <w:rStyle w:val="FootnoteAnchor"/>
          <w:rtl w:val="true"/>
        </w:rPr>
        <w:footnoteReference w:id="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شمول عبارته لبعض الصور التی لا یختصّ بطلان الخیار فیها بالمتمکّن ممّا لا بدّ منه،کما لا یخفی علی المتأمّل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حملها علی 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إرادة المتمکّن لا بشرطٍ،لا إرادة خصوصه فقط،أولی من تخصیصها ببعض الصور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لعلّ نظر الشیخ و القاضی </w:t>
      </w:r>
      <w:r>
        <w:rPr>
          <w:rStyle w:val="FootnoteAnchor"/>
          <w:rtl w:val="true"/>
        </w:rPr>
        <w:footnoteReference w:id="245"/>
      </w:r>
      <w:r>
        <w:rPr>
          <w:rFonts w:ascii="IRNazanin" w:hAnsi="IRNazanin" w:eastAsia="IRNazanin"/>
          <w:color w:val="111111"/>
          <w:sz w:val="28"/>
          <w:sz w:val="28"/>
          <w:szCs w:val="28"/>
          <w:rtl w:val="true"/>
          <w:lang w:bidi="fa-IR"/>
        </w:rPr>
        <w:t>إلی أنّ الافتراق المستند إلی اختیارهما جعل غایةً لسقوط خیار کلٍّ منهما،فالمستند إلی اختیار أحدهما مسقطٌ لخیاره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استنباطٌ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لا یساعد علیه ظاهر النصّ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7" w:name="__RefHeading___Toc5148648_2314609296"/>
      <w:bookmarkStart w:id="178" w:name="_Toc69"/>
      <w:bookmarkEnd w:id="177"/>
      <w:r>
        <w:rPr>
          <w:rtl w:val="true"/>
        </w:rPr>
        <w:t>[</w:t>
      </w:r>
      <w:r>
        <w:rPr>
          <w:rtl w:val="true"/>
        </w:rPr>
        <w:t>إذا أکره أحدهما علی البقاء</w:t>
      </w:r>
      <w:r>
        <w:rPr>
          <w:rtl w:val="true"/>
        </w:rPr>
        <w:t>]</w:t>
      </w:r>
      <w:bookmarkEnd w:id="178"/>
    </w:p>
    <w:p>
      <w:pPr>
        <w:pStyle w:val="BookText"/>
        <w:rPr/>
      </w:pPr>
      <w:r>
        <w:rPr>
          <w:rFonts w:ascii="IRNazanin" w:hAnsi="IRNazanin" w:eastAsia="IRNazanin"/>
          <w:color w:val="111111"/>
          <w:sz w:val="28"/>
          <w:sz w:val="28"/>
          <w:szCs w:val="28"/>
          <w:rtl w:val="true"/>
          <w:lang w:bidi="fa-IR"/>
        </w:rPr>
        <w:t xml:space="preserve">ثمّ إنّه یظهر ممّا ذکرنا حکم عکس المسألة و هی ما إذا أُکره أحدهما علی البقاء ممنوعاً من التخایر و فارق الآخر اختیاراً فإنّ مقتضی ما تقدّم من الإیضاح من مبنی الخلاف </w:t>
      </w:r>
      <w:r>
        <w:rPr>
          <w:rStyle w:val="FootnoteAnchor"/>
          <w:rtl w:val="true"/>
        </w:rPr>
        <w:footnoteReference w:id="247"/>
      </w:r>
      <w:r>
        <w:rPr>
          <w:rFonts w:ascii="IRNazanin" w:hAnsi="IRNazanin" w:eastAsia="IRNazanin"/>
          <w:color w:val="111111"/>
          <w:sz w:val="28"/>
          <w:sz w:val="28"/>
          <w:szCs w:val="28"/>
          <w:rtl w:val="true"/>
          <w:lang w:bidi="fa-IR"/>
        </w:rPr>
        <w:t xml:space="preserve">عدم الخلاف فی سقوط الخیارین هنا،و مقتضی ما ذکرنا من مبنی الأقوال </w:t>
      </w:r>
      <w:r>
        <w:rPr>
          <w:rStyle w:val="FootnoteAnchor"/>
          <w:rtl w:val="true"/>
        </w:rPr>
        <w:footnoteReference w:id="248"/>
      </w:r>
      <w:r>
        <w:rPr>
          <w:rFonts w:ascii="IRNazanin" w:hAnsi="IRNazanin" w:eastAsia="IRNazanin"/>
          <w:color w:val="111111"/>
          <w:sz w:val="28"/>
          <w:sz w:val="28"/>
          <w:szCs w:val="28"/>
          <w:rtl w:val="true"/>
          <w:lang w:bidi="fa-IR"/>
        </w:rPr>
        <w:t>جریان الخلاف هنا أیضاً</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کان،فالحکم بسقوط الخیار،علیهما </w:t>
      </w:r>
      <w:r>
        <w:rPr>
          <w:rStyle w:val="FootnoteAnchor"/>
          <w:rtl w:val="true"/>
        </w:rPr>
        <w:footnoteReference w:id="249"/>
      </w:r>
      <w:r>
        <w:rPr>
          <w:rFonts w:ascii="IRNazanin" w:hAnsi="IRNazanin" w:eastAsia="IRNazanin"/>
          <w:color w:val="111111"/>
          <w:sz w:val="28"/>
          <w:sz w:val="28"/>
          <w:szCs w:val="28"/>
          <w:rtl w:val="true"/>
          <w:lang w:bidi="fa-IR"/>
        </w:rPr>
        <w:t>هنا أقوی کما لا یخفی</w:t>
      </w:r>
      <w:r>
        <w:rPr>
          <w:rFonts w:eastAsia="IRNazanin" w:cs="IRNazanin"/>
          <w:color w:val="111111"/>
          <w:sz w:val="28"/>
          <w:szCs w:val="28"/>
          <w:rtl w:val="true"/>
          <w:lang w:bidi="fa-IR"/>
        </w:rPr>
        <w:t>.</w:t>
      </w:r>
      <w:bookmarkStart w:id="179" w:name="pg19864_220705"/>
    </w:p>
    <w:p>
      <w:pPr>
        <w:pStyle w:val="Heading6"/>
        <w:numPr>
          <w:ilvl w:val="5"/>
          <w:numId w:val="1"/>
        </w:numPr>
        <w:rPr/>
      </w:pPr>
      <w:bookmarkStart w:id="180" w:name="__RefHeading___Toc5148650_2314609296"/>
      <w:bookmarkStart w:id="181" w:name="_Toc70"/>
      <w:bookmarkEnd w:id="179"/>
      <w:bookmarkEnd w:id="180"/>
      <w:r>
        <w:rPr>
          <w:rtl w:val="true"/>
        </w:rPr>
        <w:t>مسألة لو زال الإکراه،</w:t>
      </w:r>
      <w:bookmarkEnd w:id="181"/>
    </w:p>
    <w:p>
      <w:pPr>
        <w:pStyle w:val="BookText"/>
        <w:rPr/>
      </w:pPr>
      <w:r>
        <w:rPr>
          <w:rFonts w:ascii="IRNazanin" w:hAnsi="IRNazanin" w:eastAsia="IRNazanin"/>
          <w:color w:val="111111"/>
          <w:sz w:val="28"/>
          <w:sz w:val="28"/>
          <w:szCs w:val="28"/>
          <w:rtl w:val="true"/>
          <w:lang w:bidi="fa-IR"/>
        </w:rPr>
        <w:t>فالمحکیّ عن الشیخ و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امتداد الخیار بامتداد مجلس الزوال </w:t>
      </w:r>
      <w:r>
        <w:rPr>
          <w:rStyle w:val="FootnoteAnchor"/>
          <w:rtl w:val="true"/>
        </w:rPr>
        <w:footnoteReference w:id="2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لأنّ الافتراق الحاصل بینهما فی حال الإکراه کالمعدوم،فکأنهما بعدُ مجتمعان فی مجلس العقد،فالخیار باقٍ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الهیئة الاجتماعیة الحاصلة حین العقد قد ارتفعت حسّا، غایة الأمر عدم ارتفاع حکمها و هو الخیار بسبب الإکراه،و لم یجعل مجلس زوال الإکراه بمنزلة مجلس العقد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الباقی بحکم الشرع هو الخیار،لا مجلس العقد، فالنصّ ساکتٌ عن غایة هذا الخیار،فلا بدّ إمّا من القول بالفور کما عن التذکرة </w:t>
      </w:r>
      <w:r>
        <w:rPr>
          <w:rStyle w:val="FootnoteAnchor"/>
          <w:rtl w:val="true"/>
        </w:rPr>
        <w:footnoteReference w:id="251"/>
      </w:r>
      <w:r>
        <w:rPr>
          <w:rFonts w:ascii="IRNazanin" w:hAnsi="IRNazanin" w:eastAsia="IRNazanin"/>
          <w:color w:val="111111"/>
          <w:sz w:val="28"/>
          <w:sz w:val="28"/>
          <w:szCs w:val="28"/>
          <w:rtl w:val="true"/>
          <w:lang w:bidi="fa-IR"/>
        </w:rPr>
        <w:t>و لعلّه لأنّه المقدار الثابت یقیناً لاستدراک حقّ المتبایعین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من القول بالتراخی إلی أن یحصل المسقطات،لاستصحاب الخیار</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الوجهان جاریان فی کلّ خیارٍ لم یظهر حاله من الأدلّة</w:t>
      </w:r>
      <w:r>
        <w:rPr>
          <w:rFonts w:eastAsia="IRNazanin" w:cs="IRNazanin"/>
          <w:color w:val="111111"/>
          <w:sz w:val="28"/>
          <w:szCs w:val="28"/>
          <w:rtl w:val="true"/>
          <w:lang w:bidi="fa-IR"/>
        </w:rPr>
        <w:t>.</w:t>
      </w:r>
      <w:bookmarkStart w:id="182" w:name="pg19864_220707"/>
    </w:p>
    <w:p>
      <w:pPr>
        <w:pStyle w:val="Heading6"/>
        <w:numPr>
          <w:ilvl w:val="5"/>
          <w:numId w:val="1"/>
        </w:numPr>
        <w:rPr/>
      </w:pPr>
      <w:bookmarkStart w:id="183" w:name="__RefHeading___Toc5148652_2314609296"/>
      <w:bookmarkStart w:id="184" w:name="_Toc71"/>
      <w:bookmarkEnd w:id="182"/>
      <w:bookmarkEnd w:id="183"/>
      <w:r>
        <w:rPr>
          <w:rtl w:val="true"/>
        </w:rPr>
        <w:t xml:space="preserve">مسألة </w:t>
      </w:r>
      <w:r>
        <w:rPr>
          <w:rtl w:val="true"/>
        </w:rPr>
        <w:t>[</w:t>
      </w:r>
      <w:r>
        <w:rPr>
          <w:rtl w:val="true"/>
        </w:rPr>
        <w:t>المسقط الرابع التصرف</w:t>
      </w:r>
      <w:r>
        <w:rPr>
          <w:rtl w:val="true"/>
        </w:rPr>
        <w:t>]</w:t>
      </w:r>
      <w:bookmarkEnd w:id="184"/>
    </w:p>
    <w:p>
      <w:pPr>
        <w:pStyle w:val="BookText"/>
        <w:rPr/>
      </w:pPr>
      <w:r>
        <w:rPr>
          <w:rFonts w:ascii="IRNazanin" w:hAnsi="IRNazanin" w:eastAsia="IRNazanin"/>
          <w:color w:val="111111"/>
          <w:sz w:val="28"/>
          <w:sz w:val="28"/>
          <w:szCs w:val="28"/>
          <w:rtl w:val="true"/>
          <w:lang w:bidi="fa-IR"/>
        </w:rPr>
        <w:t>و من مسقطات هذا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التصرّف علی وجهٍ یأتی فی خیاری الحیوان و الشرط ذکره الشیخ فی المبسوط فی خیار المجلس و فی الصرف </w:t>
      </w:r>
      <w:r>
        <w:rPr>
          <w:rStyle w:val="FootnoteAnchor"/>
          <w:rtl w:val="true"/>
        </w:rPr>
        <w:footnoteReference w:id="252"/>
      </w:r>
      <w:r>
        <w:rPr>
          <w:rFonts w:ascii="Amiri" w:hAnsi="Amiri" w:eastAsia="Amiri" w:cs="Amiri"/>
          <w:color w:val="111111"/>
          <w:sz w:val="28"/>
          <w:sz w:val="28"/>
          <w:szCs w:val="28"/>
          <w:rtl w:val="true"/>
          <w:lang w:bidi="ar-SA"/>
        </w:rPr>
        <w:t xml:space="preserve">،و العلّامة قدّس سرّه فی التذکرة </w:t>
      </w:r>
      <w:r>
        <w:rPr>
          <w:rStyle w:val="FootnoteAnchor"/>
          <w:rtl w:val="true"/>
        </w:rPr>
        <w:footnoteReference w:id="253"/>
      </w:r>
      <w:r>
        <w:rPr>
          <w:rFonts w:ascii="IRNazanin" w:hAnsi="IRNazanin" w:eastAsia="IRNazanin"/>
          <w:color w:val="111111"/>
          <w:sz w:val="28"/>
          <w:sz w:val="28"/>
          <w:szCs w:val="28"/>
          <w:rtl w:val="true"/>
          <w:lang w:bidi="fa-IR"/>
        </w:rPr>
        <w:t xml:space="preserve">،و نُسب إلی جمیع من تأخّر عنه </w:t>
      </w:r>
      <w:r>
        <w:rPr>
          <w:rStyle w:val="FootnoteAnchor"/>
          <w:rtl w:val="true"/>
        </w:rPr>
        <w:footnoteReference w:id="254"/>
      </w:r>
      <w:r>
        <w:rPr>
          <w:rFonts w:ascii="Amiri" w:hAnsi="Amiri" w:eastAsia="Amiri" w:cs="Amiri"/>
          <w:color w:val="111111"/>
          <w:sz w:val="28"/>
          <w:sz w:val="28"/>
          <w:szCs w:val="28"/>
          <w:rtl w:val="true"/>
          <w:lang w:bidi="ar-SA"/>
        </w:rPr>
        <w:t xml:space="preserve">،بل ربما یُدّعی إطباقهم </w:t>
      </w:r>
      <w:r>
        <w:rPr>
          <w:rStyle w:val="FootnoteAnchor"/>
          <w:rtl w:val="true"/>
        </w:rPr>
        <w:footnoteReference w:id="255"/>
      </w:r>
      <w:r>
        <w:rPr>
          <w:rFonts w:ascii="IRNazanin" w:hAnsi="IRNazanin" w:eastAsia="IRNazanin"/>
          <w:color w:val="111111"/>
          <w:sz w:val="28"/>
          <w:sz w:val="28"/>
          <w:szCs w:val="28"/>
          <w:rtl w:val="true"/>
          <w:lang w:bidi="fa-IR"/>
        </w:rPr>
        <w:t xml:space="preserve">علیه،و حکی عن الخلاف و الجواهر و الکافی و السرائر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لعلّه لدلالة التعلیل فی بعض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خیار </w:t>
      </w:r>
      <w:r>
        <w:rPr>
          <w:rStyle w:val="FootnoteAnchor"/>
          <w:rtl w:val="true"/>
        </w:rPr>
        <w:footnoteReference w:id="2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p>
    <w:p>
      <w:pPr>
        <w:pStyle w:val="BookText"/>
        <w:rPr/>
      </w:pPr>
      <w:r>
        <w:rPr>
          <w:rFonts w:ascii="IRNazanin" w:hAnsi="IRNazanin" w:eastAsia="IRNazanin"/>
          <w:color w:val="111111"/>
          <w:sz w:val="28"/>
          <w:sz w:val="28"/>
          <w:szCs w:val="28"/>
          <w:rtl w:val="true"/>
          <w:lang w:bidi="fa-IR"/>
        </w:rPr>
        <w:t>الوجه أیضاً فی اتّفاقهم علی سقوط خیار الشرط،و إلّا فلم یرد فیه نصٌّ بالخصوص،بل سقوط خیار المشتری بتصرّفه مستفادٌ من نفس تلک الروایة المعلِّلة؛حیث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أحدث المشتری فیما اشتری حدثاً قبل الثلاثة أیام فذلک رضاً منه،فلا شرط</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،فإنّ المنفیّ یشمل شرط المجلس و الحیوان،فتأمّل</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تفصیل التصرّف المُسقِط سیجیء </w:t>
      </w:r>
      <w:r>
        <w:rPr>
          <w:rStyle w:val="FootnoteAnchor"/>
          <w:rtl w:val="true"/>
        </w:rPr>
        <w:footnoteReference w:id="259"/>
      </w:r>
      <w:r>
        <w:rPr>
          <w:rFonts w:ascii="Amiri" w:hAnsi="Amiri" w:eastAsia="Amiri" w:cs="Amiri"/>
          <w:color w:val="111111"/>
          <w:sz w:val="28"/>
          <w:sz w:val="28"/>
          <w:szCs w:val="28"/>
          <w:rtl w:val="true"/>
          <w:lang w:bidi="ar-SA"/>
        </w:rPr>
        <w:t>إن شاء اللّٰه تعالی</w:t>
      </w:r>
      <w:r>
        <w:rPr>
          <w:rFonts w:eastAsia="Amiri" w:cs="Amiri" w:ascii="Amiri" w:hAnsi="Amiri"/>
          <w:color w:val="111111"/>
          <w:sz w:val="28"/>
          <w:szCs w:val="28"/>
          <w:rtl w:val="true"/>
          <w:lang w:bidi="ar-SA"/>
        </w:rPr>
        <w:t>.</w:t>
      </w:r>
      <w:bookmarkStart w:id="185" w:name="pg19864_220709"/>
    </w:p>
    <w:p>
      <w:pPr>
        <w:pStyle w:val="Heading4"/>
        <w:numPr>
          <w:ilvl w:val="3"/>
          <w:numId w:val="1"/>
        </w:numPr>
        <w:rPr/>
      </w:pPr>
      <w:bookmarkStart w:id="186" w:name="__RefHeading___Toc5148654_2314609296"/>
      <w:bookmarkStart w:id="187" w:name="_Toc72"/>
      <w:bookmarkEnd w:id="185"/>
      <w:bookmarkEnd w:id="186"/>
      <w:r>
        <w:rPr>
          <w:rtl w:val="true"/>
        </w:rPr>
        <w:t>الثانی خیار الحیوان</w:t>
      </w:r>
      <w:bookmarkEnd w:id="187"/>
    </w:p>
    <w:p>
      <w:pPr>
        <w:pStyle w:val="Heading5"/>
        <w:numPr>
          <w:ilvl w:val="4"/>
          <w:numId w:val="1"/>
        </w:numPr>
        <w:rPr/>
      </w:pPr>
      <w:bookmarkStart w:id="188" w:name="__RefHeading___Toc5148656_2314609296"/>
      <w:bookmarkStart w:id="189" w:name="_Toc73"/>
      <w:bookmarkEnd w:id="188"/>
      <w:r>
        <w:rPr>
          <w:rtl w:val="true"/>
        </w:rPr>
        <w:t>اشاره</w:t>
      </w:r>
      <w:bookmarkEnd w:id="189"/>
    </w:p>
    <w:p>
      <w:pPr>
        <w:pStyle w:val="BookText"/>
        <w:rPr/>
      </w:pPr>
      <w:r>
        <w:rPr>
          <w:rFonts w:ascii="IRNazanin" w:hAnsi="IRNazanin" w:eastAsia="IRNazanin"/>
          <w:color w:val="111111"/>
          <w:sz w:val="28"/>
          <w:sz w:val="28"/>
          <w:szCs w:val="28"/>
          <w:rtl w:val="true"/>
          <w:lang w:bidi="fa-IR"/>
        </w:rPr>
        <w:t xml:space="preserve">لا خلاف بین الإمامیّة فی ثبوت الخیار فی الحیوان المشتری </w:t>
      </w:r>
      <w:r>
        <w:rPr>
          <w:rStyle w:val="FootnoteAnchor"/>
          <w:rtl w:val="true"/>
        </w:rPr>
        <w:footnoteReference w:id="260"/>
      </w:r>
      <w:r>
        <w:rPr>
          <w:rFonts w:ascii="IRNazanin" w:hAnsi="IRNazanin" w:eastAsia="IRNazanin"/>
          <w:color w:val="111111"/>
          <w:sz w:val="28"/>
          <w:sz w:val="28"/>
          <w:szCs w:val="28"/>
          <w:rtl w:val="true"/>
          <w:lang w:bidi="fa-IR"/>
        </w:rPr>
        <w:t xml:space="preserve">، و ظاهر النصّ </w:t>
      </w:r>
      <w:r>
        <w:rPr>
          <w:rStyle w:val="FootnoteAnchor"/>
          <w:rtl w:val="true"/>
        </w:rPr>
        <w:footnoteReference w:id="261"/>
      </w:r>
      <w:r>
        <w:rPr>
          <w:rFonts w:ascii="Amiri" w:hAnsi="Amiri" w:eastAsia="Amiri" w:cs="Amiri"/>
          <w:color w:val="111111"/>
          <w:sz w:val="28"/>
          <w:sz w:val="28"/>
          <w:szCs w:val="28"/>
          <w:rtl w:val="true"/>
          <w:lang w:bidi="ar-SA"/>
        </w:rPr>
        <w:t>و الفتوی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العموم لکلِّ ذی حیاةٍ،فیشمل مثلَ الجرادِ و الزُّنْبُورِ و السَّمَکِ وَ العَلَقِ و دُودِ القزِّ،و لا یبعد اختصاصه بالحیوان المقصود حیاته فی الجملة،فمثل السَّمک المخرَج من الماء و الجراد المحرَز فی الإناء و شبه ذلک خارجٌ؛لأنّه لا یباع من حیث إنّه حیوانٌ،بل من حیث إنّه لحمٌ مثلاً </w:t>
      </w:r>
      <w:r>
        <w:rPr>
          <w:rStyle w:val="FootnoteAnchor"/>
          <w:rtl w:val="true"/>
        </w:rPr>
        <w:footnoteReference w:id="262"/>
      </w:r>
      <w:r>
        <w:rPr>
          <w:rFonts w:ascii="IRNazanin" w:hAnsi="IRNazanin" w:eastAsia="IRNazanin"/>
          <w:color w:val="111111"/>
          <w:sz w:val="28"/>
          <w:sz w:val="28"/>
          <w:szCs w:val="28"/>
          <w:rtl w:val="true"/>
          <w:lang w:bidi="fa-IR"/>
        </w:rPr>
        <w:t>،و یشکل فیما صار کذلک لعارضٍ،کالصید المشرف علی الموت بإصابة السهم أو بجرح الکلب المعلّم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حالٍ،فلا یُعدّ زهاق روحه تلفاً من البائع قبل القبض، أو فی زمان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منتهی خیاره مع عدم بقائه إلی الثلاثة وجوهٌ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هل یختصّ هذا الخیار بالبیع المعیَّن کما هو المنساق فی</w:t>
      </w:r>
      <w:bookmarkStart w:id="190" w:name="pg19864_220710"/>
    </w:p>
    <w:p>
      <w:pPr>
        <w:pStyle w:val="BookText"/>
        <w:rPr/>
      </w:pPr>
      <w:bookmarkEnd w:id="190"/>
      <w:r>
        <w:rPr>
          <w:rFonts w:ascii="IRNazanin" w:hAnsi="IRNazanin" w:eastAsia="IRNazanin"/>
          <w:color w:val="111111"/>
          <w:sz w:val="28"/>
          <w:sz w:val="28"/>
          <w:szCs w:val="28"/>
          <w:rtl w:val="true"/>
          <w:lang w:bidi="fa-IR"/>
        </w:rPr>
        <w:t xml:space="preserve">النظر من الإطلاقات،و مع </w:t>
      </w:r>
      <w:r>
        <w:rPr>
          <w:rStyle w:val="FootnoteAnchor"/>
          <w:rtl w:val="true"/>
        </w:rPr>
        <w:footnoteReference w:id="263"/>
      </w:r>
      <w:r>
        <w:rPr>
          <w:rFonts w:ascii="IRNazanin" w:hAnsi="IRNazanin" w:eastAsia="IRNazanin"/>
          <w:color w:val="111111"/>
          <w:sz w:val="28"/>
          <w:sz w:val="28"/>
          <w:szCs w:val="28"/>
          <w:rtl w:val="true"/>
          <w:lang w:bidi="fa-IR"/>
        </w:rPr>
        <w:t>الاستدلال له فی بعض معاقد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التذکرة</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بالحکمة الغیر الجاریة فی الکلّی الثابت فی الذمّة أو یعمّ الکلّی کما هو المتراءی من النصّ و الفتوی؟ لم أجد مصرِّحاً بأحد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نعم،یظهر من بعض المعاصرین قدّس سرّه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w:t>
      </w:r>
    </w:p>
    <w:p>
      <w:pPr>
        <w:pStyle w:val="Heading5"/>
        <w:numPr>
          <w:ilvl w:val="4"/>
          <w:numId w:val="1"/>
        </w:numPr>
        <w:rPr/>
      </w:pPr>
      <w:bookmarkStart w:id="191" w:name="__RefHeading___Toc5148658_2314609296"/>
      <w:bookmarkStart w:id="192" w:name="_Toc74"/>
      <w:bookmarkEnd w:id="191"/>
      <w:r>
        <w:rPr>
          <w:rtl w:val="true"/>
        </w:rPr>
        <w:t>فالکلام فی مَن له هذا الخیار،و فی مدّته من حیث المبدأ و المنتهی،و مسقطاته یتمّ برسم مسائل</w:t>
      </w:r>
      <w:r>
        <w:rPr>
          <w:rtl w:val="true"/>
        </w:rPr>
        <w:t>:</w:t>
      </w:r>
      <w:bookmarkEnd w:id="192"/>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93" w:name="__RefHeading___Toc5148660_2314609296"/>
      <w:bookmarkStart w:id="194" w:name="_Toc75"/>
      <w:bookmarkEnd w:id="193"/>
      <w:r>
        <w:rPr>
          <w:rtl w:val="true"/>
        </w:rPr>
        <w:t>اشاره</w:t>
      </w:r>
      <w:bookmarkStart w:id="195" w:name="pg19864_220711"/>
      <w:bookmarkEnd w:id="194"/>
    </w:p>
    <w:p>
      <w:pPr>
        <w:pStyle w:val="Heading6"/>
        <w:numPr>
          <w:ilvl w:val="5"/>
          <w:numId w:val="1"/>
        </w:numPr>
        <w:rPr/>
      </w:pPr>
      <w:bookmarkStart w:id="196" w:name="__RefHeading___Toc5148662_2314609296"/>
      <w:bookmarkStart w:id="197" w:name="_Toc76"/>
      <w:bookmarkEnd w:id="195"/>
      <w:bookmarkEnd w:id="196"/>
      <w:r>
        <w:rPr>
          <w:rtl w:val="true"/>
        </w:rPr>
        <w:t>مسألة المشهور اختصاص هذا الخیار بالمشتری،</w:t>
      </w:r>
      <w:bookmarkEnd w:id="197"/>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 </w:t>
      </w:r>
      <w:r>
        <w:rPr>
          <w:rStyle w:val="FootnoteAnchor"/>
          <w:rtl w:val="true"/>
        </w:rPr>
        <w:footnoteReference w:id="265"/>
      </w:r>
      <w:r>
        <w:rPr>
          <w:rFonts w:ascii="IRNazanin" w:hAnsi="IRNazanin" w:eastAsia="IRNazanin"/>
          <w:color w:val="111111"/>
          <w:sz w:val="28"/>
          <w:sz w:val="28"/>
          <w:szCs w:val="28"/>
          <w:rtl w:val="true"/>
          <w:lang w:bidi="fa-IR"/>
        </w:rPr>
        <w:t xml:space="preserve">عن الشیخین </w:t>
      </w:r>
      <w:r>
        <w:rPr>
          <w:rStyle w:val="FootnoteAnchor"/>
          <w:rtl w:val="true"/>
        </w:rPr>
        <w:footnoteReference w:id="266"/>
      </w:r>
      <w:r>
        <w:rPr>
          <w:rFonts w:ascii="IRNazanin" w:hAnsi="IRNazanin" w:eastAsia="IRNazanin"/>
          <w:color w:val="111111"/>
          <w:sz w:val="28"/>
          <w:sz w:val="28"/>
          <w:szCs w:val="28"/>
          <w:rtl w:val="true"/>
          <w:lang w:bidi="fa-IR"/>
        </w:rPr>
        <w:t xml:space="preserve">و الصدوقین </w:t>
      </w:r>
      <w:r>
        <w:rPr>
          <w:rStyle w:val="FootnoteAnchor"/>
          <w:rtl w:val="true"/>
        </w:rPr>
        <w:footnoteReference w:id="267"/>
      </w:r>
      <w:r>
        <w:rPr>
          <w:rFonts w:ascii="IRNazanin" w:hAnsi="IRNazanin" w:eastAsia="IRNazanin"/>
          <w:color w:val="111111"/>
          <w:sz w:val="28"/>
          <w:sz w:val="28"/>
          <w:szCs w:val="28"/>
          <w:rtl w:val="true"/>
          <w:lang w:bidi="fa-IR"/>
        </w:rPr>
        <w:t xml:space="preserve">و الإسکافی </w:t>
      </w:r>
      <w:r>
        <w:rPr>
          <w:rStyle w:val="FootnoteAnchor"/>
          <w:rtl w:val="true"/>
        </w:rPr>
        <w:footnoteReference w:id="268"/>
      </w:r>
      <w:r>
        <w:rPr>
          <w:rFonts w:ascii="Amiri" w:hAnsi="Amiri" w:eastAsia="Amiri" w:cs="Amiri"/>
          <w:color w:val="111111"/>
          <w:sz w:val="28"/>
          <w:sz w:val="28"/>
          <w:szCs w:val="28"/>
          <w:rtl w:val="true"/>
          <w:lang w:bidi="ar-SA"/>
        </w:rPr>
        <w:t xml:space="preserve">و ابن حمزة </w:t>
      </w:r>
      <w:r>
        <w:rPr>
          <w:rStyle w:val="FootnoteAnchor"/>
          <w:rtl w:val="true"/>
        </w:rPr>
        <w:footnoteReference w:id="269"/>
      </w:r>
      <w:r>
        <w:rPr>
          <w:rFonts w:ascii="IRNazanin" w:hAnsi="IRNazanin" w:eastAsia="IRNazanin"/>
          <w:color w:val="111111"/>
          <w:sz w:val="28"/>
          <w:sz w:val="28"/>
          <w:szCs w:val="28"/>
          <w:rtl w:val="true"/>
          <w:lang w:bidi="fa-IR"/>
        </w:rPr>
        <w:t xml:space="preserve">و الشامیّین الخمسة </w:t>
      </w:r>
      <w:r>
        <w:rPr>
          <w:rStyle w:val="FootnoteAnchor"/>
          <w:rtl w:val="true"/>
        </w:rPr>
        <w:footnoteReference w:id="270"/>
      </w:r>
      <w:r>
        <w:rPr>
          <w:rFonts w:ascii="Amiri" w:hAnsi="Amiri" w:eastAsia="Amiri" w:cs="Amiri"/>
          <w:color w:val="111111"/>
          <w:sz w:val="28"/>
          <w:sz w:val="28"/>
          <w:szCs w:val="28"/>
          <w:rtl w:val="true"/>
          <w:lang w:bidi="ar-SA"/>
        </w:rPr>
        <w:t xml:space="preserve">و الحلّیین الستّة </w:t>
      </w:r>
      <w:r>
        <w:rPr>
          <w:rStyle w:val="FootnoteAnchor"/>
          <w:rtl w:val="true"/>
        </w:rPr>
        <w:footnoteReference w:id="271"/>
      </w:r>
      <w:r>
        <w:rPr>
          <w:rFonts w:ascii="IRNazanin" w:hAnsi="IRNazanin" w:eastAsia="IRNazanin"/>
          <w:color w:val="111111"/>
          <w:sz w:val="28"/>
          <w:sz w:val="28"/>
          <w:szCs w:val="28"/>
          <w:rtl w:val="true"/>
          <w:lang w:bidi="fa-IR"/>
        </w:rPr>
        <w:t xml:space="preserve">و معظم المتأخّرین </w:t>
      </w:r>
      <w:r>
        <w:rPr>
          <w:rStyle w:val="FootnoteAnchor"/>
          <w:rtl w:val="true"/>
        </w:rPr>
        <w:footnoteReference w:id="272"/>
      </w:r>
      <w:r>
        <w:rPr>
          <w:rFonts w:ascii="IRNazanin" w:hAnsi="IRNazanin" w:eastAsia="IRNazanin"/>
          <w:color w:val="111111"/>
          <w:sz w:val="28"/>
          <w:sz w:val="28"/>
          <w:szCs w:val="28"/>
          <w:rtl w:val="true"/>
          <w:lang w:bidi="fa-IR"/>
        </w:rPr>
        <w:t>،و عن الغنیة و ظاهر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w:t>
      </w:r>
    </w:p>
    <w:p>
      <w:pPr>
        <w:pStyle w:val="BookText"/>
        <w:rPr/>
      </w:pPr>
      <w:r>
        <w:rPr>
          <w:rFonts w:ascii="IRNazanin" w:hAnsi="IRNazanin" w:eastAsia="IRNazanin"/>
          <w:color w:val="111111"/>
          <w:sz w:val="28"/>
          <w:sz w:val="28"/>
          <w:szCs w:val="28"/>
          <w:rtl w:val="true"/>
          <w:lang w:bidi="fa-IR"/>
        </w:rPr>
        <w:t xml:space="preserve">علیه </w:t>
      </w:r>
      <w:r>
        <w:rPr>
          <w:rStyle w:val="FootnoteAnchor"/>
          <w:rtl w:val="true"/>
        </w:rPr>
        <w:footnoteReference w:id="273"/>
      </w:r>
      <w:r>
        <w:rPr>
          <w:rFonts w:ascii="IRNazanin" w:hAnsi="IRNazanin" w:eastAsia="IRNazanin"/>
          <w:color w:val="111111"/>
          <w:sz w:val="28"/>
          <w:sz w:val="28"/>
          <w:szCs w:val="28"/>
          <w:rtl w:val="true"/>
          <w:lang w:bidi="fa-IR"/>
        </w:rPr>
        <w:t>لعموم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افترقا وجب البیع</w:t>
      </w:r>
      <w:r>
        <w:rPr>
          <w:rFonts w:eastAsia="IRNazanin" w:cs="IRNazanin"/>
          <w:color w:val="111111"/>
          <w:sz w:val="28"/>
          <w:szCs w:val="28"/>
          <w:rtl w:val="true"/>
          <w:lang w:bidi="fa-IR"/>
        </w:rPr>
        <w:t xml:space="preserve">» </w:t>
      </w:r>
      <w:r>
        <w:rPr>
          <w:rStyle w:val="FootnoteAnchor"/>
          <w:rtl w:val="true"/>
        </w:rPr>
        <w:footnoteReference w:id="274"/>
      </w:r>
      <w:r>
        <w:rPr>
          <w:rFonts w:ascii="Amiri" w:hAnsi="Amiri" w:eastAsia="Amiri" w:cs="Amiri"/>
          <w:color w:val="111111"/>
          <w:sz w:val="28"/>
          <w:sz w:val="28"/>
          <w:szCs w:val="28"/>
          <w:rtl w:val="true"/>
          <w:lang w:bidi="ar-SA"/>
        </w:rPr>
        <w:t xml:space="preserve">خرج المشتری و بقی البائع،بل لعموم أَوْفُوا بِالْعُقُودِ </w:t>
      </w:r>
      <w:r>
        <w:rPr>
          <w:rStyle w:val="FootnoteAnchor"/>
          <w:rtl w:val="true"/>
        </w:rPr>
        <w:footnoteReference w:id="275"/>
      </w:r>
      <w:r>
        <w:rPr>
          <w:rFonts w:ascii="IRNazanin" w:hAnsi="IRNazanin" w:eastAsia="IRNazanin"/>
          <w:color w:val="111111"/>
          <w:sz w:val="28"/>
          <w:sz w:val="28"/>
          <w:szCs w:val="28"/>
          <w:rtl w:val="true"/>
          <w:lang w:bidi="fa-IR"/>
        </w:rPr>
        <w:t>بالنسبة إلی ما لیس فیه خیار المجلس بالأصل أو بالاشتراط،و یثبت الباقی بعدم القول بالفصل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أیضاً ظاهر غیر واحدٍ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الفضیل بن یسار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الشرط فی الحیوان؟قال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أیّامٍ للمشتری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الشرط فی غیر الحیوان؟قال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 فإذا افترقا فلا خیار بعد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منهما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7"/>
      </w:r>
      <w:r>
        <w:rPr>
          <w:rFonts w:ascii="IRNazanin" w:hAnsi="IRNazanin" w:eastAsia="IRNazanin"/>
          <w:color w:val="111111"/>
          <w:sz w:val="28"/>
          <w:sz w:val="28"/>
          <w:szCs w:val="28"/>
          <w:rtl w:val="true"/>
          <w:lang w:bidi="fa-IR"/>
        </w:rPr>
        <w:t>،و ظهوره فی اختصاص الخیار بالمشتری و إطلاق نفی الخیار لهما فی بیع غیر الحیوان بعد الافتراق یشمل ما إذا کان الثمن حیواناً</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یتلوها فی الظهور روایة علیّ بن أسباط عن أبی الحسن الرضا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الخیار فی الحیوان ثلاثة أیّامٍ للمشتری</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فإنّ ذکر القید مع إطلاق الحکم قبیح إلّا لنکتة جلیّة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نحوها صحیحة الحلبی فی الفقیه،عن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الحیوان کلّه شرط ثلاثة أیّامٍ للمشتری</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،و صحیحة ابن رئاب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الشرط </w:t>
      </w:r>
      <w:r>
        <w:rPr>
          <w:rStyle w:val="FootnoteAnchor"/>
          <w:rtl w:val="true"/>
        </w:rPr>
        <w:footnoteReference w:id="280"/>
      </w:r>
      <w:r>
        <w:rPr>
          <w:rFonts w:ascii="IRNazanin" w:hAnsi="IRNazanin" w:eastAsia="IRNazanin"/>
          <w:color w:val="111111"/>
          <w:sz w:val="28"/>
          <w:sz w:val="28"/>
          <w:szCs w:val="28"/>
          <w:rtl w:val="true"/>
          <w:lang w:bidi="fa-IR"/>
        </w:rPr>
        <w:t>فی الحیوانات ثلاثة أیام للمشتری</w:t>
      </w:r>
      <w:r>
        <w:rPr>
          <w:rFonts w:eastAsia="IRNazanin" w:cs="IRNazanin"/>
          <w:color w:val="111111"/>
          <w:sz w:val="28"/>
          <w:szCs w:val="28"/>
          <w:rtl w:val="true"/>
          <w:lang w:bidi="fa-IR"/>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أظهر من الکلّ صحیحة ابن رئاب المحکیّة عن قرب الإسناد،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 اللّٰه علیه السلام عن رجلٍ اشتری جاریةً،لمن الخیار؟ للمشتری أو للبائع أو لهما </w:t>
      </w:r>
      <w:r>
        <w:rPr>
          <w:rStyle w:val="FootnoteAnchor"/>
          <w:rtl w:val="true"/>
        </w:rPr>
        <w:footnoteReference w:id="282"/>
      </w:r>
      <w:r>
        <w:rPr>
          <w:rFonts w:ascii="IRNazanin" w:hAnsi="IRNazanin" w:eastAsia="IRNazanin"/>
          <w:color w:val="111111"/>
          <w:sz w:val="28"/>
          <w:sz w:val="28"/>
          <w:szCs w:val="28"/>
          <w:rtl w:val="true"/>
          <w:lang w:bidi="fa-IR"/>
        </w:rPr>
        <w:t>کلیهما؟قال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الخیار لمن اشتری نظرة ثلاثة أیّامٍ،فإذا مضت ثلاثة أیّامٍ فقد وجب الشراء</w:t>
      </w:r>
      <w:r>
        <w:rPr>
          <w:rFonts w:eastAsia="IRNazanin" w:cs="IRNazanin"/>
          <w:color w:val="111111"/>
          <w:sz w:val="28"/>
          <w:szCs w:val="28"/>
          <w:rtl w:val="true"/>
          <w:lang w:bidi="fa-IR"/>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سیّدنا المرتضی قدّس سرّه و ابن طاوس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ثبوته للبائع أیضاً </w:t>
      </w:r>
      <w:r>
        <w:rPr>
          <w:rStyle w:val="FootnoteAnchor"/>
          <w:rtl w:val="true"/>
        </w:rPr>
        <w:footnoteReference w:id="284"/>
      </w:r>
      <w:r>
        <w:rPr>
          <w:rFonts w:ascii="IRNazanin" w:hAnsi="IRNazanin" w:eastAsia="IRNazanin"/>
          <w:color w:val="111111"/>
          <w:sz w:val="28"/>
          <w:sz w:val="28"/>
          <w:szCs w:val="28"/>
          <w:rtl w:val="true"/>
          <w:lang w:bidi="fa-IR"/>
        </w:rPr>
        <w:t>، و حکی عن الانتصار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دعوی الإجماع علیه </w:t>
      </w:r>
      <w:r>
        <w:rPr>
          <w:rStyle w:val="FootnoteAnchor"/>
          <w:rtl w:val="true"/>
        </w:rPr>
        <w:footnoteReference w:id="285"/>
      </w:r>
      <w:r>
        <w:rPr>
          <w:rFonts w:ascii="IRNazanin" w:hAnsi="IRNazanin" w:eastAsia="IRNazanin"/>
          <w:color w:val="111111"/>
          <w:sz w:val="28"/>
          <w:sz w:val="28"/>
          <w:szCs w:val="28"/>
          <w:rtl w:val="true"/>
          <w:lang w:bidi="fa-IR"/>
        </w:rPr>
        <w:t>لأصالة جواز العقد من الطرفین بعد ثبوت خیار المجلس،و لصحیحة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المتبایعان بالخیار ثلاثة أیّامٍ فی الحیوان،و فیما سوی ذلک من بیعٍ حتّی یفترقا</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 و بها تخصّص عمومات اللزوم مطلقاً أو بعد الافتراق؛و هی أرجح</w:t>
      </w:r>
    </w:p>
    <w:p>
      <w:pPr>
        <w:pStyle w:val="BookText"/>
        <w:rPr/>
      </w:pPr>
      <w:r>
        <w:rPr>
          <w:rFonts w:ascii="IRNazanin" w:hAnsi="IRNazanin" w:eastAsia="IRNazanin"/>
          <w:color w:val="111111"/>
          <w:sz w:val="28"/>
          <w:sz w:val="28"/>
          <w:szCs w:val="28"/>
          <w:rtl w:val="true"/>
          <w:lang w:bidi="fa-IR"/>
        </w:rPr>
        <w:t>بحسب السند من صحیحة ابن رئاب المحکیّة عن قرب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صرّحوا بترجیح روایة مثل محمّد بن مسلم و زرارة و أضرابهما علی غیرهم من الثقات؛مضافاً إلی ورودها فی الکتب الأربعة المرجّحة علی مثل قرب الإسناد من الکتب التی لم یلتفت إلیها أکثر أصحابنا مع بُعد غفلتهم عنها أو عن مراجعتها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الصحاح الأُخر المکافِئة سنداً لصحیحة ابن مسلم،فالإنصاف أنّ دلالتها بالمفهوم لا تبلغ فی الظهور مرتبة منطوق الصحیحة،فیمکن حملها علی بیان الفرد الشدید الحاجة؛لأنّ الغالب فی المعاملة،خصوصاً معاملة الحیوان،کون إرادة الفسخ فی طرف المشتری لاطّلاعه علی خفایا الحیوان،و لا ریب أنّ الأظهریّة فی الدلالة مقدّمة </w:t>
      </w:r>
      <w:r>
        <w:rPr>
          <w:rStyle w:val="FootnoteAnchor"/>
          <w:rtl w:val="true"/>
        </w:rPr>
        <w:footnoteReference w:id="287"/>
      </w:r>
      <w:r>
        <w:rPr>
          <w:rFonts w:ascii="IRNazanin" w:hAnsi="IRNazanin" w:eastAsia="IRNazanin"/>
          <w:color w:val="111111"/>
          <w:sz w:val="28"/>
          <w:sz w:val="28"/>
          <w:szCs w:val="28"/>
          <w:rtl w:val="true"/>
          <w:lang w:bidi="fa-IR"/>
        </w:rPr>
        <w:t>فی باب الترجیح علی الأکثریّة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 فی تأویل صحیحة ابن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خیار الحیوان للمشتری علی البائع فکان بین المجموع </w:t>
      </w:r>
      <w:r>
        <w:rPr>
          <w:rStyle w:val="FootnoteAnchor"/>
          <w:rtl w:val="true"/>
        </w:rPr>
        <w:footnoteReference w:id="288"/>
      </w:r>
      <w:r>
        <w:rPr>
          <w:rFonts w:ascii="IRNazanin" w:hAnsi="IRNazanin" w:eastAsia="IRNazanin"/>
          <w:color w:val="111111"/>
          <w:sz w:val="28"/>
          <w:sz w:val="28"/>
          <w:szCs w:val="28"/>
          <w:rtl w:val="true"/>
          <w:lang w:bidi="fa-IR"/>
        </w:rPr>
        <w:t>،ففی غایة السقوط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الشهرة المحقّقة،فلا تصیر حجّةً علی السیّد،بل مطلقاً،بعد العلم بمستند المشهور و عدم احتمال وجود مرجِّحٍ لم یذکروه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إجماع الغنیة لو سلِّم رجوعه إلی اختصاص الخیار بالمشتری لا مجرّد ثبوته له معارَضٌ بإجماع الانتصار الصریح فی ثبوته للبائع؛ و لعلّه لذا قوّی فی المسالک </w:t>
      </w:r>
      <w:r>
        <w:rPr>
          <w:rStyle w:val="FootnoteAnchor"/>
          <w:rtl w:val="true"/>
        </w:rPr>
        <w:footnoteReference w:id="289"/>
      </w:r>
      <w:r>
        <w:rPr>
          <w:rFonts w:ascii="IRNazanin" w:hAnsi="IRNazanin" w:eastAsia="IRNazanin"/>
          <w:color w:val="111111"/>
          <w:sz w:val="28"/>
          <w:sz w:val="28"/>
          <w:szCs w:val="28"/>
          <w:rtl w:val="true"/>
          <w:lang w:bidi="fa-IR"/>
        </w:rPr>
        <w:t>قول السیّد مع قطع النظر عن الشهرة،بل</w:t>
      </w:r>
    </w:p>
    <w:p>
      <w:pPr>
        <w:pStyle w:val="BookText"/>
        <w:rPr/>
      </w:pPr>
      <w:r>
        <w:rPr>
          <w:rFonts w:ascii="IRNazanin" w:hAnsi="IRNazanin" w:eastAsia="IRNazanin"/>
          <w:color w:val="111111"/>
          <w:sz w:val="28"/>
          <w:sz w:val="28"/>
          <w:szCs w:val="28"/>
          <w:rtl w:val="true"/>
          <w:lang w:bidi="fa-IR"/>
        </w:rPr>
        <w:t>الاتّفاق،علی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تبعه علی ذلک فی المفاتیح </w:t>
      </w:r>
      <w:r>
        <w:rPr>
          <w:rStyle w:val="FootnoteAnchor"/>
          <w:rtl w:val="true"/>
        </w:rPr>
        <w:footnoteReference w:id="290"/>
      </w:r>
      <w:r>
        <w:rPr>
          <w:rFonts w:ascii="IRNazanin" w:hAnsi="IRNazanin" w:eastAsia="IRNazanin"/>
          <w:color w:val="111111"/>
          <w:sz w:val="28"/>
          <w:sz w:val="28"/>
          <w:szCs w:val="28"/>
          <w:rtl w:val="true"/>
          <w:lang w:bidi="fa-IR"/>
        </w:rPr>
        <w:t xml:space="preserve">و توقّف فی غایة المراد </w:t>
      </w:r>
      <w:r>
        <w:rPr>
          <w:rStyle w:val="FootnoteAnchor"/>
          <w:rtl w:val="true"/>
        </w:rPr>
        <w:footnoteReference w:id="291"/>
      </w:r>
      <w:r>
        <w:rPr>
          <w:rFonts w:ascii="IRNazanin" w:hAnsi="IRNazanin" w:eastAsia="IRNazanin"/>
          <w:color w:val="111111"/>
          <w:sz w:val="28"/>
          <w:sz w:val="28"/>
          <w:szCs w:val="28"/>
          <w:rtl w:val="true"/>
          <w:lang w:bidi="fa-IR"/>
        </w:rPr>
        <w:t xml:space="preserve">و حواشی القواعد </w:t>
      </w:r>
      <w:r>
        <w:rPr>
          <w:rStyle w:val="FootnoteAnchor"/>
          <w:rtl w:val="true"/>
        </w:rPr>
        <w:footnoteReference w:id="292"/>
      </w:r>
      <w:r>
        <w:rPr>
          <w:rFonts w:ascii="IRNazanin" w:hAnsi="IRNazanin" w:eastAsia="IRNazanin"/>
          <w:color w:val="111111"/>
          <w:sz w:val="28"/>
          <w:sz w:val="28"/>
          <w:szCs w:val="28"/>
          <w:rtl w:val="true"/>
          <w:lang w:bidi="fa-IR"/>
        </w:rPr>
        <w:t xml:space="preserve">و تبعه فی المقتصر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هذا،و لکنّ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أخبار المشهور من حیث المجموع لا یقصر ظهورها عن الصحیحة مع اشتهارها بین الرواة حتّی محمّد بن مسلم الراوی للصحیحة،مع أنّ المرجع بعد التکافؤ عموم أدلّة لزوم العقد بالافتراق و المتیقّن خروج المشتری،فلا ریب فی ضعف هذا القول</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نعم،هنا قولٌ ثالثٌ لعلّه أقوی منه،و هو ثبوت الخیار لمن انتقل إلیه الحیوان ثمناً أو مثمناً،نسب إلی جماعةٍ من المتأخّرین </w:t>
      </w:r>
      <w:r>
        <w:rPr>
          <w:rStyle w:val="FootnoteAnchor"/>
          <w:rtl w:val="true"/>
        </w:rPr>
        <w:footnoteReference w:id="294"/>
      </w:r>
      <w:r>
        <w:rPr>
          <w:rFonts w:ascii="IRNazanin" w:hAnsi="IRNazanin" w:eastAsia="IRNazanin"/>
          <w:color w:val="111111"/>
          <w:sz w:val="28"/>
          <w:sz w:val="28"/>
          <w:szCs w:val="28"/>
          <w:rtl w:val="true"/>
          <w:lang w:bidi="fa-IR"/>
        </w:rPr>
        <w:t xml:space="preserve">،منهم الشهید فی المسالک </w:t>
      </w:r>
      <w:r>
        <w:rPr>
          <w:rStyle w:val="FootnoteAnchor"/>
          <w:rtl w:val="true"/>
        </w:rPr>
        <w:footnoteReference w:id="295"/>
      </w:r>
      <w:r>
        <w:rPr>
          <w:rFonts w:ascii="IRNazanin" w:hAnsi="IRNazanin" w:eastAsia="IRNazanin"/>
          <w:color w:val="111111"/>
          <w:sz w:val="28"/>
          <w:sz w:val="28"/>
          <w:szCs w:val="28"/>
          <w:rtl w:val="true"/>
          <w:lang w:bidi="fa-IR"/>
        </w:rPr>
        <w:t>لعموم صحیحة ابن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المتبایعان بالخیار ما لم یفترقا،و صاحب الحیوان بالخیار ثلاثة أیّام</w:t>
      </w:r>
      <w:r>
        <w:rPr>
          <w:rFonts w:eastAsia="IRNazanin" w:cs="IRNazanin"/>
          <w:color w:val="111111"/>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و لا ینافیه تقیید الحیوان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موثّقة ابن فضّال </w:t>
      </w:r>
      <w:r>
        <w:rPr>
          <w:rStyle w:val="FootnoteAnchor"/>
          <w:rtl w:val="true"/>
        </w:rPr>
        <w:footnoteReference w:id="297"/>
      </w:r>
      <w:r>
        <w:rPr>
          <w:rFonts w:ascii="IRNazanin" w:hAnsi="IRNazanin" w:eastAsia="IRNazanin"/>
          <w:color w:val="111111"/>
          <w:sz w:val="28"/>
          <w:sz w:val="28"/>
          <w:szCs w:val="28"/>
          <w:rtl w:val="true"/>
          <w:lang w:bidi="fa-IR"/>
        </w:rPr>
        <w:t>لاحتمال ورود التقیید مورد الغالب؛</w:t>
      </w:r>
    </w:p>
    <w:p>
      <w:pPr>
        <w:pStyle w:val="BookText"/>
        <w:rPr/>
      </w:pPr>
      <w:r>
        <w:rPr>
          <w:rFonts w:ascii="IRNazanin" w:hAnsi="IRNazanin" w:eastAsia="IRNazanin"/>
          <w:color w:val="111111"/>
          <w:sz w:val="28"/>
          <w:sz w:val="28"/>
          <w:szCs w:val="28"/>
          <w:rtl w:val="true"/>
          <w:lang w:bidi="fa-IR"/>
        </w:rPr>
        <w:t>لأنّ الغالب کون صاحب الحیوان مشتریاً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ینافی هذه الدعوی التمسّک بإطلاق صحیحة ابن مسلم؛لأنّ الغلبة قد تکون بحیث توجب تنزیل التقیید علیها،و لا توجب تنزیل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ینافیها أیضاً ما دلّ علی اختصاص الخیار بالمشتری </w:t>
      </w:r>
      <w:r>
        <w:rPr>
          <w:rStyle w:val="FootnoteAnchor"/>
          <w:rtl w:val="true"/>
        </w:rPr>
        <w:footnoteReference w:id="298"/>
      </w:r>
      <w:r>
        <w:rPr>
          <w:rFonts w:ascii="IRNazanin" w:hAnsi="IRNazanin" w:eastAsia="IRNazanin"/>
          <w:color w:val="111111"/>
          <w:sz w:val="28"/>
          <w:sz w:val="28"/>
          <w:szCs w:val="28"/>
          <w:rtl w:val="true"/>
          <w:lang w:bidi="fa-IR"/>
        </w:rPr>
        <w:t>لورودها مورد الغالب من کون الثمن غیر 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صحیحة محمّد بن مسلم المثبتة للخیار للمتبایعین؛لإمکان تقییدها و إن بعُد بما إذا کان العوضان حیوانین</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الإشکال فی إطلاق الصحیحة الأُولی </w:t>
      </w:r>
      <w:r>
        <w:rPr>
          <w:rStyle w:val="FootnoteAnchor"/>
          <w:rtl w:val="true"/>
        </w:rPr>
        <w:footnoteReference w:id="299"/>
      </w:r>
      <w:r>
        <w:rPr>
          <w:rFonts w:ascii="IRNazanin" w:hAnsi="IRNazanin" w:eastAsia="IRNazanin"/>
          <w:color w:val="111111"/>
          <w:sz w:val="28"/>
          <w:sz w:val="28"/>
          <w:szCs w:val="28"/>
          <w:rtl w:val="true"/>
          <w:lang w:bidi="fa-IR"/>
        </w:rPr>
        <w:t>من جهة قوّة انصرافه إلی المشتری،فلا مخصّص یعتدّ به؛لعمومات اللزوم مطلقاً أو بعد المجلس،فلا محیص عن المشهور</w:t>
      </w:r>
      <w:r>
        <w:rPr>
          <w:rFonts w:eastAsia="IRNazanin" w:cs="IRNazanin"/>
          <w:color w:val="111111"/>
          <w:sz w:val="28"/>
          <w:szCs w:val="28"/>
          <w:rtl w:val="true"/>
          <w:lang w:bidi="fa-IR"/>
        </w:rPr>
        <w:t>.</w:t>
      </w:r>
      <w:bookmarkStart w:id="198" w:name="pg19864_220717"/>
    </w:p>
    <w:p>
      <w:pPr>
        <w:pStyle w:val="Heading6"/>
        <w:numPr>
          <w:ilvl w:val="5"/>
          <w:numId w:val="1"/>
        </w:numPr>
        <w:rPr/>
      </w:pPr>
      <w:bookmarkStart w:id="199" w:name="__RefHeading___Toc5148664_2314609296"/>
      <w:bookmarkStart w:id="200" w:name="_Toc77"/>
      <w:bookmarkEnd w:id="198"/>
      <w:bookmarkEnd w:id="199"/>
      <w:r>
        <w:rPr>
          <w:rtl w:val="true"/>
        </w:rPr>
        <w:t>مسألة لا فرق بین الأمة و غیرها فی مدّة الخیار،</w:t>
      </w:r>
      <w:bookmarkEnd w:id="200"/>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الغنیة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عن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مدّة خیار الأمة مدّة استبرائها </w:t>
      </w:r>
      <w:r>
        <w:rPr>
          <w:rStyle w:val="FootnoteAnchor"/>
          <w:rtl w:val="true"/>
        </w:rPr>
        <w:footnoteReference w:id="300"/>
      </w:r>
      <w:r>
        <w:rPr>
          <w:rFonts w:ascii="IRNazanin" w:hAnsi="IRNazanin" w:eastAsia="IRNazanin"/>
          <w:color w:val="111111"/>
          <w:sz w:val="28"/>
          <w:sz w:val="28"/>
          <w:szCs w:val="28"/>
          <w:rtl w:val="true"/>
          <w:lang w:bidi="fa-IR"/>
        </w:rPr>
        <w:t xml:space="preserve">،بل عن الأوّل دعوی الإجماع علیه،و ربما ینسب </w:t>
      </w:r>
      <w:r>
        <w:rPr>
          <w:rStyle w:val="FootnoteAnchor"/>
          <w:rtl w:val="true"/>
        </w:rPr>
        <w:footnoteReference w:id="301"/>
      </w:r>
      <w:r>
        <w:rPr>
          <w:rFonts w:ascii="IRNazanin" w:hAnsi="IRNazanin" w:eastAsia="IRNazanin"/>
          <w:color w:val="111111"/>
          <w:sz w:val="28"/>
          <w:sz w:val="28"/>
          <w:szCs w:val="28"/>
          <w:rtl w:val="true"/>
          <w:lang w:bidi="fa-IR"/>
        </w:rPr>
        <w:t xml:space="preserve">هذا إلی المقنعة </w:t>
      </w:r>
      <w:r>
        <w:rPr>
          <w:rStyle w:val="FootnoteAnchor"/>
          <w:rtl w:val="true"/>
        </w:rPr>
        <w:footnoteReference w:id="302"/>
      </w:r>
      <w:r>
        <w:rPr>
          <w:rFonts w:ascii="IRNazanin" w:hAnsi="IRNazanin" w:eastAsia="IRNazanin"/>
          <w:color w:val="111111"/>
          <w:sz w:val="28"/>
          <w:sz w:val="28"/>
          <w:szCs w:val="28"/>
          <w:rtl w:val="true"/>
          <w:lang w:bidi="fa-IR"/>
        </w:rPr>
        <w:t xml:space="preserve">و النهایة </w:t>
      </w:r>
      <w:r>
        <w:rPr>
          <w:rStyle w:val="FootnoteAnchor"/>
          <w:rtl w:val="true"/>
        </w:rPr>
        <w:footnoteReference w:id="303"/>
      </w:r>
      <w:r>
        <w:rPr>
          <w:rFonts w:ascii="IRNazanin" w:hAnsi="IRNazanin" w:eastAsia="IRNazanin"/>
          <w:color w:val="111111"/>
          <w:sz w:val="28"/>
          <w:sz w:val="28"/>
          <w:szCs w:val="28"/>
          <w:rtl w:val="true"/>
          <w:lang w:bidi="fa-IR"/>
        </w:rPr>
        <w:t xml:space="preserve">و المراسم </w:t>
      </w:r>
      <w:r>
        <w:rPr>
          <w:rStyle w:val="FootnoteAnchor"/>
          <w:rtl w:val="true"/>
        </w:rPr>
        <w:footnoteReference w:id="304"/>
      </w:r>
      <w:r>
        <w:rPr>
          <w:rFonts w:ascii="IRNazanin" w:hAnsi="IRNazanin" w:eastAsia="IRNazanin"/>
          <w:color w:val="111111"/>
          <w:sz w:val="28"/>
          <w:sz w:val="28"/>
          <w:szCs w:val="28"/>
          <w:rtl w:val="true"/>
          <w:lang w:bidi="fa-IR"/>
        </w:rPr>
        <w:t>من جهة حکمهم بضمان البائع لها مدّة الاستبراء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أقف لهم علی دلیل</w:t>
      </w:r>
      <w:r>
        <w:rPr>
          <w:rFonts w:eastAsia="IRNazanin" w:cs="IRNazanin"/>
          <w:color w:val="111111"/>
          <w:sz w:val="28"/>
          <w:szCs w:val="28"/>
          <w:rtl w:val="true"/>
          <w:lang w:bidi="fa-IR"/>
        </w:rPr>
        <w:t>.</w:t>
      </w:r>
      <w:bookmarkStart w:id="201" w:name="pg19864_220718"/>
    </w:p>
    <w:p>
      <w:pPr>
        <w:pStyle w:val="Heading6"/>
        <w:numPr>
          <w:ilvl w:val="5"/>
          <w:numId w:val="1"/>
        </w:numPr>
        <w:rPr/>
      </w:pPr>
      <w:bookmarkStart w:id="202" w:name="__RefHeading___Toc5148666_2314609296"/>
      <w:bookmarkStart w:id="203" w:name="_Toc78"/>
      <w:bookmarkEnd w:id="201"/>
      <w:bookmarkEnd w:id="202"/>
      <w:r>
        <w:rPr>
          <w:rtl w:val="true"/>
        </w:rPr>
        <w:t>مسألة مبدأ هذا الخیار من حین العقد،</w:t>
      </w:r>
      <w:bookmarkEnd w:id="203"/>
    </w:p>
    <w:p>
      <w:pPr>
        <w:pStyle w:val="BookText"/>
        <w:rPr/>
      </w:pPr>
      <w:r>
        <w:rPr>
          <w:rFonts w:ascii="IRNazanin" w:hAnsi="IRNazanin" w:eastAsia="IRNazanin"/>
          <w:color w:val="111111"/>
          <w:sz w:val="28"/>
          <w:sz w:val="28"/>
          <w:szCs w:val="28"/>
          <w:rtl w:val="true"/>
          <w:lang w:bidi="fa-IR"/>
        </w:rPr>
        <w:t>فلو لم یفترقا ثلاثة أیّامٍ انقضی خیار الحیوان و بقی خیار المجلس؛لظاهر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الشرط فی الحیوان ثلاثة أیّامٍ،و فی غیره حتّی یتفرّقا</w:t>
      </w:r>
      <w:r>
        <w:rPr>
          <w:rFonts w:eastAsia="IRNazanin" w:cs="IRNazanin"/>
          <w:color w:val="111111"/>
          <w:sz w:val="28"/>
          <w:szCs w:val="28"/>
          <w:rtl w:val="true"/>
          <w:lang w:bidi="fa-IR"/>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خلافاً للمحکیّ عن ابن زهرة فجعله من حین التفرّق </w:t>
      </w:r>
      <w:r>
        <w:rPr>
          <w:rStyle w:val="FootnoteAnchor"/>
          <w:rtl w:val="true"/>
        </w:rPr>
        <w:footnoteReference w:id="306"/>
      </w:r>
      <w:r>
        <w:rPr>
          <w:rFonts w:ascii="IRNazanin" w:hAnsi="IRNazanin" w:eastAsia="IRNazanin"/>
          <w:color w:val="111111"/>
          <w:sz w:val="28"/>
          <w:sz w:val="28"/>
          <w:szCs w:val="28"/>
          <w:rtl w:val="true"/>
          <w:lang w:bidi="fa-IR"/>
        </w:rPr>
        <w:t>،و کذا الشیخ و الحلّی فی خیار الشرط المتّحد مع هذا الخیار فی هذا الحکم من جهة الدلیل الذی ذکراه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خیار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یثبت من حین التفرّق؛لأنّ الخیار یدخل إذا ثبت العقد،و العقد لم یثبت قبل التفرّق </w:t>
      </w:r>
      <w:r>
        <w:rPr>
          <w:rStyle w:val="FootnoteAnchor"/>
          <w:rtl w:val="true"/>
        </w:rPr>
        <w:footnoteReference w:id="30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نحوه المحکیّ عن السرائر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الدعوی لم نعرفها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نعم،ربما یستدلّ </w:t>
      </w:r>
      <w:r>
        <w:rPr>
          <w:rStyle w:val="FootnoteAnchor"/>
          <w:rtl w:val="true"/>
        </w:rPr>
        <w:footnoteReference w:id="309"/>
      </w:r>
      <w:r>
        <w:rPr>
          <w:rFonts w:ascii="IRNazanin" w:hAnsi="IRNazanin" w:eastAsia="IRNazanin"/>
          <w:color w:val="111111"/>
          <w:sz w:val="28"/>
          <w:sz w:val="28"/>
          <w:szCs w:val="28"/>
          <w:rtl w:val="true"/>
          <w:lang w:bidi="fa-IR"/>
        </w:rPr>
        <w:t xml:space="preserve">علیه </w:t>
      </w:r>
      <w:r>
        <w:rPr>
          <w:rStyle w:val="FootnoteAnchor"/>
          <w:rtl w:val="true"/>
        </w:rPr>
        <w:footnoteReference w:id="310"/>
      </w:r>
      <w:r>
        <w:rPr>
          <w:rFonts w:ascii="IRNazanin" w:hAnsi="IRNazanin" w:eastAsia="IRNazanin"/>
          <w:color w:val="111111"/>
          <w:sz w:val="28"/>
          <w:sz w:val="28"/>
          <w:szCs w:val="28"/>
          <w:rtl w:val="true"/>
          <w:lang w:bidi="fa-IR"/>
        </w:rPr>
        <w:t xml:space="preserve">بأصالة عدم ارتفاعه بانقضاء ثلاثةٍ من حین العقد،بل أصالة عدم حدوثه قبل انقضاء المجلس،و بلزوم </w:t>
      </w:r>
      <w:r>
        <w:rPr>
          <w:rStyle w:val="FootnoteAnchor"/>
          <w:rtl w:val="true"/>
        </w:rPr>
        <w:footnoteReference w:id="311"/>
      </w:r>
      <w:r>
        <w:rPr>
          <w:rFonts w:ascii="IRNazanin" w:hAnsi="IRNazanin" w:eastAsia="IRNazanin"/>
          <w:color w:val="111111"/>
          <w:sz w:val="28"/>
          <w:sz w:val="28"/>
          <w:szCs w:val="28"/>
          <w:rtl w:val="true"/>
          <w:lang w:bidi="fa-IR"/>
        </w:rPr>
        <w:t xml:space="preserve">اجتماع السببین علی مسبّب واحد،و ما دلّ علی أنّ تلف الحیوان فی الثلاثة من البائع </w:t>
      </w:r>
      <w:r>
        <w:rPr>
          <w:rStyle w:val="FootnoteAnchor"/>
          <w:rtl w:val="true"/>
        </w:rPr>
        <w:footnoteReference w:id="312"/>
      </w:r>
      <w:r>
        <w:rPr>
          <w:rFonts w:ascii="IRNazanin" w:hAnsi="IRNazanin" w:eastAsia="IRNazanin"/>
          <w:color w:val="111111"/>
          <w:sz w:val="28"/>
          <w:sz w:val="28"/>
          <w:szCs w:val="28"/>
          <w:rtl w:val="true"/>
          <w:lang w:bidi="fa-IR"/>
        </w:rPr>
        <w:t>مع أنّ التلف فی الخیار المشترک من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یردّ الأصل بظاهر </w:t>
      </w:r>
      <w:r>
        <w:rPr>
          <w:rStyle w:val="FootnoteAnchor"/>
          <w:rtl w:val="true"/>
        </w:rPr>
        <w:footnoteReference w:id="313"/>
      </w:r>
      <w:r>
        <w:rPr>
          <w:rFonts w:ascii="IRNazanin" w:hAnsi="IRNazanin" w:eastAsia="IRNazanin"/>
          <w:color w:val="111111"/>
          <w:sz w:val="28"/>
          <w:sz w:val="28"/>
          <w:szCs w:val="28"/>
          <w:rtl w:val="true"/>
          <w:lang w:bidi="fa-IR"/>
        </w:rPr>
        <w:t>الدلیل،مع أنّه بالتقریر الثانی،مثبِتٌ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أدلّة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التلف من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محمولٌ </w:t>
      </w:r>
      <w:r>
        <w:rPr>
          <w:rStyle w:val="FootnoteAnchor"/>
          <w:rtl w:val="true"/>
        </w:rPr>
        <w:footnoteReference w:id="314"/>
      </w:r>
      <w:r>
        <w:rPr>
          <w:rFonts w:ascii="IRNazanin" w:hAnsi="IRNazanin" w:eastAsia="IRNazanin"/>
          <w:color w:val="111111"/>
          <w:sz w:val="28"/>
          <w:sz w:val="28"/>
          <w:szCs w:val="28"/>
          <w:rtl w:val="true"/>
          <w:lang w:bidi="fa-IR"/>
        </w:rPr>
        <w:t>علی الغالب من کونه بعد المجلس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یردّ التداخل بأنّ الخیارین إن اختلفا من حیث الماهیّة فلا بأس بالتعدّد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اتّحدا فکذلک،إمّا لأنّ الأسباب معرِّفات،و إمّا لأنّها عللٌ و مؤثِّراتٌ یتوقّف استقلال کلِّ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w:t>
      </w:r>
      <w:r>
        <w:rPr>
          <w:rStyle w:val="FootnoteAnchor"/>
          <w:rtl w:val="true"/>
        </w:rPr>
        <w:footnoteReference w:id="3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التأثیر علی عدم مقارنة الآخر أو سبقه،فهی عللٌ تامّةٌ إلّا من هذه الجهة،و هو المراد ممّا فی التذکرة فی الجواب عن أنّ الخیارین مِثْلان فلا یجتمعان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الخیار واحدٌ و الجهة متعدّدة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المراد بزمان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w:t>
      </w:r>
      <w:r>
        <w:rPr>
          <w:rStyle w:val="FootnoteAnchor"/>
          <w:rtl w:val="true"/>
        </w:rPr>
        <w:footnoteReference w:id="3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 مجرّد الصیغة کعقد الفضولی علی القول بکون الإجازة ناقلةً أو زمان الملک،عبّر بذلک للغلبة؟الظاهر هو الثانی،کما استظهره بعض المعاصرین </w:t>
      </w:r>
      <w:r>
        <w:rPr>
          <w:rStyle w:val="FootnoteAnchor"/>
          <w:rtl w:val="true"/>
        </w:rPr>
        <w:footnoteReference w:id="31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لو أسلم حیواناً فی طعامٍ و قلنا بثبوت الخیار لصاحب الحیوان و إن کان بائعاً،کان مبدؤه بعد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تمثیله بما ذکر مبنیٌّ علی اختصاص </w:t>
      </w:r>
      <w:r>
        <w:rPr>
          <w:rStyle w:val="FootnoteAnchor"/>
          <w:rtl w:val="true"/>
        </w:rPr>
        <w:footnoteReference w:id="319"/>
      </w:r>
      <w:r>
        <w:rPr>
          <w:rFonts w:ascii="IRNazanin" w:hAnsi="IRNazanin" w:eastAsia="IRNazanin"/>
          <w:color w:val="111111"/>
          <w:sz w:val="28"/>
          <w:sz w:val="28"/>
          <w:szCs w:val="28"/>
          <w:rtl w:val="true"/>
          <w:lang w:bidi="fa-IR"/>
        </w:rPr>
        <w:t xml:space="preserve">الخیار بالحیوان المعیّن،و قد تقدّم التردّد فی ذلک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ما ذکروه فی خیار المجلس من جریانه فی الصرف و لو قبل القبض یدلّ علی أنّه لا یعتبر فی الخیار الملک،لکن لا بدّ له من 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الإشکال فی ثبوته فی الصرف قبل القبض لو لم نقل بوجوب التقابض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bookmarkStart w:id="204" w:name="pg19864_220721"/>
    </w:p>
    <w:p>
      <w:pPr>
        <w:pStyle w:val="Heading6"/>
        <w:numPr>
          <w:ilvl w:val="5"/>
          <w:numId w:val="1"/>
        </w:numPr>
        <w:rPr/>
      </w:pPr>
      <w:bookmarkStart w:id="205" w:name="__RefHeading___Toc5148668_2314609296"/>
      <w:bookmarkStart w:id="206" w:name="_Toc79"/>
      <w:bookmarkEnd w:id="204"/>
      <w:bookmarkEnd w:id="205"/>
      <w:r>
        <w:rPr>
          <w:rtl w:val="true"/>
        </w:rPr>
        <w:t>مسألة لا إشکال فی دخول اللیلتین المتوسّطتین فی الثلاثة أیّام،</w:t>
      </w:r>
      <w:bookmarkEnd w:id="206"/>
    </w:p>
    <w:p>
      <w:pPr>
        <w:pStyle w:val="BookText"/>
        <w:rPr/>
      </w:pPr>
      <w:r>
        <w:rPr>
          <w:rFonts w:ascii="IRNazanin" w:hAnsi="IRNazanin" w:eastAsia="IRNazanin"/>
          <w:color w:val="111111"/>
          <w:sz w:val="28"/>
          <w:sz w:val="28"/>
          <w:szCs w:val="28"/>
          <w:rtl w:val="true"/>
          <w:lang w:bidi="fa-IR"/>
        </w:rPr>
        <w:t>لا لدخول اللیل فی مفهوم الیوم،بل للاستمرار المستفاد من الخارج، و لا فی دخول اللیالی الثلاث عند التلفیق مع الانکسار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عقد فی اللیل،فالظاهر بقاء الخیار إلی آخر الیوم الثالث، و یحتمل النقص عن الیوم الثالث بمقدار ما بقی من لیلة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یصدق حینئذٍ الأقلّ من ثلاثة أیّام،و الإطلاق علی المقدار المساوی للنهار و لو من اللیل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المراد بالأیّام الثلاثة ما کانت مع اللیالی الثلاث لدخول اللیلتین أصالةً،فتدخل الثالثة،و إلّا لاختلفت مفردات الجمع فی استعمالٍ واحد </w:t>
      </w:r>
      <w:r>
        <w:rPr>
          <w:rStyle w:val="FootnoteAnchor"/>
          <w:rtl w:val="true"/>
        </w:rPr>
        <w:footnoteReference w:id="32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أراد اللیلة السابقة علی الأیّام فهو حسن،إلّا أنّه لا یعلّل بما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أراد اللیلة الأخیرة فلا یلزم من خروجها اختلاف مفردات الجمع فی استعمالٍ واحد،إذ لا نقول باستعمال الیومین الأوّلین</w:t>
      </w:r>
    </w:p>
    <w:p>
      <w:pPr>
        <w:pStyle w:val="BookText"/>
        <w:rPr/>
      </w:pPr>
      <w:r>
        <w:rPr>
          <w:rFonts w:ascii="IRNazanin" w:hAnsi="IRNazanin" w:eastAsia="IRNazanin"/>
          <w:color w:val="111111"/>
          <w:sz w:val="28"/>
          <w:sz w:val="28"/>
          <w:szCs w:val="28"/>
          <w:rtl w:val="true"/>
          <w:lang w:bidi="fa-IR"/>
        </w:rPr>
        <w:t>فی الیوم و اللیلة و استعمال الیوم الثالث فی خصوص النهار،بل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الیوم مستعملٌ فی خصوص النهار أو مقداره من نهارین،لا فی مجموع النهار و اللیل أو مقدارهما،و لا فی مقدار </w:t>
      </w:r>
      <w:r>
        <w:rPr>
          <w:rStyle w:val="FootnoteAnchor"/>
          <w:rtl w:val="true"/>
        </w:rPr>
        <w:footnoteReference w:id="323"/>
      </w:r>
      <w:r>
        <w:rPr>
          <w:rFonts w:ascii="IRNazanin" w:hAnsi="IRNazanin" w:eastAsia="IRNazanin"/>
          <w:color w:val="111111"/>
          <w:sz w:val="28"/>
          <w:sz w:val="28"/>
          <w:szCs w:val="28"/>
          <w:rtl w:val="true"/>
          <w:lang w:bidi="fa-IR"/>
        </w:rPr>
        <w:t>النهار و لو ملفّقاً من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الثلاثة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بلیالیها أی لیالی مجموعها،لا کلّ واحدٍ منها،فاللیالی لم تُرَد من نفس اللفظ،و إنّما أُریدت من جهة الإجماع و ظهور اللفظ الحاکمین فی المقام باستمرار الخیار،فکأنه قال</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الخیار یستمرّ إلی أن یمضی ستّ و ثلاثون ساعةً من النهار</w:t>
      </w:r>
      <w:r>
        <w:rPr>
          <w:rFonts w:eastAsia="IRNazanin" w:cs="IRNazanin"/>
          <w:color w:val="111111"/>
          <w:sz w:val="28"/>
          <w:szCs w:val="28"/>
          <w:rtl w:val="true"/>
          <w:lang w:bidi="fa-IR"/>
        </w:rPr>
        <w:t>.</w:t>
      </w:r>
      <w:bookmarkStart w:id="207" w:name="pg19864_220723"/>
    </w:p>
    <w:p>
      <w:pPr>
        <w:pStyle w:val="Heading6"/>
        <w:numPr>
          <w:ilvl w:val="5"/>
          <w:numId w:val="1"/>
        </w:numPr>
        <w:rPr/>
      </w:pPr>
      <w:bookmarkStart w:id="208" w:name="__RefHeading___Toc5148670_2314609296"/>
      <w:bookmarkStart w:id="209" w:name="_Toc80"/>
      <w:bookmarkEnd w:id="207"/>
      <w:bookmarkEnd w:id="208"/>
      <w:r>
        <w:rPr>
          <w:rtl w:val="true"/>
        </w:rPr>
        <w:t>مسألة یسقط هذا الخیار بأُمور</w:t>
      </w:r>
      <w:r>
        <w:rPr>
          <w:rtl w:val="true"/>
        </w:rPr>
        <w:t>:</w:t>
      </w:r>
      <w:bookmarkEnd w:id="209"/>
    </w:p>
    <w:p>
      <w:pPr>
        <w:pStyle w:val="Heading6"/>
        <w:numPr>
          <w:ilvl w:val="5"/>
          <w:numId w:val="1"/>
        </w:numPr>
        <w:rPr/>
      </w:pPr>
      <w:bookmarkStart w:id="210" w:name="__RefHeading___Toc5148672_2314609296"/>
      <w:bookmarkStart w:id="211" w:name="_Toc81"/>
      <w:bookmarkEnd w:id="210"/>
      <w:r>
        <w:rPr>
          <w:rtl w:val="true"/>
        </w:rPr>
        <w:t>أحدها</w:t>
      </w:r>
      <w:r>
        <w:rPr>
          <w:rtl w:val="true"/>
        </w:rPr>
        <w:t>:</w:t>
      </w:r>
      <w:r>
        <w:rPr>
          <w:rtl w:val="true"/>
        </w:rPr>
        <w:t>اشتراط سقوطه فی العقد</w:t>
      </w:r>
      <w:bookmarkEnd w:id="211"/>
    </w:p>
    <w:p>
      <w:pPr>
        <w:pStyle w:val="BookText"/>
        <w:rPr/>
      </w:pPr>
      <w:r>
        <w:rPr>
          <w:rFonts w:ascii="IRNazanin" w:hAnsi="IRNazanin" w:eastAsia="IRNazanin"/>
          <w:color w:val="111111"/>
          <w:sz w:val="28"/>
          <w:sz w:val="28"/>
          <w:szCs w:val="28"/>
          <w:rtl w:val="true"/>
          <w:lang w:bidi="fa-IR"/>
        </w:rPr>
        <w:t xml:space="preserve">و لو شرط سقوط بعضه،فقد صرّح بعضٌ </w:t>
      </w:r>
      <w:r>
        <w:rPr>
          <w:rStyle w:val="FootnoteAnchor"/>
          <w:rtl w:val="true"/>
        </w:rPr>
        <w:footnoteReference w:id="324"/>
      </w:r>
      <w:r>
        <w:rPr>
          <w:rFonts w:ascii="Amiri" w:hAnsi="Amiri" w:eastAsia="Amiri" w:cs="Amiri"/>
          <w:color w:val="111111"/>
          <w:sz w:val="28"/>
          <w:sz w:val="28"/>
          <w:szCs w:val="28"/>
          <w:rtl w:val="true"/>
          <w:lang w:bidi="ar-SA"/>
        </w:rPr>
        <w:t>بالصحّة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بأس به</w:t>
      </w:r>
      <w:r>
        <w:rPr>
          <w:rFonts w:eastAsia="Amiri" w:cs="Amiri" w:ascii="Amiri" w:hAnsi="Amiri"/>
          <w:color w:val="111111"/>
          <w:sz w:val="28"/>
          <w:szCs w:val="28"/>
          <w:rtl w:val="true"/>
          <w:lang w:bidi="ar-SA"/>
        </w:rPr>
        <w:t>.</w:t>
      </w:r>
    </w:p>
    <w:p>
      <w:pPr>
        <w:pStyle w:val="Heading6"/>
        <w:numPr>
          <w:ilvl w:val="5"/>
          <w:numId w:val="1"/>
        </w:numPr>
        <w:rPr/>
      </w:pPr>
      <w:bookmarkStart w:id="212" w:name="__RefHeading___Toc5148674_2314609296"/>
      <w:bookmarkStart w:id="213" w:name="_Toc82"/>
      <w:bookmarkEnd w:id="212"/>
      <w:r>
        <w:rPr>
          <w:rtl w:val="true"/>
        </w:rPr>
        <w:t>و الثانی</w:t>
      </w:r>
      <w:r>
        <w:rPr>
          <w:rtl w:val="true"/>
        </w:rPr>
        <w:t xml:space="preserve">: </w:t>
      </w:r>
      <w:r>
        <w:rPr>
          <w:rtl w:val="true"/>
        </w:rPr>
        <w:t>إسقاطه بعد العقد،</w:t>
      </w:r>
      <w:bookmarkEnd w:id="213"/>
    </w:p>
    <w:p>
      <w:pPr>
        <w:pStyle w:val="BookText"/>
        <w:rPr/>
      </w:pPr>
      <w:r>
        <w:rPr>
          <w:rFonts w:ascii="IRNazanin" w:hAnsi="IRNazanin" w:eastAsia="IRNazanin"/>
          <w:color w:val="111111"/>
          <w:sz w:val="28"/>
          <w:sz w:val="28"/>
          <w:szCs w:val="28"/>
          <w:rtl w:val="true"/>
          <w:lang w:bidi="fa-IR"/>
        </w:rPr>
        <w:t xml:space="preserve">و قد تقدّم الأمران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4" w:name="__RefHeading___Toc5148676_2314609296"/>
      <w:bookmarkStart w:id="215" w:name="_Toc83"/>
      <w:bookmarkEnd w:id="214"/>
      <w:r>
        <w:rPr>
          <w:rtl w:val="true"/>
        </w:rPr>
        <w:t>الثالث</w:t>
      </w:r>
      <w:r>
        <w:rPr>
          <w:rtl w:val="true"/>
        </w:rPr>
        <w:t xml:space="preserve">: </w:t>
      </w:r>
      <w:r>
        <w:rPr>
          <w:rtl w:val="true"/>
        </w:rPr>
        <w:t>التصرّف</w:t>
      </w:r>
      <w:bookmarkEnd w:id="215"/>
    </w:p>
    <w:p>
      <w:pPr>
        <w:pStyle w:val="BookText"/>
        <w:rPr/>
      </w:pPr>
      <w:r>
        <w:rPr>
          <w:rFonts w:ascii="IRNazanin" w:hAnsi="IRNazanin" w:eastAsia="IRNazanin"/>
          <w:color w:val="111111"/>
          <w:sz w:val="28"/>
          <w:sz w:val="28"/>
          <w:szCs w:val="28"/>
          <w:rtl w:val="true"/>
          <w:lang w:bidi="fa-IR"/>
        </w:rPr>
        <w:t>و لا خلاف فی إسقاطه فی الجملة لهذا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علیه قبل الإجماع النصوص</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صحیحة ابن رئاب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أحدث المشتری فیما اشتری حدثاً قبل الثلاثة أیّام فذلک رضی منه و لا شرط له،قیل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الحدث؟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لامس أو قبّل أو نظر منها إلی ما کان محرّماً علیه قبل الشراء</w:t>
      </w:r>
      <w:r>
        <w:rPr>
          <w:rFonts w:eastAsia="IRNazanin" w:cs="IRNazanin"/>
          <w:color w:val="111111"/>
          <w:sz w:val="28"/>
          <w:szCs w:val="28"/>
          <w:rtl w:val="true"/>
          <w:lang w:bidi="fa-IR"/>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الصفّار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أبی محمّد علیه السلام فی الرجل اشتری دابّةً من رجلٍ فأحدث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حدثاً </w:t>
      </w:r>
      <w:r>
        <w:rPr>
          <w:rStyle w:val="FootnoteAnchor"/>
          <w:rtl w:val="true"/>
        </w:rPr>
        <w:footnoteReference w:id="3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أخذ الحافر أو نعْلها أو رَکِبَ ظهرها فراسخ،إله أن یردّها فی الثلاثة أیّامٍ </w:t>
      </w:r>
      <w:r>
        <w:rPr>
          <w:rStyle w:val="FootnoteAnchor"/>
          <w:rtl w:val="true"/>
        </w:rPr>
        <w:footnoteReference w:id="329"/>
      </w:r>
      <w:r>
        <w:rPr>
          <w:rFonts w:ascii="IRNazanin" w:hAnsi="IRNazanin" w:eastAsia="IRNazanin"/>
          <w:color w:val="111111"/>
          <w:sz w:val="28"/>
          <w:sz w:val="28"/>
          <w:szCs w:val="28"/>
          <w:rtl w:val="true"/>
          <w:lang w:bidi="fa-IR"/>
        </w:rPr>
        <w:t xml:space="preserve">التی له فیها الخیار بعد الحدث الذی یحدث فیها </w:t>
      </w:r>
      <w:r>
        <w:rPr>
          <w:rStyle w:val="FootnoteAnchor"/>
          <w:rtl w:val="true"/>
        </w:rPr>
        <w:footnoteReference w:id="330"/>
      </w:r>
      <w:r>
        <w:rPr>
          <w:rFonts w:ascii="IRNazanin" w:hAnsi="IRNazanin" w:eastAsia="IRNazanin"/>
          <w:color w:val="111111"/>
          <w:sz w:val="28"/>
          <w:sz w:val="28"/>
          <w:szCs w:val="28"/>
          <w:rtl w:val="true"/>
          <w:lang w:bidi="fa-IR"/>
        </w:rPr>
        <w:t xml:space="preserve">أو الرکوب الذی رکبها </w:t>
      </w:r>
      <w:r>
        <w:rPr>
          <w:rStyle w:val="FootnoteAnchor"/>
          <w:rtl w:val="true"/>
        </w:rPr>
        <w:footnoteReference w:id="331"/>
      </w:r>
      <w:r>
        <w:rPr>
          <w:rFonts w:ascii="IRNazanin" w:hAnsi="IRNazanin" w:eastAsia="IRNazanin"/>
          <w:color w:val="111111"/>
          <w:sz w:val="28"/>
          <w:sz w:val="28"/>
          <w:szCs w:val="28"/>
          <w:rtl w:val="true"/>
          <w:lang w:bidi="fa-IR"/>
        </w:rPr>
        <w:t>فراسخ؟فوقّع علیه السلام إذا أحدث فیها حدثاً فقد وجب الشراء إن شاء اللّٰه تعالی</w:t>
      </w:r>
      <w:r>
        <w:rPr>
          <w:rFonts w:eastAsia="IRNazanin" w:cs="IRNazanin"/>
          <w:color w:val="111111"/>
          <w:sz w:val="28"/>
          <w:szCs w:val="28"/>
          <w:rtl w:val="true"/>
          <w:lang w:bidi="fa-IR"/>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ذیل الصحیحة المتقدّمة عن قرب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333"/>
      </w:r>
      <w:r>
        <w:rPr>
          <w:rFonts w:ascii="IRNazanin" w:hAnsi="IRNazanin" w:eastAsia="IRNazanin"/>
          <w:color w:val="111111"/>
          <w:sz w:val="28"/>
          <w:sz w:val="28"/>
          <w:szCs w:val="28"/>
          <w:rtl w:val="true"/>
          <w:lang w:bidi="fa-IR"/>
        </w:rPr>
        <w:t>أ رأیت إن قبّلها المشتری أو لامس؟فقال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قبّل أو لامس أو نظر منها إلی ما یحرم علی غیره فقد انقضی الشرط و لزم البیع</w:t>
      </w:r>
      <w:r>
        <w:rPr>
          <w:rFonts w:eastAsia="IRNazanin" w:cs="IRNazanin"/>
          <w:color w:val="111111"/>
          <w:sz w:val="28"/>
          <w:szCs w:val="28"/>
          <w:rtl w:val="true"/>
          <w:lang w:bidi="fa-IR"/>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 علیه فی التذکرة بعد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التصرّف دلیل الرضا </w:t>
      </w:r>
      <w:r>
        <w:rPr>
          <w:rStyle w:val="FootnoteAnchor"/>
          <w:rtl w:val="true"/>
        </w:rPr>
        <w:footnoteReference w:id="3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موضعٍ آخر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دلیل الرضا بلزوم العقد </w:t>
      </w:r>
      <w:r>
        <w:rPr>
          <w:rStyle w:val="FootnoteAnchor"/>
          <w:rtl w:val="true"/>
        </w:rPr>
        <w:footnoteReference w:id="3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موضعٍ آخر منها کما فی الغنیة </w:t>
      </w:r>
      <w:r>
        <w:rPr>
          <w:rStyle w:val="FootnoteAnchor"/>
          <w:rtl w:val="true"/>
        </w:rPr>
        <w:footnoteReference w:id="3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التصرّف إجازة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بالحدث إن کان مطلق التصرّف الذی لا یجوز لغیر المالک إلّا برضاه کما یشیر إلیه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نظر إلی ما کان یحرم علیه قبل الشراء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،فلازمه کون مطلق استخدام المملوک،بل مطلق التصرّف فیه مسقطاً،کما صرّح به فی التذکرة فی بیان التصرّف المسقط للردّ بالعیب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لو استخدمه بشیءٍ خفیف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ناولنی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أغلق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استضعف قول بعض الشافعیّة بعدم السقوط،معلّلاً بأنّ مثل هذه الأُمور قد یؤمر به غیر المملوک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المسقط مطلق 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کان له علی الدابّة سرج أو رکاب فترکهما علیها بطل الردّ،لأنّه استعمالٌ و انتفاعٌ </w:t>
      </w:r>
      <w:r>
        <w:rPr>
          <w:rStyle w:val="FootnoteAnchor"/>
          <w:rtl w:val="true"/>
        </w:rPr>
        <w:footnoteReference w:id="339"/>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موضعٍ من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عندنا أنّ الاستخدام بل کلّ تصرّفٍ یصدر من المشتری قبل علمه بالعیب أو بعده یمنع الردّ </w:t>
      </w:r>
      <w:r>
        <w:rPr>
          <w:rStyle w:val="FootnoteAnchor"/>
          <w:rtl w:val="true"/>
        </w:rPr>
        <w:footnoteReference w:id="34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فی غایة الإشکال؛لعدم تبادر ما یعمّ ذلک من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دلالة ذلک علی الرضا بلزوم العقد؛مع أنّ من المعلوم عدم انفکاک المملوک المشتری عن ذلک فی أثناء الثلاثة،فیلزم جعل الخیار فیه کاللغو؛ مع أنّهم ذکروا أنّ الحکمة فی هذا الخیار الاطّلاع علی أُمورٍ خفیّةٍ فی الحیوان توجب زهادة </w:t>
      </w:r>
      <w:r>
        <w:rPr>
          <w:rStyle w:val="FootnoteAnchor"/>
          <w:rtl w:val="true"/>
        </w:rPr>
        <w:footnoteReference w:id="341"/>
      </w:r>
      <w:r>
        <w:rPr>
          <w:rFonts w:ascii="IRNazanin" w:hAnsi="IRNazanin" w:eastAsia="IRNazanin"/>
          <w:color w:val="111111"/>
          <w:sz w:val="28"/>
          <w:sz w:val="28"/>
          <w:szCs w:val="28"/>
          <w:rtl w:val="true"/>
          <w:lang w:bidi="fa-IR"/>
        </w:rPr>
        <w:t>المشتری،و کیف یطّلع الإنسان علی ذلک بدون النظر إلی الجاریة و لمسها و أمرها بغلق الباب و السقی و شبه ذلک؟</w:t>
      </w:r>
    </w:p>
    <w:p>
      <w:pPr>
        <w:pStyle w:val="BookText"/>
        <w:rPr/>
      </w:pPr>
      <w:r>
        <w:rPr>
          <w:rFonts w:ascii="IRNazanin" w:hAnsi="IRNazanin" w:eastAsia="IRNazanin"/>
          <w:color w:val="111111"/>
          <w:sz w:val="28"/>
          <w:sz w:val="28"/>
          <w:szCs w:val="28"/>
          <w:rtl w:val="true"/>
          <w:lang w:bidi="fa-IR"/>
        </w:rPr>
        <w:t xml:space="preserve">و إن کان المراد مطلق التصرّف بشرط دلالته علی الرضا بلزوم العقد کما یرشد إلیه وقوعه فی معرض التعلیل فی صحیحة ابن رئاب </w:t>
      </w:r>
      <w:r>
        <w:rPr>
          <w:rStyle w:val="FootnoteAnchor"/>
          <w:rtl w:val="true"/>
        </w:rPr>
        <w:footnoteReference w:id="342"/>
      </w:r>
      <w:r>
        <w:rPr>
          <w:rFonts w:ascii="IRNazanin" w:hAnsi="IRNazanin" w:eastAsia="IRNazanin"/>
          <w:color w:val="111111"/>
          <w:sz w:val="28"/>
          <w:sz w:val="28"/>
          <w:szCs w:val="28"/>
          <w:rtl w:val="true"/>
          <w:lang w:bidi="fa-IR"/>
        </w:rPr>
        <w:t>، و یظهر من استدلال العلّامة و غیره علی المسألة بأنّ التصرّف دلیل الرضا بلزوم العقد فهو لا یناسب إطلاقهم الحکم بإسقاط التصرّفات التی ذکروها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جمیعها ممّا یدلّ لو خلی و طبعه علی الالتزام بالعقد،فیکون إجازةً فعلیّةً،کما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قوله علیه السلام فی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رضی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یراد منه الرضا بالعقد فی مقابلة کراهة ضدّه أعنی الفسخ،و إلّا فالرضا بأصل الملک مستمرٌّ من زمان العقد إلی حین الفسخ؛و یشهد لهذا المعنی روایة عبد اللّٰه بن الحسن بن زید بن علیّ بن الحسین علیهما السلام عن أبیه عن جعفر عن أبیه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فی رجلٍ اشتری عبداً بشرطٍ إلی ثلاثة أیّامٍ فمات العبد فی الشرط،قال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یستحلف باللّٰه تعالی ما رضیه،ثمّ هو بریءٌ من الضمان</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فإنّ المراد بالرضا الالتزام بالعقد،و الاستحلاف فی الروایة محمولةٌ علی سماع دعوی التهمة أو علی صورة حصول القطع للبائع بذلک</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هذا فقوله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رضی منه و لا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یحتمل وجوهاً</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الجملة جواباً للشرط،فیکون حکماً شرعیّاً بأنّ التصرّف التزامٌ بالعقد و إن لم یکن التزاماً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توطئةً للجواب،و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لکنّه توطئةٌ لحکمة الحکم و تمهیدٌ لها لا علّةٌ حقیقیّةٌ </w:t>
      </w:r>
      <w:r>
        <w:rPr>
          <w:rStyle w:val="FootnoteAnchor"/>
          <w:rtl w:val="true"/>
        </w:rPr>
        <w:footnoteReference w:id="346"/>
      </w:r>
      <w:r>
        <w:rPr>
          <w:rFonts w:ascii="IRNazanin" w:hAnsi="IRNazanin" w:eastAsia="IRNazanin"/>
          <w:color w:val="111111"/>
          <w:sz w:val="28"/>
          <w:sz w:val="28"/>
          <w:szCs w:val="28"/>
          <w:rtl w:val="true"/>
          <w:lang w:bidi="fa-IR"/>
        </w:rPr>
        <w:t>فیکون إشارةً إلی أنّ الحکمة فی سقوط الخیار بالتصرّف دلالته غالباً علی الرضا،نظیر کون الرضا حکمةً فی سقوط خیار المجلس بالتفرّق فی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افترقا فلا خیار بعد الرضا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لا یعتبر فی الافتراق دلالته </w:t>
      </w:r>
      <w:r>
        <w:rPr>
          <w:rStyle w:val="FootnoteAnchor"/>
          <w:rtl w:val="true"/>
        </w:rPr>
        <w:footnoteReference w:id="347"/>
      </w:r>
      <w:r>
        <w:rPr>
          <w:rFonts w:ascii="IRNazanin" w:hAnsi="IRNazanin" w:eastAsia="IRNazanin"/>
          <w:color w:val="111111"/>
          <w:sz w:val="28"/>
          <w:sz w:val="28"/>
          <w:szCs w:val="28"/>
          <w:rtl w:val="true"/>
          <w:lang w:bidi="fa-IR"/>
        </w:rPr>
        <w:t>علی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هذین المعنیین،فکلّ تصرّفٍ مسقطٌ و إن علم عدم دلالته علی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الجملة إخباراً عن الواقع،نظراً إلی الغالب و ملاحظة نوع التصرّف لو خُلّی و طبعه،و یکون علّةً للجواب،فیکون نفی الخیار معلّلاً بکون التصرّف غالباً دالاّ علی الرضا بلزوم العقد، و بعد ملاحظة وجوب تقیید إطلاق الحکم بمؤدّی علّته کما فی قوله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تأکل </w:t>
      </w:r>
      <w:r>
        <w:rPr>
          <w:rStyle w:val="FootnoteAnchor"/>
          <w:rtl w:val="true"/>
        </w:rPr>
        <w:footnoteReference w:id="3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الرمّان لأنّه حامضٌ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علی اختصاص الحکم بالتصرّف الذی یکون کذلک،أی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دالاّ بالنوع غالباً علی التزام العقد و إن لم یدلّ فی شخص المقام،فیکون المسقط من التصرّف ما کان له ظهورٌ نوعیٌّ</w:t>
      </w:r>
    </w:p>
    <w:p>
      <w:pPr>
        <w:pStyle w:val="BookText"/>
        <w:rPr/>
      </w:pPr>
      <w:r>
        <w:rPr>
          <w:rFonts w:ascii="IRNazanin" w:hAnsi="IRNazanin" w:eastAsia="IRNazanin"/>
          <w:color w:val="111111"/>
          <w:sz w:val="28"/>
          <w:sz w:val="28"/>
          <w:szCs w:val="28"/>
          <w:rtl w:val="true"/>
          <w:lang w:bidi="fa-IR"/>
        </w:rPr>
        <w:t>فی الرضا،نظیر ظهور الألفاظ فی معانیها مقیّداً بعدم قرینةٍ توجب صرفه عن الدلالة،کما إذا دلّ الحال أو المقال علی وقوع التصرّف للاختبار،أو اشتباهاً بعینٍ اخری مملوکةٍ له،و یدخل فیه کلّ ما یدلّ نوعاً علی الرضا و إن لم یعد تصرّفاً عرفاً کالتعریض للبیع و الإذن للبائع فی التصرّف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إخباراً عن الواقع و یکون العلّة هی نفس الرضا الفعلی الشخصی،و یکون إطلاق الحکم مقیّداً بتلک العلّة،فیکون موضوع الحکم فی الحقیقة هو نفس الرضا الفعلی،فلو لم یثبت الرضا الفعلی لم یسقط الخیار</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الاحتمالین الأوّلین و إن کانا موافقین لإطلاق سائر الأخبار و إطلاقات بعض کلماتهم مثل ما تقدّم من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مطلق التصرّف لمصلحة نفسه مسقطٌ </w:t>
      </w:r>
      <w:r>
        <w:rPr>
          <w:rStyle w:val="FootnoteAnchor"/>
          <w:rtl w:val="true"/>
        </w:rPr>
        <w:footnoteReference w:id="349"/>
      </w:r>
      <w:r>
        <w:rPr>
          <w:rFonts w:ascii="IRNazanin" w:hAnsi="IRNazanin" w:eastAsia="IRNazanin"/>
          <w:color w:val="111111"/>
          <w:sz w:val="28"/>
          <w:sz w:val="28"/>
          <w:szCs w:val="28"/>
          <w:rtl w:val="true"/>
          <w:lang w:bidi="fa-IR"/>
        </w:rPr>
        <w:t xml:space="preserve">،و کذا غیره کالمحقّق و الشهید الثانیین </w:t>
      </w:r>
      <w:r>
        <w:rPr>
          <w:rStyle w:val="FootnoteAnchor"/>
          <w:rtl w:val="true"/>
        </w:rPr>
        <w:footnoteReference w:id="350"/>
      </w:r>
      <w:r>
        <w:rPr>
          <w:rFonts w:ascii="IRNazanin" w:hAnsi="IRNazanin" w:eastAsia="IRNazanin"/>
          <w:color w:val="111111"/>
          <w:sz w:val="28"/>
          <w:sz w:val="28"/>
          <w:szCs w:val="28"/>
          <w:rtl w:val="true"/>
          <w:lang w:bidi="fa-IR"/>
        </w:rPr>
        <w:t xml:space="preserve">بل لإطلاق بعض معاقد الإجماع،إلّا أنّهما بعیدان عن ظاهر الخبر؛مع مخالفتهما لأکثر کلماتهم،فإنّ الظاهر منها عدم السقوط بالتصرّف للاختبار و الحفظ،بل ظاهرها اعتبار الدلالة فی الجملة علی الرضا،کما سیجیء </w:t>
      </w:r>
      <w:r>
        <w:rPr>
          <w:rStyle w:val="FootnoteAnchor"/>
          <w:rtl w:val="true"/>
        </w:rPr>
        <w:footnoteReference w:id="351"/>
      </w:r>
      <w:r>
        <w:rPr>
          <w:rFonts w:ascii="IRNazanin" w:hAnsi="IRNazanin" w:eastAsia="IRNazanin"/>
          <w:color w:val="111111"/>
          <w:sz w:val="28"/>
          <w:sz w:val="28"/>
          <w:szCs w:val="28"/>
          <w:rtl w:val="true"/>
          <w:lang w:bidi="fa-IR"/>
        </w:rPr>
        <w:t>،و یؤیّده حکم بعضهم بکفایة الدالّ علی الرضا و إن لم یعدّ تصرّفاً،کتقبیل الجاریة للمشتری،علی ما صرّح به فی التحریر</w:t>
      </w:r>
    </w:p>
    <w:p>
      <w:pPr>
        <w:pStyle w:val="BookText"/>
        <w:rPr/>
      </w:pPr>
      <w:r>
        <w:rPr>
          <w:rFonts w:ascii="IRNazanin" w:hAnsi="IRNazanin" w:eastAsia="IRNazanin"/>
          <w:color w:val="111111"/>
          <w:sz w:val="28"/>
          <w:sz w:val="28"/>
          <w:szCs w:val="28"/>
          <w:rtl w:val="true"/>
          <w:lang w:bidi="fa-IR"/>
        </w:rPr>
        <w:t xml:space="preserve">و الدروس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فعلم أنّ العبرة بالرضا،و إنّما اعتبر التصرّف للدلالة،و ورد النصّ أیضاً بأنّ العرض علی البیع إجازةٌ </w:t>
      </w:r>
      <w:r>
        <w:rPr>
          <w:rStyle w:val="FootnoteAnchor"/>
          <w:rtl w:val="true"/>
        </w:rPr>
        <w:footnoteReference w:id="353"/>
      </w:r>
      <w:r>
        <w:rPr>
          <w:rFonts w:ascii="Amiri" w:hAnsi="Amiri" w:eastAsia="Amiri" w:cs="Amiri"/>
          <w:color w:val="111111"/>
          <w:sz w:val="28"/>
          <w:sz w:val="28"/>
          <w:szCs w:val="28"/>
          <w:rtl w:val="true"/>
          <w:lang w:bidi="ar-SA"/>
        </w:rPr>
        <w:t>،مع أنّه لیس حدثاً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یؤیّد عدم إرادة الأصحاب کون التصرّف مسقطاً إلّا من جهة دلالته علی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حکمهُم بأنَّ کلَّ تصرّفٍ یکون إجازةً من المشتری فی المبیع یکون فسخاً من البائع،فلو کان التصرّف </w:t>
      </w:r>
      <w:r>
        <w:rPr>
          <w:rStyle w:val="FootnoteAnchor"/>
          <w:rtl w:val="true"/>
        </w:rPr>
        <w:footnoteReference w:id="354"/>
      </w:r>
      <w:r>
        <w:rPr>
          <w:rFonts w:ascii="Amiri" w:hAnsi="Amiri" w:eastAsia="Amiri" w:cs="Amiri"/>
          <w:color w:val="111111"/>
          <w:sz w:val="28"/>
          <w:sz w:val="28"/>
          <w:szCs w:val="28"/>
          <w:rtl w:val="true"/>
          <w:lang w:bidi="ar-SA"/>
        </w:rPr>
        <w:t>مسقطاً تعبّدیاً عندهم من جهة النصّ لم یکن وجهٌ للتعدّی عن کونه إجازةً إلی کونه فسخاً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صرّح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الفسخ کالإجازة یکون بالقول و بالفعل </w:t>
      </w:r>
      <w:r>
        <w:rPr>
          <w:rStyle w:val="FootnoteAnchor"/>
          <w:rtl w:val="true"/>
        </w:rPr>
        <w:footnoteReference w:id="355"/>
      </w:r>
      <w:r>
        <w:rPr>
          <w:rFonts w:ascii="Amiri" w:hAnsi="Amiri" w:eastAsia="Amiri" w:cs="Amiri"/>
          <w:color w:val="111111"/>
          <w:sz w:val="28"/>
          <w:sz w:val="28"/>
          <w:szCs w:val="28"/>
          <w:rtl w:val="true"/>
          <w:lang w:bidi="ar-SA"/>
        </w:rPr>
        <w:t>، و ذکر التصرّف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مثالاً </w:t>
      </w:r>
      <w:r>
        <w:rPr>
          <w:rStyle w:val="FootnoteAnchor"/>
          <w:rtl w:val="true"/>
        </w:rPr>
        <w:footnoteReference w:id="3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للفسخ و الإجازة الفعلیّین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فاندفع ما یقال فی تقریب کون التصرّف مسقطاً لا للدلالة علی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الأصحاب یعدّونه فی مقابل الإجازة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المعنی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و إن کان أظهر الاحتمالات من حیث</w:t>
      </w:r>
    </w:p>
    <w:p>
      <w:pPr>
        <w:pStyle w:val="BookText"/>
        <w:rPr/>
      </w:pPr>
      <w:r>
        <w:rPr>
          <w:rFonts w:ascii="IRNazanin" w:hAnsi="IRNazanin" w:eastAsia="IRNazanin"/>
          <w:color w:val="111111"/>
          <w:sz w:val="28"/>
          <w:sz w:val="28"/>
          <w:szCs w:val="28"/>
          <w:rtl w:val="true"/>
          <w:lang w:bidi="fa-IR"/>
        </w:rPr>
        <w:t xml:space="preserve">اللفظ،بل جزم به فی الدروس </w:t>
      </w:r>
      <w:r>
        <w:rPr>
          <w:rStyle w:val="FootnoteAnchor"/>
          <w:rtl w:val="true"/>
        </w:rPr>
        <w:footnoteReference w:id="359"/>
      </w:r>
      <w:r>
        <w:rPr>
          <w:rFonts w:ascii="Amiri" w:hAnsi="Amiri" w:eastAsia="Amiri" w:cs="Amiri"/>
          <w:color w:val="111111"/>
          <w:sz w:val="28"/>
          <w:sz w:val="28"/>
          <w:szCs w:val="28"/>
          <w:rtl w:val="true"/>
          <w:lang w:bidi="ar-SA"/>
        </w:rPr>
        <w:t xml:space="preserve">،و یؤیّده ما تقدّم من روایة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الحسن </w:t>
      </w:r>
      <w:r>
        <w:rPr>
          <w:rStyle w:val="FootnoteAnchor"/>
          <w:rtl w:val="true"/>
        </w:rPr>
        <w:footnoteReference w:id="3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زید،الحاکیة للنبویّ الدالّ کما فی الدروس أیضاً </w:t>
      </w:r>
      <w:r>
        <w:rPr>
          <w:rStyle w:val="FootnoteAnchor"/>
          <w:rtl w:val="true"/>
        </w:rPr>
        <w:footnoteReference w:id="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الاعتبار بنفس الرضا،و ظاهر بعض کلماتهم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المستفاد من تتبّع الفتاوی الإجماع علی عدم إناطة الحکم بالرضا الفعلی بلزوم العقد؛مع أنّ أظهریّته بالنسبة إلی المعنی الثالث غیر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فتعیّن إرادة المعنی الثالث،و محصّله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التصرّف لو خُلّی و طبعه علی الالتزام و إن لم یفد فی خصوص المقام،فیکون التصرّف إجازةً فعلیّةً فی مقابل الإجازة القولیّة؛و هذا هو الذی ینبغی أن یعتمد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المقنعة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هلاک الحیوان فی الثلاثة من البائع،إلّا أن یحدث فیه المبتاع حدثاً یدلّ علی الرضا بالابتیاع </w:t>
      </w:r>
      <w:r>
        <w:rPr>
          <w:rStyle w:val="FootnoteAnchor"/>
          <w:rtl w:val="true"/>
        </w:rPr>
        <w:footnoteReference w:id="36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 للتصرّف فی مقامٍ آخر بأن ینظر من الأمة إلی ما یحرم لغیر المالک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المبسوط فی أحکام العیوب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المبیع بهیمةً و أصاب بها عیباً فله ردّها،و إذا کان فی طریق الردّ جاز له رکوبها</w:t>
      </w:r>
    </w:p>
    <w:p>
      <w:pPr>
        <w:pStyle w:val="BookText"/>
        <w:rPr/>
      </w:pPr>
      <w:r>
        <w:rPr>
          <w:rFonts w:ascii="IRNazanin" w:hAnsi="IRNazanin" w:eastAsia="IRNazanin"/>
          <w:color w:val="111111"/>
          <w:sz w:val="28"/>
          <w:sz w:val="28"/>
          <w:szCs w:val="28"/>
          <w:rtl w:val="true"/>
          <w:lang w:bidi="fa-IR"/>
        </w:rPr>
        <w:t>و سقیها و علفها و حلبها و أخذ لبنها،و إن نتجت کان له نتاجها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یسقط الردّ؛لأنّه إنّما یسقط بالرضا بالعیب أو بترک الردّ بعد العلم بالعیب أو بأن یحدث فیه عیبٌ عنده،و لیس هنا شیءٌ من ذلک </w:t>
      </w:r>
      <w:r>
        <w:rPr>
          <w:rStyle w:val="FootnoteAnchor"/>
          <w:rtl w:val="true"/>
        </w:rPr>
        <w:footnoteReference w:id="364"/>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الغنیة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هلک المبیع فی مدّة الخیار فهو من مال بائعه،إلّا أن یکون المبتاع قد أحدث فیه حدثاً یدلّ علی الرضا </w:t>
      </w:r>
      <w:r>
        <w:rPr>
          <w:rStyle w:val="FootnoteAnchor"/>
          <w:rtl w:val="true"/>
        </w:rPr>
        <w:footnoteReference w:id="36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الحلبی قدّس سرّه فی الکافی فی خیار 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هلک فی مدّة الخیار فهو من مال البائع،إلّا أن یحدث فیه حدثاً یدلّ علی الرضا </w:t>
      </w:r>
      <w:r>
        <w:rPr>
          <w:rStyle w:val="FootnoteAnchor"/>
          <w:rtl w:val="true"/>
        </w:rPr>
        <w:footnoteReference w:id="36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السرائر بعد حکمه بالخیار فی الحیوان إلی ثلاثة أیّام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إذا لم یُحدث فی هذه المدّة حدثاً یدلّ علی الرضا أو یتصرّف فیه تصرّفاً ینقص قیمته،أو یکون لمثل ذلک التصرّف اجرةٌ،بأن یرکب الدابّة أو یستعمل الحمار أو یقبّل الجاریة أو یلامسها أو یدبّرها تدبیراً لیس له الرجوع فیه کالمنذور </w:t>
      </w:r>
      <w:r>
        <w:rPr>
          <w:rStyle w:val="FootnoteAnchor"/>
          <w:rtl w:val="true"/>
        </w:rPr>
        <w:footnoteReference w:id="36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موضعٍ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لم یتصرّف فیه تصرّفاً یؤذن بالرضا فی العادة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عرفت أنّه استدلّ علی أصل الحکم بأنّ التصرّف دلیل الرضا باللزوم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موضعٍ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رکب الدابّة لیردّها سواء قصرت المسافة أو طالت لم یکن ذلک رضاً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سقاها الماء أو رکبها لیسقیها ثمّ یردّها لم یکن ذلک رضاً منه بإمساکه،و لو حلبها فی طریقه فالأقرب أنّه تصرّفٌ یؤذن بالرضا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التحریر فی مسألة سقوط ردّ المعیب بالتصرّف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لو استعمل المبیع أو تصرّف فیه بما یدلّ علی الرضا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استثنی بعضهم من التصرّف رکوب الدابّة و الطحن علیها و حلبها،إذ بها یعرف حالها لیختبر </w:t>
      </w:r>
      <w:r>
        <w:rPr>
          <w:rStyle w:val="FootnoteAnchor"/>
          <w:rtl w:val="true"/>
        </w:rPr>
        <w:footnoteReference w:id="372"/>
      </w:r>
      <w:r>
        <w:rPr>
          <w:rFonts w:ascii="IRNazanin" w:hAnsi="IRNazanin" w:eastAsia="IRNazanin"/>
          <w:color w:val="111111"/>
          <w:sz w:val="28"/>
          <w:sz w:val="28"/>
          <w:szCs w:val="28"/>
          <w:rtl w:val="true"/>
          <w:lang w:bidi="fa-IR"/>
        </w:rPr>
        <w:t xml:space="preserve">،و لیس ببعید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المحقّق الکرکی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تصرّف ذو الخیار غیر عالمٍ،کأن ظنّها جاریته المختصّة فتبیّنت ذات الخیار أو ذهل عن کونها المشتراة </w:t>
      </w:r>
      <w:r>
        <w:rPr>
          <w:rStyle w:val="FootnoteAnchor"/>
          <w:rtl w:val="true"/>
        </w:rPr>
        <w:footnoteReference w:id="374"/>
      </w:r>
      <w:r>
        <w:rPr>
          <w:rFonts w:ascii="IRNazanin" w:hAnsi="IRNazanin" w:eastAsia="IRNazanin"/>
          <w:color w:val="111111"/>
          <w:sz w:val="28"/>
          <w:sz w:val="28"/>
          <w:szCs w:val="28"/>
          <w:rtl w:val="true"/>
          <w:lang w:bidi="fa-IR"/>
        </w:rPr>
        <w:t>ففی الحکم تردّدٌ،ینشأ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إطلاق الخبر بسقوط الخیار بالتصرّف،و من أنّه غیر قاصدٍ إلی لزوم البیع،إذ لو علم لم یفعل،و التصرّف إنّما عُدّ</w:t>
      </w:r>
    </w:p>
    <w:p>
      <w:pPr>
        <w:pStyle w:val="BookText"/>
        <w:rPr/>
      </w:pPr>
      <w:r>
        <w:rPr>
          <w:rFonts w:ascii="IRNazanin" w:hAnsi="IRNazanin" w:eastAsia="IRNazanin"/>
          <w:color w:val="111111"/>
          <w:sz w:val="28"/>
          <w:sz w:val="28"/>
          <w:szCs w:val="28"/>
          <w:rtl w:val="true"/>
          <w:lang w:bidi="fa-IR"/>
        </w:rPr>
        <w:t xml:space="preserve">مسقطاً لدلالته علی الرضا باللزوم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موضعٍ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یعدّ رکوب الدابّة للاستخبار أو لدفع جموحها أو للخوف من ظالمٍ أو لیردّها تصرّفاً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یعدّ حملها للاستخبار تصرّفاً؟لیس ببعیدٍ أن لا یعدّ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لو أراد ردّها و حلبها لأخذ اللبن،علی إشکالٍ ینشأ من أنّه ملکه،فله استخلاصه </w:t>
      </w:r>
      <w:r>
        <w:rPr>
          <w:rStyle w:val="FootnoteAnchor"/>
          <w:rtl w:val="true"/>
        </w:rPr>
        <w:footnoteReference w:id="376"/>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عنه فی موضعٍ آخر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المراد بالتصرّف المسقط ما کان المقصود منه التملّک،لا الاختبار و لا حفظ المبیع کرکوب الدابّة للسقی </w:t>
      </w:r>
      <w:r>
        <w:rPr>
          <w:rStyle w:val="FootnoteAnchor"/>
          <w:rtl w:val="true"/>
        </w:rPr>
        <w:footnoteReference w:id="37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مراده من التملّک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البقاء علیه و الالتزام به،و یحتمل أن یراد به الاستعمال للانتفاع بالملک،لا للاختبار أو الحفظ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حضرنی من کلماتهم فی هذا المقام،الظاهرة فی المعنی الثالث،و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 علی وجهٍ یدلّ عرفاً لو خُلّی و طبعه علی الالتزام بالعقد،لیکون إسقاطاً فعلیّاً للخیار،فیخرج منه ما دلّت القرینة علی وقوعه لا عن الالتزام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یبقی الإشکال المتقدّم سابقاً </w:t>
      </w:r>
      <w:r>
        <w:rPr>
          <w:rStyle w:val="FootnoteAnchor"/>
          <w:rtl w:val="true"/>
        </w:rPr>
        <w:footnoteReference w:id="3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أکثر أمثلة</w:t>
      </w:r>
    </w:p>
    <w:p>
      <w:pPr>
        <w:pStyle w:val="BookText"/>
        <w:rPr/>
      </w:pPr>
      <w:r>
        <w:rPr>
          <w:rFonts w:ascii="IRNazanin" w:hAnsi="IRNazanin" w:eastAsia="IRNazanin"/>
          <w:color w:val="111111"/>
          <w:sz w:val="28"/>
          <w:sz w:val="28"/>
          <w:szCs w:val="28"/>
          <w:rtl w:val="true"/>
          <w:lang w:bidi="fa-IR"/>
        </w:rPr>
        <w:t>التصرّف المذکورة فی النصوص و الفتاوی لیست کذلک،بل هی واقعةٌ غالباً مع الغفلة أو التردّد أو العزم علی الفسخ مطلقاً،أو إذا اطّلع علی ما یوجب زهده فیه،فهی غیر دالّةٍ فی نفسها عرفاً علی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یظهر وجه النظر فی دفع الاستبعاد الذی ذکرناه سابقاً </w:t>
      </w:r>
      <w:r>
        <w:rPr>
          <w:rStyle w:val="FootnoteAnchor"/>
          <w:rtl w:val="true"/>
        </w:rPr>
        <w:footnoteReference w:id="3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عدم انفکاک اشتراء الحیوان من التصرّف فیه فی الثلاثة فیکون مورد الخیار فی غایة الندرة بأنّ الغالب فی التصرّفات وقوعها مع عدم الرضا باللزوم،فلا یسقط بها الخیار </w:t>
      </w:r>
      <w:r>
        <w:rPr>
          <w:rStyle w:val="FootnoteAnchor"/>
          <w:rtl w:val="true"/>
        </w:rPr>
        <w:footnoteReference w:id="380"/>
      </w:r>
      <w:r>
        <w:rPr>
          <w:rFonts w:ascii="IRNazanin" w:hAnsi="IRNazanin" w:eastAsia="IRNazanin"/>
          <w:color w:val="111111"/>
          <w:sz w:val="28"/>
          <w:sz w:val="28"/>
          <w:szCs w:val="28"/>
          <w:rtl w:val="true"/>
          <w:lang w:bidi="fa-IR"/>
        </w:rPr>
        <w:t>،إذ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یوجب استهجان تعلیل السقوط بمطلق الحدث بأنّه رضاً؛لأنّ المصحِّح لهذا التعلیل مع العلم بعدم کون بعض أفراده رضاً هو ظهوره فیه عرفاً من أجل الغلبة،فإذا فرض أنّ الغالب فی مثل هذه التصرّفات وقوعها لا عن التزامٍ للعقد بل مع العزم علی الفسخ أو التردّد فیه أو الغفلة، کان تعلیل الحکم علی المطلق بهذه العلّة الغیر الموجودة إلّا فی قلیلٍ من أفراده مستهجناً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الاستشهاد لذلک بما سیجیء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تصرّف البائع فی ثمن بیع الخیار غیر مسقطٍ لخیاره اتّفاقاً،و لیس ذلک إلّا من جهة صدوره لا عن التزامٍ بالعقد،بل مع العزم علی الفسخ بردّ مثل الثمن،ففیه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سیجیء</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من استهجان التعلیل علی تقدیر کون غالب التصرّفات</w:t>
      </w:r>
    </w:p>
    <w:p>
      <w:pPr>
        <w:pStyle w:val="BookText"/>
        <w:rPr/>
      </w:pPr>
      <w:r>
        <w:rPr>
          <w:rFonts w:ascii="IRNazanin" w:hAnsi="IRNazanin" w:eastAsia="IRNazanin"/>
          <w:color w:val="111111"/>
          <w:sz w:val="28"/>
          <w:sz w:val="28"/>
          <w:szCs w:val="28"/>
          <w:rtl w:val="true"/>
          <w:lang w:bidi="fa-IR"/>
        </w:rPr>
        <w:t xml:space="preserve">واقعةً لا عن التزامٍ یظهر فساد الجمع بهذا الوجه،یعنی حمل الأخبار المتقدّمة </w:t>
      </w:r>
      <w:r>
        <w:rPr>
          <w:rStyle w:val="FootnoteAnchor"/>
          <w:rtl w:val="true"/>
        </w:rPr>
        <w:footnoteReference w:id="381"/>
      </w:r>
      <w:r>
        <w:rPr>
          <w:rFonts w:ascii="IRNazanin" w:hAnsi="IRNazanin" w:eastAsia="IRNazanin"/>
          <w:color w:val="111111"/>
          <w:sz w:val="28"/>
          <w:sz w:val="28"/>
          <w:szCs w:val="28"/>
          <w:rtl w:val="true"/>
          <w:lang w:bidi="fa-IR"/>
        </w:rPr>
        <w:t xml:space="preserve">علی صورة دلالة التصرّفات المذکورة علی الرضا بلزوم العقد، جمعاً بینها و بین ما دلّ من الأخبار علی عدم سقوطه بمجرّد التصرّف، مثل روایة عبد اللّٰه بن الحسن المتقدّمة </w:t>
      </w:r>
      <w:r>
        <w:rPr>
          <w:rStyle w:val="FootnoteAnchor"/>
          <w:rtl w:val="true"/>
        </w:rPr>
        <w:footnoteReference w:id="382"/>
      </w:r>
      <w:r>
        <w:rPr>
          <w:rFonts w:ascii="IRNazanin" w:hAnsi="IRNazanin" w:eastAsia="IRNazanin"/>
          <w:color w:val="111111"/>
          <w:sz w:val="28"/>
          <w:sz w:val="28"/>
          <w:szCs w:val="28"/>
          <w:rtl w:val="true"/>
          <w:lang w:bidi="fa-IR"/>
        </w:rPr>
        <w:t>التی لم یستفصل فی جوابها بین تصرّف المشتری فی العبد المتوفّی فی زمان الخیار و عدمه،و إنّما أُنیط سقوط الخیار فیها بالرضا الفعلی،و مثل الخبر المصحّح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اشتری شاةً فأمسکها ثلاثة أیّامٍ ثمّ ردّها؟قال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تلک الثلاثة أیّام شرب لبنها یردّ معها ثلاثة أمداد،و إن لم یکن لها لبنٌ فلیس علیه شیءٌ</w:t>
      </w:r>
      <w:r>
        <w:rPr>
          <w:rFonts w:eastAsia="IRNazanin" w:cs="IRNazanin"/>
          <w:color w:val="111111"/>
          <w:sz w:val="28"/>
          <w:szCs w:val="28"/>
          <w:rtl w:val="true"/>
          <w:lang w:bidi="fa-IR"/>
        </w:rPr>
        <w:t xml:space="preserve">» </w:t>
      </w:r>
      <w:r>
        <w:rPr>
          <w:rStyle w:val="FootnoteAnchor"/>
          <w:rtl w:val="true"/>
        </w:rPr>
        <w:footnoteReference w:id="3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نحوه الآخر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فیهما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ثلاثة أمداد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محمولٌ علی الاستحباب؛مع أنّ ترک العمل به لا یوجب ردّ الروایة،فتأمّل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أفتی بذلک فی المبسوط فیما لو باع شاةً غیر مصرّاةٍ و حلبها أیّاماً ثمّ وجد المشتری بها عیباً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له ردّها،لأنّه تصرّفٌ بالحلب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بالجملة،فالجمع بین النصّ و الفتوی الظاهرین فی کون التصرّف</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مسقطاً لدلالته علی الرضا بلزوم العقد،و بین ما تقدّم من التصرّفات المذکورة فی کثیرٍ من الفتاوی خصوصاً ما ذکره غیر واحدٍ </w:t>
      </w:r>
      <w:r>
        <w:rPr>
          <w:rStyle w:val="FootnoteAnchor"/>
          <w:rtl w:val="true"/>
        </w:rPr>
        <w:footnoteReference w:id="386"/>
      </w:r>
      <w:r>
        <w:rPr>
          <w:rFonts w:ascii="IRNazanin" w:hAnsi="IRNazanin" w:eastAsia="IRNazanin"/>
          <w:color w:val="111111"/>
          <w:sz w:val="28"/>
          <w:sz w:val="28"/>
          <w:szCs w:val="28"/>
          <w:rtl w:val="true"/>
          <w:lang w:bidi="fa-IR"/>
        </w:rPr>
        <w:t>من الجزم بسقوط الخیار بالرکوب فی طریق الردّ،أو التردّد فیه و فی التصرّف للاستخبار مع العلم بعدم اقترانهما بالرضا بلزوم العقد فی غایة الإشکال، و اللّٰه العالم بحقیقة الحال</w:t>
      </w:r>
      <w:r>
        <w:rPr>
          <w:rFonts w:eastAsia="IRNazanin" w:cs="IRNazanin"/>
          <w:color w:val="111111"/>
          <w:sz w:val="28"/>
          <w:szCs w:val="28"/>
          <w:rtl w:val="true"/>
          <w:lang w:bidi="fa-IR"/>
        </w:rPr>
        <w:t>.</w:t>
      </w:r>
      <w:bookmarkStart w:id="216" w:name="pg19864_220737"/>
    </w:p>
    <w:p>
      <w:pPr>
        <w:pStyle w:val="Heading4"/>
        <w:numPr>
          <w:ilvl w:val="3"/>
          <w:numId w:val="1"/>
        </w:numPr>
        <w:rPr/>
      </w:pPr>
      <w:bookmarkStart w:id="217" w:name="__RefHeading___Toc5148678_2314609296"/>
      <w:bookmarkStart w:id="218" w:name="_Toc84"/>
      <w:bookmarkEnd w:id="216"/>
      <w:bookmarkEnd w:id="217"/>
      <w:r>
        <w:rPr>
          <w:rtl w:val="true"/>
        </w:rPr>
        <w:t>الثالث خیار الشرط</w:t>
      </w:r>
      <w:bookmarkEnd w:id="218"/>
    </w:p>
    <w:p>
      <w:pPr>
        <w:pStyle w:val="Heading5"/>
        <w:numPr>
          <w:ilvl w:val="4"/>
          <w:numId w:val="1"/>
        </w:numPr>
        <w:rPr/>
      </w:pPr>
      <w:bookmarkStart w:id="219" w:name="__RefHeading___Toc5148680_2314609296"/>
      <w:bookmarkStart w:id="220" w:name="_Toc85"/>
      <w:bookmarkEnd w:id="219"/>
      <w:r>
        <w:rPr>
          <w:rtl w:val="true"/>
        </w:rPr>
        <w:t>اشاره</w:t>
      </w:r>
      <w:bookmarkEnd w:id="220"/>
    </w:p>
    <w:p>
      <w:pPr>
        <w:pStyle w:val="BookText"/>
        <w:rPr/>
      </w:pPr>
      <w:r>
        <w:rPr>
          <w:rFonts w:ascii="IRNazanin" w:hAnsi="IRNazanin" w:eastAsia="IRNazanin"/>
          <w:color w:val="111111"/>
          <w:sz w:val="28"/>
          <w:sz w:val="28"/>
          <w:szCs w:val="28"/>
          <w:rtl w:val="true"/>
          <w:lang w:bidi="fa-IR"/>
        </w:rPr>
        <w:t xml:space="preserve">أعنی الثابت بسبب اشتراطه فی العقد،و لا خلاف فی صحّة هذا الشرط،و لا فی أنّه لا یتقدّر بحدٍّ عندنا،و نقلُ الإجماع علیه مستفیضٌ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الأصل فیه قبل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العامّة المسوّغة لاشتراط کلّ شرطٍ إلّا ما استثنی،و الأخبار الخاصّة الواردة فی بعض أفراد المسألة</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المستفیض الذی لا یبعد دعوی تواتره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المسلمین عند شروطهم</w:t>
      </w:r>
      <w:r>
        <w:rPr>
          <w:rFonts w:eastAsia="IRNazanin" w:cs="IRNazanin"/>
          <w:color w:val="111111"/>
          <w:sz w:val="28"/>
          <w:szCs w:val="28"/>
          <w:rtl w:val="true"/>
          <w:lang w:bidi="fa-IR"/>
        </w:rPr>
        <w:t xml:space="preserve">» </w:t>
      </w:r>
      <w:r>
        <w:rPr>
          <w:rStyle w:val="FootnoteAnchor"/>
          <w:rtl w:val="true"/>
        </w:rPr>
        <w:footnoteReference w:id="388"/>
      </w:r>
      <w:r>
        <w:rPr>
          <w:rFonts w:ascii="Amiri" w:hAnsi="Amiri" w:eastAsia="Amiri" w:cs="Amiri"/>
          <w:color w:val="111111"/>
          <w:sz w:val="28"/>
          <w:sz w:val="28"/>
          <w:szCs w:val="28"/>
          <w:rtl w:val="true"/>
          <w:lang w:bidi="ar-SA"/>
        </w:rPr>
        <w:t>و زید فی صحیحة ابن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کلّ شرطٍ خالف کتاب اللّٰه فلا یجوز</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موثّقة إسحاق بن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شرطاً حرّم حلالاً أو حلّل حراماً</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bookmarkStart w:id="221" w:name="pg19864_220738"/>
    </w:p>
    <w:p>
      <w:pPr>
        <w:pStyle w:val="BookText"/>
        <w:rPr/>
      </w:pPr>
      <w:bookmarkEnd w:id="221"/>
      <w:r>
        <w:rPr>
          <w:rFonts w:ascii="IRNazanin" w:hAnsi="IRNazanin" w:eastAsia="IRNazanin"/>
          <w:color w:val="111111"/>
          <w:sz w:val="28"/>
          <w:sz w:val="28"/>
          <w:szCs w:val="28"/>
          <w:rtl w:val="true"/>
          <w:lang w:bidi="fa-IR"/>
        </w:rPr>
        <w:t>نعم،فی صحیحةٍ أُخری لابن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اشترط شرطاً مخالفاً لکتاب اللّٰه فلا یجوز علی الذی اشترط علیه،و المسلمون عند شروطهم، فیما وافق کتاب اللّٰه</w:t>
      </w:r>
      <w:r>
        <w:rPr>
          <w:rFonts w:eastAsia="IRNazanin" w:cs="IRNazanin"/>
          <w:color w:val="111111"/>
          <w:sz w:val="28"/>
          <w:szCs w:val="28"/>
          <w:rtl w:val="true"/>
          <w:lang w:bidi="fa-IR"/>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المراد منه بقرینة المقابلة عدم المخالفة،للإجماع علی عدم اعتبار موافقة الشرط لظاهر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الکلام فی معنی هذه الأخبار و توضیح المراد من الاستثناء الوارد فیها یأتی فی باب الشرط فی ضمن العقد إن شاء اللّٰه تعالی</w:t>
      </w:r>
      <w:r>
        <w:rPr>
          <w:rFonts w:eastAsia="IRNazanin" w:cs="IRNazanin"/>
          <w:color w:val="111111"/>
          <w:sz w:val="28"/>
          <w:szCs w:val="28"/>
          <w:rtl w:val="true"/>
          <w:lang w:bidi="fa-IR"/>
        </w:rPr>
        <w:t>.</w:t>
      </w:r>
    </w:p>
    <w:p>
      <w:pPr>
        <w:pStyle w:val="Heading5"/>
        <w:numPr>
          <w:ilvl w:val="4"/>
          <w:numId w:val="1"/>
        </w:numPr>
        <w:rPr/>
      </w:pPr>
      <w:bookmarkStart w:id="222" w:name="__RefHeading___Toc5148682_2314609296"/>
      <w:bookmarkStart w:id="223" w:name="_Toc86"/>
      <w:bookmarkEnd w:id="222"/>
      <w:r>
        <w:rPr>
          <w:rtl w:val="true"/>
        </w:rPr>
        <w:t>و المقصود هنا بیان أحکام الخیار المشترط فی العقد،و هی تظهر برسم مسائل</w:t>
      </w:r>
      <w:r>
        <w:rPr>
          <w:rtl w:val="true"/>
        </w:rPr>
        <w:t>:</w:t>
      </w:r>
      <w:bookmarkEnd w:id="223"/>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24" w:name="__RefHeading___Toc5148684_2314609296"/>
      <w:bookmarkStart w:id="225" w:name="_Toc87"/>
      <w:bookmarkEnd w:id="224"/>
      <w:r>
        <w:rPr>
          <w:rtl w:val="true"/>
        </w:rPr>
        <w:t>اشاره</w:t>
      </w:r>
      <w:bookmarkStart w:id="226" w:name="pg19864_220739"/>
      <w:bookmarkEnd w:id="225"/>
    </w:p>
    <w:p>
      <w:pPr>
        <w:pStyle w:val="Heading6"/>
        <w:numPr>
          <w:ilvl w:val="5"/>
          <w:numId w:val="1"/>
        </w:numPr>
        <w:rPr/>
      </w:pPr>
      <w:bookmarkStart w:id="227" w:name="__RefHeading___Toc5148686_2314609296"/>
      <w:bookmarkStart w:id="228" w:name="_Toc88"/>
      <w:bookmarkEnd w:id="226"/>
      <w:bookmarkEnd w:id="227"/>
      <w:r>
        <w:rPr>
          <w:rtl w:val="true"/>
        </w:rPr>
        <w:t>مسألة لا فرق بین کون زمان الخیار متّصلاً بالعقد أو منفصلاً عنه؛</w:t>
      </w:r>
      <w:bookmarkEnd w:id="228"/>
    </w:p>
    <w:p>
      <w:pPr>
        <w:pStyle w:val="BookText"/>
        <w:rPr/>
      </w:pPr>
      <w:r>
        <w:rPr>
          <w:rFonts w:ascii="Amiri" w:hAnsi="Amiri" w:eastAsia="Amiri" w:cs="Amiri"/>
          <w:color w:val="111111"/>
          <w:sz w:val="28"/>
          <w:sz w:val="28"/>
          <w:szCs w:val="28"/>
          <w:rtl w:val="true"/>
          <w:lang w:bidi="ar-SA"/>
        </w:rPr>
        <w:t>لعموم أدلّة الشرط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شرط خیار الغد صحّ عندنا،خلافاً للشافعی </w:t>
      </w:r>
      <w:r>
        <w:rPr>
          <w:rStyle w:val="FootnoteAnchor"/>
          <w:rtl w:val="true"/>
        </w:rPr>
        <w:footnoteReference w:id="3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استدلّ له فی موضعٍ آخر بلزوم صیرورة العقد جائزاً بعد اللزوم </w:t>
      </w:r>
      <w:r>
        <w:rPr>
          <w:rStyle w:val="FootnoteAnchor"/>
          <w:rtl w:val="true"/>
        </w:rPr>
        <w:footnoteReference w:id="3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رُدّ بعدم المانع من ذلک؛مع أنّه کما فی التذکرة </w:t>
      </w:r>
      <w:r>
        <w:rPr>
          <w:rStyle w:val="FootnoteAnchor"/>
          <w:rtl w:val="true"/>
        </w:rPr>
        <w:footnoteReference w:id="394"/>
      </w:r>
      <w:r>
        <w:rPr>
          <w:rFonts w:ascii="IRNazanin" w:hAnsi="IRNazanin" w:eastAsia="IRNazanin"/>
          <w:color w:val="111111"/>
          <w:sz w:val="28"/>
          <w:sz w:val="28"/>
          <w:szCs w:val="28"/>
          <w:rtl w:val="true"/>
          <w:lang w:bidi="fa-IR"/>
        </w:rPr>
        <w:t>منتقضٌ بخیار التأخیر و خیار الرؤیة</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نعم،یشترط تعیین المدّة،فلو تراضیا علی مدّةٍ مجهولةٍ کقدوم الحاجّ بطل بلا خلاف،بل حکی الإجماع علیه صریحاً </w:t>
      </w:r>
      <w:r>
        <w:rPr>
          <w:rStyle w:val="FootnoteAnchor"/>
          <w:rtl w:val="true"/>
        </w:rPr>
        <w:footnoteReference w:id="395"/>
      </w:r>
      <w:r>
        <w:rPr>
          <w:rFonts w:ascii="IRNazanin" w:hAnsi="IRNazanin" w:eastAsia="IRNazanin"/>
          <w:color w:val="111111"/>
          <w:sz w:val="28"/>
          <w:sz w:val="28"/>
          <w:szCs w:val="28"/>
          <w:rtl w:val="true"/>
          <w:lang w:bidi="fa-IR"/>
        </w:rPr>
        <w:t>لصیرورة المعاملة بذلک غرریّة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عبرة بمسامحة العرف فی بعض المقامات و إقدام العقلاء علیه أحیاناً،فإنّ المستفاد من تتبّع أحکام المعاملات</w:t>
      </w:r>
    </w:p>
    <w:p>
      <w:pPr>
        <w:pStyle w:val="BookText"/>
        <w:rPr/>
      </w:pPr>
      <w:r>
        <w:rPr>
          <w:rFonts w:ascii="IRNazanin" w:hAnsi="IRNazanin" w:eastAsia="IRNazanin"/>
          <w:color w:val="111111"/>
          <w:sz w:val="28"/>
          <w:sz w:val="28"/>
          <w:szCs w:val="28"/>
          <w:rtl w:val="true"/>
          <w:lang w:bidi="fa-IR"/>
        </w:rPr>
        <w:t>عدم رضا الشارع بذلک؛إذ کثیراً ما یتّفق التشاحّ فی مثل الساعة و الساعتین من زمان الخیار فضلاً عن الیوم و الیومین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بالجملة،فالغرر لا ینتفی بمسامحة الناس فی غیر زمان الحاجة إلی المداقّة،و إلّا لم یکن بیع الجزاف و ما تعذّر تسلیمه و الثمن المحتمل للتفاوت القلیل و غیر ذلک من الجهالات غرراً؛لتسامح الناس فی غیر مقام الحاجة إلی المداقّة فی أکثر الجهالات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هذا مراد بعض الأساطین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دائرة الغرر فی الشرع أضیق من دائرته </w:t>
      </w:r>
      <w:r>
        <w:rPr>
          <w:rStyle w:val="FootnoteAnchor"/>
          <w:rtl w:val="true"/>
        </w:rPr>
        <w:footnoteReference w:id="396"/>
      </w:r>
      <w:r>
        <w:rPr>
          <w:rFonts w:ascii="IRNazanin" w:hAnsi="IRNazanin" w:eastAsia="IRNazanin"/>
          <w:color w:val="111111"/>
          <w:sz w:val="28"/>
          <w:sz w:val="28"/>
          <w:szCs w:val="28"/>
          <w:rtl w:val="true"/>
          <w:lang w:bidi="fa-IR"/>
        </w:rPr>
        <w:t>فی العرف</w:t>
      </w:r>
      <w:r>
        <w:rPr>
          <w:rFonts w:eastAsia="IRNazanin" w:cs="IRNazanin"/>
          <w:color w:val="111111"/>
          <w:sz w:val="28"/>
          <w:szCs w:val="28"/>
          <w:rtl w:val="true"/>
          <w:lang w:bidi="fa-IR"/>
        </w:rPr>
        <w:t xml:space="preserve">» </w:t>
      </w:r>
      <w:r>
        <w:rPr>
          <w:rStyle w:val="FootnoteAnchor"/>
          <w:rtl w:val="true"/>
        </w:rPr>
        <w:footnoteReference w:id="397"/>
      </w:r>
      <w:r>
        <w:rPr>
          <w:rFonts w:ascii="IRNazanin" w:hAnsi="IRNazanin" w:eastAsia="IRNazanin"/>
          <w:color w:val="111111"/>
          <w:sz w:val="28"/>
          <w:sz w:val="28"/>
          <w:szCs w:val="28"/>
          <w:rtl w:val="true"/>
          <w:lang w:bidi="fa-IR"/>
        </w:rPr>
        <w:t>و إلّا فالغرر لفظٌ لا یرجع فی معناه إلّا إلی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الجهالة التی لا یرجع الأمر معها غالباً إلی التشاحّ بحیث یکون النادر کالمعدوم لا تعدّ غرراً،کتفاوت المکاییل و الموازین</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یشیر إلی ما ذکرنا الأخبار الدالّة علی اعتبار کون السلَم إلی أجلٍ معلوم </w:t>
      </w:r>
      <w:r>
        <w:rPr>
          <w:rStyle w:val="FootnoteAnchor"/>
          <w:rtl w:val="true"/>
        </w:rPr>
        <w:footnoteReference w:id="398"/>
      </w:r>
      <w:r>
        <w:rPr>
          <w:rFonts w:ascii="IRNazanin" w:hAnsi="IRNazanin" w:eastAsia="IRNazanin"/>
          <w:color w:val="111111"/>
          <w:sz w:val="28"/>
          <w:sz w:val="28"/>
          <w:szCs w:val="28"/>
          <w:rtl w:val="true"/>
          <w:lang w:bidi="fa-IR"/>
        </w:rPr>
        <w:t>،و خصوص موثّقة غیاث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بالسلَم فی کیلٍ معلومٍ إلی أجلٍ معلومٍ،لا یسلم إلی دیاس أو إلی حصاد</w:t>
      </w:r>
      <w:r>
        <w:rPr>
          <w:rFonts w:eastAsia="IRNazanin" w:cs="IRNazanin"/>
          <w:color w:val="111111"/>
          <w:sz w:val="28"/>
          <w:szCs w:val="28"/>
          <w:rtl w:val="true"/>
          <w:lang w:bidi="fa-IR"/>
        </w:rPr>
        <w:t xml:space="preserve">» </w:t>
      </w:r>
      <w:r>
        <w:rPr>
          <w:rStyle w:val="FootnoteAnchor"/>
          <w:rtl w:val="true"/>
        </w:rPr>
        <w:footnoteReference w:id="399"/>
      </w:r>
      <w:r>
        <w:rPr>
          <w:rFonts w:ascii="IRNazanin" w:hAnsi="IRNazanin" w:eastAsia="IRNazanin"/>
          <w:color w:val="111111"/>
          <w:sz w:val="28"/>
          <w:sz w:val="28"/>
          <w:szCs w:val="28"/>
          <w:rtl w:val="true"/>
          <w:lang w:bidi="fa-IR"/>
        </w:rPr>
        <w:t>مع أنّ التأجیل إلی الدیاس و الحصاد و شبههما فوق حدّ الإحصاء بین العقلاء الجاهلین بالشرع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یستدلّ </w:t>
      </w:r>
      <w:r>
        <w:rPr>
          <w:rStyle w:val="FootnoteAnchor"/>
          <w:rtl w:val="true"/>
        </w:rPr>
        <w:footnoteReference w:id="400"/>
      </w:r>
      <w:r>
        <w:rPr>
          <w:rFonts w:ascii="Amiri" w:hAnsi="Amiri" w:eastAsia="Amiri" w:cs="Amiri"/>
          <w:color w:val="111111"/>
          <w:sz w:val="28"/>
          <w:sz w:val="28"/>
          <w:szCs w:val="28"/>
          <w:rtl w:val="true"/>
          <w:lang w:bidi="ar-SA"/>
        </w:rPr>
        <w:t>علی ذلک بأنّ اشتراط المدّة المجهولة مخالفٌ للکتاب و السنّة؛لأنّه غررٌ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کون البیع بواسطة الشرط مخالفاً للکتاب و السنّة غیر کون نفس الشرط مخالفاً للکتاب و السنّة،ففی الثانی یفسد الشرط و یتبعه البیع،و فی الأوّل یفسد البیع فیلغو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یراد أنّ نفس الالتزام بخیارٍ فی مدّةٍ مجهولةٍ غررٌ و إن لم یکن بیعاً،فیشمله دلیل نفی الغرر،فیکون مخالفاً للکتاب و السنّة</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لا یخفی سرایة الغرر إلی البیع،فیکون الاستناد فی فساده إلی فساد شرطه المخالف للکتاب کالأکل من القفا</w:t>
      </w:r>
      <w:r>
        <w:rPr>
          <w:rFonts w:eastAsia="IRNazanin" w:cs="IRNazanin"/>
          <w:color w:val="111111"/>
          <w:sz w:val="28"/>
          <w:szCs w:val="28"/>
          <w:rtl w:val="true"/>
          <w:lang w:bidi="fa-IR"/>
        </w:rPr>
        <w:t>.</w:t>
      </w:r>
      <w:bookmarkStart w:id="229" w:name="pg19864_220742"/>
    </w:p>
    <w:p>
      <w:pPr>
        <w:pStyle w:val="Heading6"/>
        <w:numPr>
          <w:ilvl w:val="5"/>
          <w:numId w:val="1"/>
        </w:numPr>
        <w:rPr/>
      </w:pPr>
      <w:bookmarkStart w:id="230" w:name="__RefHeading___Toc5148688_2314609296"/>
      <w:bookmarkStart w:id="231" w:name="_Toc89"/>
      <w:bookmarkEnd w:id="229"/>
      <w:bookmarkEnd w:id="230"/>
      <w:r>
        <w:rPr>
          <w:rtl w:val="true"/>
        </w:rPr>
        <w:t>مسألة لا فرق فی بطلان العقد بین ذکر المدّة المجهولة کقدوم الحاجّ،و بین عدم ذکر المدّة أصلاً،</w:t>
      </w:r>
      <w:bookmarkEnd w:id="231"/>
    </w:p>
    <w:p>
      <w:pPr>
        <w:pStyle w:val="BookText"/>
        <w:rPr/>
      </w:pPr>
      <w:r>
        <w:rPr>
          <w:rFonts w:ascii="IRNazanin" w:hAnsi="IRNazanin" w:eastAsia="IRNazanin"/>
          <w:color w:val="111111"/>
          <w:sz w:val="28"/>
          <w:sz w:val="28"/>
          <w:szCs w:val="28"/>
          <w:rtl w:val="true"/>
          <w:lang w:bidi="fa-IR"/>
        </w:rPr>
        <w:t>کأن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علی أن یکون لی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بین ذکر المدّة المطلقة،کأن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علی أن یکون لی الخیار 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؛لاستواء الکلّ فی الغرر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خلافاً للمحکیّ </w:t>
      </w:r>
      <w:r>
        <w:rPr>
          <w:rStyle w:val="FootnoteAnchor"/>
          <w:rtl w:val="true"/>
        </w:rPr>
        <w:footnoteReference w:id="401"/>
      </w:r>
      <w:r>
        <w:rPr>
          <w:rFonts w:ascii="IRNazanin" w:hAnsi="IRNazanin" w:eastAsia="IRNazanin"/>
          <w:color w:val="111111"/>
          <w:sz w:val="28"/>
          <w:sz w:val="28"/>
          <w:szCs w:val="28"/>
          <w:rtl w:val="true"/>
          <w:lang w:bidi="fa-IR"/>
        </w:rPr>
        <w:t xml:space="preserve">عن المقنعة و الانتصار و الخلاف و الجواهر و الغنیة و الحلبی،فجعلوا مدّة الخیار فی الصورة الاُولی </w:t>
      </w:r>
      <w:r>
        <w:rPr>
          <w:rStyle w:val="FootnoteAnchor"/>
          <w:rtl w:val="true"/>
        </w:rPr>
        <w:footnoteReference w:id="402"/>
      </w:r>
      <w:r>
        <w:rPr>
          <w:rFonts w:ascii="Amiri" w:hAnsi="Amiri" w:eastAsia="Amiri" w:cs="Amiri"/>
          <w:color w:val="111111"/>
          <w:sz w:val="28"/>
          <w:sz w:val="28"/>
          <w:szCs w:val="28"/>
          <w:rtl w:val="true"/>
          <w:lang w:bidi="ar-SA"/>
        </w:rPr>
        <w:t>ثلاثة أیّام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حمل الثانیة علیها،و عن الانتصار و الغنیة و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الإجماع علیه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محکیّ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أخبار الفرقة به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شکّ أنّ هذه الحکایة بمنزلة إرسال أخبارٍ،فیکفی فی انجبارها الإجماعات المنقولة؛و لذا مال إلیه فی محکیّ الدروس </w:t>
      </w:r>
      <w:r>
        <w:rPr>
          <w:rStyle w:val="FootnoteAnchor"/>
          <w:rtl w:val="true"/>
        </w:rPr>
        <w:footnoteReference w:id="4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لکن العلّامة فی التذکرة لم یحکِ هذا القول إلّا عن الشیخ قدّس سرّه و أوَّلَه بإرادة خیار الحیوان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العلّامة الطباطبائی فی مصابیحه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الجزم به </w:t>
      </w:r>
      <w:r>
        <w:rPr>
          <w:rStyle w:val="FootnoteAnchor"/>
          <w:rtl w:val="true"/>
        </w:rPr>
        <w:footnoteReference w:id="407"/>
      </w:r>
      <w:r>
        <w:rPr>
          <w:rFonts w:ascii="IRNazanin" w:hAnsi="IRNazanin" w:eastAsia="IRNazanin"/>
          <w:color w:val="111111"/>
          <w:sz w:val="28"/>
          <w:sz w:val="28"/>
          <w:szCs w:val="28"/>
          <w:rtl w:val="true"/>
          <w:lang w:bidi="fa-IR"/>
        </w:rPr>
        <w:t xml:space="preserve">،و قوّاه بعض المعاصرین </w:t>
      </w:r>
      <w:r>
        <w:rPr>
          <w:rStyle w:val="FootnoteAnchor"/>
          <w:rtl w:val="true"/>
        </w:rPr>
        <w:footnoteReference w:id="408"/>
      </w:r>
      <w:r>
        <w:rPr>
          <w:rFonts w:ascii="IRNazanin" w:hAnsi="IRNazanin" w:eastAsia="IRNazanin"/>
          <w:color w:val="111111"/>
          <w:sz w:val="28"/>
          <w:sz w:val="28"/>
          <w:szCs w:val="28"/>
          <w:rtl w:val="true"/>
          <w:lang w:bidi="fa-IR"/>
        </w:rPr>
        <w:t>منتصراً لهم بما فی مفتاح الکرامة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لیس فی الأدلّة ما یخالفه،إذ الغرر مندفعٌ بتحدید الشرع و إن لم یعلم به المتعاقدان کخیار الحیوان الذی لا إشکال فی صحّة العقد مع الجهل به أو بمدّته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زاد فی مفتاح الکرامة </w:t>
      </w:r>
      <w:r>
        <w:rPr>
          <w:rStyle w:val="FootnoteAnchor"/>
          <w:rtl w:val="true"/>
        </w:rPr>
        <w:footnoteReference w:id="4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الجهل یؤول إلی العلم الحاصل من الشرع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تقدّم فی مسألة تعذّر التسلیم </w:t>
      </w:r>
      <w:r>
        <w:rPr>
          <w:rStyle w:val="FootnoteAnchor"/>
          <w:rtl w:val="true"/>
        </w:rPr>
        <w:footnoteReference w:id="4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بیع الغرر</w:t>
      </w:r>
    </w:p>
    <w:p>
      <w:pPr>
        <w:pStyle w:val="BookText"/>
        <w:rPr/>
      </w:pPr>
      <w:r>
        <w:rPr>
          <w:rFonts w:ascii="IRNazanin" w:hAnsi="IRNazanin" w:eastAsia="IRNazanin"/>
          <w:color w:val="111111"/>
          <w:sz w:val="28"/>
          <w:sz w:val="28"/>
          <w:szCs w:val="28"/>
          <w:rtl w:val="true"/>
          <w:lang w:bidi="fa-IR"/>
        </w:rPr>
        <w:t xml:space="preserve">موضوعٌ عرفیٌّ حکم فیه الشارع بالفساد،و التحدید بالثلاثة تعبّدٌ شرعیٌّ لم یقصده المتعاقدان،فإن ثبت بالدلیل کان مخصّصاً لعموم نفی الغرر و کان التحدید تعبّدیاً،نظیر التحدید الوارد فی بعض الوصایا المبهمة </w:t>
      </w:r>
      <w:r>
        <w:rPr>
          <w:rStyle w:val="FootnoteAnchor"/>
          <w:rtl w:val="true"/>
        </w:rPr>
        <w:footnoteReference w:id="412"/>
      </w:r>
      <w:r>
        <w:rPr>
          <w:rFonts w:ascii="Amiri" w:hAnsi="Amiri" w:eastAsia="Amiri" w:cs="Amiri"/>
          <w:color w:val="111111"/>
          <w:sz w:val="28"/>
          <w:sz w:val="28"/>
          <w:szCs w:val="28"/>
          <w:rtl w:val="true"/>
          <w:lang w:bidi="ar-SA"/>
        </w:rPr>
        <w:t>، أو یکون حکماً شرعیّاً ثبت فی موضوعٍ خاصّ،و هو إهمال مدّة الخیار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الدعوی فی تخصیص أدلّة نفی الغرر لا فی تخصّصها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ذکرنا من حکایة الأخبار و نقل الإجماع لا ینهض لتخصیص قاعدة الغرر؛لأنّ الظاهر بقرینة عدم تعرّض الشیخ لذکر شیءٍ من هذه الأخبار فی کتابیه الموضوعین لإیداع الأخبار أنّه عوّل فی هذه الدعوی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Style w:val="FootnoteAnchor"/>
          <w:rtl w:val="true"/>
        </w:rPr>
        <w:footnoteReference w:id="4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اجتهاده فی دلالة الأخبار الواردة فی شرط الحیوان </w:t>
      </w:r>
      <w:r>
        <w:rPr>
          <w:rStyle w:val="FootnoteAnchor"/>
          <w:rtl w:val="true"/>
        </w:rPr>
        <w:footnoteReference w:id="4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أنّ الإجماعات المحکیّة إنّما تجبر قصور السند المرسل المتّضح دلالته أو القاصر دلالته،لا المرسل المجهول العین المحتمل لعدم الدلالة رأساً،فالتعویل حینئذٍ علی نفس الجابر و لا حاجة إلی ضمّ المنجبر،إذ نعلم إجمالاً أنّ المجمعین اعتمدوا علی دلالاتٍ اجتهادیّةٍ استنبطوها من الأخبار؛و لا ریب أنّ المستند غالباً فی إجماعات القاضی و ابن زهرة إجماع السیّد فی الانتصار</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نعم،قد روی فی کتب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حنّان بن منقذ کان یُخدَع فی البیع لشجّةٍ أصابته فی رأسه،فقال له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بعت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خلابة</w:t>
      </w:r>
      <w:r>
        <w:rPr>
          <w:rFonts w:eastAsia="Amiri" w:cs="Amiri" w:ascii="Amiri" w:hAnsi="Amiri"/>
          <w:color w:val="111111"/>
          <w:sz w:val="28"/>
          <w:szCs w:val="28"/>
          <w:rtl w:val="true"/>
          <w:lang w:bidi="ar-SA"/>
        </w:rPr>
        <w:t xml:space="preserve">» </w:t>
      </w:r>
      <w:r>
        <w:rPr>
          <w:rStyle w:val="FootnoteAnchor"/>
          <w:rtl w:val="true"/>
        </w:rPr>
        <w:footnoteReference w:id="415"/>
      </w:r>
      <w:r>
        <w:rPr>
          <w:rFonts w:ascii="IRNazanin" w:hAnsi="IRNazanin" w:eastAsia="IRNazanin"/>
          <w:color w:val="111111"/>
          <w:sz w:val="28"/>
          <w:sz w:val="28"/>
          <w:szCs w:val="28"/>
          <w:rtl w:val="true"/>
          <w:lang w:bidi="fa-IR"/>
        </w:rPr>
        <w:t>و جعل له الخیار ثلاثاً،و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 الخیار ثلاثاً</w:t>
      </w:r>
      <w:r>
        <w:rPr>
          <w:rFonts w:eastAsia="IRNazanin" w:cs="IRNazanin"/>
          <w:color w:val="111111"/>
          <w:sz w:val="28"/>
          <w:szCs w:val="28"/>
          <w:rtl w:val="true"/>
          <w:lang w:bidi="fa-IR"/>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الخلابة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الخدیعة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دلالته فضلاً عن سنده 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جبرهما </w:t>
      </w:r>
      <w:r>
        <w:rPr>
          <w:rStyle w:val="FootnoteAnchor"/>
          <w:rtl w:val="true"/>
        </w:rPr>
        <w:footnoteReference w:id="417"/>
      </w:r>
      <w:r>
        <w:rPr>
          <w:rFonts w:ascii="IRNazanin" w:hAnsi="IRNazanin" w:eastAsia="IRNazanin"/>
          <w:color w:val="111111"/>
          <w:sz w:val="28"/>
          <w:sz w:val="28"/>
          <w:szCs w:val="28"/>
          <w:rtl w:val="true"/>
          <w:lang w:bidi="fa-IR"/>
        </w:rPr>
        <w:t>بالإجماعات 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التعویل علیها مع ذهاب المتأخّرین إلی خلافها </w:t>
      </w:r>
      <w:r>
        <w:rPr>
          <w:rStyle w:val="FootnoteAnchor"/>
          <w:rtl w:val="true"/>
        </w:rPr>
        <w:footnoteReference w:id="418"/>
      </w:r>
      <w:r>
        <w:rPr>
          <w:rFonts w:ascii="IRNazanin" w:hAnsi="IRNazanin" w:eastAsia="IRNazanin"/>
          <w:color w:val="111111"/>
          <w:sz w:val="28"/>
          <w:sz w:val="28"/>
          <w:szCs w:val="28"/>
          <w:rtl w:val="true"/>
          <w:lang w:bidi="fa-IR"/>
        </w:rPr>
        <w:t>فی الخروج عن قاعدة الغرر مشکلٌ،بل غیر صحیحٍ،فالقول بالبطلان لا یخلو عن قوّة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إنّه ربما یقال </w:t>
      </w:r>
      <w:r>
        <w:rPr>
          <w:rStyle w:val="FootnoteAnchor"/>
          <w:rtl w:val="true"/>
        </w:rPr>
        <w:footnoteReference w:id="419"/>
      </w:r>
      <w:r>
        <w:rPr>
          <w:rFonts w:ascii="IRNazanin" w:hAnsi="IRNazanin" w:eastAsia="IRNazanin"/>
          <w:color w:val="111111"/>
          <w:sz w:val="28"/>
          <w:sz w:val="28"/>
          <w:szCs w:val="28"/>
          <w:rtl w:val="true"/>
          <w:lang w:bidi="fa-IR"/>
        </w:rPr>
        <w:t>ببطلان الشرط دون العقد،و لعلّه مبنیٌّ علی أنّ فساد الشرط لا یوجب فساد العقد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علی القول به فیما إذا لم یوجب الشرط فساداً فی أصل البیع کما فیما نحن فیه؛حیث إنّ جهالة الشرط یوجب کون البیع غرریّاً،و إلّا فالمتّجه فساد البیع و لو لم نقل بسرایة الفساد من الشرط إلی المشروط،و سیجیء تمام الکلام فی مسألة الشروط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bookmarkStart w:id="232" w:name="pg19864_220746"/>
    </w:p>
    <w:p>
      <w:pPr>
        <w:pStyle w:val="Heading6"/>
        <w:numPr>
          <w:ilvl w:val="5"/>
          <w:numId w:val="1"/>
        </w:numPr>
        <w:rPr/>
      </w:pPr>
      <w:bookmarkStart w:id="233" w:name="__RefHeading___Toc5148690_2314609296"/>
      <w:bookmarkStart w:id="234" w:name="_Toc90"/>
      <w:bookmarkEnd w:id="232"/>
      <w:bookmarkEnd w:id="233"/>
      <w:r>
        <w:rPr>
          <w:rtl w:val="true"/>
        </w:rPr>
        <w:t>مسألة مبدأ هذا الخیار عند الإطلاق</w:t>
      </w:r>
      <w:bookmarkEnd w:id="234"/>
    </w:p>
    <w:p>
      <w:pPr>
        <w:pStyle w:val="BookText"/>
        <w:rPr/>
      </w:pPr>
      <w:r>
        <w:rPr>
          <w:rFonts w:ascii="IRNazanin" w:hAnsi="IRNazanin" w:eastAsia="IRNazanin"/>
          <w:color w:val="111111"/>
          <w:sz w:val="28"/>
          <w:sz w:val="28"/>
          <w:szCs w:val="28"/>
          <w:rtl w:val="true"/>
          <w:lang w:bidi="fa-IR"/>
        </w:rPr>
        <w:t xml:space="preserve">مسألة مبدأ هذا الخیار عند الإطلاق </w:t>
      </w:r>
      <w:r>
        <w:rPr>
          <w:rStyle w:val="FootnoteAnchor"/>
          <w:rtl w:val="true"/>
        </w:rPr>
        <w:footnoteReference w:id="421"/>
      </w:r>
      <w:r>
        <w:rPr>
          <w:rFonts w:ascii="IRNazanin" w:hAnsi="IRNazanin" w:eastAsia="IRNazanin"/>
          <w:color w:val="111111"/>
          <w:sz w:val="28"/>
          <w:sz w:val="28"/>
          <w:szCs w:val="28"/>
          <w:rtl w:val="true"/>
          <w:lang w:bidi="fa-IR"/>
        </w:rPr>
        <w:t>من حین العقد؛</w:t>
      </w:r>
    </w:p>
    <w:p>
      <w:pPr>
        <w:pStyle w:val="BookText"/>
        <w:rPr/>
      </w:pPr>
      <w:r>
        <w:rPr>
          <w:rFonts w:ascii="IRNazanin" w:hAnsi="IRNazanin" w:eastAsia="IRNazanin"/>
          <w:color w:val="111111"/>
          <w:sz w:val="28"/>
          <w:sz w:val="28"/>
          <w:szCs w:val="28"/>
          <w:rtl w:val="true"/>
          <w:lang w:bidi="fa-IR"/>
        </w:rPr>
        <w:t>لأنّه المتبادر من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زمان الخیار منفصلاً کان مبدؤه أوّل جزءٍ من ذلک الزمان،فلو شرط خیار الغد کان مبدؤه من طلوع فجر الغد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فیجوز جعل مبدئه من انقضاء خیار الحیوان،بناءً علی أنّ مبدأه من حین العقد،و لو جُعل مبدؤه من حین التفرّق بطل؛لأدائه إلی جهالة مدّة الخیار</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الشیخ و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مبدأه من حین التفرّق </w:t>
      </w:r>
      <w:r>
        <w:rPr>
          <w:rStyle w:val="FootnoteAnchor"/>
          <w:rtl w:val="true"/>
        </w:rPr>
        <w:footnoteReference w:id="4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عن الشیخ وجهه </w:t>
      </w:r>
      <w:r>
        <w:rPr>
          <w:rStyle w:val="FootnoteAnchor"/>
          <w:rtl w:val="true"/>
        </w:rPr>
        <w:footnoteReference w:id="423"/>
      </w:r>
      <w:r>
        <w:rPr>
          <w:rFonts w:ascii="IRNazanin" w:hAnsi="IRNazanin" w:eastAsia="IRNazanin"/>
          <w:color w:val="111111"/>
          <w:sz w:val="28"/>
          <w:sz w:val="28"/>
          <w:szCs w:val="28"/>
          <w:rtl w:val="true"/>
          <w:lang w:bidi="fa-IR"/>
        </w:rPr>
        <w:t xml:space="preserve">مع عدم تمامه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نعم،یمکن أن یقال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المتبادر من جعل الخیار جعله فی زمانٍ لو لا الخیار لزم العقد،کما أشار إلیه فی السرائر،لکن لو تمّ هذا لاقتضی کونه فی الحیوان من حین انقضاء الثلاثة،مع أنّ هذا إنّما یتمّ مع العلم بثبوت خیار المجلس،و إلّا فمع الجهل به لا یقصد إلّا الجعل من حین العقد،بل الحکم بثبوته من حین التفرّق حکمٌ علی المتعاقدین بخلاف قصدهما</w:t>
      </w:r>
      <w:r>
        <w:rPr>
          <w:rFonts w:eastAsia="IRNazanin" w:cs="IRNazanin"/>
          <w:color w:val="111111"/>
          <w:sz w:val="28"/>
          <w:szCs w:val="28"/>
          <w:rtl w:val="true"/>
          <w:lang w:bidi="fa-IR"/>
        </w:rPr>
        <w:t>.</w:t>
      </w:r>
      <w:bookmarkStart w:id="235" w:name="pg19864_220748"/>
    </w:p>
    <w:p>
      <w:pPr>
        <w:pStyle w:val="Heading6"/>
        <w:numPr>
          <w:ilvl w:val="5"/>
          <w:numId w:val="1"/>
        </w:numPr>
        <w:rPr/>
      </w:pPr>
      <w:bookmarkStart w:id="236" w:name="__RefHeading___Toc5148692_2314609296"/>
      <w:bookmarkStart w:id="237" w:name="_Toc91"/>
      <w:bookmarkEnd w:id="235"/>
      <w:bookmarkEnd w:id="236"/>
      <w:r>
        <w:rPr>
          <w:rtl w:val="true"/>
        </w:rPr>
        <w:t>مسألة یصحّ جعل الخیار لأجنبیٍّ</w:t>
      </w:r>
      <w:r>
        <w:rPr>
          <w:rtl w:val="true"/>
        </w:rPr>
        <w:t>.</w:t>
      </w:r>
      <w:bookmarkEnd w:id="237"/>
    </w:p>
    <w:p>
      <w:pPr>
        <w:pStyle w:val="BookText"/>
        <w:rPr/>
      </w:pP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باع العبد و شرط الخیار للعبد صحّ البیع و الشرط عندنا </w:t>
      </w:r>
      <w:r>
        <w:rPr>
          <w:rStyle w:val="FootnoteAnchor"/>
          <w:rtl w:val="true"/>
        </w:rPr>
        <w:footnoteReference w:id="425"/>
      </w:r>
      <w:r>
        <w:rPr>
          <w:rStyle w:val="FootnoteAnchor"/>
          <w:rtl w:val="true"/>
        </w:rPr>
        <w:footnoteReference w:id="4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حکی عنه الإجماع فی الأجنبیّ </w:t>
      </w:r>
      <w:r>
        <w:rPr>
          <w:rStyle w:val="FootnoteAnchor"/>
          <w:rtl w:val="true"/>
        </w:rPr>
        <w:footnoteReference w:id="42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العبد بمنزلة الأجنبیّ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لو جعل الخیار لمتعدّدٍ،کان کلٌّ منهم ذا خیار،فإن اختلفوا فی الفسخ و الإجازة قدّم الفاسخ؛لأنّ مرجع الإجازة إلی إسقاط خیار المجیز؛بخلاف ما لو وکّل جماعةً فی الخیار،فإنّ النافذ هو التصرّف </w:t>
      </w:r>
      <w:r>
        <w:rPr>
          <w:rStyle w:val="FootnoteAnchor"/>
          <w:rtl w:val="true"/>
        </w:rPr>
        <w:footnoteReference w:id="429"/>
      </w:r>
      <w:r>
        <w:rPr>
          <w:rFonts w:ascii="IRNazanin" w:hAnsi="IRNazanin" w:eastAsia="IRNazanin"/>
          <w:color w:val="111111"/>
          <w:sz w:val="28"/>
          <w:sz w:val="28"/>
          <w:szCs w:val="28"/>
          <w:rtl w:val="true"/>
          <w:lang w:bidi="fa-IR"/>
        </w:rPr>
        <w:t>السابق؛لفوات محلّ الوکالة بعد ذلک</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الوسیلة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کان الخیار لهما و اجتمعا علی فسخٍ أو</w:t>
      </w:r>
    </w:p>
    <w:p>
      <w:pPr>
        <w:pStyle w:val="BookText"/>
        <w:rPr/>
      </w:pPr>
      <w:r>
        <w:rPr>
          <w:rFonts w:ascii="IRNazanin" w:hAnsi="IRNazanin" w:eastAsia="IRNazanin"/>
          <w:color w:val="111111"/>
          <w:sz w:val="28"/>
          <w:sz w:val="28"/>
          <w:szCs w:val="28"/>
          <w:rtl w:val="true"/>
          <w:lang w:bidi="fa-IR"/>
        </w:rPr>
        <w:t>إمضاءٍ نفذ،و إن لم یجتمعا بطل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لغیرهما و رضی نفذ البیع،و إن لم یرض کان المبتاع بالخیار بین الفسخ و الإمضاء </w:t>
      </w:r>
      <w:r>
        <w:rPr>
          <w:rStyle w:val="FootnoteAnchor"/>
          <w:rtl w:val="true"/>
        </w:rPr>
        <w:footnoteReference w:id="43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یجوز اشتراطه لأجنبیٍّ منفرداً و لا اعتراض علیه، و معهما أو مع أحدهما،و لو خولف أمکن اعتبار فعله،و إلّا لم یکن لذکره فائدةٌ </w:t>
      </w:r>
      <w:r>
        <w:rPr>
          <w:rStyle w:val="FootnoteAnchor"/>
          <w:rtl w:val="true"/>
        </w:rPr>
        <w:footnoteReference w:id="43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Style w:val="FootnoteAnchor"/>
          <w:rtl w:val="true"/>
        </w:rPr>
        <w:footnoteReference w:id="4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یمض فسخ الأجنبیّ مع إجازته و المفروض عدم مضیّ إجازته مع فسخه،لم یکن لذکر الأجنبیّ فائدة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ذکر غیر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الأجنبیّ یراعی المصلحة للجاعل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لعلّه لتبادره من الإطلاق،و إلّا فمقتضی التحکیم نفوذ حکمه علی الجاعل من دون ملاحظة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مصلحة </w:t>
      </w:r>
      <w:r>
        <w:rPr>
          <w:rStyle w:val="FootnoteAnchor"/>
          <w:rtl w:val="true"/>
        </w:rPr>
        <w:footnoteReference w:id="4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،فتعلیل وجوب مراعاة الأصلح بکونه أمیناً لا یخلو عن نظر</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ربما یتخیّل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اشتراط الخیار للأجنبیّ مخالفٌ للمشروع، نظراً إلی أنّ الثابت فی الشرع صحّة الفسخ بالتفاسخ،أو بدخول الخیار بالأصل کخیاری المجلس و الشرط،أو بالعارض کخیار الفسخ بردّ الثمن لنفس المتعاقدین</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ضعیفٌ بمنع </w:t>
      </w:r>
      <w:r>
        <w:rPr>
          <w:rStyle w:val="FootnoteAnchor"/>
          <w:rtl w:val="true"/>
        </w:rPr>
        <w:footnoteReference w:id="435"/>
      </w:r>
      <w:r>
        <w:rPr>
          <w:rFonts w:ascii="IRNazanin" w:hAnsi="IRNazanin" w:eastAsia="IRNazanin"/>
          <w:color w:val="111111"/>
          <w:sz w:val="28"/>
          <w:sz w:val="28"/>
          <w:szCs w:val="28"/>
          <w:rtl w:val="true"/>
          <w:lang w:bidi="fa-IR"/>
        </w:rPr>
        <w:t xml:space="preserve">اعتبار کون الفسخ من أحد المتعاقدین شرعاً و لا عقلاً،بل المعتبر فیه تعلّق حقّ الفاسخ بالعقد أو بالعین و إن کان أجنبیّا؛فحینئذٍ یجوز للمتبایعین اشتراط حقٍّ للأجنبیّ فی العقد؛و سیجیء نظیره فی إرث الزوجة للخیار مع عدم إرثها من العین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bookmarkStart w:id="238" w:name="pg19864_220751"/>
    </w:p>
    <w:p>
      <w:pPr>
        <w:pStyle w:val="Heading6"/>
        <w:numPr>
          <w:ilvl w:val="5"/>
          <w:numId w:val="1"/>
        </w:numPr>
        <w:rPr/>
      </w:pPr>
      <w:bookmarkStart w:id="239" w:name="__RefHeading___Toc5148694_2314609296"/>
      <w:bookmarkStart w:id="240" w:name="_Toc92"/>
      <w:bookmarkEnd w:id="238"/>
      <w:bookmarkEnd w:id="239"/>
      <w:r>
        <w:rPr>
          <w:rtl w:val="true"/>
        </w:rPr>
        <w:t>مسألة یجوز لهما اشتراط الاستئمار،</w:t>
      </w:r>
      <w:bookmarkEnd w:id="240"/>
    </w:p>
    <w:p>
      <w:pPr>
        <w:pStyle w:val="BookText"/>
        <w:rPr/>
      </w:pPr>
      <w:r>
        <w:rPr>
          <w:rFonts w:ascii="IRNazanin" w:hAnsi="IRNazanin" w:eastAsia="IRNazanin"/>
          <w:color w:val="111111"/>
          <w:sz w:val="28"/>
          <w:sz w:val="28"/>
          <w:szCs w:val="28"/>
          <w:rtl w:val="true"/>
          <w:lang w:bidi="fa-IR"/>
        </w:rPr>
        <w:t>بأن یستأمر المشروط علیه الأجنبی فی أمر العقد فیأتمر بأمره،أو بأن یأتمره إذا أمره 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فسخ المشروط علیه من دون استئمارٍ لم ینفذ</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استأمره،فإن أمره بالإجازة لم یکن له الفسخ قطعاً،إذ الغرض من الشرط لیس مجرّد الاستئمار،بل الالتزام بأمره؛مع أنّه لو کان الغرض مجرّد ذلک لم یوجب ذلک أیضاً ملک الفسخ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أمره بالفسخ لم یجب علیه الفسخ،بل غایة الأمر ملک الفسخ حینئذٍ،إذ لا معنی لوجوب الفسخ علیه،أمّا مع عدم رضا الآخر بالفسخ فواضحٌ،إذ المفروض أنّ الثالث لا سلطنة له علی الفسخ و المتعاقدان لا یریدانه، و أمّا مع طلب الآخر للفسخ فلأنّ وجوب الفسخ حینئذٍ علی المستأمر بالکسر راجعٌ إلی حقٍّ لصاحبه علیه،فإن اقتضی اشتراط الاستئمار ذلک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صاحبه </w:t>
      </w:r>
      <w:r>
        <w:rPr>
          <w:rStyle w:val="FootnoteAnchor"/>
          <w:rtl w:val="true"/>
        </w:rPr>
        <w:footnoteReference w:id="4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عرفاً،فمعناه سلطنة صاحبه علی الفسخ، فیرجع اشتراط الاستئمار إلی شرطٍ لکلٍّ منهما علی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اشتراط الاستئمار من واحدٍ منهما علی صاحبه إنّما یقتضی ملکه للفسخ إذا أذن له الثالث المستأمر،و اشتراطه لکلٍّ منهما علی صاحبه یقتضی ملک کلِّ واحدٍ منهما للفسخ عند الإذن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یتّضح حکم الشقّ الثانی،و هو الائتمار بأمره الابتدائی، فإنّه إن کان شرطاً لأحدهما ملک الفسخ لو أمره به،و إن کان لکلٍّ منهما ملکا کذلک</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فی اعتبار مراعاة المستأمر للمصلحة و عدمه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أوجههما </w:t>
      </w:r>
      <w:r>
        <w:rPr>
          <w:rStyle w:val="FootnoteAnchor"/>
          <w:rtl w:val="true"/>
        </w:rPr>
        <w:footnoteReference w:id="4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العدم إن لم یستفد الاعتبار من إطلاق العقد بقرینةٍ حالیّةٍ أو مقالیّةٍ</w:t>
      </w:r>
      <w:r>
        <w:rPr>
          <w:rFonts w:eastAsia="IRNazanin" w:cs="IRNazanin"/>
          <w:color w:val="111111"/>
          <w:sz w:val="28"/>
          <w:szCs w:val="28"/>
          <w:rtl w:val="true"/>
          <w:lang w:bidi="fa-IR"/>
        </w:rPr>
        <w:t>.</w:t>
      </w:r>
      <w:bookmarkStart w:id="241" w:name="pg19864_220753"/>
    </w:p>
    <w:p>
      <w:pPr>
        <w:pStyle w:val="Heading6"/>
        <w:numPr>
          <w:ilvl w:val="5"/>
          <w:numId w:val="1"/>
        </w:numPr>
        <w:rPr/>
      </w:pPr>
      <w:bookmarkStart w:id="242" w:name="__RefHeading___Toc5148696_2314609296"/>
      <w:bookmarkStart w:id="243" w:name="_Toc93"/>
      <w:bookmarkEnd w:id="241"/>
      <w:bookmarkEnd w:id="242"/>
      <w:r>
        <w:rPr>
          <w:rtl w:val="true"/>
        </w:rPr>
        <w:t>مسألة من أفراد خیار الشرط</w:t>
      </w:r>
      <w:r>
        <w:rPr>
          <w:rtl w:val="true"/>
        </w:rPr>
        <w:t>:</w:t>
      </w:r>
      <w:r>
        <w:rPr>
          <w:rtl w:val="true"/>
        </w:rPr>
        <w:t>ما یضاف البیع إلیه،و یقال له</w:t>
      </w:r>
      <w:r>
        <w:rPr>
          <w:rtl w:val="true"/>
        </w:rPr>
        <w:t>:«</w:t>
      </w:r>
      <w:r>
        <w:rPr>
          <w:rtl w:val="true"/>
        </w:rPr>
        <w:t>بیع الخیار</w:t>
      </w:r>
      <w:r>
        <w:rPr>
          <w:rtl w:val="true"/>
        </w:rPr>
        <w:t>»</w:t>
      </w:r>
      <w:r>
        <w:rPr>
          <w:rtl w:val="true"/>
        </w:rPr>
        <w:t>،</w:t>
      </w:r>
      <w:bookmarkEnd w:id="243"/>
    </w:p>
    <w:p>
      <w:pPr>
        <w:pStyle w:val="BookText"/>
        <w:rPr/>
      </w:pPr>
      <w:r>
        <w:rPr>
          <w:rFonts w:ascii="IRNazanin" w:hAnsi="IRNazanin" w:eastAsia="IRNazanin"/>
          <w:color w:val="111111"/>
          <w:sz w:val="28"/>
          <w:sz w:val="28"/>
          <w:szCs w:val="28"/>
          <w:rtl w:val="true"/>
          <w:lang w:bidi="fa-IR"/>
        </w:rPr>
        <w:t xml:space="preserve">و هو جائزٌ عندنا کما فی التذکرة </w:t>
      </w:r>
      <w:r>
        <w:rPr>
          <w:rStyle w:val="FootnoteAnchor"/>
          <w:rtl w:val="true"/>
        </w:rPr>
        <w:footnoteReference w:id="439"/>
      </w:r>
      <w:r>
        <w:rPr>
          <w:rFonts w:ascii="IRNazanin" w:hAnsi="IRNazanin" w:eastAsia="IRNazanin"/>
          <w:color w:val="111111"/>
          <w:sz w:val="28"/>
          <w:sz w:val="28"/>
          <w:szCs w:val="28"/>
          <w:rtl w:val="true"/>
          <w:lang w:bidi="fa-IR"/>
        </w:rPr>
        <w:t>،و عن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الإجماع علیه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یبیع شیئاً و یشترط الخیار لنفسه مدّةً بأن یردّ الثمن فیها و یرتجع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الأصل فیه بعد العمومات المتقدّمة فی الشرط </w:t>
      </w:r>
      <w:r>
        <w:rPr>
          <w:rStyle w:val="FootnoteAnchor"/>
          <w:rtl w:val="true"/>
        </w:rPr>
        <w:footnoteReference w:id="441"/>
      </w:r>
      <w:r>
        <w:rPr>
          <w:rFonts w:ascii="IRNazanin" w:hAnsi="IRNazanin" w:eastAsia="IRNazanin"/>
          <w:color w:val="111111"/>
          <w:sz w:val="28"/>
          <w:sz w:val="28"/>
          <w:szCs w:val="28"/>
          <w:rtl w:val="true"/>
          <w:lang w:bidi="fa-IR"/>
        </w:rPr>
        <w:t>النصوص المستفیضة</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موثّقة إسحاق بن عمّار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من یسأل أبا عبد اللّٰه علیه السلام یقول،و قد 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مسلمٌ احتاج إلی بیع داره،فمشی إلی أخیه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أبیعک داری هذه و یکون لک أحبّ إلیّ من أن یکون لغیرک،</w:t>
      </w:r>
    </w:p>
    <w:p>
      <w:pPr>
        <w:pStyle w:val="BookText"/>
        <w:rPr/>
      </w:pPr>
      <w:r>
        <w:rPr>
          <w:rFonts w:ascii="IRNazanin" w:hAnsi="IRNazanin" w:eastAsia="IRNazanin"/>
          <w:color w:val="111111"/>
          <w:sz w:val="28"/>
          <w:sz w:val="28"/>
          <w:szCs w:val="28"/>
          <w:rtl w:val="true"/>
          <w:lang w:bidi="fa-IR"/>
        </w:rPr>
        <w:t>علی أن تشترط لی أنّی إذا جئتک بثمنها إلی سنة تردّها علیَّ؟قال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بأس بهذا،إن جاء بثمنها ردّها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 لو کان للدار غلّةٌ لمن تکون؟قال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للمشتری،أ لا تری أنّها لو احترقت کانت من ماله</w:t>
      </w:r>
      <w:r>
        <w:rPr>
          <w:rFonts w:eastAsia="IRNazanin" w:cs="IRNazanin"/>
          <w:color w:val="111111"/>
          <w:sz w:val="28"/>
          <w:szCs w:val="28"/>
          <w:rtl w:val="true"/>
          <w:lang w:bidi="fa-IR"/>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معاویة بن میسرة،قال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الجارود یسأل أبا عبد اللّٰه علیه السلام عن رجلٍ باع 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Style w:val="FootnoteAnchor"/>
          <w:rtl w:val="true"/>
        </w:rPr>
        <w:footnoteReference w:id="4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رجلٍ،و کان بینه و بین الذی اشتری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Style w:val="FootnoteAnchor"/>
          <w:rtl w:val="true"/>
        </w:rPr>
        <w:footnoteReference w:id="4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 خلطةٌ،فشرط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 إن أتیتنی بمالی ما بین ثلاث سنین فالدار دارک،فأتاه بماله؟قال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شرطه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أبو الجارود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الرجل قد أصاب فی هذا المال فی ثلاث سنین؟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ماله؛و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 لو أنّ الدار احترقت من مال من کانت؟تکون الدار دار المشتری</w:t>
      </w:r>
      <w:r>
        <w:rPr>
          <w:rFonts w:eastAsia="IRNazanin" w:cs="IRNazanin"/>
          <w:color w:val="111111"/>
          <w:sz w:val="28"/>
          <w:szCs w:val="28"/>
          <w:rtl w:val="true"/>
          <w:lang w:bidi="fa-IR"/>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سعید بن یسار فی الصحیح،قال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إنّا نخالط أُناساً من أهل السواد و غیرهم فنبیعهم و نربح علیهم فی العشرة اثنی عشر و ثلاثة عشر،و نؤخّر ذلک فیما بیننا و بینهم السنة و نحوها،و یکتب لنا رجلٌ منهم علی داره أو أرضه بذلک المال الذی فیه الفضل الذی أخذ منّا شراءً بأنّه باع و قبض الثمن منه،فنعده إن هو جاء بالمال إلی وقتٍ بیننا و بینهم أن نردّ علیه الشراء،فإن جاء الوقت</w:t>
      </w:r>
      <w:bookmarkStart w:id="244" w:name="pg19864_220755"/>
    </w:p>
    <w:p>
      <w:pPr>
        <w:pStyle w:val="BookText"/>
        <w:rPr/>
      </w:pPr>
      <w:bookmarkEnd w:id="244"/>
      <w:r>
        <w:rPr>
          <w:rFonts w:ascii="IRNazanin" w:hAnsi="IRNazanin" w:eastAsia="IRNazanin"/>
          <w:color w:val="111111"/>
          <w:sz w:val="28"/>
          <w:sz w:val="28"/>
          <w:szCs w:val="28"/>
          <w:rtl w:val="true"/>
          <w:lang w:bidi="fa-IR"/>
        </w:rPr>
        <w:t>و لم یأتنا بالدراهم فهو لنا،فما تری فی هذا الشراء؟قال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أری أنّه لک إن لم یفعله،و إن جاء بالمال </w:t>
      </w:r>
      <w:r>
        <w:rPr>
          <w:rStyle w:val="FootnoteAnchor"/>
          <w:rtl w:val="true"/>
        </w:rPr>
        <w:footnoteReference w:id="446"/>
      </w:r>
      <w:r>
        <w:rPr>
          <w:rFonts w:ascii="Amiri" w:hAnsi="Amiri" w:eastAsia="Amiri" w:cs="Amiri"/>
          <w:color w:val="111111"/>
          <w:sz w:val="28"/>
          <w:sz w:val="28"/>
          <w:szCs w:val="28"/>
          <w:rtl w:val="true"/>
          <w:lang w:bidi="ar-SA"/>
        </w:rPr>
        <w:t>فرُدّ علیه</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أبی الجارود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بعت رجلاً علی شرطٍ،فإن أتاک بمالک،و إلّا فالبیع لک</w:t>
      </w:r>
      <w:r>
        <w:rPr>
          <w:rFonts w:eastAsia="IRNazanin" w:cs="IRNazanin"/>
          <w:color w:val="111111"/>
          <w:sz w:val="28"/>
          <w:szCs w:val="28"/>
          <w:rtl w:val="true"/>
          <w:lang w:bidi="fa-IR"/>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عرفت هذا</w:t>
      </w:r>
    </w:p>
    <w:p>
      <w:pPr>
        <w:pStyle w:val="Heading6"/>
        <w:numPr>
          <w:ilvl w:val="5"/>
          <w:numId w:val="1"/>
        </w:numPr>
        <w:rPr/>
      </w:pPr>
      <w:bookmarkStart w:id="245" w:name="__RefHeading___Toc5148698_2314609296"/>
      <w:bookmarkStart w:id="246" w:name="_Toc94"/>
      <w:bookmarkEnd w:id="245"/>
      <w:r>
        <w:rPr>
          <w:rtl w:val="true"/>
        </w:rPr>
        <w:t>فتوضیح المسألة یتحقّق بالکلام فی أُمور</w:t>
      </w:r>
      <w:r>
        <w:rPr>
          <w:rtl w:val="true"/>
        </w:rPr>
        <w:t>:</w:t>
      </w:r>
      <w:bookmarkEnd w:id="246"/>
    </w:p>
    <w:p>
      <w:pPr>
        <w:pStyle w:val="Heading6"/>
        <w:numPr>
          <w:ilvl w:val="5"/>
          <w:numId w:val="1"/>
        </w:numPr>
        <w:rPr/>
      </w:pPr>
      <w:bookmarkStart w:id="247" w:name="__RefHeading___Toc5148700_2314609296"/>
      <w:bookmarkStart w:id="248" w:name="_Toc95"/>
      <w:bookmarkEnd w:id="247"/>
      <w:r>
        <w:rPr>
          <w:rtl w:val="true"/>
        </w:rPr>
        <w:t>الأوّل أنّ اعتبار ردّ الثمن فی هذا الخیار یتصوّر علی وجوه</w:t>
      </w:r>
      <w:r>
        <w:rPr>
          <w:rtl w:val="true"/>
        </w:rPr>
        <w:t>:</w:t>
      </w:r>
      <w:bookmarkEnd w:id="248"/>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یؤخذ قیداً للخیار علی وجه التعلیق أو التوقیت، فلا خیار قبله،و یکون مدّة الخیار منفصلةً دائماً عن العقد و لو بقلیل، و لا خیار قبل 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بردّ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ما له دخلٌ فی القبض من طرفه و إن أبی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یؤخذ قیداً للفسخ بمعنی أنّ له الخیار فی کلّ جزءٍ من المدّة المضروبة و التسلّط علی الفسخ علی وجه مقارنته لردّ الثمن أو تأخّره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ردّ الثمن فسخاً فعلیّاً،بأن یراد منه تملیک الثمن لیتملّک منه المبیع</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حَمَل فی الریاض ظاهرَ الأخبار الدالّة علی عود المبیع</w:t>
      </w:r>
    </w:p>
    <w:p>
      <w:pPr>
        <w:pStyle w:val="BookText"/>
        <w:rPr/>
      </w:pPr>
      <w:r>
        <w:rPr>
          <w:rFonts w:ascii="Amiri" w:hAnsi="Amiri" w:eastAsia="Amiri" w:cs="Amiri"/>
          <w:color w:val="111111"/>
          <w:sz w:val="28"/>
          <w:sz w:val="28"/>
          <w:szCs w:val="28"/>
          <w:rtl w:val="true"/>
          <w:lang w:bidi="ar-SA"/>
        </w:rPr>
        <w:t xml:space="preserve">بمجرّد ردّ الثمن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یؤخذ ردّ الثمن قیداً لانفساخ العقد،فمرجع ثبوت الخیار له إلی کونه مسلّطاً علی سبب الانفساخ لا علی مباشرة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هو الظاهر من روایة معاویة بن میسرة </w:t>
      </w:r>
      <w:r>
        <w:rPr>
          <w:rStyle w:val="FootnoteAnchor"/>
          <w:rtl w:val="true"/>
        </w:rPr>
        <w:footnoteReference w:id="450"/>
      </w:r>
      <w:r>
        <w:rPr>
          <w:rFonts w:ascii="IRNazanin" w:hAnsi="IRNazanin" w:eastAsia="IRNazanin"/>
          <w:color w:val="111111"/>
          <w:sz w:val="28"/>
          <w:sz w:val="28"/>
          <w:szCs w:val="28"/>
          <w:rtl w:val="true"/>
          <w:lang w:bidi="fa-IR"/>
        </w:rPr>
        <w:t xml:space="preserve">،و یحتمل الثالث، کما هو ظاهر روایتی سعید بن یسار و موثّقة إسحاق بن عمّار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عنوان المسألة بهذا الوجه هو الظاهر من الغنیة حیث لم یذکر هذا القسم من البیع فی الخیار أصلاً،و إنّما ذکره فی أمثلة الشروط الجائزة فی متن العقد،قال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یبیع و یشترط علی المشتری إن ردّ الثمن علیه فی وقت کذا کان المبیع له </w:t>
      </w:r>
      <w:r>
        <w:rPr>
          <w:rStyle w:val="FootnoteAnchor"/>
          <w:rtl w:val="true"/>
        </w:rPr>
        <w:footnoteReference w:id="45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ردّ الثمن شرطاً لوجوب الإقالة علی المشتری، بأن یلتزم المشتری علی نفسه أن یقیله إذا جاء بالثمن و استقاله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ظاهر الوسیلة،حیث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باع شیئاً علی أن یقیله فی وقت کذا بمثل الثمن الذی باعه منه لزمته الإقالة إذا جاءه بمثل الثمن فی المدّة </w:t>
      </w:r>
      <w:r>
        <w:rPr>
          <w:rStyle w:val="FootnoteAnchor"/>
          <w:rtl w:val="true"/>
        </w:rPr>
        <w:footnoteReference w:id="45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حینئذٍ </w:t>
      </w:r>
      <w:r>
        <w:rPr>
          <w:rStyle w:val="FootnoteAnchor"/>
          <w:rtl w:val="true"/>
        </w:rPr>
        <w:footnoteReference w:id="454"/>
      </w:r>
      <w:r>
        <w:rPr>
          <w:rFonts w:ascii="IRNazanin" w:hAnsi="IRNazanin" w:eastAsia="IRNazanin"/>
          <w:color w:val="111111"/>
          <w:sz w:val="28"/>
          <w:sz w:val="28"/>
          <w:szCs w:val="28"/>
          <w:rtl w:val="true"/>
          <w:lang w:bidi="fa-IR"/>
        </w:rPr>
        <w:t>فإن أبی أجبره الحاکم أو أقال عنه،و إلّا استقلّ بالفسخ</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محتمل روایتی سعید بن یسار و إسحاق بن عمّار علی أن</w:t>
      </w:r>
      <w:bookmarkStart w:id="249" w:name="pg19864_220757"/>
    </w:p>
    <w:p>
      <w:pPr>
        <w:pStyle w:val="BookText"/>
        <w:rPr/>
      </w:pPr>
      <w:bookmarkEnd w:id="249"/>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المبیع إلی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فیهما کنایةً عن ملزومه و هی الإقالة، لا أن یکون وجوب الردّ کنایةً عن تملّک البائع للمبیع بمجرّد فسخه بعد ردّ الثمن علی ما فهمه الأصحاب </w:t>
      </w:r>
      <w:r>
        <w:rPr>
          <w:rStyle w:val="FootnoteAnchor"/>
          <w:rtl w:val="true"/>
        </w:rPr>
        <w:footnoteReference w:id="455"/>
      </w:r>
      <w:r>
        <w:rPr>
          <w:rFonts w:ascii="IRNazanin" w:hAnsi="IRNazanin" w:eastAsia="IRNazanin"/>
          <w:color w:val="111111"/>
          <w:sz w:val="28"/>
          <w:sz w:val="28"/>
          <w:szCs w:val="28"/>
          <w:rtl w:val="true"/>
          <w:lang w:bidi="fa-IR"/>
        </w:rPr>
        <w:t>،و مرجعه إلی أحد الأوّلین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الأظهر فی کثیرٍ من العبارات مثل الشرائع و القواعد و التذکرة </w:t>
      </w:r>
      <w:r>
        <w:rPr>
          <w:rStyle w:val="FootnoteAnchor"/>
          <w:rtl w:val="true"/>
        </w:rPr>
        <w:footnoteReference w:id="4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الظاهر صحّة الاشتراط بکلٍّ من الوجوه الخمسة عدا الرابع؛ فإنّ فیه إشکالاً من جهة أنّ انفساخ البیع بنفسه بدون إنشاءٍ فعلیٍّ أو قولیٍّ یشبه انعقاده بنفسه فی مخالفة المشروع من توقّف المسبَّبات علی أسبابها الشرعیّة؛و سیجیء فی باب الشروط ما یتّضح به صحّة ذلک و سقمه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0" w:name="__RefHeading___Toc5148702_2314609296"/>
      <w:bookmarkStart w:id="251" w:name="_Toc96"/>
      <w:bookmarkEnd w:id="250"/>
      <w:r>
        <w:rPr>
          <w:rtl w:val="true"/>
        </w:rPr>
        <w:t>الثانی</w:t>
      </w:r>
      <w:bookmarkEnd w:id="251"/>
    </w:p>
    <w:p>
      <w:pPr>
        <w:pStyle w:val="BookText"/>
        <w:rPr/>
      </w:pPr>
      <w:r>
        <w:rPr>
          <w:rFonts w:ascii="IRNazanin" w:hAnsi="IRNazanin" w:eastAsia="IRNazanin"/>
          <w:color w:val="111111"/>
          <w:sz w:val="28"/>
          <w:sz w:val="28"/>
          <w:szCs w:val="28"/>
          <w:rtl w:val="true"/>
          <w:lang w:bidi="fa-IR"/>
        </w:rPr>
        <w:t xml:space="preserve">الثانی </w:t>
      </w:r>
      <w:r>
        <w:rPr>
          <w:rStyle w:val="FootnoteAnchor"/>
          <w:rtl w:val="true"/>
        </w:rPr>
        <w:footnoteReference w:id="458"/>
      </w:r>
      <w:r>
        <w:rPr>
          <w:rFonts w:ascii="Amiri" w:hAnsi="Amiri" w:eastAsia="Amiri" w:cs="Amiri"/>
          <w:color w:val="111111"/>
          <w:sz w:val="28"/>
          <w:sz w:val="28"/>
          <w:szCs w:val="28"/>
          <w:rtl w:val="true"/>
          <w:lang w:bidi="ar-SA"/>
        </w:rPr>
        <w:t>الثمن المشروط 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یکون فی الذمّة،و إمّا أن یکون معیّناً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علی کلّ 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 أن یکون قد قبضه،و إمّا أن </w:t>
      </w:r>
      <w:r>
        <w:rPr>
          <w:rStyle w:val="FootnoteAnchor"/>
          <w:rtl w:val="true"/>
        </w:rPr>
        <w:footnoteReference w:id="459"/>
      </w:r>
      <w:r>
        <w:rPr>
          <w:rFonts w:ascii="IRNazanin" w:hAnsi="IRNazanin" w:eastAsia="IRNazanin"/>
          <w:color w:val="111111"/>
          <w:sz w:val="28"/>
          <w:sz w:val="28"/>
          <w:szCs w:val="28"/>
          <w:rtl w:val="true"/>
          <w:lang w:bidi="fa-IR"/>
        </w:rPr>
        <w:t>لم یقبضه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لم یقبضه فله الخیار و إن لم یتحقّق ردّ الثمن؛لأنّه شرطٌ علی تقدیر قبضه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یفسخ حتّی انقضت المدّة لزم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العدم؛ بناءً علی أنّ اشتراط الردّ بمنزلة اشتراط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قبله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قبض الثمن المعیّن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فإمّا أن یشترط ردّ عینه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یشترط ردّ ما یعمّ بدله مع عدم التمکّن من العین بسببٍ لا منه،أو مطلقاً،أو و لو مع التمکّن منه،علی إشکالٍ فی الأخیر من حیث اقتضاء الفسخ شرعاً بل لغةً ردّ العین مع الإمکان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جواز اشتراط ردّ القیمة فی المثلی و العکس </w:t>
      </w:r>
      <w:r>
        <w:rPr>
          <w:rStyle w:val="FootnoteAnchor"/>
          <w:rtl w:val="true"/>
        </w:rPr>
        <w:footnoteReference w:id="461"/>
      </w: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الأوّل،لا خیار إلّا بردّ العین،فلو تلف لا من البائع فالظاهر عدم الخیار،إلّا أن یکون إطلاق اشتراط ردّ العین فی الخیار لإفادة سقوطه بإتلاف البائع،فیبقی الخیار فی إتلاف غیره علی 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الثانی،فله ردّ البدل فی موضع صحّة الاشتراط</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الثالث،فمقتضی ظاهر الشرط فیه ردّ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من إطلاق محکیّ الدروس و حاشیة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الإطلاق لا یحمل علی العین </w:t>
      </w:r>
      <w:r>
        <w:rPr>
          <w:rStyle w:val="FootnoteAnchor"/>
          <w:rtl w:val="true"/>
        </w:rPr>
        <w:footnoteReference w:id="4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یحتمل حمله علی الثمن الکلّی،و سیأتی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bookmarkStart w:id="252" w:name="pg19864_220759"/>
    </w:p>
    <w:p>
      <w:pPr>
        <w:pStyle w:val="BookText"/>
        <w:rPr/>
      </w:pPr>
      <w:bookmarkEnd w:id="252"/>
      <w:r>
        <w:rPr>
          <w:rFonts w:ascii="IRNazanin" w:hAnsi="IRNazanin" w:eastAsia="IRNazanin"/>
          <w:color w:val="111111"/>
          <w:sz w:val="28"/>
          <w:sz w:val="28"/>
          <w:szCs w:val="28"/>
          <w:rtl w:val="true"/>
          <w:lang w:bidi="fa-IR"/>
        </w:rPr>
        <w:t xml:space="preserve">و إن کان الثمن کلّیاً،فإن کان فی ذمّة البائع کما هو مضمون روایة سعید بن یسار المتقدّمة </w:t>
      </w:r>
      <w:r>
        <w:rPr>
          <w:rStyle w:val="FootnoteAnchor"/>
          <w:rtl w:val="true"/>
        </w:rPr>
        <w:footnoteReference w:id="464"/>
      </w:r>
      <w:r>
        <w:rPr>
          <w:rFonts w:ascii="Amiri" w:hAnsi="Amiri" w:eastAsia="Amiri" w:cs="Amiri"/>
          <w:color w:val="111111"/>
          <w:sz w:val="28"/>
          <w:sz w:val="28"/>
          <w:szCs w:val="28"/>
          <w:rtl w:val="true"/>
          <w:lang w:bidi="ar-SA"/>
        </w:rPr>
        <w:t>فردُّه بأداء ما فی الذمّة،سواءً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عین الثمن أو بدله،من حیث إنّ ما فی ذمّة البائع سقط عنه بصیرورته ملکاً له،فکأنه تَلِفَ،فالمراد بردّه المشترط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بدله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إن لم یکن الثمن فی ذمّة البائع و قَبضَه،فإن شرط ردَّ ذلک الفرد المقبوض أو ردَّ مثله بأحد الوجوه المتقدّمة </w:t>
      </w:r>
      <w:r>
        <w:rPr>
          <w:rStyle w:val="FootnoteAnchor"/>
          <w:rtl w:val="true"/>
        </w:rPr>
        <w:footnoteReference w:id="465"/>
      </w:r>
      <w:r>
        <w:rPr>
          <w:rFonts w:ascii="IRNazanin" w:hAnsi="IRNazanin" w:eastAsia="IRNazanin"/>
          <w:color w:val="111111"/>
          <w:sz w:val="28"/>
          <w:sz w:val="28"/>
          <w:szCs w:val="28"/>
          <w:rtl w:val="true"/>
          <w:lang w:bidi="fa-IR"/>
        </w:rPr>
        <w:t>فالحکم علی مقتضی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أطلق فالمتبادر بحکم الغلبة فی هذا القسم من البیع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المشتهر ببیع الخیار هو ردّ ما یعمّ البدل،إمّا مطلقاً،أو مع فقد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علیه صریح </w:t>
      </w:r>
      <w:r>
        <w:rPr>
          <w:rStyle w:val="FootnoteAnchor"/>
          <w:rtl w:val="true"/>
        </w:rPr>
        <w:footnoteReference w:id="466"/>
      </w:r>
      <w:r>
        <w:rPr>
          <w:rFonts w:ascii="Amiri" w:hAnsi="Amiri" w:eastAsia="Amiri" w:cs="Amiri"/>
          <w:color w:val="111111"/>
          <w:sz w:val="28"/>
          <w:sz w:val="28"/>
          <w:szCs w:val="28"/>
          <w:rtl w:val="true"/>
          <w:lang w:bidi="ar-SA"/>
        </w:rPr>
        <w:t xml:space="preserve">بعض الأخبار المتقدّمة </w:t>
      </w:r>
      <w:r>
        <w:rPr>
          <w:rStyle w:val="FootnoteAnchor"/>
          <w:rtl w:val="true"/>
        </w:rPr>
        <w:footnoteReference w:id="467"/>
      </w:r>
      <w:r>
        <w:rPr>
          <w:rFonts w:ascii="IRNazanin" w:hAnsi="IRNazanin" w:eastAsia="IRNazanin"/>
          <w:color w:val="111111"/>
          <w:sz w:val="28"/>
          <w:sz w:val="28"/>
          <w:szCs w:val="28"/>
          <w:rtl w:val="true"/>
          <w:lang w:bidi="fa-IR"/>
        </w:rPr>
        <w:t>إلّا أنّ المتیقّن منها صورة فقد العین</w:t>
      </w:r>
      <w:r>
        <w:rPr>
          <w:rFonts w:eastAsia="IRNazanin" w:cs="IRNazanin"/>
          <w:color w:val="111111"/>
          <w:sz w:val="28"/>
          <w:szCs w:val="28"/>
          <w:rtl w:val="true"/>
          <w:lang w:bidi="fa-IR"/>
        </w:rPr>
        <w:t>.</w:t>
      </w:r>
    </w:p>
    <w:p>
      <w:pPr>
        <w:pStyle w:val="Heading6"/>
        <w:numPr>
          <w:ilvl w:val="5"/>
          <w:numId w:val="1"/>
        </w:numPr>
        <w:rPr/>
      </w:pPr>
      <w:bookmarkStart w:id="253" w:name="__RefHeading___Toc5148704_2314609296"/>
      <w:bookmarkStart w:id="254" w:name="_Toc97"/>
      <w:bookmarkEnd w:id="253"/>
      <w:r>
        <w:rPr>
          <w:rtl w:val="true"/>
        </w:rPr>
        <w:t xml:space="preserve">الثالث </w:t>
      </w:r>
      <w:r>
        <w:rPr>
          <w:rtl w:val="true"/>
        </w:rPr>
        <w:t>[</w:t>
      </w:r>
      <w:r>
        <w:rPr>
          <w:rtl w:val="true"/>
        </w:rPr>
        <w:t>لا یکفی مجرّد الردّ فی الفسخ</w:t>
      </w:r>
      <w:r>
        <w:rPr>
          <w:rtl w:val="true"/>
        </w:rPr>
        <w:t>.]</w:t>
      </w:r>
      <w:bookmarkEnd w:id="254"/>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قیل </w:t>
      </w:r>
      <w:r>
        <w:rPr>
          <w:rStyle w:val="FootnoteAnchor"/>
          <w:rtl w:val="true"/>
        </w:rPr>
        <w:footnoteReference w:id="4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الأصحاب بناءً علی 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ردّ الثمن فی هذا البیع عندهم مقدّمةٌ لفسخ البائع أنّه لا یکفی مجرّد الردّ فی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صرّح به فی الدروس </w:t>
      </w:r>
      <w:r>
        <w:rPr>
          <w:rStyle w:val="FootnoteAnchor"/>
          <w:rtl w:val="true"/>
        </w:rPr>
        <w:footnoteReference w:id="469"/>
      </w:r>
      <w:r>
        <w:rPr>
          <w:rFonts w:ascii="IRNazanin" w:hAnsi="IRNazanin" w:eastAsia="IRNazanin"/>
          <w:color w:val="111111"/>
          <w:sz w:val="28"/>
          <w:sz w:val="28"/>
          <w:szCs w:val="28"/>
          <w:rtl w:val="true"/>
          <w:lang w:bidi="fa-IR"/>
        </w:rPr>
        <w:t xml:space="preserve">و غیره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 منشأ الظهور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القسم فردٌ من خیار الشرط مع اعتبار شیءٍ زائدٍ فیه،و هو ردّ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علّلوا ذلک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الردّ من حیث هو لا یدلّ علی الفسخ أصلاً </w:t>
      </w:r>
      <w:r>
        <w:rPr>
          <w:rStyle w:val="FootnoteAnchor"/>
          <w:rtl w:val="true"/>
        </w:rPr>
        <w:footnoteReference w:id="4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 مع عدم الدلالة،أمّا لو فرض الدلالة عرفاً إمّا بأن یفهم منه کونه تملیکاً للثمن من المشتری لیتملّک منه المبیع علی وجه المعاطاة،و إمّا بأن یدلّ الردّ بنفسه علی الرضا بکون المبیع ملکاً له و الثمن ملکاً للمشتری فلا وجه لعدم الکفایة مع اعترافهم بتحقّق الفسخ فیما هو أخفی من ذلک 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الردّ یدلّ علی إرادة الفسخ و الإرادة غیر المراد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المدّعی دلالته علی إرادة کون المبیع ملکاً له و الثمن ملکاً للمشتری،و لا یعتبر فی الفسخ الفعلی أزید من هذا؛مع أنّ ظاهر الأخبار کفایة الردّ فی وجوب ردّ المبیع بل قد عرفت فی روایة معاویة بن میسرة حصول تملّک المبیع بردّ الثمن </w:t>
      </w:r>
      <w:r>
        <w:rPr>
          <w:rStyle w:val="FootnoteAnchor"/>
          <w:rtl w:val="true"/>
        </w:rPr>
        <w:footnoteReference w:id="473"/>
      </w:r>
      <w:r>
        <w:rPr>
          <w:rFonts w:ascii="IRNazanin" w:hAnsi="IRNazanin" w:eastAsia="IRNazanin"/>
          <w:color w:val="111111"/>
          <w:sz w:val="28"/>
          <w:sz w:val="28"/>
          <w:szCs w:val="28"/>
          <w:rtl w:val="true"/>
          <w:lang w:bidi="fa-IR"/>
        </w:rPr>
        <w:t>،فیحمل علی تحقّق الفسخ الفعلیّ به</w:t>
      </w:r>
      <w:r>
        <w:rPr>
          <w:rFonts w:eastAsia="IRNazanin" w:cs="IRNazanin"/>
          <w:color w:val="111111"/>
          <w:sz w:val="28"/>
          <w:szCs w:val="28"/>
          <w:rtl w:val="true"/>
          <w:lang w:bidi="fa-IR"/>
        </w:rPr>
        <w:t>.</w:t>
      </w:r>
      <w:bookmarkStart w:id="255" w:name="pg19864_220761"/>
    </w:p>
    <w:p>
      <w:pPr>
        <w:pStyle w:val="Heading6"/>
        <w:numPr>
          <w:ilvl w:val="5"/>
          <w:numId w:val="1"/>
        </w:numPr>
        <w:rPr/>
      </w:pPr>
      <w:bookmarkStart w:id="256" w:name="__RefHeading___Toc5148706_2314609296"/>
      <w:bookmarkStart w:id="257" w:name="_Toc98"/>
      <w:bookmarkEnd w:id="255"/>
      <w:bookmarkEnd w:id="256"/>
      <w:r>
        <w:rPr>
          <w:rtl w:val="true"/>
        </w:rPr>
        <w:t>الرابع یسقط هذا الخیار بإسقاطه بعد العقد علی الوجه الثانی من الوجهین الأوّلین،</w:t>
      </w:r>
      <w:bookmarkEnd w:id="257"/>
    </w:p>
    <w:p>
      <w:pPr>
        <w:pStyle w:val="BookText"/>
        <w:rPr/>
      </w:pPr>
      <w:r>
        <w:rPr>
          <w:rFonts w:ascii="IRNazanin" w:hAnsi="IRNazanin" w:eastAsia="IRNazanin"/>
          <w:color w:val="111111"/>
          <w:sz w:val="28"/>
          <w:sz w:val="28"/>
          <w:szCs w:val="28"/>
          <w:rtl w:val="true"/>
          <w:lang w:bidi="fa-IR"/>
        </w:rPr>
        <w:t>بل و علی الوجه الأوّل؛بناءً علی أنّ تحقّق السبب و هو العقد کافٍ فی صحّة إسقاط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مقتضی ما صرّح به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أنّه لا یجوز إسقاط خیار الشرط أو الحیوان بعد العقد </w:t>
      </w:r>
      <w:r>
        <w:rPr>
          <w:rStyle w:val="FootnoteAnchor"/>
          <w:rtl w:val="true"/>
        </w:rPr>
        <w:footnoteReference w:id="474"/>
      </w:r>
      <w:r>
        <w:rPr>
          <w:rFonts w:ascii="IRNazanin" w:hAnsi="IRNazanin" w:eastAsia="IRNazanin"/>
          <w:color w:val="111111"/>
          <w:sz w:val="28"/>
          <w:sz w:val="28"/>
          <w:szCs w:val="28"/>
          <w:rtl w:val="true"/>
          <w:lang w:bidi="fa-IR"/>
        </w:rPr>
        <w:t>بناءً علی حدوثهما من زمان التفرّق عدم الجواز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یفرّق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المشروط له مالکٌ للخیار قبل الردّ و لو من حیث تملّکه للردّ الموجب له فله إسقاطه،بخلاف ما فی التذکرة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یسقط أیضاً بانقضاء المدّة و عدم ردّ الثمن أو بدله مع الشرط أو مطلقاً،علی التفصیل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تبیّن المردود من غیر الجنس فلا 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ظهر معیباً کفی فی الردّ،و له الاستبدال</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یسقط أیضاً بالتصرّف فی الثمن المعیّن مع اشتراط ردّ العین أو حمل الإطلاق علیه،و کذا الفرد المدفوع من الثمن الکلّی إذا حمل الإطلاق علی اعتبار ردّ عین المدفوع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ذلک لإطلاق ما دلّ </w:t>
      </w:r>
      <w:r>
        <w:rPr>
          <w:rStyle w:val="FootnoteAnchor"/>
          <w:rtl w:val="true"/>
        </w:rPr>
        <w:footnoteReference w:id="475"/>
      </w:r>
      <w:r>
        <w:rPr>
          <w:rFonts w:ascii="IRNazanin" w:hAnsi="IRNazanin" w:eastAsia="IRNazanin"/>
          <w:color w:val="111111"/>
          <w:sz w:val="28"/>
          <w:sz w:val="28"/>
          <w:szCs w:val="28"/>
          <w:rtl w:val="true"/>
          <w:lang w:bidi="fa-IR"/>
        </w:rPr>
        <w:t>علی أنّ تصرّف ذی الخیار فیما انتقل إلیه رضا بالعقد و لا 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عمل</w:t>
      </w:r>
    </w:p>
    <w:p>
      <w:pPr>
        <w:pStyle w:val="BookText"/>
        <w:rPr/>
      </w:pPr>
      <w:r>
        <w:rPr>
          <w:rFonts w:ascii="IRNazanin" w:hAnsi="IRNazanin" w:eastAsia="IRNazanin"/>
          <w:color w:val="111111"/>
          <w:sz w:val="28"/>
          <w:sz w:val="28"/>
          <w:szCs w:val="28"/>
          <w:rtl w:val="true"/>
          <w:lang w:bidi="fa-IR"/>
        </w:rPr>
        <w:t>الأصحاب بذلک فی غیر مورد النصّ کخیاری المجلس و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المحکی </w:t>
      </w:r>
      <w:r>
        <w:rPr>
          <w:rStyle w:val="FootnoteAnchor"/>
          <w:rtl w:val="true"/>
        </w:rPr>
        <w:footnoteReference w:id="476"/>
      </w:r>
      <w:r>
        <w:rPr>
          <w:rFonts w:ascii="IRNazanin" w:hAnsi="IRNazanin" w:eastAsia="IRNazanin"/>
          <w:color w:val="111111"/>
          <w:sz w:val="28"/>
          <w:sz w:val="28"/>
          <w:szCs w:val="28"/>
          <w:rtl w:val="true"/>
          <w:lang w:bidi="fa-IR"/>
        </w:rPr>
        <w:t xml:space="preserve">عن المحقّق الأردبیلی و صاحب الکفایة </w:t>
      </w:r>
      <w:r>
        <w:rPr>
          <w:rStyle w:val="FootnoteAnchor"/>
          <w:rtl w:val="true"/>
        </w:rPr>
        <w:footnoteReference w:id="477"/>
      </w:r>
      <w:r>
        <w:rPr>
          <w:rFonts w:ascii="IRNazanin" w:hAnsi="IRNazanin" w:eastAsia="IRNazanin"/>
          <w:color w:val="111111"/>
          <w:sz w:val="28"/>
          <w:sz w:val="28"/>
          <w:szCs w:val="28"/>
          <w:rtl w:val="true"/>
          <w:lang w:bidi="fa-IR"/>
        </w:rPr>
        <w:t xml:space="preserve">عدم سقوط هذا الخیار بالتصرّف فی الثمن؛لأنّ المدار فی هذا الخیار علیه؛ لأنّه شُرّع لانتفاع البائع بالثمن،فلو سقط الخیار سقطت الفائدة، و للموثّق المتقدّم </w:t>
      </w:r>
      <w:r>
        <w:rPr>
          <w:rStyle w:val="FootnoteAnchor"/>
          <w:rtl w:val="true"/>
        </w:rPr>
        <w:footnoteReference w:id="478"/>
      </w:r>
      <w:r>
        <w:rPr>
          <w:rFonts w:ascii="IRNazanin" w:hAnsi="IRNazanin" w:eastAsia="IRNazanin"/>
          <w:color w:val="111111"/>
          <w:sz w:val="28"/>
          <w:sz w:val="28"/>
          <w:szCs w:val="28"/>
          <w:rtl w:val="true"/>
          <w:lang w:bidi="fa-IR"/>
        </w:rPr>
        <w:t xml:space="preserve">المفروض فی مورده تصرّف البائع فی الثمن و بیع الدار لأجل ذلک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المحکیّ عن العلّامة الطباطبائی فی مصابیحه الردّ علی ذلک بعد الطعن علیه بمخالفته لما علیه الأصحاب بما محصّله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التصرّف المسقط ما وقع فی زمان الخیار و لا خیار إلّا بعد الردّ،و لا ینافی شیءٌ ممّا ذکر لزومَه بالتصرّف بعد الردّ؛لأنّ ذلک منه بعده لا قبله و إن کان قادراً علی إیجاد سببه فیه؛إذ المدار علی الفعل لا علی القوّة،علی أنّه لا یتمّ فیما اشترط فیه الردّ فی وقتٍ منفصلٍ عن العقد کیومٍ بعد سنةٍ مثلاً </w:t>
      </w:r>
      <w:r>
        <w:rPr>
          <w:rStyle w:val="FootnoteAnchor"/>
          <w:rtl w:val="true"/>
        </w:rPr>
        <w:footnoteReference w:id="480"/>
      </w:r>
      <w:r>
        <w:rPr>
          <w:rFonts w:ascii="IRNazanin" w:hAnsi="IRNazanin" w:eastAsia="IRNazanin"/>
          <w:color w:val="111111"/>
          <w:sz w:val="28"/>
          <w:sz w:val="28"/>
          <w:szCs w:val="28"/>
          <w:rtl w:val="true"/>
          <w:lang w:bidi="fa-IR"/>
        </w:rPr>
        <w:t>،انتهی محصّل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ناقش بعض من تأخّر عنه فیما ذکره قدّس سرّه من کون حدوث الخیار بعد الردّ لا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ذلک یقتضی جهالة مبدأ الخیار،و بأنّ الظاهر من إطلاق العرف و تضعیف کثیرٍ من الأصحاب قولَ الشیخ </w:t>
      </w:r>
      <w:r>
        <w:rPr>
          <w:rStyle w:val="FootnoteAnchor"/>
          <w:rtl w:val="true"/>
        </w:rPr>
        <w:footnoteReference w:id="481"/>
      </w:r>
      <w:r>
        <w:rPr>
          <w:rFonts w:ascii="IRNazanin" w:hAnsi="IRNazanin" w:eastAsia="IRNazanin"/>
          <w:color w:val="111111"/>
          <w:sz w:val="28"/>
          <w:sz w:val="28"/>
          <w:szCs w:val="28"/>
          <w:rtl w:val="true"/>
          <w:lang w:bidi="fa-IR"/>
        </w:rPr>
        <w:t xml:space="preserve">بتوقّف الملک علی انقضاء الخیار ببعض الأخبار المتقدّمة فی هذه المسألة الدالّة علی أنّ غلّة المبیع للمشتری هو کون مجموع المدّة زمان الخیار </w:t>
      </w:r>
      <w:r>
        <w:rPr>
          <w:rStyle w:val="FootnoteAnchor"/>
          <w:rtl w:val="true"/>
        </w:rPr>
        <w:footnoteReference w:id="48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أصل الاستظهار المتقدّم و الردّ المذکور عن المصابیح و المناقشة علی الردّ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فلأنه لا مخصِّص لدلیل سقوط الخیار بالتصرّف المنسحب فی غیر مورد النصّ علیه باتّفاق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بناءُ هذا العقد علی التصرّف فهو من جهة أنّ الغالب المتعارف البیع بالثمن الکلّی،و ظاهر الحال فیه کفایة ردّ مثل الثمن؛ و لذا قوّینا </w:t>
      </w:r>
      <w:r>
        <w:rPr>
          <w:rStyle w:val="FootnoteAnchor"/>
          <w:rtl w:val="true"/>
        </w:rPr>
        <w:footnoteReference w:id="483"/>
      </w:r>
      <w:r>
        <w:rPr>
          <w:rFonts w:ascii="IRNazanin" w:hAnsi="IRNazanin" w:eastAsia="IRNazanin"/>
          <w:color w:val="111111"/>
          <w:sz w:val="28"/>
          <w:sz w:val="28"/>
          <w:szCs w:val="28"/>
          <w:rtl w:val="true"/>
          <w:lang w:bidi="fa-IR"/>
        </w:rPr>
        <w:t>حمل الإطلاق فی هذه الصورة علی ما یعمّ البدل،و حینئذٍ فلا یکون التصرّف فی عین الفرد المدفوع دلیلاً علی الرضا بلزوم العقد؛ إذ لا منافاة بین فسخ العقد و صحّة هذا التصرّف و استمراره،و هو مورد الموثّق المتقدّم أو منصرف إطلاقه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من جهة تواطؤ المتعاقدین علی ثبوت الخیار مع التصرّف أیضاً،أو للعلم بعدم الالتزام بالعقد بمجرّد التصرّف فی الثمن،و قد مرّ </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أنّ السقوط بالتصرّف لیس تعبّداً شرعیّاً مطلقاً حتّی المقرون منه بعدم الرضا بلزوم العقد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فلأنّ المستفاد من النصّ و الفتوی کما عرفت </w:t>
      </w:r>
      <w:r>
        <w:rPr>
          <w:rStyle w:val="FootnoteAnchor"/>
          <w:rtl w:val="true"/>
        </w:rPr>
        <w:footnoteReference w:id="4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التصرّف مسقطاً فعلیّاً کالقولی یُسقط الخیار فی کلّ مقامٍ یصحّ إسقاطه بالقول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عدم الإشکال فی جواز إسقاط الخیار قولاً قبل الردّ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هذا،مع أنّ حدوث الخیار بعد الردّ مبنیٌّ علی الوجه الأوّل المتقدّم </w:t>
      </w:r>
      <w:r>
        <w:rPr>
          <w:rStyle w:val="FootnoteAnchor"/>
          <w:rtl w:val="true"/>
        </w:rPr>
        <w:footnoteReference w:id="486"/>
      </w:r>
      <w:r>
        <w:rPr>
          <w:rFonts w:ascii="IRNazanin" w:hAnsi="IRNazanin" w:eastAsia="IRNazanin"/>
          <w:color w:val="111111"/>
          <w:sz w:val="28"/>
          <w:sz w:val="28"/>
          <w:szCs w:val="28"/>
          <w:rtl w:val="true"/>
          <w:lang w:bidi="fa-IR"/>
        </w:rPr>
        <w:t xml:space="preserve">من الوجوه الخمسة فی مدخلیّة الردّ فی الخیار،و لا دلیل علی تعیینه </w:t>
      </w:r>
      <w:r>
        <w:rPr>
          <w:rStyle w:val="FootnoteAnchor"/>
          <w:rtl w:val="true"/>
        </w:rPr>
        <w:footnoteReference w:id="487"/>
      </w:r>
      <w:r>
        <w:rPr>
          <w:rFonts w:ascii="IRNazanin" w:hAnsi="IRNazanin" w:eastAsia="IRNazanin"/>
          <w:color w:val="111111"/>
          <w:sz w:val="28"/>
          <w:sz w:val="28"/>
          <w:szCs w:val="28"/>
          <w:rtl w:val="true"/>
          <w:lang w:bidi="fa-IR"/>
        </w:rPr>
        <w:t>فی بیع الخیار المتعارف بین الناس،بل الظاهر من عبارة غیر واحدٍ هو الوجه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المتّبع مدلول الجملة الشرطیّة الواقعة فی متن العقد، فقد یؤخذ الردّ فیها قیداً للخیار و قد یؤخذ قیداً للفسخ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نعم،لو جُعل الخیار و الردّ فی جزءٍ معیّنٍ من المدّة کیومٍ بعد السنة کان التصرّف قبله تصرّفاً مع لزوم العقد،و جاء فیه الإشکال فی صحّة الإسقاط هنا </w:t>
      </w:r>
      <w:r>
        <w:rPr>
          <w:rStyle w:val="FootnoteAnchor"/>
          <w:rtl w:val="true"/>
        </w:rPr>
        <w:footnoteReference w:id="488"/>
      </w:r>
      <w:r>
        <w:rPr>
          <w:rFonts w:ascii="IRNazanin" w:hAnsi="IRNazanin" w:eastAsia="IRNazanin"/>
          <w:color w:val="111111"/>
          <w:sz w:val="28"/>
          <w:sz w:val="28"/>
          <w:szCs w:val="28"/>
          <w:rtl w:val="true"/>
          <w:lang w:bidi="fa-IR"/>
        </w:rPr>
        <w:t>من عدم تحقّق الخیار،و من تحقّق سببه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المناقشة فی تحدید مبدأ الخیار بالردّ بلزوم جهالة مدّة الخیار، 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لا تقدح مع تحدید زمان التسلّط علی الردّ و الفسخ بعده إن</w:t>
      </w:r>
      <w:bookmarkStart w:id="258" w:name="pg19864_220765"/>
    </w:p>
    <w:p>
      <w:pPr>
        <w:pStyle w:val="BookText"/>
        <w:rPr/>
      </w:pPr>
      <w:bookmarkEnd w:id="258"/>
      <w:r>
        <w:rPr>
          <w:rFonts w:ascii="IRNazanin" w:hAnsi="IRNazanin" w:eastAsia="IRNazanin"/>
          <w:color w:val="111111"/>
          <w:sz w:val="28"/>
          <w:sz w:val="28"/>
          <w:szCs w:val="28"/>
          <w:rtl w:val="true"/>
          <w:lang w:bidi="fa-IR"/>
        </w:rPr>
        <w:t>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نعم،ذکر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یجوز اشتراط الخیار من حین التفرّق إذا جعلنا مبدأه عند الإطلاق من حین العقد </w:t>
      </w:r>
      <w:r>
        <w:rPr>
          <w:rStyle w:val="FootnoteAnchor"/>
          <w:rtl w:val="true"/>
        </w:rPr>
        <w:footnoteReference w:id="4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الفرق یظهر بالتأمّل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الاستشهاد علیه بحکم العرف،ففیه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زمان الخیار عرفاً لا یراد به إلّا ما کان الخیار متحقّقاً فیه شرعاً أو بجعل المتعاقدین، و المفروض أنّ الخیار هنا جعلیٌّ،فالشکّ </w:t>
      </w:r>
      <w:r>
        <w:rPr>
          <w:rStyle w:val="FootnoteAnchor"/>
          <w:rtl w:val="true"/>
        </w:rPr>
        <w:footnoteReference w:id="490"/>
      </w:r>
      <w:r>
        <w:rPr>
          <w:rFonts w:ascii="IRNazanin" w:hAnsi="IRNazanin" w:eastAsia="IRNazanin"/>
          <w:color w:val="111111"/>
          <w:sz w:val="28"/>
          <w:sz w:val="28"/>
          <w:szCs w:val="28"/>
          <w:rtl w:val="true"/>
          <w:lang w:bidi="fa-IR"/>
        </w:rPr>
        <w:t>فی تحقّق الخیار قبل الردّ بجعل المتعاقدین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ذکره بعض الأصحاب </w:t>
      </w:r>
      <w:r>
        <w:rPr>
          <w:rStyle w:val="FootnoteAnchor"/>
          <w:rtl w:val="true"/>
        </w:rPr>
        <w:footnoteReference w:id="491"/>
      </w:r>
      <w:r>
        <w:rPr>
          <w:rFonts w:ascii="IRNazanin" w:hAnsi="IRNazanin" w:eastAsia="IRNazanin"/>
          <w:color w:val="111111"/>
          <w:sz w:val="28"/>
          <w:sz w:val="28"/>
          <w:szCs w:val="28"/>
          <w:rtl w:val="true"/>
          <w:lang w:bidi="fa-IR"/>
        </w:rPr>
        <w:t xml:space="preserve">فی ردّ الشیخ من بعض أخبار المسألة،فلعلّهم فهموا من مذهبه توقّف الملک علی انقضاء زمان الخیار مطلقاً حتّی المنفصل،کما لا یبعد عن إطلاق کلامه و إطلاق ما استدلّ له به من الأخبار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9" w:name="__RefHeading___Toc5148708_2314609296"/>
      <w:bookmarkStart w:id="260" w:name="_Toc99"/>
      <w:bookmarkEnd w:id="259"/>
      <w:r>
        <w:rPr>
          <w:rtl w:val="true"/>
        </w:rPr>
        <w:t>الخامس لو تلف المبیع کان من المشتری،</w:t>
      </w:r>
      <w:bookmarkEnd w:id="260"/>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کان قبل الردّ أو بعده، و نماؤه أیضاً له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عدم سقوط خیار البائع،فیستردّ المثل</w:t>
      </w:r>
    </w:p>
    <w:p>
      <w:pPr>
        <w:pStyle w:val="BookText"/>
        <w:rPr/>
      </w:pPr>
      <w:r>
        <w:rPr>
          <w:rFonts w:ascii="IRNazanin" w:hAnsi="IRNazanin" w:eastAsia="IRNazanin"/>
          <w:color w:val="111111"/>
          <w:sz w:val="28"/>
          <w:sz w:val="28"/>
          <w:szCs w:val="28"/>
          <w:rtl w:val="true"/>
          <w:lang w:bidi="fa-IR"/>
        </w:rPr>
        <w:t>أو القیمة بردّ الثمن أو بدله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یحتمل عدم الخیار،بناءً علی أنّ مورد هذا الخیار هو إلزام أنّ له ردّ الثمن و ارتجاع البیع </w:t>
      </w:r>
      <w:r>
        <w:rPr>
          <w:rStyle w:val="FootnoteAnchor"/>
          <w:rtl w:val="true"/>
        </w:rPr>
        <w:footnoteReference w:id="493"/>
      </w:r>
      <w:r>
        <w:rPr>
          <w:rFonts w:ascii="IRNazanin" w:hAnsi="IRNazanin" w:eastAsia="IRNazanin"/>
          <w:color w:val="111111"/>
          <w:sz w:val="28"/>
          <w:sz w:val="28"/>
          <w:szCs w:val="28"/>
          <w:rtl w:val="true"/>
          <w:lang w:bidi="fa-IR"/>
        </w:rPr>
        <w:t>،و ظاهره اعتبار بقاء المبیع فی ذلک،فلا خیار مع تلفه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لا تنافی بین شرطیّة البقاء و عدم جواز تفویت الشرط، فلا یجوز للمشتری إتلاف المبیع کما سیجیء فی أحکام الخیار </w:t>
      </w:r>
      <w:r>
        <w:rPr>
          <w:rStyle w:val="FootnoteAnchor"/>
          <w:rtl w:val="true"/>
        </w:rPr>
        <w:footnoteReference w:id="494"/>
      </w:r>
      <w:r>
        <w:rPr>
          <w:rFonts w:ascii="IRNazanin" w:hAnsi="IRNazanin" w:eastAsia="IRNazanin"/>
          <w:color w:val="111111"/>
          <w:sz w:val="28"/>
          <w:sz w:val="28"/>
          <w:szCs w:val="28"/>
          <w:rtl w:val="true"/>
          <w:lang w:bidi="fa-IR"/>
        </w:rPr>
        <w:t xml:space="preserve">لأنّ غرض البائع من الخیار استرداد عین ماله،و لا یتمّ إلّا بالتزام إبقائه للبائع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تلف الثمن</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بعد الردّ و قبل الفسخ،فمقتضی ما سیجیء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التلف فی زمان الخیار ممّن لا خیار له</w:t>
      </w:r>
      <w:r>
        <w:rPr>
          <w:rFonts w:eastAsia="IRNazanin" w:cs="IRNazanin"/>
          <w:color w:val="111111"/>
          <w:sz w:val="28"/>
          <w:szCs w:val="28"/>
          <w:rtl w:val="true"/>
          <w:lang w:bidi="fa-IR"/>
        </w:rPr>
        <w:t xml:space="preserve">» </w:t>
      </w:r>
      <w:r>
        <w:rPr>
          <w:rStyle w:val="FootnoteAnchor"/>
          <w:rtl w:val="true"/>
        </w:rPr>
        <w:footnoteReference w:id="496"/>
      </w:r>
      <w:r>
        <w:rPr>
          <w:rFonts w:ascii="IRNazanin" w:hAnsi="IRNazanin" w:eastAsia="IRNazanin"/>
          <w:color w:val="111111"/>
          <w:sz w:val="28"/>
          <w:sz w:val="28"/>
          <w:szCs w:val="28"/>
          <w:rtl w:val="true"/>
          <w:lang w:bidi="fa-IR"/>
        </w:rPr>
        <w:t xml:space="preserve">کونه من المشتری و إن کان ملکاً للبائع،إلّا أن یمنع شمول تلک القاعدة للثمن و یدّعی اختصاصها بالمبیع،کما ذکره بعض المعاصرین </w:t>
      </w:r>
      <w:r>
        <w:rPr>
          <w:rStyle w:val="FootnoteAnchor"/>
          <w:rtl w:val="true"/>
        </w:rPr>
        <w:footnoteReference w:id="497"/>
      </w:r>
      <w:r>
        <w:rPr>
          <w:rFonts w:ascii="IRNazanin" w:hAnsi="IRNazanin" w:eastAsia="IRNazanin"/>
          <w:color w:val="111111"/>
          <w:sz w:val="28"/>
          <w:sz w:val="28"/>
          <w:szCs w:val="28"/>
          <w:rtl w:val="true"/>
          <w:lang w:bidi="fa-IR"/>
        </w:rPr>
        <w:t xml:space="preserve">و استظهره من روایة معاویة بن میسرة المتقدّمة </w:t>
      </w:r>
      <w:r>
        <w:rPr>
          <w:rStyle w:val="FootnoteAnchor"/>
          <w:rtl w:val="true"/>
        </w:rPr>
        <w:footnoteReference w:id="4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أعرف وجه الاستظهار،إذ لیس فیها إلّا أنّ نماء الثمن للبائع و تلف المبیع من المشتری،و هما إجماعیّان حتّی فی مورد کون التلف ممّن لا خیار له،فلا حاجة لهما إلی تلک الروایة،و لا تکون</w:t>
      </w:r>
      <w:bookmarkStart w:id="261" w:name="pg19864_220767"/>
    </w:p>
    <w:p>
      <w:pPr>
        <w:pStyle w:val="BookText"/>
        <w:rPr/>
      </w:pPr>
      <w:bookmarkEnd w:id="261"/>
      <w:r>
        <w:rPr>
          <w:rFonts w:ascii="IRNazanin" w:hAnsi="IRNazanin" w:eastAsia="IRNazanin"/>
          <w:color w:val="111111"/>
          <w:sz w:val="28"/>
          <w:sz w:val="28"/>
          <w:szCs w:val="28"/>
          <w:rtl w:val="true"/>
          <w:lang w:bidi="fa-IR"/>
        </w:rPr>
        <w:t>الروایة مخالفةً للقاعدة،و إنّما المخالف لها هی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الخراج 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انضمّت إلی الإجماع علی کون النماء للمالک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نعم،الإشکال فی عموم تلک القاعدة للثمن کعمومها لجمیع أفراد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الظاهر من إطلاق غیر واحدٍ عموم القاعدة للثمن و اختصاصها بالخیارات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أعنی خیار المجلس و الشرط و الحیوان و سیجیء الکلام فی أحکام الخیار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إن کان التلف قبل الردّ فمن البائع </w:t>
      </w:r>
      <w:r>
        <w:rPr>
          <w:rStyle w:val="FootnoteAnchor"/>
          <w:rtl w:val="true"/>
        </w:rPr>
        <w:footnoteReference w:id="500"/>
      </w:r>
      <w:r>
        <w:rPr>
          <w:rFonts w:ascii="IRNazanin" w:hAnsi="IRNazanin" w:eastAsia="IRNazanin"/>
          <w:color w:val="111111"/>
          <w:sz w:val="28"/>
          <w:sz w:val="28"/>
          <w:szCs w:val="28"/>
          <w:rtl w:val="true"/>
          <w:lang w:bidi="fa-IR"/>
        </w:rPr>
        <w:t>بناءً علی عدم ثبوت الخیار قبل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ما عرفت من منع المبنی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 البناء،فإنّ دلیل ضمان من لا خیار له مالَ صاحبِه هو تزلزلُ البیع سواءً کان بخیارٍ متّصلٍ أم بمنفصلٍ،کما یقتضیه أخبار تلک المسألة،کما سیجیء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تلف الثمن من المشتری انفسخ البیع،و إن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بأنّه من البائع فالظاهر بقاء الخیار،فیردّ البدل و یرتجع المبیع</w:t>
      </w:r>
      <w:r>
        <w:rPr>
          <w:rFonts w:eastAsia="IRNazanin" w:cs="IRNazanin"/>
          <w:color w:val="111111"/>
          <w:sz w:val="28"/>
          <w:szCs w:val="28"/>
          <w:rtl w:val="true"/>
          <w:lang w:bidi="fa-IR"/>
        </w:rPr>
        <w:t>.</w:t>
      </w:r>
    </w:p>
    <w:p>
      <w:pPr>
        <w:pStyle w:val="Heading6"/>
        <w:numPr>
          <w:ilvl w:val="5"/>
          <w:numId w:val="1"/>
        </w:numPr>
        <w:rPr/>
      </w:pPr>
      <w:bookmarkStart w:id="262" w:name="__RefHeading___Toc5148710_2314609296"/>
      <w:bookmarkStart w:id="263" w:name="_Toc100"/>
      <w:bookmarkEnd w:id="262"/>
      <w:r>
        <w:rPr>
          <w:rtl w:val="true"/>
        </w:rPr>
        <w:t>السادس لا إشکال فی القدرة علی الفسخ بردّ الثمن علی نفس المشتری، أو بردّه علی وکیله المطلق</w:t>
      </w:r>
      <w:bookmarkEnd w:id="263"/>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الحاکم أو العدول مع التصریح بذلک</w:t>
      </w:r>
    </w:p>
    <w:p>
      <w:pPr>
        <w:pStyle w:val="BookText"/>
        <w:rPr/>
      </w:pPr>
      <w:r>
        <w:rPr>
          <w:rFonts w:ascii="IRNazanin" w:hAnsi="IRNazanin" w:eastAsia="IRNazanin"/>
          <w:color w:val="111111"/>
          <w:sz w:val="28"/>
          <w:sz w:val="28"/>
          <w:szCs w:val="28"/>
          <w:rtl w:val="true"/>
          <w:lang w:bidi="fa-IR"/>
        </w:rPr>
        <w:t>فی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المشروط هو ردّه إلی المشتری مع عدم التصریح ببدله، فامتنع ردّه إلیه عقلاً لغیبةٍ و نحوها،أو شرعاً لجنونٍ و نحوه،ففی حصول الشرط بردّه إلی الحاکم،کما اختاره المحقّق القمّی فی بعض أجوبة مسائله </w:t>
      </w:r>
      <w:r>
        <w:rPr>
          <w:rStyle w:val="FootnoteAnchor"/>
          <w:rtl w:val="true"/>
        </w:rPr>
        <w:footnoteReference w:id="502"/>
      </w:r>
      <w:r>
        <w:rPr>
          <w:rFonts w:ascii="IRNazanin" w:hAnsi="IRNazanin" w:eastAsia="IRNazanin"/>
          <w:color w:val="111111"/>
          <w:sz w:val="28"/>
          <w:sz w:val="28"/>
          <w:szCs w:val="28"/>
          <w:rtl w:val="true"/>
          <w:lang w:bidi="fa-IR"/>
        </w:rPr>
        <w:t xml:space="preserve">و عدمه،کما اختاره سیّد مشایخنا فی مناهله </w:t>
      </w:r>
      <w:r>
        <w:rPr>
          <w:rStyle w:val="FootnoteAnchor"/>
          <w:rtl w:val="true"/>
        </w:rPr>
        <w:footnoteReference w:id="503"/>
      </w: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یظهر من صاحب الحدائق الاتّفاق علی عدم لزوم ردّ الثمن إلی المشتری مع غیبته،حیث إنّه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w:t>
      </w:r>
      <w:r>
        <w:rPr>
          <w:rStyle w:val="FootnoteAnchor"/>
          <w:rtl w:val="true"/>
        </w:rPr>
        <w:footnoteReference w:id="5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المشهور بعدم اعتبار حضور الخصم فی فسخ ذی الخیار،و أنّه لا اعتبار بالإشهاد خلافاً لبعض علمائنا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 الروایة اعتبار حضور المشتری لیفسخ البائع بعد دفع الثمن إلیه؛فما ذکروه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جواز الفسخ مع عدم حضور المشتری و جعل الثمن أمانةً إلی أن یجیء المشتری،و إن کان ظاهرهم الاتّفاق علیه،إلّا أنّه بعیدٌ عن مساق الأخبار المذکورة </w:t>
      </w:r>
      <w:r>
        <w:rPr>
          <w:rStyle w:val="FootnoteAnchor"/>
          <w:rtl w:val="true"/>
        </w:rPr>
        <w:footnoteReference w:id="505"/>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أجد فیما رأیت مَن تعرّض لحکم ردّ الثمن مع غیبة المشتری فی هذا الخیار،و لم یظهر منهم جواز الفسخ بجعل الثمن أمانةً عند البائع حتّی یحضر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ذکرهم لعدم اعتبار حضور الخصم فی فسخ ذی الخیار إنّما هو لبیان حال الفسخ من حیث هو فی مقابل</w:t>
      </w:r>
    </w:p>
    <w:p>
      <w:pPr>
        <w:pStyle w:val="BookText"/>
        <w:rPr/>
      </w:pPr>
      <w:r>
        <w:rPr>
          <w:rFonts w:ascii="Amiri" w:hAnsi="Amiri" w:eastAsia="Amiri" w:cs="Amiri"/>
          <w:color w:val="111111"/>
          <w:sz w:val="28"/>
          <w:sz w:val="28"/>
          <w:szCs w:val="28"/>
          <w:rtl w:val="true"/>
          <w:lang w:bidi="ar-SA"/>
        </w:rPr>
        <w:t xml:space="preserve">العامّة و بعض الخاصّة </w:t>
      </w:r>
      <w:r>
        <w:rPr>
          <w:rStyle w:val="FootnoteAnchor"/>
          <w:rtl w:val="true"/>
        </w:rPr>
        <w:footnoteReference w:id="506"/>
      </w:r>
      <w:r>
        <w:rPr>
          <w:rFonts w:ascii="IRNazanin" w:hAnsi="IRNazanin" w:eastAsia="IRNazanin"/>
          <w:color w:val="111111"/>
          <w:sz w:val="28"/>
          <w:sz w:val="28"/>
          <w:szCs w:val="28"/>
          <w:rtl w:val="true"/>
          <w:lang w:bidi="fa-IR"/>
        </w:rPr>
        <w:t>،حیث اشترطوا فی الفسخ بالخیار حضور الخصم،و لا تنافی بینه و بین اعتبار حضوره لتحقّق شرطٍ آخر للفسخ، و هو ردّ الثمن إلی المشتری،مع أنّ ما ذکره من أخبار المسألة لا یدلّ علی اعتبار حضور الخصم فی الفسخ و إن کان موردها صورة حضوره لأجل تحقّق الردّ،إلّا أنّ الفسخ قد یتأخّر عن الردّ بزمانٍ؛بناءً علی مغایرة الفسخ للردّ و عدم الاکتفاء به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قلنا بحصول الفسخ بالردّ اختصّ موردها بحضور الخصم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الأصحاب لم ینکروا اعتبار الحضور فی هذا الخیار،خصوصاً لو فرض قولهم بحصول الفسخ بردّ </w:t>
      </w:r>
      <w:r>
        <w:rPr>
          <w:rStyle w:val="FootnoteAnchor"/>
          <w:rtl w:val="true"/>
        </w:rPr>
        <w:footnoteReference w:id="507"/>
      </w:r>
      <w:r>
        <w:rPr>
          <w:rFonts w:ascii="IRNazanin" w:hAnsi="IRNazanin" w:eastAsia="IRNazanin"/>
          <w:color w:val="111111"/>
          <w:sz w:val="28"/>
          <w:sz w:val="28"/>
          <w:szCs w:val="28"/>
          <w:rtl w:val="true"/>
          <w:lang w:bidi="fa-IR"/>
        </w:rPr>
        <w:t>الثمن،فافهم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کان،فالأقوی فیما لم یصرّح باشتراط الردّ إلی خصوص المشتری هو قیام الولیّ مقامه؛لأنّ الظاهر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إلی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حصوله عنده و تملّکه له حتّی لا یبقی الثمن فی ذمّة البائع بعد الفسخ، و لذا لو دفع إلی وارث المشتری کفی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ردّ وارث البائع مع أنّ المصرَّح به فی العقد ردّ البائع،و لیس ذلک لأجل إرثه للخیار؛لأنّ ذلک متفرّعٌ علی عدم مدخلیّة خصوص البائع فی الرد،و کذا الکلام فی ولیّه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الحاکم إنّما یتصرّف فی مال الغائب علی وجه الحفظ</w:t>
      </w:r>
    </w:p>
    <w:p>
      <w:pPr>
        <w:pStyle w:val="BookText"/>
        <w:rPr/>
      </w:pPr>
      <w:r>
        <w:rPr>
          <w:rFonts w:ascii="IRNazanin" w:hAnsi="IRNazanin" w:eastAsia="IRNazanin"/>
          <w:color w:val="111111"/>
          <w:sz w:val="28"/>
          <w:sz w:val="28"/>
          <w:szCs w:val="28"/>
          <w:rtl w:val="true"/>
          <w:lang w:bidi="fa-IR"/>
        </w:rPr>
        <w:t xml:space="preserve">أو </w:t>
      </w:r>
      <w:r>
        <w:rPr>
          <w:rStyle w:val="FootnoteAnchor"/>
          <w:rtl w:val="true"/>
        </w:rPr>
        <w:footnoteReference w:id="508"/>
      </w:r>
      <w:r>
        <w:rPr>
          <w:rFonts w:ascii="IRNazanin" w:hAnsi="IRNazanin" w:eastAsia="IRNazanin"/>
          <w:color w:val="111111"/>
          <w:sz w:val="28"/>
          <w:sz w:val="28"/>
          <w:szCs w:val="28"/>
          <w:rtl w:val="true"/>
          <w:lang w:bidi="fa-IR"/>
        </w:rPr>
        <w:t>المصلحة،و الثمن قبل ردّه باقٍ علی ملک البائع،و قبضه عنه الموجب لسلطنة البائع علی الفسخ قد لا یکون مصلحةً للغائب أو شبهه،فلا یکون ولیّاً فی القبض،فلا یحصل ملکُ المشتری المدفوعَ بعد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هذا لیس تصرّفاً اختیاریّاً من قبل الولیّ حتّی یناط بالمصلحة،بل البائع حیث وجد من هو منصوبٌ شرعاً لحفظ مال الغائب صحّ له الفسخ؛إذ لا یعتبر فیه قبول المشتری أو ولیّه للثمن 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ولایته فی القبول متوقّفةٌ علی المصلحة،بل المعتبر تمکین المشتری أو ولیّه منه إذا حصل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جواز الفسخ بردّ الثمن إلی عدول المؤمنین لیحفظوها حِسْبةً عن الغائب و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اشتری الأب للطفل بخیار البائع،فهل یصحّ له الفسخ مع ردّ الثمن إلی الولیّ الآخر أعنی الجدّ مطلقاً،أو مع عدم التمکّن من الردّ إلی الأب،أو لا؟وجوهٌ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یجری مثلها فیما لو اشتری الحاکم للصغیر،فردّ البائع إلی حاکمٍ آخر،و لیس فی قبول الحاکم الآخر مزاحمةٌ للأوّل حتّی لا یجوز قبوله للثمن،و لا یجری ولایته بالنسبة إلی هذه المعاملة بناءً علی عدم جواز مزاحمة الحاکم </w:t>
      </w:r>
      <w:r>
        <w:rPr>
          <w:rStyle w:val="FootnoteAnchor"/>
          <w:rtl w:val="true"/>
        </w:rPr>
        <w:footnoteReference w:id="509"/>
      </w:r>
      <w:r>
        <w:rPr>
          <w:rFonts w:ascii="IRNazanin" w:hAnsi="IRNazanin" w:eastAsia="IRNazanin"/>
          <w:color w:val="111111"/>
          <w:sz w:val="28"/>
          <w:sz w:val="28"/>
          <w:szCs w:val="28"/>
          <w:rtl w:val="true"/>
          <w:lang w:bidi="fa-IR"/>
        </w:rPr>
        <w:t>لحاکمٍ آخر فی مثل هذه الأُمور؛لما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أخذ الثمن من البائع لیس تصرّفاً اختیاریّاً،بل البائع إذا وجد من</w:t>
      </w:r>
      <w:bookmarkStart w:id="264" w:name="pg19864_220771"/>
    </w:p>
    <w:p>
      <w:pPr>
        <w:pStyle w:val="BookText"/>
        <w:rPr/>
      </w:pPr>
      <w:bookmarkEnd w:id="264"/>
      <w:r>
        <w:rPr>
          <w:rFonts w:ascii="IRNazanin" w:hAnsi="IRNazanin" w:eastAsia="IRNazanin"/>
          <w:color w:val="111111"/>
          <w:sz w:val="28"/>
          <w:sz w:val="28"/>
          <w:szCs w:val="28"/>
          <w:rtl w:val="true"/>
          <w:lang w:bidi="fa-IR"/>
        </w:rPr>
        <w:t>یجوز أن یتملّک الثمن عن المشتری عند فسخه جاز له الفسخ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 مجرّد تملّک الحاکم الثانی الثمنَ عن المشتری مزاحمةٌ للحاکم الأوّل، غایة الأمر وجوب دفعه إلیه،مع احتمال عدم الوجوب؛لأنّ هذا ملکٌ جدیدٌ للصغیر لم یتصرّف فیه الحاکم الأوّل،فلا مزاحمة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الأظهر أنّها مزاحمةٌ عرفاً</w:t>
      </w:r>
      <w:r>
        <w:rPr>
          <w:rFonts w:eastAsia="IRNazanin" w:cs="IRNazanin"/>
          <w:color w:val="111111"/>
          <w:sz w:val="28"/>
          <w:szCs w:val="28"/>
          <w:rtl w:val="true"/>
          <w:lang w:bidi="fa-IR"/>
        </w:rPr>
        <w:t>.</w:t>
      </w:r>
    </w:p>
    <w:p>
      <w:pPr>
        <w:pStyle w:val="Heading6"/>
        <w:numPr>
          <w:ilvl w:val="5"/>
          <w:numId w:val="1"/>
        </w:numPr>
        <w:rPr/>
      </w:pPr>
      <w:bookmarkStart w:id="265" w:name="__RefHeading___Toc5148712_2314609296"/>
      <w:bookmarkStart w:id="266" w:name="_Toc101"/>
      <w:bookmarkEnd w:id="265"/>
      <w:r>
        <w:rPr>
          <w:rtl w:val="true"/>
        </w:rPr>
        <w:t>السابع إذا أطلق اشتراط الفسخ بردّ الثمن لم یکن له ذلک إلّا بردّ الجمیع،</w:t>
      </w:r>
      <w:bookmarkEnd w:id="266"/>
    </w:p>
    <w:p>
      <w:pPr>
        <w:pStyle w:val="BookText"/>
        <w:rPr/>
      </w:pPr>
      <w:r>
        <w:rPr>
          <w:rFonts w:ascii="IRNazanin" w:hAnsi="IRNazanin" w:eastAsia="IRNazanin"/>
          <w:color w:val="111111"/>
          <w:sz w:val="28"/>
          <w:sz w:val="28"/>
          <w:szCs w:val="28"/>
          <w:rtl w:val="true"/>
          <w:lang w:bidi="fa-IR"/>
        </w:rPr>
        <w:t>فلو ردّ بعضه لم یکن له الفسخ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للمشتری التصرّف فی المدفوع إلیه؛لبقائه علی ملک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أنّه ضامنٌ له لو تلف إذا دفعه إلیه علی وجه الثمنیّة،إلّا أن یصرّح بکونها أمانةً عنده إلی أن یجتمع قدر الثمن فیفسخ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شرط البائع الفسخ فی کلِّ جزءٍ بردّ ما یخصّه من الثمن جاز الفسخ فیما قابل المدفوع،و للمشتری خیار التبعیض إذا لم یفسخ البائع بقیّة المبیع و خرجت المدّة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له ذلک قبل خروجها؟الوجه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اشتراط الفسخ فی الکلّ بردّ جزءٍ معیّنٍ من الثمن فی المدّة، بل بجزءٍ غیر معیّنٍ،فیبقی الباقی فی ذمّة البائع بعد الفسخ</w:t>
      </w:r>
      <w:r>
        <w:rPr>
          <w:rFonts w:eastAsia="IRNazanin" w:cs="IRNazanin"/>
          <w:color w:val="111111"/>
          <w:sz w:val="28"/>
          <w:szCs w:val="28"/>
          <w:rtl w:val="true"/>
          <w:lang w:bidi="fa-IR"/>
        </w:rPr>
        <w:t>.</w:t>
      </w:r>
    </w:p>
    <w:p>
      <w:pPr>
        <w:pStyle w:val="Heading6"/>
        <w:numPr>
          <w:ilvl w:val="5"/>
          <w:numId w:val="1"/>
        </w:numPr>
        <w:rPr/>
      </w:pPr>
      <w:bookmarkStart w:id="267" w:name="__RefHeading___Toc5148714_2314609296"/>
      <w:bookmarkStart w:id="268" w:name="_Toc102"/>
      <w:bookmarkEnd w:id="267"/>
      <w:r>
        <w:rPr>
          <w:rtl w:val="true"/>
        </w:rPr>
        <w:t>الثامن کما یجوز للبائع اشتراط الفسخ بردّ الثمن،کذا یجوز للمشتری اشتراط الفسخ بردّ المثمن</w:t>
      </w:r>
      <w:r>
        <w:rPr>
          <w:rtl w:val="true"/>
        </w:rPr>
        <w:t>.</w:t>
      </w:r>
      <w:bookmarkEnd w:id="268"/>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إشکال فی انصراف الإطلاق إلی العین، و لا فی جواز التصریح بردّ بدله مع تلفه؛لأنّ مرجعه إلی اشتراط الخیار</w:t>
      </w:r>
    </w:p>
    <w:p>
      <w:pPr>
        <w:pStyle w:val="BookText"/>
        <w:rPr/>
      </w:pPr>
      <w:r>
        <w:rPr>
          <w:rFonts w:ascii="IRNazanin" w:hAnsi="IRNazanin" w:eastAsia="IRNazanin"/>
          <w:color w:val="111111"/>
          <w:sz w:val="28"/>
          <w:sz w:val="28"/>
          <w:szCs w:val="28"/>
          <w:rtl w:val="true"/>
          <w:lang w:bidi="fa-IR"/>
        </w:rPr>
        <w:t>بردّ المبیع مع وجوده و بدله مع تلفه و عدم بقاء مال البائع عند المشتری بعد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جواز اشتراط ردّ بدله و لو مع التمکّن من العین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أنّه خلاف مقتضی الفسخ؛لأنّ مقتضاه رجوع کلٍّ من العوضین إلی صاحبه،فاشتراط البدل اشتراطٌ للفسخ علی وجهٍ غیر مشروعٍ،بل لیس فسخاً فی الحقیقة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نعم،لو اشترط ردّ التالف بالمثل فی القیمی و بالقیمة فی المثلی أمکن الجواز؛لأنّه بمنزلة اشتراط إیفاء ما فی الذمّة بغیر جنسه، لا اشتراط ضمان التالف المثلی بالقیمة و القیمی بالمثل،و لا اشتراط رجوع غیر ما اقتضاه العقد إلی البائع،فتأمّل</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یجوز اشتراط الفسخ لکلٍّ منهما بردّ ما انتقل إلیه أو بدله؛و اللّٰه العالم</w:t>
      </w:r>
      <w:r>
        <w:rPr>
          <w:rFonts w:eastAsia="IRNazanin" w:cs="IRNazanin"/>
          <w:color w:val="111111"/>
          <w:sz w:val="28"/>
          <w:szCs w:val="28"/>
          <w:rtl w:val="true"/>
          <w:lang w:bidi="fa-IR"/>
        </w:rPr>
        <w:t>.</w:t>
      </w:r>
      <w:bookmarkStart w:id="269" w:name="pg19864_220773"/>
    </w:p>
    <w:p>
      <w:pPr>
        <w:pStyle w:val="Heading6"/>
        <w:numPr>
          <w:ilvl w:val="5"/>
          <w:numId w:val="1"/>
        </w:numPr>
        <w:rPr/>
      </w:pPr>
      <w:bookmarkStart w:id="270" w:name="__RefHeading___Toc5148716_2314609296"/>
      <w:bookmarkStart w:id="271" w:name="_Toc103"/>
      <w:bookmarkEnd w:id="269"/>
      <w:bookmarkEnd w:id="270"/>
      <w:r>
        <w:rPr>
          <w:rtl w:val="true"/>
        </w:rPr>
        <w:t>مسألة لا إشکال و لا خلاف فی عدم اختصاص خیار الشرط بالبیع و جریانه فی کلّ معاوضةٍ لازمةٍ</w:t>
      </w:r>
      <w:bookmarkEnd w:id="271"/>
    </w:p>
    <w:p>
      <w:pPr>
        <w:pStyle w:val="BookText"/>
        <w:rPr/>
      </w:pPr>
      <w:r>
        <w:rPr>
          <w:rFonts w:ascii="IRNazanin" w:hAnsi="IRNazanin" w:eastAsia="IRNazanin"/>
          <w:color w:val="111111"/>
          <w:sz w:val="28"/>
          <w:sz w:val="28"/>
          <w:szCs w:val="28"/>
          <w:rtl w:val="true"/>
          <w:lang w:bidi="fa-IR"/>
        </w:rPr>
        <w:t>کالإجارة و الصلح و المزارعة و المساقاة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قال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الأقرب عندی دخول خیار الشرط فی کلِّ عقد معاوضةٍ،خلافاً للجمهور </w:t>
      </w:r>
      <w:r>
        <w:rPr>
          <w:rStyle w:val="FootnoteAnchor"/>
          <w:rtl w:val="true"/>
        </w:rPr>
        <w:footnoteReference w:id="5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مراده ما یکون لازماً؛لأنّه صرّح بعدم دخوله فی الوکالة و الجعالة و القراض و العاریة و الودیعة؛لأنّ الخیار لکلٍّ منهما دائماً،فلا معنی لدخول خیار الشرط فیه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الأصل فیما ذکر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Style w:val="FootnoteAnchor"/>
          <w:rtl w:val="true"/>
        </w:rPr>
        <w:footnoteReference w:id="513"/>
      </w:r>
      <w:r>
        <w:rPr>
          <w:rFonts w:ascii="IRNazanin" w:hAnsi="IRNazanin" w:eastAsia="IRNazanin"/>
          <w:color w:val="111111"/>
          <w:sz w:val="28"/>
          <w:sz w:val="28"/>
          <w:szCs w:val="28"/>
          <w:rtl w:val="true"/>
          <w:lang w:bidi="fa-IR"/>
        </w:rPr>
        <w:t xml:space="preserve">،بل الظاهر المصرَّح به فی کلمات جماعةٍ </w:t>
      </w:r>
      <w:r>
        <w:rPr>
          <w:rStyle w:val="FootnoteAnchor"/>
          <w:rtl w:val="true"/>
        </w:rPr>
        <w:footnoteReference w:id="514"/>
      </w:r>
      <w:r>
        <w:rPr>
          <w:rFonts w:ascii="IRNazanin" w:hAnsi="IRNazanin" w:eastAsia="IRNazanin"/>
          <w:color w:val="111111"/>
          <w:sz w:val="28"/>
          <w:sz w:val="28"/>
          <w:szCs w:val="28"/>
          <w:rtl w:val="true"/>
          <w:lang w:bidi="fa-IR"/>
        </w:rPr>
        <w:t>دخوله فی غیر المعاوضات من العقود اللازمة و لو من طرفٍ واحدٍ،بل إطلاقها یشمل العقود الجائزة،إلّا أن</w:t>
      </w:r>
      <w:bookmarkStart w:id="272" w:name="pg19864_220774"/>
    </w:p>
    <w:p>
      <w:pPr>
        <w:pStyle w:val="BookText"/>
        <w:rPr/>
      </w:pPr>
      <w:bookmarkEnd w:id="272"/>
      <w:r>
        <w:rPr>
          <w:rFonts w:ascii="IRNazanin" w:hAnsi="IRNazanin" w:eastAsia="IRNazanin"/>
          <w:color w:val="111111"/>
          <w:sz w:val="28"/>
          <w:sz w:val="28"/>
          <w:szCs w:val="28"/>
          <w:rtl w:val="true"/>
          <w:lang w:bidi="fa-IR"/>
        </w:rPr>
        <w:t>یدّعی من الخارج عدم معنیً للخیار فی العقد الجائز و لو من الطرف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الشرائع و الإرشاد و الدروس و تعلیق الإرشاد و مجمع البرهان و الکفایة </w:t>
      </w:r>
      <w:r>
        <w:rPr>
          <w:rStyle w:val="FootnoteAnchor"/>
          <w:rtl w:val="true"/>
        </w:rPr>
        <w:footnoteReference w:id="5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خیار الشرط فی کلّ عقدٍ سوی النکاح و الوقف و الإبراء و الطلاق و العتق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ظاهرها ما عدا الجائز؛و لذا ذکر نحو هذه العبارة فی التحریر </w:t>
      </w:r>
      <w:r>
        <w:rPr>
          <w:rStyle w:val="FootnoteAnchor"/>
          <w:rtl w:val="true"/>
        </w:rPr>
        <w:footnoteReference w:id="516"/>
      </w:r>
      <w:r>
        <w:rPr>
          <w:rFonts w:ascii="IRNazanin" w:hAnsi="IRNazanin" w:eastAsia="IRNazanin"/>
          <w:color w:val="111111"/>
          <w:sz w:val="28"/>
          <w:sz w:val="28"/>
          <w:szCs w:val="28"/>
          <w:rtl w:val="true"/>
          <w:lang w:bidi="fa-IR"/>
        </w:rPr>
        <w:t>بعد ما منع الخیار فی العقود الجائزة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فالظاهر عدم الخلاف بینهم فی أنّ مقتضی عموم أدلّة الشرط الصحّة فی الکلّ و إنّما الإخراج لمانع؛و لذا قال فی الدروس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حکایة المنع من دخول خیار الشرط فی الصرف عن الشیخ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لم یعلم وجهه مع عموم صحیحة ابن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Style w:val="FootnoteAnchor"/>
          <w:rtl w:val="true"/>
        </w:rPr>
        <w:footnoteReference w:id="517"/>
      </w:r>
      <w:r>
        <w:rPr>
          <w:rFonts w:ascii="IRNazanin" w:hAnsi="IRNazanin" w:eastAsia="IRNazanin"/>
          <w:color w:val="111111"/>
          <w:sz w:val="28"/>
          <w:sz w:val="28"/>
          <w:szCs w:val="28"/>
          <w:rtl w:val="true"/>
          <w:lang w:bidi="fa-IR"/>
        </w:rPr>
        <w:t>،فالمهمّ هنا بیان ما خرج عن هذا العموم</w:t>
      </w:r>
      <w:r>
        <w:rPr>
          <w:rFonts w:eastAsia="IRNazanin" w:cs="IRNazanin"/>
          <w:color w:val="111111"/>
          <w:sz w:val="28"/>
          <w:szCs w:val="28"/>
          <w:rtl w:val="true"/>
          <w:lang w:bidi="fa-IR"/>
        </w:rPr>
        <w:t>.</w:t>
      </w:r>
    </w:p>
    <w:p>
      <w:pPr>
        <w:pStyle w:val="Heading6"/>
        <w:numPr>
          <w:ilvl w:val="5"/>
          <w:numId w:val="1"/>
        </w:numPr>
        <w:rPr/>
      </w:pPr>
      <w:bookmarkStart w:id="273" w:name="__RefHeading___Toc5148718_2314609296"/>
      <w:bookmarkStart w:id="274" w:name="_Toc104"/>
      <w:bookmarkEnd w:id="273"/>
      <w:r>
        <w:rPr>
          <w:rtl w:val="true"/>
        </w:rPr>
        <w:t>[</w:t>
      </w:r>
      <w:r>
        <w:rPr>
          <w:rtl w:val="true"/>
        </w:rPr>
        <w:t>عدم جریان خیار الشرط فی الإیقاعات</w:t>
      </w:r>
      <w:r>
        <w:rPr>
          <w:rtl w:val="true"/>
        </w:rPr>
        <w:t>]</w:t>
      </w:r>
      <w:bookmarkEnd w:id="274"/>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الإیقاعات،فالظاهر عدم الخلاف فی عدم دخول الخیار فیها،کما یرشد إلیه استدلال الحلّی فی السرائر علی عدم دخوله فی الطلاق بخروجه عن العقود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المفهوم من الشرط ما کان بین اثنین کما ینبّه علیه</w:t>
      </w:r>
    </w:p>
    <w:p>
      <w:pPr>
        <w:pStyle w:val="BookText"/>
        <w:rPr/>
      </w:pPr>
      <w:r>
        <w:rPr>
          <w:rFonts w:ascii="IRNazanin" w:hAnsi="IRNazanin" w:eastAsia="IRNazanin"/>
          <w:color w:val="111111"/>
          <w:sz w:val="28"/>
          <w:sz w:val="28"/>
          <w:szCs w:val="28"/>
          <w:rtl w:val="true"/>
          <w:lang w:bidi="fa-IR"/>
        </w:rPr>
        <w:t xml:space="preserve">جملةٌ من الأخبار و الإیقاع إنّما یقوم بواحدٍ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المستفاد من الأخبار کون الشرط قائماً بشخصین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المشروط له،و المشروط علیه،لا کونه متوقِّفاً علی الإیجاب و القبول؛ أ لا تری أنّهم جوّزوا أن یشترط فی إعتاق العبد خدمةَ مدّةٍ </w:t>
      </w:r>
      <w:r>
        <w:rPr>
          <w:rStyle w:val="FootnoteAnchor"/>
          <w:rtl w:val="true"/>
        </w:rPr>
        <w:footnoteReference w:id="520"/>
      </w:r>
      <w:r>
        <w:rPr>
          <w:rFonts w:ascii="IRNazanin" w:hAnsi="IRNazanin" w:eastAsia="IRNazanin"/>
          <w:color w:val="111111"/>
          <w:sz w:val="28"/>
          <w:sz w:val="28"/>
          <w:szCs w:val="28"/>
          <w:rtl w:val="true"/>
          <w:lang w:bidi="fa-IR"/>
        </w:rPr>
        <w:t>تمسّکاً بعموم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،غایة الأمر توقّف لزومه کاشتراط مالٍ علی العبد علی قبول العبد علی قول بعضٍ </w:t>
      </w:r>
      <w:r>
        <w:rPr>
          <w:rStyle w:val="FootnoteAnchor"/>
          <w:rtl w:val="true"/>
        </w:rPr>
        <w:footnoteReference w:id="5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هذا غیر اشتراط وقوع الشرط بین الإیجاب و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فالأولی الاستدلال علیه مضافاً إلی إمکان منع صدق الشرط، أو </w:t>
      </w:r>
      <w:r>
        <w:rPr>
          <w:rStyle w:val="FootnoteAnchor"/>
          <w:rtl w:val="true"/>
        </w:rPr>
        <w:footnoteReference w:id="522"/>
      </w:r>
      <w:r>
        <w:rPr>
          <w:rFonts w:ascii="IRNazanin" w:hAnsi="IRNazanin" w:eastAsia="IRNazanin"/>
          <w:color w:val="111111"/>
          <w:sz w:val="28"/>
          <w:sz w:val="28"/>
          <w:szCs w:val="28"/>
          <w:rtl w:val="true"/>
          <w:lang w:bidi="fa-IR"/>
        </w:rPr>
        <w:t xml:space="preserve">انصرافه،خصوصاً علی ما تقدّم عن القاموس </w:t>
      </w:r>
      <w:r>
        <w:rPr>
          <w:rStyle w:val="FootnoteAnchor"/>
          <w:rtl w:val="true"/>
        </w:rPr>
        <w:footnoteReference w:id="5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مشروعیّة الفسخ فی الإیقاعات حتّی تقبل لاشتراط التسلّط علی الفسخ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الرجوع فی العدّة لیس فسخاً للطلاق،بل هو حکم شرعیٌّ فی بعض أقسامه لا یقبل </w:t>
      </w:r>
      <w:r>
        <w:rPr>
          <w:rStyle w:val="FootnoteAnchor"/>
          <w:rtl w:val="true"/>
        </w:rPr>
        <w:footnoteReference w:id="524"/>
      </w:r>
      <w:r>
        <w:rPr>
          <w:rFonts w:ascii="IRNazanin" w:hAnsi="IRNazanin" w:eastAsia="IRNazanin"/>
          <w:color w:val="111111"/>
          <w:sz w:val="28"/>
          <w:sz w:val="28"/>
          <w:szCs w:val="28"/>
          <w:rtl w:val="true"/>
          <w:lang w:bidi="fa-IR"/>
        </w:rPr>
        <w:t>الثبوت فی غیر مورده،بل و لا السقوط فی مورده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مرجع هذا إلی أنّ مشروعیّة الفسخ لا بدّ لها من دلیلٍ،و قد وجد فی</w:t>
      </w:r>
      <w:bookmarkStart w:id="275" w:name="pg19864_220776"/>
    </w:p>
    <w:p>
      <w:pPr>
        <w:pStyle w:val="BookText"/>
        <w:rPr/>
      </w:pPr>
      <w:bookmarkEnd w:id="275"/>
      <w:r>
        <w:rPr>
          <w:rFonts w:ascii="IRNazanin" w:hAnsi="IRNazanin" w:eastAsia="IRNazanin"/>
          <w:color w:val="111111"/>
          <w:sz w:val="28"/>
          <w:sz w:val="28"/>
          <w:szCs w:val="28"/>
          <w:rtl w:val="true"/>
          <w:lang w:bidi="fa-IR"/>
        </w:rPr>
        <w:t>العقود من جهة مشروعیّة الإقالة و ثبوت خیار المجلس و الحیوان و غیرهما فی بعضها،بخلاف الإیقاعات؛فإنّه لم یُعهد من الشارع تجویز نقض أثرها بعد وقوعها حتّی یصحّ اشتراط ذلک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بالجملة،فالشرط لا یَجعل غیرَ السبب الشرعی سبباً،فإذا لم یعلم کون الفسخ سبباً لارتفاع الإیقاع أو علم عدمه بناءً علی أنّ اللزوم فی الإیقاعات حکمٌ شرعیٌّ کالجواز فی العقود الجائزة فلا یصیر سبباً باشتراط التسلّط علیه فی متن الإیقاع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کلّه،مضافاً إلی الإجماع عن المبسوط و نفی الخلاف عن السرائر علی عدم دخوله فی العتق و الطلاق </w:t>
      </w:r>
      <w:r>
        <w:rPr>
          <w:rStyle w:val="FootnoteAnchor"/>
          <w:rtl w:val="true"/>
        </w:rPr>
        <w:footnoteReference w:id="525"/>
      </w:r>
      <w:r>
        <w:rPr>
          <w:rFonts w:ascii="IRNazanin" w:hAnsi="IRNazanin" w:eastAsia="IRNazanin"/>
          <w:color w:val="111111"/>
          <w:sz w:val="28"/>
          <w:sz w:val="28"/>
          <w:szCs w:val="28"/>
          <w:rtl w:val="true"/>
          <w:lang w:bidi="fa-IR"/>
        </w:rPr>
        <w:t xml:space="preserve">،و إجماع المسالک علی عدم دخوله فی العتق و الإبراء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6" w:name="__RefHeading___Toc5148720_2314609296"/>
      <w:bookmarkStart w:id="277" w:name="_Toc105"/>
      <w:bookmarkEnd w:id="276"/>
      <w:r>
        <w:rPr>
          <w:rtl w:val="true"/>
        </w:rPr>
        <w:t>[</w:t>
      </w:r>
      <w:r>
        <w:rPr>
          <w:rtl w:val="true"/>
        </w:rPr>
        <w:t>عدم جریان خیار الشرط فی العقود المتضمنة للإیقاع</w:t>
      </w:r>
      <w:r>
        <w:rPr>
          <w:rtl w:val="true"/>
        </w:rPr>
        <w:t>]</w:t>
      </w:r>
      <w:bookmarkEnd w:id="277"/>
    </w:p>
    <w:p>
      <w:pPr>
        <w:pStyle w:val="BookText"/>
        <w:rPr/>
      </w:pPr>
      <w:r>
        <w:rPr>
          <w:rFonts w:ascii="IRNazanin" w:hAnsi="IRNazanin" w:eastAsia="IRNazanin"/>
          <w:color w:val="111111"/>
          <w:sz w:val="28"/>
          <w:sz w:val="28"/>
          <w:szCs w:val="28"/>
          <w:rtl w:val="true"/>
          <w:lang w:bidi="fa-IR"/>
        </w:rPr>
        <w:t xml:space="preserve">و ممّا ذکرنا فی الإیقاع یمکن أن یمنع دخول الخیار فیما تضمّن الإیقاع و لو کان عقداً،کالصلح المفید فائدة الإبراء،کما فی التحریر و جامع المقاصد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غایة المرام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الصلح إن وقع معاوضةً دخله خیار الشرط، و إن وقع عمّا فی الذمّة مع جهالته أو علی إسقاط الدعوی قبل ثبوتها لم یدخله؛لأنّ مشروعیّته لقطع المنازعة فقط،و اشتراط الخیار لعود الخصومة ینافی مشروعیّتَه،و کلّ شرطٍ ینافی مشروعیّة العقد غیر لازمٍ </w:t>
      </w:r>
      <w:r>
        <w:rPr>
          <w:rStyle w:val="FootnoteAnchor"/>
          <w:rtl w:val="true"/>
        </w:rPr>
        <w:footnoteReference w:id="528"/>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bookmarkStart w:id="278" w:name="pg19864_220777"/>
    </w:p>
    <w:p>
      <w:pPr>
        <w:pStyle w:val="BookText"/>
        <w:rPr/>
      </w:pPr>
      <w:bookmarkEnd w:id="278"/>
      <w:r>
        <w:rPr>
          <w:rFonts w:ascii="IRNazanin" w:hAnsi="IRNazanin" w:eastAsia="IRNazanin"/>
          <w:color w:val="111111"/>
          <w:sz w:val="28"/>
          <w:sz w:val="28"/>
          <w:szCs w:val="28"/>
          <w:rtl w:val="true"/>
          <w:lang w:bidi="fa-IR"/>
        </w:rPr>
        <w:t>و الکبری المذکورة فی کلامه راجعةٌ إلی ما ذکرنا فی وجه المنع عن الإیقاعات،و لا أقلّ من الشکّ فی ذلک الراجع إلی الشکّ فی سببیّة الفسخ لرفع الإیقاع</w:t>
      </w:r>
      <w:r>
        <w:rPr>
          <w:rFonts w:eastAsia="IRNazanin" w:cs="IRNazanin"/>
          <w:color w:val="111111"/>
          <w:sz w:val="28"/>
          <w:szCs w:val="28"/>
          <w:rtl w:val="true"/>
          <w:lang w:bidi="fa-IR"/>
        </w:rPr>
        <w:t>.</w:t>
      </w:r>
    </w:p>
    <w:p>
      <w:pPr>
        <w:pStyle w:val="Heading6"/>
        <w:numPr>
          <w:ilvl w:val="5"/>
          <w:numId w:val="1"/>
        </w:numPr>
        <w:rPr/>
      </w:pPr>
      <w:bookmarkStart w:id="279" w:name="__RefHeading___Toc5148722_2314609296"/>
      <w:bookmarkStart w:id="280" w:name="_Toc106"/>
      <w:bookmarkEnd w:id="279"/>
      <w:r>
        <w:rPr>
          <w:rtl w:val="true"/>
        </w:rPr>
        <w:t>[</w:t>
      </w:r>
      <w:r>
        <w:rPr>
          <w:rtl w:val="true"/>
        </w:rPr>
        <w:t>أقسام العقود من حیث دخول خیار الشرط فیها</w:t>
      </w:r>
      <w:r>
        <w:rPr>
          <w:rtl w:val="true"/>
        </w:rPr>
        <w:t>]</w:t>
      </w:r>
      <w:bookmarkEnd w:id="280"/>
    </w:p>
    <w:p>
      <w:pPr>
        <w:pStyle w:val="Heading6"/>
        <w:numPr>
          <w:ilvl w:val="5"/>
          <w:numId w:val="1"/>
        </w:numPr>
        <w:rPr/>
      </w:pPr>
      <w:bookmarkStart w:id="281" w:name="__RefHeading___Toc5148724_2314609296"/>
      <w:bookmarkStart w:id="282" w:name="_Toc107"/>
      <w:bookmarkEnd w:id="281"/>
      <w:r>
        <w:rPr>
          <w:rtl w:val="true"/>
        </w:rPr>
        <w:t>[</w:t>
      </w:r>
      <w:r>
        <w:rPr>
          <w:rtl w:val="true"/>
        </w:rPr>
        <w:t>ما لا یدخله اتّفاقاً</w:t>
      </w:r>
      <w:r>
        <w:rPr>
          <w:rtl w:val="true"/>
        </w:rPr>
        <w:t>]</w:t>
      </w:r>
      <w:bookmarkEnd w:id="282"/>
    </w:p>
    <w:p>
      <w:pPr>
        <w:pStyle w:val="BookText"/>
        <w:rPr/>
      </w:pPr>
      <w:r>
        <w:rPr>
          <w:rFonts w:ascii="IRNazanin" w:hAnsi="IRNazanin" w:eastAsia="IRNazanin"/>
          <w:color w:val="111111"/>
          <w:sz w:val="28"/>
          <w:sz w:val="28"/>
          <w:szCs w:val="28"/>
          <w:rtl w:val="true"/>
          <w:lang w:bidi="fa-IR"/>
        </w:rPr>
        <w:t>و أمّا 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فمنها ما لا یدخله اتّفاقاً،و منها ما اختلف فیه، و منها ما یدخله اتّفاقاً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النکاح،فإنّه لا یدخله اتّفاقاً،کما عن الخلاف و المبسوط و السرائر و جامع المقاصد و 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الإجماع علیه </w:t>
      </w:r>
      <w:r>
        <w:rPr>
          <w:rStyle w:val="FootnoteAnchor"/>
          <w:rtl w:val="true"/>
        </w:rPr>
        <w:footnoteReference w:id="5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لتوقّف ارتفاعه شرعاً علی الطلاق و عدم مشروعیّة التقایل فیه</w:t>
      </w:r>
      <w:r>
        <w:rPr>
          <w:rFonts w:eastAsia="IRNazanin" w:cs="IRNazanin"/>
          <w:color w:val="111111"/>
          <w:sz w:val="28"/>
          <w:szCs w:val="28"/>
          <w:rtl w:val="true"/>
          <w:lang w:bidi="fa-IR"/>
        </w:rPr>
        <w:t>.</w:t>
      </w:r>
    </w:p>
    <w:p>
      <w:pPr>
        <w:pStyle w:val="Heading6"/>
        <w:numPr>
          <w:ilvl w:val="5"/>
          <w:numId w:val="1"/>
        </w:numPr>
        <w:rPr/>
      </w:pPr>
      <w:bookmarkStart w:id="283" w:name="__RefHeading___Toc5148726_2314609296"/>
      <w:bookmarkStart w:id="284" w:name="_Toc108"/>
      <w:bookmarkEnd w:id="283"/>
      <w:r>
        <w:rPr>
          <w:rtl w:val="true"/>
        </w:rPr>
        <w:t>[</w:t>
      </w:r>
      <w:r>
        <w:rPr>
          <w:rtl w:val="true"/>
        </w:rPr>
        <w:t>ما اختلف فی دخوله فیه</w:t>
      </w:r>
      <w:r>
        <w:rPr>
          <w:rtl w:val="true"/>
        </w:rPr>
        <w:t>]</w:t>
      </w:r>
      <w:bookmarkEnd w:id="284"/>
    </w:p>
    <w:p>
      <w:pPr>
        <w:pStyle w:val="Heading6"/>
        <w:numPr>
          <w:ilvl w:val="5"/>
          <w:numId w:val="1"/>
        </w:numPr>
        <w:rPr/>
      </w:pPr>
      <w:bookmarkStart w:id="285" w:name="__RefHeading___Toc5148728_2314609296"/>
      <w:bookmarkStart w:id="286" w:name="_Toc109"/>
      <w:bookmarkEnd w:id="285"/>
      <w:r>
        <w:rPr>
          <w:rtl w:val="true"/>
        </w:rPr>
        <w:t>[</w:t>
      </w:r>
      <w:r>
        <w:rPr>
          <w:rtl w:val="true"/>
        </w:rPr>
        <w:t>الوقف</w:t>
      </w:r>
      <w:r>
        <w:rPr>
          <w:rtl w:val="true"/>
        </w:rPr>
        <w:t>]</w:t>
      </w:r>
      <w:bookmarkEnd w:id="286"/>
    </w:p>
    <w:p>
      <w:pPr>
        <w:pStyle w:val="BookText"/>
        <w:rPr/>
      </w:pPr>
      <w:r>
        <w:rPr>
          <w:rFonts w:ascii="IRNazanin" w:hAnsi="IRNazanin" w:eastAsia="IRNazanin"/>
          <w:color w:val="111111"/>
          <w:sz w:val="28"/>
          <w:sz w:val="28"/>
          <w:szCs w:val="28"/>
          <w:rtl w:val="true"/>
          <w:lang w:bidi="fa-IR"/>
        </w:rPr>
        <w:t>و من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الوقف،فإنّ المشهور عدم دخوله فیه،و عن المسالک</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 موضع وفاق </w:t>
      </w:r>
      <w:r>
        <w:rPr>
          <w:rStyle w:val="FootnoteAnchor"/>
          <w:rtl w:val="true"/>
        </w:rPr>
        <w:footnoteReference w:id="5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یظهر من محکیّ السرائر و الدروس وجود الخلاف فیه </w:t>
      </w:r>
      <w:r>
        <w:rPr>
          <w:rStyle w:val="FootnoteAnchor"/>
          <w:rtl w:val="true"/>
        </w:rPr>
        <w:footnoteReference w:id="5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ربما علّل باشتراط القربة فیه و أنّه فکّ ملکٍ بغیر عوضٍ </w:t>
      </w:r>
      <w:r>
        <w:rPr>
          <w:rStyle w:val="FootnoteAnchor"/>
          <w:rtl w:val="true"/>
        </w:rPr>
        <w:footnoteReference w:id="532"/>
      </w:r>
      <w:r>
        <w:rPr>
          <w:rFonts w:ascii="IRNazanin" w:hAnsi="IRNazanin" w:eastAsia="IRNazanin"/>
          <w:color w:val="111111"/>
          <w:sz w:val="28"/>
          <w:sz w:val="28"/>
          <w:szCs w:val="28"/>
          <w:rtl w:val="true"/>
          <w:lang w:bidi="fa-IR"/>
        </w:rPr>
        <w:t>، و الکبری فی الصغریین ممنوعةٌ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الاستدلال له بالموثّقة المذکورة فی مسألة شرط الواقف کونَه أحقّ بالوقف عند الحاجة،و هی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أوقف أرضاً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احتجتُ إلیها فأنا أحقّ بها،ثمّ مات الرجل فإنّها ترجع فی المیراث</w:t>
      </w:r>
      <w:r>
        <w:rPr>
          <w:rFonts w:eastAsia="IRNazanin" w:cs="IRNazanin"/>
          <w:color w:val="111111"/>
          <w:sz w:val="28"/>
          <w:szCs w:val="28"/>
          <w:rtl w:val="true"/>
          <w:lang w:bidi="fa-IR"/>
        </w:rPr>
        <w:t xml:space="preserve">» </w:t>
      </w:r>
      <w:r>
        <w:rPr>
          <w:rStyle w:val="FootnoteAnchor"/>
          <w:rtl w:val="true"/>
        </w:rPr>
        <w:footnoteReference w:id="533"/>
      </w:r>
      <w:r>
        <w:rPr>
          <w:rFonts w:ascii="IRNazanin" w:hAnsi="IRNazanin" w:eastAsia="IRNazanin"/>
          <w:color w:val="111111"/>
          <w:sz w:val="28"/>
          <w:sz w:val="28"/>
          <w:szCs w:val="28"/>
          <w:rtl w:val="true"/>
          <w:lang w:bidi="fa-IR"/>
        </w:rPr>
        <w:t xml:space="preserve">و قریبٌ منها غیرها </w:t>
      </w:r>
      <w:r>
        <w:rPr>
          <w:rStyle w:val="FootnoteAnchor"/>
          <w:rtl w:val="true"/>
        </w:rPr>
        <w:footnoteReference w:id="5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دلالتهما </w:t>
      </w:r>
      <w:r>
        <w:rPr>
          <w:rStyle w:val="FootnoteAnchor"/>
          <w:rtl w:val="true"/>
        </w:rPr>
        <w:footnoteReference w:id="535"/>
      </w:r>
      <w:r>
        <w:rPr>
          <w:rFonts w:ascii="Amiri" w:hAnsi="Amiri" w:eastAsia="Amiri" w:cs="Amiri"/>
          <w:color w:val="111111"/>
          <w:sz w:val="28"/>
          <w:sz w:val="28"/>
          <w:szCs w:val="28"/>
          <w:rtl w:val="true"/>
          <w:lang w:bidi="ar-SA"/>
        </w:rPr>
        <w:t>علی المدّعی 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یظهر من المحکیّ عن المشایخ الثلاثة فی تلک المسألة </w:t>
      </w:r>
      <w:r>
        <w:rPr>
          <w:rStyle w:val="FootnoteAnchor"/>
          <w:rtl w:val="true"/>
        </w:rPr>
        <w:footnoteReference w:id="536"/>
      </w:r>
      <w:r>
        <w:rPr>
          <w:rFonts w:ascii="IRNazanin" w:hAnsi="IRNazanin" w:eastAsia="IRNazanin"/>
          <w:color w:val="111111"/>
          <w:sz w:val="28"/>
          <w:sz w:val="28"/>
          <w:szCs w:val="28"/>
          <w:rtl w:val="true"/>
          <w:lang w:bidi="fa-IR"/>
        </w:rPr>
        <w:t xml:space="preserve">تجویز اشتراط الخیار فی الوقف </w:t>
      </w:r>
      <w:r>
        <w:rPr>
          <w:rStyle w:val="FootnoteAnchor"/>
          <w:rtl w:val="true"/>
        </w:rPr>
        <w:footnoteReference w:id="537"/>
      </w:r>
      <w:r>
        <w:rPr>
          <w:rFonts w:ascii="Amiri" w:hAnsi="Amiri" w:eastAsia="Amiri" w:cs="Amiri"/>
          <w:color w:val="111111"/>
          <w:sz w:val="28"/>
          <w:sz w:val="28"/>
          <w:szCs w:val="28"/>
          <w:rtl w:val="true"/>
          <w:lang w:bidi="ar-SA"/>
        </w:rPr>
        <w:t xml:space="preserve">،و لعلّه </w:t>
      </w:r>
      <w:r>
        <w:rPr>
          <w:rStyle w:val="FootnoteAnchor"/>
          <w:rtl w:val="true"/>
        </w:rPr>
        <w:footnoteReference w:id="538"/>
      </w:r>
      <w:r>
        <w:rPr>
          <w:rFonts w:ascii="IRNazanin" w:hAnsi="IRNazanin" w:eastAsia="IRNazanin"/>
          <w:color w:val="111111"/>
          <w:sz w:val="28"/>
          <w:sz w:val="28"/>
          <w:szCs w:val="28"/>
          <w:rtl w:val="true"/>
          <w:lang w:bidi="fa-IR"/>
        </w:rPr>
        <w:t xml:space="preserve">المخالف الذی أُشیر إلیه فی محکیّ السرائر و الدروس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حکم الصدقة فالظاهر أنّه حکم الوقف،قال فی التذکرة فی باب الوقف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یشترط فی الوقف الإلزام فلا یقع لو شرط الخیار فیه لنفسه،و یکون الوقف باطلاً کالعتق و الصدقة </w:t>
      </w:r>
      <w:r>
        <w:rPr>
          <w:rStyle w:val="FootnoteAnchor"/>
          <w:rtl w:val="true"/>
        </w:rPr>
        <w:footnoteReference w:id="54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قال فی باب خیار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الهبة المقبوضة،فإن کانت لأجنبیٍّ غیر معوّضٍ عنها و لا قصد بها القربة و لا 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المتّهب </w:t>
      </w:r>
      <w:r>
        <w:rPr>
          <w:rStyle w:val="FootnoteAnchor"/>
          <w:rtl w:val="true"/>
        </w:rPr>
        <w:footnoteReference w:id="5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287" w:name="pg19864_220779"/>
    </w:p>
    <w:p>
      <w:pPr>
        <w:pStyle w:val="BookText"/>
        <w:rPr/>
      </w:pPr>
      <w:bookmarkEnd w:id="287"/>
      <w:r>
        <w:rPr>
          <w:rFonts w:ascii="IRNazanin" w:hAnsi="IRNazanin" w:eastAsia="IRNazanin"/>
          <w:color w:val="111111"/>
          <w:sz w:val="28"/>
          <w:sz w:val="28"/>
          <w:szCs w:val="28"/>
          <w:rtl w:val="true"/>
          <w:lang w:bidi="fa-IR"/>
        </w:rPr>
        <w:t>یجوز للواهب الرجوع فیها،و إن اختلّ أحد القیود لزمت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هل یدخلها خیار الشرط؟الأقرب ذلک </w:t>
      </w:r>
      <w:r>
        <w:rPr>
          <w:rStyle w:val="FootnoteAnchor"/>
          <w:rtl w:val="true"/>
        </w:rPr>
        <w:footnoteReference w:id="54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ظاهره دخول الخیار فی الهبة اللازمة حتّی الصدقة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کان،فالأقوی عدم دخوله فیها؛لعموم ما دلّ علی أنّه لا یُرجع فیما کان للّٰه </w:t>
      </w:r>
      <w:r>
        <w:rPr>
          <w:rStyle w:val="FootnoteAnchor"/>
          <w:rtl w:val="true"/>
        </w:rPr>
        <w:footnoteReference w:id="543"/>
      </w:r>
      <w:r>
        <w:rPr>
          <w:rFonts w:ascii="IRNazanin" w:hAnsi="IRNazanin" w:eastAsia="IRNazanin"/>
          <w:color w:val="111111"/>
          <w:sz w:val="28"/>
          <w:sz w:val="28"/>
          <w:szCs w:val="28"/>
          <w:rtl w:val="true"/>
          <w:lang w:bidi="fa-IR"/>
        </w:rPr>
        <w:t>،بناءً علی أنّ المستفاد منه کون اللزوم حکماً شرعیّاً لماهیّة الصدقة،نظیر الجواز للعقود الجائزة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شکّ فی ذلک کفی فی عدم سببیّة الفسخ التی یتوقّف صحّة اشتراط الخیار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توهّم إمکان إثبات السببیّة بنفس دلیل الشرط واضح الاندفاع</w:t>
      </w:r>
      <w:r>
        <w:rPr>
          <w:rFonts w:eastAsia="IRNazanin" w:cs="IRNazanin"/>
          <w:color w:val="111111"/>
          <w:sz w:val="28"/>
          <w:szCs w:val="28"/>
          <w:rtl w:val="true"/>
          <w:lang w:bidi="fa-IR"/>
        </w:rPr>
        <w:t>.</w:t>
      </w:r>
    </w:p>
    <w:p>
      <w:pPr>
        <w:pStyle w:val="Heading6"/>
        <w:numPr>
          <w:ilvl w:val="5"/>
          <w:numId w:val="1"/>
        </w:numPr>
        <w:rPr/>
      </w:pPr>
      <w:bookmarkStart w:id="288" w:name="__RefHeading___Toc5148730_2314609296"/>
      <w:bookmarkStart w:id="289" w:name="_Toc110"/>
      <w:bookmarkEnd w:id="288"/>
      <w:r>
        <w:rPr>
          <w:rtl w:val="true"/>
        </w:rPr>
        <w:t>و منه</w:t>
      </w:r>
      <w:bookmarkEnd w:id="289"/>
    </w:p>
    <w:p>
      <w:pPr>
        <w:pStyle w:val="BookText"/>
        <w:rPr/>
      </w:pPr>
      <w:r>
        <w:rPr>
          <w:rFonts w:ascii="IRNazanin" w:hAnsi="IRNazanin" w:eastAsia="IRNazanin"/>
          <w:color w:val="111111"/>
          <w:sz w:val="28"/>
          <w:sz w:val="28"/>
          <w:szCs w:val="28"/>
          <w:rtl w:val="true"/>
          <w:lang w:bidi="fa-IR"/>
        </w:rPr>
        <w:t xml:space="preserve">و منه </w:t>
      </w:r>
      <w:r>
        <w:rPr>
          <w:rStyle w:val="FootnoteAnchor"/>
          <w:rtl w:val="true"/>
        </w:rPr>
        <w:footnoteReference w:id="5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الصلح،</w:t>
      </w:r>
    </w:p>
    <w:p>
      <w:pPr>
        <w:pStyle w:val="BookText"/>
        <w:rPr/>
      </w:pPr>
      <w:r>
        <w:rPr>
          <w:rFonts w:ascii="IRNazanin" w:hAnsi="IRNazanin" w:eastAsia="IRNazanin"/>
          <w:color w:val="111111"/>
          <w:sz w:val="28"/>
          <w:sz w:val="28"/>
          <w:szCs w:val="28"/>
          <w:rtl w:val="true"/>
          <w:lang w:bidi="fa-IR"/>
        </w:rPr>
        <w:t>فإنّ الظاهر المصرّح به فی کلام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کالعلّامة فی التذکرة </w:t>
      </w:r>
      <w:r>
        <w:rPr>
          <w:rStyle w:val="FootnoteAnchor"/>
          <w:rtl w:val="true"/>
        </w:rPr>
        <w:footnoteReference w:id="5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الخیار فیه مطلقاً،بل عن المهذّب البارع فی باب الصلح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الإجماع علی دخوله فیه بقولٍ مطلقٍ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ظاهر المبسوط کالمحکیّ عن الخلاف </w:t>
      </w:r>
      <w:r>
        <w:rPr>
          <w:rStyle w:val="FootnoteAnchor"/>
          <w:rtl w:val="true"/>
        </w:rPr>
        <w:footnoteReference w:id="5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دخوله فیه مطلقاً</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تقدّم التفصیل عن التحریر و جامع المقاصد و غایة المرام </w:t>
      </w:r>
      <w:r>
        <w:rPr>
          <w:rStyle w:val="FootnoteAnchor"/>
          <w:rtl w:val="true"/>
        </w:rPr>
        <w:footnoteReference w:id="548"/>
      </w:r>
      <w:bookmarkStart w:id="290" w:name="pg19864_220780"/>
    </w:p>
    <w:p>
      <w:pPr>
        <w:pStyle w:val="BookText"/>
        <w:rPr/>
      </w:pPr>
      <w:bookmarkEnd w:id="290"/>
      <w:r>
        <w:rPr>
          <w:rFonts w:ascii="IRNazanin" w:hAnsi="IRNazanin" w:eastAsia="IRNazanin"/>
          <w:color w:val="111111"/>
          <w:sz w:val="28"/>
          <w:sz w:val="28"/>
          <w:szCs w:val="28"/>
          <w:rtl w:val="true"/>
          <w:lang w:bidi="fa-IR"/>
        </w:rPr>
        <w:t>و لا یخلو عن قربٍ؛لما تقدّم من الشکّ فی سببیّة الفسخ لرفع الإبراء أو ما یفید فائدته</w:t>
      </w:r>
      <w:r>
        <w:rPr>
          <w:rFonts w:eastAsia="IRNazanin" w:cs="IRNazanin"/>
          <w:color w:val="111111"/>
          <w:sz w:val="28"/>
          <w:szCs w:val="28"/>
          <w:rtl w:val="true"/>
          <w:lang w:bidi="fa-IR"/>
        </w:rPr>
        <w:t>.</w:t>
      </w:r>
    </w:p>
    <w:p>
      <w:pPr>
        <w:pStyle w:val="Heading6"/>
        <w:numPr>
          <w:ilvl w:val="5"/>
          <w:numId w:val="1"/>
        </w:numPr>
        <w:rPr/>
      </w:pPr>
      <w:bookmarkStart w:id="291" w:name="__RefHeading___Toc5148732_2314609296"/>
      <w:bookmarkStart w:id="292" w:name="_Toc111"/>
      <w:bookmarkEnd w:id="291"/>
      <w:r>
        <w:rPr>
          <w:rtl w:val="true"/>
        </w:rPr>
        <w:t>و منه</w:t>
      </w:r>
      <w:r>
        <w:rPr>
          <w:rtl w:val="true"/>
        </w:rPr>
        <w:t xml:space="preserve">: </w:t>
      </w:r>
      <w:r>
        <w:rPr>
          <w:rtl w:val="true"/>
        </w:rPr>
        <w:t>الضمان،</w:t>
      </w:r>
      <w:bookmarkEnd w:id="292"/>
    </w:p>
    <w:p>
      <w:pPr>
        <w:pStyle w:val="BookText"/>
        <w:rPr/>
      </w:pPr>
      <w:r>
        <w:rPr>
          <w:rFonts w:ascii="IRNazanin" w:hAnsi="IRNazanin" w:eastAsia="IRNazanin"/>
          <w:color w:val="111111"/>
          <w:sz w:val="28"/>
          <w:sz w:val="28"/>
          <w:szCs w:val="28"/>
          <w:rtl w:val="true"/>
          <w:lang w:bidi="fa-IR"/>
        </w:rPr>
        <w:t xml:space="preserve">فإنّ المحکیّ عن ضمان التذکرة و القواعد </w:t>
      </w:r>
      <w:r>
        <w:rPr>
          <w:rStyle w:val="FootnoteAnchor"/>
          <w:rtl w:val="true"/>
        </w:rPr>
        <w:footnoteReference w:id="5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دخول خیار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Style w:val="FootnoteAnchor"/>
          <w:rtl w:val="true"/>
        </w:rPr>
        <w:footnoteReference w:id="5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ظاهر المبسوط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الأقوی دخوله فیه لو قلنا بالتقایل فیه</w:t>
      </w:r>
      <w:r>
        <w:rPr>
          <w:rFonts w:eastAsia="IRNazanin" w:cs="IRNazanin"/>
          <w:color w:val="111111"/>
          <w:sz w:val="28"/>
          <w:szCs w:val="28"/>
          <w:rtl w:val="true"/>
          <w:lang w:bidi="fa-IR"/>
        </w:rPr>
        <w:t>.</w:t>
      </w:r>
    </w:p>
    <w:p>
      <w:pPr>
        <w:pStyle w:val="Heading6"/>
        <w:numPr>
          <w:ilvl w:val="5"/>
          <w:numId w:val="1"/>
        </w:numPr>
        <w:rPr/>
      </w:pPr>
      <w:bookmarkStart w:id="293" w:name="__RefHeading___Toc5148734_2314609296"/>
      <w:bookmarkStart w:id="294" w:name="_Toc112"/>
      <w:bookmarkEnd w:id="293"/>
      <w:r>
        <w:rPr>
          <w:rtl w:val="true"/>
        </w:rPr>
        <w:t>و منه</w:t>
      </w:r>
      <w:r>
        <w:rPr>
          <w:rtl w:val="true"/>
        </w:rPr>
        <w:t xml:space="preserve">: </w:t>
      </w:r>
      <w:r>
        <w:rPr>
          <w:rtl w:val="true"/>
        </w:rPr>
        <w:t>الرهن،</w:t>
      </w:r>
      <w:bookmarkEnd w:id="294"/>
    </w:p>
    <w:p>
      <w:pPr>
        <w:pStyle w:val="BookText"/>
        <w:rPr/>
      </w:pPr>
      <w:r>
        <w:rPr>
          <w:rFonts w:ascii="IRNazanin" w:hAnsi="IRNazanin" w:eastAsia="IRNazanin"/>
          <w:color w:val="111111"/>
          <w:sz w:val="28"/>
          <w:sz w:val="28"/>
          <w:szCs w:val="28"/>
          <w:rtl w:val="true"/>
          <w:lang w:bidi="fa-IR"/>
        </w:rPr>
        <w:t xml:space="preserve">فإنّ المصرَّح به فی غایة المرام عدم ثبوت الخیار للراهن </w:t>
      </w:r>
      <w:r>
        <w:rPr>
          <w:rStyle w:val="FootnoteAnchor"/>
          <w:rtl w:val="true"/>
        </w:rPr>
        <w:footnoteReference w:id="552"/>
      </w:r>
      <w:r>
        <w:rPr>
          <w:rFonts w:ascii="IRNazanin" w:hAnsi="IRNazanin" w:eastAsia="IRNazanin"/>
          <w:color w:val="111111"/>
          <w:sz w:val="28"/>
          <w:sz w:val="28"/>
          <w:szCs w:val="28"/>
          <w:rtl w:val="true"/>
          <w:lang w:bidi="fa-IR"/>
        </w:rPr>
        <w:t xml:space="preserve">لأنّ الرهن وثیقةٌ للدین،و الخیار ینافی الاستیثاق؛و لعلّه لذا استشکل فی التحریر </w:t>
      </w:r>
      <w:r>
        <w:rPr>
          <w:rStyle w:val="FootnoteAnchor"/>
          <w:rtl w:val="true"/>
        </w:rPr>
        <w:footnoteReference w:id="553"/>
      </w:r>
      <w:r>
        <w:rPr>
          <w:rFonts w:ascii="IRNazanin" w:hAnsi="IRNazanin" w:eastAsia="IRNazanin"/>
          <w:color w:val="111111"/>
          <w:sz w:val="28"/>
          <w:sz w:val="28"/>
          <w:szCs w:val="28"/>
          <w:rtl w:val="true"/>
          <w:lang w:bidi="fa-IR"/>
        </w:rPr>
        <w:t xml:space="preserve">و هو ظاهر المبسوط </w:t>
      </w:r>
      <w:r>
        <w:rPr>
          <w:rStyle w:val="FootnoteAnchor"/>
          <w:rtl w:val="true"/>
        </w:rPr>
        <w:footnoteReference w:id="554"/>
      </w:r>
      <w:r>
        <w:rPr>
          <w:rFonts w:ascii="IRNazanin" w:hAnsi="IRNazanin" w:eastAsia="IRNazanin"/>
          <w:color w:val="111111"/>
          <w:sz w:val="28"/>
          <w:sz w:val="28"/>
          <w:szCs w:val="28"/>
          <w:rtl w:val="true"/>
          <w:lang w:bidi="fa-IR"/>
        </w:rPr>
        <w:t>،و مرجعه إلی أنّ مقتضی طبیعة الرهن شرعاً بل عرفاً کونها وثیقةً،و الخیار منافٍ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غایة الأمر کون وضعه علی اللزوم،فلا ینافی جواز جعل الخیار بتراضی الطرفین</w:t>
      </w:r>
      <w:r>
        <w:rPr>
          <w:rFonts w:eastAsia="IRNazanin" w:cs="IRNazanin"/>
          <w:color w:val="111111"/>
          <w:sz w:val="28"/>
          <w:szCs w:val="28"/>
          <w:rtl w:val="true"/>
          <w:lang w:bidi="fa-IR"/>
        </w:rPr>
        <w:t>.</w:t>
      </w:r>
    </w:p>
    <w:p>
      <w:pPr>
        <w:pStyle w:val="Heading6"/>
        <w:numPr>
          <w:ilvl w:val="5"/>
          <w:numId w:val="1"/>
        </w:numPr>
        <w:rPr/>
      </w:pPr>
      <w:bookmarkStart w:id="295" w:name="__RefHeading___Toc5148736_2314609296"/>
      <w:bookmarkStart w:id="296" w:name="_Toc113"/>
      <w:bookmarkEnd w:id="295"/>
      <w:r>
        <w:rPr>
          <w:rtl w:val="true"/>
        </w:rPr>
        <w:t>و منه</w:t>
      </w:r>
      <w:r>
        <w:rPr>
          <w:rtl w:val="true"/>
        </w:rPr>
        <w:t xml:space="preserve">: </w:t>
      </w:r>
      <w:r>
        <w:rPr>
          <w:rtl w:val="true"/>
        </w:rPr>
        <w:t>الصرف،</w:t>
      </w:r>
      <w:bookmarkEnd w:id="296"/>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صریح المبسوط و الغنیة و السرائر عدم دخول</w:t>
      </w:r>
      <w:bookmarkStart w:id="297" w:name="pg19864_220781"/>
    </w:p>
    <w:p>
      <w:pPr>
        <w:pStyle w:val="BookText"/>
        <w:rPr/>
      </w:pPr>
      <w:bookmarkEnd w:id="297"/>
      <w:r>
        <w:rPr>
          <w:rFonts w:ascii="IRNazanin" w:hAnsi="IRNazanin" w:eastAsia="IRNazanin"/>
          <w:color w:val="111111"/>
          <w:sz w:val="28"/>
          <w:sz w:val="28"/>
          <w:szCs w:val="28"/>
          <w:rtl w:val="true"/>
          <w:lang w:bidi="fa-IR"/>
        </w:rPr>
        <w:t xml:space="preserve">خیار الشرط فیه </w:t>
      </w:r>
      <w:r>
        <w:rPr>
          <w:rStyle w:val="FootnoteAnchor"/>
          <w:rtl w:val="true"/>
        </w:rPr>
        <w:footnoteReference w:id="555"/>
      </w:r>
      <w:r>
        <w:rPr>
          <w:rFonts w:ascii="IRNazanin" w:hAnsi="IRNazanin" w:eastAsia="IRNazanin"/>
          <w:color w:val="111111"/>
          <w:sz w:val="28"/>
          <w:sz w:val="28"/>
          <w:szCs w:val="28"/>
          <w:rtl w:val="true"/>
          <w:lang w:bidi="fa-IR"/>
        </w:rPr>
        <w:t>،مدّعین علی ذلک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لما ذکره فی التذکرة للشافعی المانع عن دخوله فی الصرف و السلم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w:t>
      </w:r>
      <w:r>
        <w:rPr>
          <w:rStyle w:val="FootnoteAnchor"/>
          <w:rtl w:val="true"/>
        </w:rPr>
        <w:footnoteReference w:id="556"/>
      </w:r>
      <w:r>
        <w:rPr>
          <w:rFonts w:ascii="IRNazanin" w:hAnsi="IRNazanin" w:eastAsia="IRNazanin"/>
          <w:color w:val="111111"/>
          <w:sz w:val="28"/>
          <w:sz w:val="28"/>
          <w:szCs w:val="28"/>
          <w:rtl w:val="true"/>
          <w:lang w:bidi="fa-IR"/>
        </w:rPr>
        <w:t xml:space="preserve">المقصود من اعتبار التقابض فیهما أن یفترقا و لم یبق </w:t>
      </w:r>
      <w:r>
        <w:rPr>
          <w:rStyle w:val="FootnoteAnchor"/>
          <w:rtl w:val="true"/>
        </w:rPr>
        <w:footnoteReference w:id="557"/>
      </w:r>
      <w:r>
        <w:rPr>
          <w:rFonts w:ascii="IRNazanin" w:hAnsi="IRNazanin" w:eastAsia="IRNazanin"/>
          <w:color w:val="111111"/>
          <w:sz w:val="28"/>
          <w:sz w:val="28"/>
          <w:szCs w:val="28"/>
          <w:rtl w:val="true"/>
          <w:lang w:bidi="fa-IR"/>
        </w:rPr>
        <w:t xml:space="preserve">بینهما علقةٌ،و لو أثبتنا الخیار بقیت العلقة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الملازمة ممنوعةٌ کما فی التذکرة؛و لذا جزم فیها بدخوله فی الصرف و إن استشکله أوّلاً کما فی القواعد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8" w:name="__RefHeading___Toc5148738_2314609296"/>
      <w:bookmarkStart w:id="299" w:name="_Toc114"/>
      <w:bookmarkEnd w:id="298"/>
      <w:r>
        <w:rPr>
          <w:rtl w:val="true"/>
        </w:rPr>
        <w:t>[</w:t>
      </w:r>
      <w:r>
        <w:rPr>
          <w:rtl w:val="true"/>
        </w:rPr>
        <w:t>ما یدخله خیار الشرط اتفاقا</w:t>
      </w:r>
      <w:r>
        <w:rPr>
          <w:rtl w:val="true"/>
        </w:rPr>
        <w:t>]</w:t>
      </w:r>
      <w:bookmarkEnd w:id="299"/>
    </w:p>
    <w:p>
      <w:pPr>
        <w:pStyle w:val="BookText"/>
        <w:rPr/>
      </w:pPr>
      <w:r>
        <w:rPr>
          <w:rFonts w:ascii="IRNazanin" w:hAnsi="IRNazanin" w:eastAsia="IRNazanin"/>
          <w:color w:val="111111"/>
          <w:sz w:val="28"/>
          <w:sz w:val="28"/>
          <w:szCs w:val="28"/>
          <w:rtl w:val="true"/>
          <w:lang w:bidi="fa-IR"/>
        </w:rPr>
        <w:t xml:space="preserve">و من الثالث </w:t>
      </w:r>
      <w:r>
        <w:rPr>
          <w:rStyle w:val="FootnoteAnchor"/>
          <w:rtl w:val="true"/>
        </w:rPr>
        <w:footnoteReference w:id="5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البیع ما عدا الصرف و مطلق الإجارة و المزارعة و المساقاة و غیر ما ذکر من موارد الخلاف،فإنّ الظاهر عدم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فیها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0" w:name="__RefHeading___Toc5148740_2314609296"/>
      <w:bookmarkStart w:id="301" w:name="_Toc115"/>
      <w:bookmarkEnd w:id="300"/>
      <w:r>
        <w:rPr>
          <w:rtl w:val="true"/>
        </w:rPr>
        <w:t>[</w:t>
      </w:r>
      <w:r>
        <w:rPr>
          <w:rtl w:val="true"/>
        </w:rPr>
        <w:t>هل یدخل خیار الشرط فی القسمة؟</w:t>
      </w:r>
      <w:r>
        <w:rPr>
          <w:rtl w:val="true"/>
        </w:rPr>
        <w:t>]</w:t>
      </w:r>
      <w:bookmarkEnd w:id="301"/>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أنّه ذکر فی التذکرة تبعاً للمبسوط </w:t>
      </w:r>
      <w:r>
        <w:rPr>
          <w:rStyle w:val="FootnoteAnchor"/>
          <w:rtl w:val="true"/>
        </w:rPr>
        <w:footnoteReference w:id="5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دخول خیار الشرط فی القسمة و إن لم یکن فیها ردٌّ </w:t>
      </w:r>
      <w:r>
        <w:rPr>
          <w:rStyle w:val="FootnoteAnchor"/>
          <w:rtl w:val="true"/>
        </w:rPr>
        <w:footnoteReference w:id="5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یتصوّر إلّا بأن یشترط الخیار فی التراضی القولی بالسهام،و أمّا التراضی الفعلی فلا یتصوّر دخول خیار الشرط فیه؛بناءً علی وجوب ذکر الشرط فی متن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عدم جریان هذا الخیار فی المعاطاة و إن قلنا بلزومها من أوّل الأمر أو بعد التلف،و السرّ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الشرط القولی لا یمکن ارتباطه بالإنشاء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فیهما أیضاً دخول الخیار فی الصداق </w:t>
      </w:r>
      <w:r>
        <w:rPr>
          <w:rStyle w:val="FootnoteAnchor"/>
          <w:rtl w:val="true"/>
        </w:rPr>
        <w:footnoteReference w:id="5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لمشروعیّة الفسخ فیه فی بعض المقامات،کما إذا زوّجها الولیّ بدون مهر المثل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نظرٌ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ذکر فی المبسوط أیضاً دخول هذا الخیار فی السبق و الرمایة؛ للعموم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الأظهر بحسب القواعد إناطة دخول خیار الشرط بصحّة التقایل فی العقد،فمتی شرع التقایل مع التراضی بعد العقد جاز تراضیهما حین العقد علی سلطنة أحدهما أو کلیهما علی الفسخ،فإنّ إقدامه علی ذلک حین العقد کافٍ فی ذلک بعد ما وجب علیه شرعاً القیام و الوفاء بما شرطه علی نفسه،فیکون أمر الشارع إیّاه بعد العقد بالرضا بما یفعله صاحبه من الفسخ و الالتزام و عدم الاعتراض علیه قائماً مقام رضاه الفعلی بفعل صاحبه،و إن لم یرضَ فعلاً</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لم یصحّ التقایل فیه لم یصحّ اشتراط الخیار فیه؛لأنّه إذا لم یثبت تأثیر الفسخ بعد العقد عن تراضٍ منهما،فالالتزام حین العقد لسلطنة أحدهما علیه لا یحدث له أثراً؛لما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الالتزام حین العقد لا یفید إلّا فائدة الرضا الفعلی بعد العقد بفسخ صاحبه،و لا یجعل الفسخ مؤثّراً شرعیّاً،و اللّٰه العالم</w:t>
      </w:r>
      <w:r>
        <w:rPr>
          <w:rFonts w:eastAsia="IRNazanin" w:cs="IRNazanin"/>
          <w:color w:val="111111"/>
          <w:sz w:val="28"/>
          <w:szCs w:val="28"/>
          <w:rtl w:val="true"/>
          <w:lang w:bidi="fa-IR"/>
        </w:rPr>
        <w:t>.</w:t>
      </w:r>
      <w:bookmarkStart w:id="302" w:name="pg19864_220783"/>
    </w:p>
    <w:p>
      <w:pPr>
        <w:pStyle w:val="Heading4"/>
        <w:numPr>
          <w:ilvl w:val="3"/>
          <w:numId w:val="1"/>
        </w:numPr>
        <w:rPr/>
      </w:pPr>
      <w:bookmarkStart w:id="303" w:name="__RefHeading___Toc5148742_2314609296"/>
      <w:bookmarkStart w:id="304" w:name="_Toc116"/>
      <w:bookmarkEnd w:id="302"/>
      <w:bookmarkEnd w:id="303"/>
      <w:r>
        <w:rPr>
          <w:rtl w:val="true"/>
        </w:rPr>
        <w:t>الرابع خیار الغبن</w:t>
      </w:r>
      <w:bookmarkEnd w:id="304"/>
    </w:p>
    <w:p>
      <w:pPr>
        <w:pStyle w:val="Heading5"/>
        <w:numPr>
          <w:ilvl w:val="4"/>
          <w:numId w:val="1"/>
        </w:numPr>
        <w:rPr/>
      </w:pPr>
      <w:bookmarkStart w:id="305" w:name="__RefHeading___Toc5148744_2314609296"/>
      <w:bookmarkStart w:id="306" w:name="_Toc117"/>
      <w:bookmarkEnd w:id="305"/>
      <w:r>
        <w:rPr>
          <w:rtl w:val="true"/>
        </w:rPr>
        <w:t>[</w:t>
      </w:r>
      <w:r>
        <w:rPr>
          <w:rtl w:val="true"/>
        </w:rPr>
        <w:t>الغبن لغة و اصطلاحا</w:t>
      </w:r>
      <w:r>
        <w:rPr>
          <w:rtl w:val="true"/>
        </w:rPr>
        <w:t>]</w:t>
      </w:r>
      <w:bookmarkEnd w:id="306"/>
    </w:p>
    <w:p>
      <w:pPr>
        <w:pStyle w:val="BookText"/>
        <w:rPr/>
      </w:pPr>
      <w:r>
        <w:rPr>
          <w:rFonts w:ascii="IRNazanin" w:hAnsi="IRNazanin" w:eastAsia="IRNazanin"/>
          <w:color w:val="111111"/>
          <w:sz w:val="28"/>
          <w:sz w:val="28"/>
          <w:szCs w:val="28"/>
          <w:rtl w:val="true"/>
          <w:lang w:bidi="fa-IR"/>
        </w:rPr>
        <w:t>واصلة الخدیعة،قال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بالتسکین فی البیع، و </w:t>
      </w:r>
      <w:r>
        <w:rPr>
          <w:rStyle w:val="FootnoteAnchor"/>
          <w:rtl w:val="true"/>
        </w:rPr>
        <w:footnoteReference w:id="566"/>
      </w:r>
      <w:r>
        <w:rPr>
          <w:rFonts w:ascii="IRNazanin" w:hAnsi="IRNazanin" w:eastAsia="IRNazanin"/>
          <w:color w:val="111111"/>
          <w:sz w:val="28"/>
          <w:sz w:val="28"/>
          <w:szCs w:val="28"/>
          <w:rtl w:val="true"/>
          <w:lang w:bidi="fa-IR"/>
        </w:rPr>
        <w:t xml:space="preserve">بالتحریک فی الرأی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فی اصطلاح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تملیک ماله بما یزید علی قیمته مع جهل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تسمیة المملّک غابناً و الآخر مغبوناً،مع أنّه قد لا یکون خَدْعٌ أصلاً کما لو کانا جاهلین لأجل غلبة صدور هذه المعاوضة علی وجه الخَدْع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بما یزید أو ینقص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العوض مع ملاحظة ما انضمّ إلیه من الشرط،فلو باع ما یسوی </w:t>
      </w:r>
      <w:r>
        <w:rPr>
          <w:rStyle w:val="FootnoteAnchor"/>
          <w:rtl w:val="true"/>
        </w:rPr>
        <w:footnoteReference w:id="568"/>
      </w:r>
      <w:r>
        <w:rPr>
          <w:rFonts w:ascii="IRNazanin" w:hAnsi="IRNazanin" w:eastAsia="IRNazanin"/>
          <w:color w:val="111111"/>
          <w:sz w:val="28"/>
          <w:sz w:val="28"/>
          <w:szCs w:val="28"/>
          <w:rtl w:val="true"/>
          <w:lang w:bidi="fa-IR"/>
        </w:rPr>
        <w:t>مائة دینار بأقلّ منه مع اشتراط الخیار للبائع،فلا غبن؛لأنّ المبیع ببیع الخیار ینقص ثمنُه عن المبیع بالبیع اللازم،و هکذا غیره من الشروط</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کون الزیادة ممّا لا یتسامح به شرطٌ خارجٌ عن</w:t>
      </w:r>
      <w:bookmarkStart w:id="307" w:name="pg19864_220784"/>
    </w:p>
    <w:p>
      <w:pPr>
        <w:pStyle w:val="BookText"/>
        <w:rPr/>
      </w:pPr>
      <w:bookmarkEnd w:id="307"/>
      <w:r>
        <w:rPr>
          <w:rFonts w:ascii="IRNazanin" w:hAnsi="IRNazanin" w:eastAsia="IRNazanin"/>
          <w:color w:val="111111"/>
          <w:sz w:val="28"/>
          <w:sz w:val="28"/>
          <w:szCs w:val="28"/>
          <w:rtl w:val="true"/>
          <w:lang w:bidi="fa-IR"/>
        </w:rPr>
        <w:t>مفهومه،بخلاف الجهل بقیمته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ثبوت الخیار به مع الشرط المذکور هو المعروف بین الأصحاب،و نسبه فی التذکرة إلی علمائنا </w:t>
      </w:r>
      <w:r>
        <w:rPr>
          <w:rStyle w:val="FootnoteAnchor"/>
          <w:rtl w:val="true"/>
        </w:rPr>
        <w:footnoteReference w:id="569"/>
      </w:r>
      <w:r>
        <w:rPr>
          <w:rFonts w:ascii="IRNazanin" w:hAnsi="IRNazanin" w:eastAsia="IRNazanin"/>
          <w:color w:val="111111"/>
          <w:sz w:val="28"/>
          <w:sz w:val="28"/>
          <w:szCs w:val="28"/>
          <w:rtl w:val="true"/>
          <w:lang w:bidi="fa-IR"/>
        </w:rPr>
        <w:t xml:space="preserve">،و عن نهج الحقّ نسبته إلی الإمامیّة </w:t>
      </w:r>
      <w:r>
        <w:rPr>
          <w:rStyle w:val="FootnoteAnchor"/>
          <w:rtl w:val="true"/>
        </w:rPr>
        <w:footnoteReference w:id="570"/>
      </w:r>
      <w:r>
        <w:rPr>
          <w:rFonts w:ascii="IRNazanin" w:hAnsi="IRNazanin" w:eastAsia="IRNazanin"/>
          <w:color w:val="111111"/>
          <w:sz w:val="28"/>
          <w:sz w:val="28"/>
          <w:szCs w:val="28"/>
          <w:rtl w:val="true"/>
          <w:lang w:bidi="fa-IR"/>
        </w:rPr>
        <w:t xml:space="preserve">،و عن الغنیة و المختلف الإجماع علیه صریحاً </w:t>
      </w:r>
      <w:r>
        <w:rPr>
          <w:rStyle w:val="FootnoteAnchor"/>
          <w:rtl w:val="true"/>
        </w:rPr>
        <w:footnoteReference w:id="5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نعم،المحکیّ عن المحقّق قدّس سرّه فی درسه إنکاره </w:t>
      </w:r>
      <w:r>
        <w:rPr>
          <w:rStyle w:val="FootnoteAnchor"/>
          <w:rtl w:val="true"/>
        </w:rPr>
        <w:footnoteReference w:id="5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یعدّ ذلک خلافاً فی المسألة، کسکوت جماعةٍ عن التعرّض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نعم،حکی عن الإسکافی منعه </w:t>
      </w:r>
      <w:r>
        <w:rPr>
          <w:rStyle w:val="FootnoteAnchor"/>
          <w:rtl w:val="true"/>
        </w:rPr>
        <w:footnoteReference w:id="5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شاذٌّ</w:t>
      </w:r>
      <w:r>
        <w:rPr>
          <w:rFonts w:eastAsia="Amiri" w:cs="Amiri" w:ascii="Amiri" w:hAnsi="Amiri"/>
          <w:color w:val="111111"/>
          <w:sz w:val="28"/>
          <w:szCs w:val="28"/>
          <w:rtl w:val="true"/>
          <w:lang w:bidi="ar-SA"/>
        </w:rPr>
        <w:t>.</w:t>
      </w:r>
    </w:p>
    <w:p>
      <w:pPr>
        <w:pStyle w:val="Heading5"/>
        <w:numPr>
          <w:ilvl w:val="4"/>
          <w:numId w:val="1"/>
        </w:numPr>
        <w:rPr/>
      </w:pPr>
      <w:bookmarkStart w:id="308" w:name="__RefHeading___Toc5148746_2314609296"/>
      <w:bookmarkStart w:id="309" w:name="_Toc118"/>
      <w:bookmarkEnd w:id="308"/>
      <w:r>
        <w:rPr>
          <w:rtl w:val="true"/>
        </w:rPr>
        <w:t>[</w:t>
      </w:r>
      <w:r>
        <w:rPr>
          <w:rtl w:val="true"/>
        </w:rPr>
        <w:t>الاستدلال بآیة تجارة عن تراض علی هذا الخیار</w:t>
      </w:r>
      <w:r>
        <w:rPr>
          <w:rtl w:val="true"/>
        </w:rPr>
        <w:t>]</w:t>
      </w:r>
      <w:bookmarkEnd w:id="309"/>
    </w:p>
    <w:p>
      <w:pPr>
        <w:pStyle w:val="BookText"/>
        <w:rPr/>
      </w:pPr>
      <w:r>
        <w:rPr>
          <w:rFonts w:ascii="Amiri" w:hAnsi="Amiri" w:eastAsia="Amiri" w:cs="Amiri"/>
          <w:color w:val="111111"/>
          <w:sz w:val="28"/>
          <w:sz w:val="28"/>
          <w:szCs w:val="28"/>
          <w:rtl w:val="true"/>
          <w:lang w:bidi="ar-SA"/>
        </w:rPr>
        <w:t xml:space="preserve">و استدلّ فی التذکرة علی هذا الخیار بقوله تعالی إِلاّٰ أَنْ تَکُونَ تِجٰارَةً عَنْ تَرٰاضٍ مِنْکُمْ </w:t>
      </w:r>
      <w:r>
        <w:rPr>
          <w:rStyle w:val="FootnoteAnchor"/>
          <w:rtl w:val="true"/>
        </w:rPr>
        <w:footnoteReference w:id="57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معلومٌ أنّ المغبون لو عرف الحال لم یرض </w:t>
      </w:r>
      <w:r>
        <w:rPr>
          <w:rStyle w:val="FootnoteAnchor"/>
          <w:rtl w:val="true"/>
        </w:rPr>
        <w:footnoteReference w:id="5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توجیهه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رضا المغبون بکون ما یأخذه عوضاً عمّا یدفعه مبنیٌّ علی عنوانٍ مفقودٍ،و هو عدم نقصه عنه فی المالیّة،فکأنه قال</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اشتریت هذا الذی یسوی </w:t>
      </w:r>
      <w:r>
        <w:rPr>
          <w:rStyle w:val="FootnoteAnchor"/>
          <w:rtl w:val="true"/>
        </w:rPr>
        <w:footnoteReference w:id="576"/>
      </w:r>
      <w:r>
        <w:rPr>
          <w:rFonts w:ascii="Amiri" w:hAnsi="Amiri" w:eastAsia="Amiri" w:cs="Amiri"/>
          <w:color w:val="111111"/>
          <w:sz w:val="28"/>
          <w:sz w:val="28"/>
          <w:szCs w:val="28"/>
          <w:rtl w:val="true"/>
          <w:lang w:bidi="ar-SA"/>
        </w:rPr>
        <w:t>درهماً بدرهمٍ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تبیّن أنّه لا یسوی </w:t>
      </w:r>
      <w:r>
        <w:rPr>
          <w:rStyle w:val="FootnoteAnchor"/>
          <w:rtl w:val="true"/>
        </w:rPr>
        <w:footnoteReference w:id="577"/>
      </w:r>
      <w:r>
        <w:rPr>
          <w:rFonts w:ascii="Amiri" w:hAnsi="Amiri" w:eastAsia="Amiri" w:cs="Amiri"/>
          <w:color w:val="111111"/>
          <w:sz w:val="28"/>
          <w:sz w:val="28"/>
          <w:szCs w:val="28"/>
          <w:rtl w:val="true"/>
          <w:lang w:bidi="ar-SA"/>
        </w:rPr>
        <w:t>درهماً تبیّن أنّه لم یکن راضیاً به عوضاً،لکن لمّا کان المفقود صفةً</w:t>
      </w:r>
      <w:bookmarkStart w:id="310" w:name="pg19864_220785"/>
    </w:p>
    <w:p>
      <w:pPr>
        <w:pStyle w:val="BookText"/>
        <w:rPr/>
      </w:pPr>
      <w:bookmarkEnd w:id="310"/>
      <w:r>
        <w:rPr>
          <w:rFonts w:ascii="IRNazanin" w:hAnsi="IRNazanin" w:eastAsia="IRNazanin"/>
          <w:color w:val="111111"/>
          <w:sz w:val="28"/>
          <w:sz w:val="28"/>
          <w:szCs w:val="28"/>
          <w:rtl w:val="true"/>
          <w:lang w:bidi="fa-IR"/>
        </w:rPr>
        <w:t>من صفات المبیع لم یکن تبیّن فقده کاشفاً عن بطلان البیع،بل کان کسائر الصفات المقصودة التی لا یوجب تبیّن فقدها إلّا الخیار،فراراً عن استلزام لزوم المعاملة إلزامه بما لم یلتزم و لم یرض به،فالآیة إنّما تدلّ علی عدم لزوم العقد،فإذا حصل التراضی بالعوض الغیر المساوی کان کالرضا السابق؛لفحوی حکم الفضولی و المُکره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بمنع کون الوصف المذکور عنواناً،بل لیس إلّا من قبیل الداعی الذی لا یوجب تخلّفه شیئاً،بل قد لا یکون داعیاً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کان المقصود ذات المبیع من دون ملاحظة مقدار مالیّته،فقد یُقدم علی أخذ الشیء و إن کان ثمنه أضعاف قیمته و التفت إلی احتمال ذلک، مع أنّ أخذه علی وجه التقیید لا یوجب خیاراً إذا لم یذکر فی متن العقد</w:t>
      </w:r>
      <w:r>
        <w:rPr>
          <w:rFonts w:eastAsia="IRNazanin" w:cs="IRNazanin"/>
          <w:color w:val="111111"/>
          <w:sz w:val="28"/>
          <w:szCs w:val="28"/>
          <w:rtl w:val="true"/>
          <w:lang w:bidi="fa-IR"/>
        </w:rPr>
        <w:t>.</w:t>
      </w:r>
    </w:p>
    <w:p>
      <w:pPr>
        <w:pStyle w:val="Heading5"/>
        <w:numPr>
          <w:ilvl w:val="4"/>
          <w:numId w:val="1"/>
        </w:numPr>
        <w:rPr/>
      </w:pPr>
      <w:bookmarkStart w:id="311" w:name="__RefHeading___Toc5148748_2314609296"/>
      <w:bookmarkStart w:id="312" w:name="_Toc119"/>
      <w:bookmarkEnd w:id="311"/>
      <w:r>
        <w:rPr>
          <w:rtl w:val="true"/>
        </w:rPr>
        <w:t>[</w:t>
      </w:r>
      <w:r>
        <w:rPr>
          <w:rtl w:val="true"/>
        </w:rPr>
        <w:t>الاستدلال بآیة و لا تأکلوا أموالکم</w:t>
      </w:r>
      <w:r>
        <w:rPr>
          <w:rtl w:val="true"/>
        </w:rPr>
        <w:t>]</w:t>
      </w:r>
      <w:bookmarkEnd w:id="312"/>
    </w:p>
    <w:p>
      <w:pPr>
        <w:pStyle w:val="BookText"/>
        <w:rPr/>
      </w:pPr>
      <w:r>
        <w:rPr>
          <w:rFonts w:ascii="Amiri" w:hAnsi="Amiri" w:eastAsia="Amiri" w:cs="Amiri"/>
          <w:color w:val="111111"/>
          <w:sz w:val="28"/>
          <w:sz w:val="28"/>
          <w:szCs w:val="28"/>
          <w:rtl w:val="true"/>
          <w:lang w:bidi="ar-SA"/>
        </w:rPr>
        <w:t xml:space="preserve">و لو أبدل قدّس سرّه هذه الآیة بقوله تعالی وَ لاٰ تَأْکُلُوا أَمْوٰالَکُمْ بَیْنَکُمْ بِالْبٰاطِلِ </w:t>
      </w:r>
      <w:r>
        <w:rPr>
          <w:rStyle w:val="FootnoteAnchor"/>
          <w:rtl w:val="true"/>
        </w:rPr>
        <w:footnoteReference w:id="578"/>
      </w:r>
      <w:r>
        <w:rPr>
          <w:rFonts w:ascii="IRNazanin" w:hAnsi="IRNazanin" w:eastAsia="IRNazanin"/>
          <w:color w:val="111111"/>
          <w:sz w:val="28"/>
          <w:sz w:val="28"/>
          <w:szCs w:val="28"/>
          <w:rtl w:val="true"/>
          <w:lang w:bidi="fa-IR"/>
        </w:rPr>
        <w:t>کان أولی،بناءً علی أنّ أکل المال علی وجه الخَدْع ببیع ما یسوی درهماً بعشرةٍ مع عدم تسلّط المخدوع بعد تبیّن خدعه علی ردّ المعاملة و عدم نفوذ ردّه أکلُ المال بالباطل،أمّا مع رضاه بعد التبیّن بذلک فلا یُعدّ أکلاً بالباطل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الآیة و إن کان حرمة الأکل حتّی قبل تبیّن الخَدْع،إلّا أنّه خرج بالإجماع و بقی ما بعد اطّلاع المغبون و ردِّه للمعاملة</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لکن یعارض الآیة ظاهر قوله تعالی إِلاّٰ أَنْ تَکُونَ تِجٰارَةً عَنْ تَرٰاضٍ بناءً علی ما ذکرنا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عدم خروج ذلک عن موضوع التراضی،</w:t>
      </w:r>
      <w:bookmarkStart w:id="313" w:name="pg19864_220786"/>
    </w:p>
    <w:p>
      <w:pPr>
        <w:pStyle w:val="BookText"/>
        <w:rPr/>
      </w:pPr>
      <w:bookmarkEnd w:id="313"/>
      <w:r>
        <w:rPr>
          <w:rFonts w:ascii="IRNazanin" w:hAnsi="IRNazanin" w:eastAsia="IRNazanin"/>
          <w:color w:val="111111"/>
          <w:sz w:val="28"/>
          <w:sz w:val="28"/>
          <w:szCs w:val="28"/>
          <w:rtl w:val="true"/>
          <w:lang w:bidi="fa-IR"/>
        </w:rPr>
        <w:t>فمع التکافؤ یرجع إلی أصالة اللزوم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التراضی مع الجهل بالحال لا یخرج </w:t>
      </w:r>
      <w:r>
        <w:rPr>
          <w:rStyle w:val="FootnoteAnchor"/>
          <w:rtl w:val="true"/>
        </w:rPr>
        <w:footnoteReference w:id="579"/>
      </w:r>
      <w:r>
        <w:rPr>
          <w:rFonts w:ascii="IRNazanin" w:hAnsi="IRNazanin" w:eastAsia="IRNazanin"/>
          <w:color w:val="111111"/>
          <w:sz w:val="28"/>
          <w:sz w:val="28"/>
          <w:szCs w:val="28"/>
          <w:rtl w:val="true"/>
          <w:lang w:bidi="fa-IR"/>
        </w:rPr>
        <w:t>عن کون أکل الغابن لمال المغبون الجاهل أکلاً بالباطل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آیة التراضی یشمل غیر صورة الخَدْع،کما إذا أقدم المغبون علی شراء العین محتمِلاً لکونه بأضعاف قیمته،فیدلّ علی نفی الخیار فی هذه الصورة من دون معارضٍ </w:t>
      </w:r>
      <w:r>
        <w:rPr>
          <w:rStyle w:val="FootnoteAnchor"/>
          <w:rtl w:val="true"/>
        </w:rPr>
        <w:footnoteReference w:id="580"/>
      </w:r>
      <w:r>
        <w:rPr>
          <w:rFonts w:ascii="IRNazanin" w:hAnsi="IRNazanin" w:eastAsia="IRNazanin"/>
          <w:color w:val="111111"/>
          <w:sz w:val="28"/>
          <w:sz w:val="28"/>
          <w:szCs w:val="28"/>
          <w:rtl w:val="true"/>
          <w:lang w:bidi="fa-IR"/>
        </w:rPr>
        <w:t>،فیثبت عدم الخیار فی الباقی بعدم القول بالفصل،فتعارض مع آیة النهی،المختصّة بصورة الخَدْع،الشاملة غیرها بعدم القول بالفصل،فیرجع بعد تعارضهما بضمیمة عدم القول بالفصل و تکافئهما إلی أصالة اللزوم</w:t>
      </w:r>
      <w:r>
        <w:rPr>
          <w:rFonts w:eastAsia="IRNazanin" w:cs="IRNazanin"/>
          <w:color w:val="111111"/>
          <w:sz w:val="28"/>
          <w:szCs w:val="28"/>
          <w:rtl w:val="true"/>
          <w:lang w:bidi="fa-IR"/>
        </w:rPr>
        <w:t>.</w:t>
      </w:r>
    </w:p>
    <w:p>
      <w:pPr>
        <w:pStyle w:val="Heading5"/>
        <w:numPr>
          <w:ilvl w:val="4"/>
          <w:numId w:val="1"/>
        </w:numPr>
        <w:rPr/>
      </w:pPr>
      <w:bookmarkStart w:id="314" w:name="__RefHeading___Toc5148750_2314609296"/>
      <w:bookmarkStart w:id="315" w:name="_Toc120"/>
      <w:bookmarkEnd w:id="314"/>
      <w:r>
        <w:rPr>
          <w:rtl w:val="true"/>
        </w:rPr>
        <w:t>[</w:t>
      </w:r>
      <w:r>
        <w:rPr>
          <w:rtl w:val="true"/>
        </w:rPr>
        <w:t>ما استدل به فی التذکرة و المناقشة فیه</w:t>
      </w:r>
      <w:r>
        <w:rPr>
          <w:rtl w:val="true"/>
        </w:rPr>
        <w:t>]</w:t>
      </w:r>
      <w:bookmarkEnd w:id="315"/>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استدلّ أیضاً فی التذکرة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النبیّ صلّی اللّٰه علیه و آله أثبت الخیار فی تلقّی الرکبان و إنّما أثبته للغبن </w:t>
      </w:r>
      <w:r>
        <w:rPr>
          <w:rStyle w:val="FootnoteAnchor"/>
          <w:rtl w:val="true"/>
        </w:rPr>
        <w:footnoteReference w:id="5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یمکن أن یمنع صحّة حکایة إثبات الخیار؛لعدم </w:t>
      </w:r>
      <w:r>
        <w:rPr>
          <w:rStyle w:val="FootnoteAnchor"/>
          <w:rtl w:val="true"/>
        </w:rPr>
        <w:footnoteReference w:id="582"/>
      </w:r>
      <w:r>
        <w:rPr>
          <w:rFonts w:ascii="IRNazanin" w:hAnsi="IRNazanin" w:eastAsia="IRNazanin"/>
          <w:color w:val="111111"/>
          <w:sz w:val="28"/>
          <w:sz w:val="28"/>
          <w:szCs w:val="28"/>
          <w:rtl w:val="true"/>
          <w:lang w:bidi="fa-IR"/>
        </w:rPr>
        <w:t>وجودها فی الکتب المعروفة بین الإمامیّة لیقبل ضعفه الانجبار بالعمل</w:t>
      </w:r>
      <w:r>
        <w:rPr>
          <w:rFonts w:eastAsia="IRNazanin" w:cs="IRNazanin"/>
          <w:color w:val="111111"/>
          <w:sz w:val="28"/>
          <w:szCs w:val="28"/>
          <w:rtl w:val="true"/>
          <w:lang w:bidi="fa-IR"/>
        </w:rPr>
        <w:t>.</w:t>
      </w:r>
      <w:bookmarkStart w:id="316" w:name="pg19864_220787"/>
    </w:p>
    <w:p>
      <w:pPr>
        <w:pStyle w:val="Heading5"/>
        <w:numPr>
          <w:ilvl w:val="4"/>
          <w:numId w:val="1"/>
        </w:numPr>
        <w:rPr/>
      </w:pPr>
      <w:bookmarkStart w:id="317" w:name="__RefHeading___Toc5148752_2314609296"/>
      <w:bookmarkStart w:id="318" w:name="_Toc121"/>
      <w:bookmarkEnd w:id="316"/>
      <w:bookmarkEnd w:id="317"/>
      <w:r>
        <w:rPr>
          <w:rtl w:val="true"/>
        </w:rPr>
        <w:t>[</w:t>
      </w:r>
      <w:r>
        <w:rPr>
          <w:rtl w:val="true"/>
        </w:rPr>
        <w:t>الاستدلال بلا ضرر و لا ضرار</w:t>
      </w:r>
      <w:r>
        <w:rPr>
          <w:rtl w:val="true"/>
        </w:rPr>
        <w:t>]</w:t>
      </w:r>
      <w:bookmarkEnd w:id="318"/>
    </w:p>
    <w:p>
      <w:pPr>
        <w:pStyle w:val="BookText"/>
        <w:rPr/>
      </w:pPr>
      <w:r>
        <w:rPr>
          <w:rFonts w:ascii="IRNazanin" w:hAnsi="IRNazanin" w:eastAsia="IRNazanin"/>
          <w:color w:val="111111"/>
          <w:sz w:val="28"/>
          <w:sz w:val="28"/>
          <w:szCs w:val="28"/>
          <w:rtl w:val="true"/>
          <w:lang w:bidi="fa-IR"/>
        </w:rPr>
        <w:t xml:space="preserve">و أقوی ما استدلّ به علی ذلک فی التذکرة </w:t>
      </w:r>
      <w:r>
        <w:rPr>
          <w:rStyle w:val="FootnoteAnchor"/>
          <w:rtl w:val="true"/>
        </w:rPr>
        <w:footnoteReference w:id="583"/>
      </w:r>
      <w:r>
        <w:rPr>
          <w:rFonts w:ascii="IRNazanin" w:hAnsi="IRNazanin" w:eastAsia="IRNazanin"/>
          <w:color w:val="111111"/>
          <w:sz w:val="28"/>
          <w:sz w:val="28"/>
          <w:szCs w:val="28"/>
          <w:rtl w:val="true"/>
          <w:lang w:bidi="fa-IR"/>
        </w:rPr>
        <w:t xml:space="preserve">و غیرها </w:t>
      </w:r>
      <w:r>
        <w:rPr>
          <w:rStyle w:val="FootnoteAnchor"/>
          <w:rtl w:val="true"/>
        </w:rPr>
        <w:footnoteReference w:id="584"/>
      </w:r>
      <w:r>
        <w:rPr>
          <w:rFonts w:ascii="Amiri" w:hAnsi="Amiri" w:eastAsia="Amiri" w:cs="Amiri"/>
          <w:color w:val="111111"/>
          <w:sz w:val="28"/>
          <w:sz w:val="28"/>
          <w:szCs w:val="28"/>
          <w:rtl w:val="true"/>
          <w:lang w:bidi="ar-SA"/>
        </w:rPr>
        <w:t>قوله صلّی اللّٰه علیه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 فی الإسلام</w:t>
      </w:r>
      <w:r>
        <w:rPr>
          <w:rFonts w:eastAsia="IRNazanin" w:cs="IRNazanin"/>
          <w:color w:val="111111"/>
          <w:sz w:val="28"/>
          <w:szCs w:val="28"/>
          <w:rtl w:val="true"/>
          <w:lang w:bidi="fa-IR"/>
        </w:rPr>
        <w:t xml:space="preserve">» </w:t>
      </w:r>
      <w:r>
        <w:rPr>
          <w:rStyle w:val="FootnoteAnchor"/>
          <w:rtl w:val="true"/>
        </w:rPr>
        <w:footnoteReference w:id="585"/>
      </w:r>
      <w:r>
        <w:rPr>
          <w:rFonts w:ascii="IRNazanin" w:hAnsi="IRNazanin" w:eastAsia="IRNazanin"/>
          <w:color w:val="111111"/>
          <w:sz w:val="28"/>
          <w:sz w:val="28"/>
          <w:szCs w:val="28"/>
          <w:rtl w:val="true"/>
          <w:lang w:bidi="fa-IR"/>
        </w:rPr>
        <w:t>،و کأنّ وجه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لزوم مثل هذا البیع و عدم تسلّط المغبون علی فسخه ضررٌ علیه و إضرارٌ به فیکون منفیّاً،فحاصل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الشارع لم یحکم بحکمٍ یکون فیه الضرر و لم یسوّغ إضرارَ المسلمین بعضِهم بعضاً،و لم یمضِ لهم من التصرّفات ما فیه ضررٌ علی الممضی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صحّة التمسّک لتزلزل کلِّ عقدٍ یکون لزومه ضرراً علی الممضی علیه،سواءً کان من جهة الغبن أم لا،و سواءً کان فی البیع أم فی غیره،کالصلح الغیر المبنی علی المسامحة و الإجارة و غیرها من المعاوضات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هذا،و لکن یمکن الخدشة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انتفاء اللزوم و ثبوت التزلزل فی العقد لا یستلزم ثبوت الخیار للمغبون بین الردّ و الإمضاء بکلِّ الثمن؛ إذ یحتمل أن یتخیّر بین إمضاء العقد بکلِّ الثمن و ردِّه فی المقدار الزائد، غایة الأمر ثبوت الخیار للغابن؛لتبعّض المال علیه،فیکون حال المغبون حال المریض إذا اشتری بأزید من ثمن المثل،و حاله بعد العلم بالقیمة حال الوارث إذا مات ذلک المریض المشتری،فی أنّ له استرداد الزیادة من دون ردّ جزءٍ من العوض،کما علیه الأکثر فی معاوضات المریض المشتملة علی المحاباة </w:t>
      </w:r>
      <w:r>
        <w:rPr>
          <w:rStyle w:val="FootnoteAnchor"/>
          <w:rtl w:val="true"/>
        </w:rPr>
        <w:footnoteReference w:id="586"/>
      </w:r>
      <w:r>
        <w:rPr>
          <w:rFonts w:ascii="IRNazanin" w:hAnsi="IRNazanin" w:eastAsia="IRNazanin"/>
          <w:color w:val="111111"/>
          <w:sz w:val="28"/>
          <w:sz w:val="28"/>
          <w:szCs w:val="28"/>
          <w:rtl w:val="true"/>
          <w:lang w:bidi="fa-IR"/>
        </w:rPr>
        <w:t>و إن اعترض علیهم العلّامة بما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p>
    <w:p>
      <w:pPr>
        <w:pStyle w:val="BookText"/>
        <w:rPr/>
      </w:pPr>
      <w:r>
        <w:rPr>
          <w:rFonts w:ascii="IRNazanin" w:hAnsi="IRNazanin" w:eastAsia="IRNazanin"/>
          <w:color w:val="111111"/>
          <w:sz w:val="28"/>
          <w:sz w:val="28"/>
          <w:szCs w:val="28"/>
          <w:rtl w:val="true"/>
          <w:lang w:bidi="fa-IR"/>
        </w:rPr>
        <w:t xml:space="preserve">استرداد بعض أحد العوضین من دون ردّ بعضَ الآخر ینافی مقتضی المعاوضة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یحتمل أیضاً أن یکون نفی اللزوم بتسلّط المغبون علی إلزام الغابن بأحد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الفسخ فی الکلّ،و من تدارک ما فات علی المغبون بردّ القدر الزائد أو بدله،و مرجعه إلی أنّ للمغبون الفسخ إذا لم یبذل الغابن التفاوت،فالمبذول غرامةٌ لما فات علی المغبون علی تقدیر إمضاء البیع،لا هبةٌ مستقلّةٌ کما فی الإیضاح و جامع المقاصد،حیث انتصرا للمشهور القائلین بعدم سقوط الخیار ببذل الغابن للتفاوت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بأنّ الهبة المستقلّة لا تُخرِج المعاملةَ عن الغبن الموجب للخیار </w:t>
      </w:r>
      <w:r>
        <w:rPr>
          <w:rStyle w:val="FootnoteAnchor"/>
          <w:rtl w:val="true"/>
        </w:rPr>
        <w:footnoteReference w:id="588"/>
      </w:r>
      <w:r>
        <w:rPr>
          <w:rFonts w:ascii="IRNazanin" w:hAnsi="IRNazanin" w:eastAsia="IRNazanin"/>
          <w:color w:val="111111"/>
          <w:sz w:val="28"/>
          <w:sz w:val="28"/>
          <w:szCs w:val="28"/>
          <w:rtl w:val="true"/>
          <w:lang w:bidi="fa-IR"/>
        </w:rPr>
        <w:t xml:space="preserve">، و سیجیء ذلک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ذکرنا نظیر ما اختاره العلّامة فی التذکرة و احتمله فی 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أنّه إذا ظهر کذب البائع مرابحةً فی إخباره برأس المال فبذل المقدار الزائد مع ربحه،فلا خیار للمشتری </w:t>
      </w:r>
      <w:r>
        <w:rPr>
          <w:rStyle w:val="FootnoteAnchor"/>
          <w:rtl w:val="true"/>
        </w:rPr>
        <w:footnoteReference w:id="590"/>
      </w:r>
      <w:r>
        <w:rPr>
          <w:rFonts w:ascii="IRNazanin" w:hAnsi="IRNazanin" w:eastAsia="IRNazanin"/>
          <w:color w:val="111111"/>
          <w:sz w:val="28"/>
          <w:sz w:val="28"/>
          <w:szCs w:val="28"/>
          <w:rtl w:val="true"/>
          <w:lang w:bidi="fa-IR"/>
        </w:rPr>
        <w:t>،فإنّ مرجع هذا إلی تخییر البائع بین ردّ التفاوت و بین الالتزام بفسخ المشتری</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الاحتمالین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الخیار للمغبون مع بذل الغابن للتفاوت، فالمتیقّن من ثبوت الخیار له صورة امتناع الغابن من البذل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هذا</w:t>
      </w:r>
    </w:p>
    <w:p>
      <w:pPr>
        <w:pStyle w:val="BookText"/>
        <w:rPr/>
      </w:pPr>
      <w:r>
        <w:rPr>
          <w:rFonts w:ascii="IRNazanin" w:hAnsi="IRNazanin" w:eastAsia="IRNazanin"/>
          <w:color w:val="111111"/>
          <w:sz w:val="28"/>
          <w:sz w:val="28"/>
          <w:szCs w:val="28"/>
          <w:rtl w:val="true"/>
          <w:lang w:bidi="fa-IR"/>
        </w:rPr>
        <w:t xml:space="preserve">هو الوجه فی استشکال العلّامة فی التذکرة فی ثبوت الخیار مع البذل </w:t>
      </w:r>
      <w:r>
        <w:rPr>
          <w:rStyle w:val="FootnoteAnchor"/>
          <w:rtl w:val="true"/>
        </w:rPr>
        <w:footnoteReference w:id="591"/>
      </w:r>
      <w:r>
        <w:rPr>
          <w:rFonts w:ascii="IRNazanin" w:hAnsi="IRNazanin" w:eastAsia="IRNazanin"/>
          <w:color w:val="111111"/>
          <w:sz w:val="28"/>
          <w:sz w:val="28"/>
          <w:szCs w:val="28"/>
          <w:rtl w:val="true"/>
          <w:lang w:bidi="fa-IR"/>
        </w:rPr>
        <w:t xml:space="preserve">، بل قول بعضٍ بعدمه </w:t>
      </w:r>
      <w:r>
        <w:rPr>
          <w:rStyle w:val="FootnoteAnchor"/>
          <w:rtl w:val="true"/>
        </w:rPr>
        <w:footnoteReference w:id="592"/>
      </w:r>
      <w:r>
        <w:rPr>
          <w:rFonts w:ascii="IRNazanin" w:hAnsi="IRNazanin" w:eastAsia="IRNazanin"/>
          <w:color w:val="111111"/>
          <w:sz w:val="28"/>
          <w:sz w:val="28"/>
          <w:szCs w:val="28"/>
          <w:rtl w:val="true"/>
          <w:lang w:bidi="fa-IR"/>
        </w:rPr>
        <w:t xml:space="preserve">کما یظهر من الریاض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المبذول لیس هبةً مستقلّةً 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إنّها لا تُخرِج المعاملة المشتملة علی الغبن عن کونها مشتملةً علیه،و لا جزءً من أحد العوضین حتّی یکون استرداده مع العوض الآخر جمعاً بین جزء العوض و تمام المعوّض </w:t>
      </w:r>
      <w:r>
        <w:rPr>
          <w:rStyle w:val="FootnoteAnchor"/>
          <w:rtl w:val="true"/>
        </w:rPr>
        <w:footnoteReference w:id="594"/>
      </w:r>
      <w:r>
        <w:rPr>
          <w:rFonts w:ascii="IRNazanin" w:hAnsi="IRNazanin" w:eastAsia="IRNazanin"/>
          <w:color w:val="111111"/>
          <w:sz w:val="28"/>
          <w:sz w:val="28"/>
          <w:szCs w:val="28"/>
          <w:rtl w:val="true"/>
          <w:lang w:bidi="fa-IR"/>
        </w:rPr>
        <w:t>منافیاً لمقتضی المعاوضة،بل هی غرامةٌ لما أتلفه الغابن علیه من الزیادة بالمعاملة الغبنیّة،فلا یعتبر کونه من عین الثمن،نظیر الأرش فی المعیب</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ظهر الخدشة فیما فی الإیضاح و الجامع،من الاستدلال علی عدم السقوط مع البذل بعد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بذل التفاوت لا یُخرِج المعاملة عن کونها غبنیّةً؛لأنّها هبةٌ مستقلّة،حتّی أنّه لو دفعه علی وجه الاستحقاق لم یحلّ أخذه؛إذ لا 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Style w:val="FootnoteAnchor"/>
          <w:rtl w:val="true"/>
        </w:rPr>
        <w:footnoteReference w:id="5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من قَبِلَ هبة الغابن لا یسقط خیاره </w:t>
      </w:r>
      <w:r>
        <w:rPr>
          <w:rStyle w:val="FootnoteAnchor"/>
          <w:rtl w:val="true"/>
        </w:rPr>
        <w:footnoteReference w:id="596"/>
      </w:r>
      <w:r>
        <w:rPr>
          <w:rFonts w:ascii="IRNazanin" w:hAnsi="IRNazanin" w:eastAsia="IRNazanin"/>
          <w:color w:val="111111"/>
          <w:sz w:val="28"/>
          <w:sz w:val="28"/>
          <w:szCs w:val="28"/>
          <w:rtl w:val="true"/>
          <w:lang w:bidi="fa-IR"/>
        </w:rPr>
        <w:t>،انتهی بمعناه</w:t>
      </w:r>
      <w:r>
        <w:rPr>
          <w:rFonts w:eastAsia="IRNazanin" w:cs="IRNazanin"/>
          <w:color w:val="111111"/>
          <w:sz w:val="28"/>
          <w:szCs w:val="28"/>
          <w:rtl w:val="true"/>
          <w:lang w:bidi="fa-IR"/>
        </w:rPr>
        <w:t>.</w:t>
      </w:r>
      <w:bookmarkStart w:id="319" w:name="pg19864_220790"/>
    </w:p>
    <w:p>
      <w:pPr>
        <w:pStyle w:val="BookText"/>
        <w:rPr/>
      </w:pPr>
      <w:bookmarkEnd w:id="319"/>
      <w:r>
        <w:rPr>
          <w:rFonts w:ascii="Amiri" w:hAnsi="Amiri" w:eastAsia="Amiri" w:cs="Amiri"/>
          <w:color w:val="111111"/>
          <w:sz w:val="28"/>
          <w:sz w:val="28"/>
          <w:szCs w:val="28"/>
          <w:rtl w:val="true"/>
          <w:lang w:bidi="ar-SA"/>
        </w:rPr>
        <w:t>وجه الخدشة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تقدّم </w:t>
      </w:r>
      <w:r>
        <w:rPr>
          <w:rStyle w:val="FootnoteAnchor"/>
          <w:rtl w:val="true"/>
        </w:rPr>
        <w:footnoteReference w:id="597"/>
      </w:r>
      <w:r>
        <w:rPr>
          <w:rFonts w:ascii="IRNazanin" w:hAnsi="IRNazanin" w:eastAsia="IRNazanin"/>
          <w:color w:val="111111"/>
          <w:sz w:val="28"/>
          <w:sz w:val="28"/>
          <w:szCs w:val="28"/>
          <w:rtl w:val="true"/>
          <w:lang w:bidi="fa-IR"/>
        </w:rPr>
        <w:t>،من احتمال کون المبذول غرامةً لما أتلفه الغابن علی المغبون قد دلّ علیه نفی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الاستصحاب،ففیه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الشکّ فی اندفاع الخیار بالبذل لا فی ارتفاعه به؛إذ </w:t>
      </w:r>
      <w:r>
        <w:rPr>
          <w:rStyle w:val="FootnoteAnchor"/>
          <w:rtl w:val="true"/>
        </w:rPr>
        <w:footnoteReference w:id="598"/>
      </w:r>
      <w:r>
        <w:rPr>
          <w:rFonts w:ascii="IRNazanin" w:hAnsi="IRNazanin" w:eastAsia="IRNazanin"/>
          <w:color w:val="111111"/>
          <w:sz w:val="28"/>
          <w:sz w:val="28"/>
          <w:szCs w:val="28"/>
          <w:rtl w:val="true"/>
          <w:lang w:bidi="fa-IR"/>
        </w:rPr>
        <w:t>المحتمل ثبوت الخیار علی الممتنع دون الباذل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الظاهر أنّ تدارک ضرر المغبون بأحد الاحتمالین المذکورین أولی من إثبات الخیار له؛لأنّ إلزام الغابن بالفسخ ضررٌ؛لتعلّق غرض الناس بما ینتقل إلیهم من أعواض أموالهم خصوصاً النقود،و نقض الغرض ضررٌ و إن لم یبلغ حدّ المعارضة لضرر المغبون،إلّا أنّه یصلح مرجِّحاً لأحد الاحتمالین المذکورین علی ما اشتهر من تخییره بین الردّ و الإمضاء بکلّ الثمن،إلّا أن یعارض ذلک بأنّ غرض المغبون قد یتعلّق بتملّک عینٍ ذات قیمةٍ؛لکون المقصود اقتناءها للتجمّل،و قد یستنکف عن اقتناء ذات القیمة الیسیرة للتجمّل،فتأمّل</w:t>
      </w:r>
      <w:r>
        <w:rPr>
          <w:rFonts w:eastAsia="IRNazanin" w:cs="IRNazanin"/>
          <w:color w:val="111111"/>
          <w:sz w:val="28"/>
          <w:szCs w:val="28"/>
          <w:rtl w:val="true"/>
          <w:lang w:bidi="fa-IR"/>
        </w:rPr>
        <w:t>.</w:t>
      </w:r>
    </w:p>
    <w:p>
      <w:pPr>
        <w:pStyle w:val="Heading5"/>
        <w:numPr>
          <w:ilvl w:val="4"/>
          <w:numId w:val="1"/>
        </w:numPr>
        <w:rPr/>
      </w:pPr>
      <w:bookmarkStart w:id="320" w:name="__RefHeading___Toc5148754_2314609296"/>
      <w:bookmarkStart w:id="321" w:name="_Toc122"/>
      <w:bookmarkEnd w:id="320"/>
      <w:r>
        <w:rPr>
          <w:rtl w:val="true"/>
        </w:rPr>
        <w:t>[</w:t>
      </w:r>
      <w:r>
        <w:rPr>
          <w:rtl w:val="true"/>
        </w:rPr>
        <w:t>الاستدلال علی خیار الغبن بالأخبار الواردة فی حکم الغبن</w:t>
      </w:r>
      <w:r>
        <w:rPr>
          <w:rtl w:val="true"/>
        </w:rPr>
        <w:t>]</w:t>
      </w:r>
      <w:bookmarkEnd w:id="321"/>
    </w:p>
    <w:p>
      <w:pPr>
        <w:pStyle w:val="BookText"/>
        <w:rPr/>
      </w:pPr>
      <w:r>
        <w:rPr>
          <w:rFonts w:ascii="IRNazanin" w:hAnsi="IRNazanin" w:eastAsia="IRNazanin"/>
          <w:color w:val="111111"/>
          <w:sz w:val="28"/>
          <w:sz w:val="28"/>
          <w:szCs w:val="28"/>
          <w:rtl w:val="true"/>
          <w:lang w:bidi="fa-IR"/>
        </w:rPr>
        <w:t>و قد یستدلّ علی الخیار بأخبارٍ واردةٍ فی حکم الغبن</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الکافی بسنده إلی إسحاق بن عمّار،عن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 المسترسل سحتٌ</w:t>
      </w:r>
      <w:r>
        <w:rPr>
          <w:rFonts w:eastAsia="IRNazanin" w:cs="IRNazanin"/>
          <w:color w:val="111111"/>
          <w:sz w:val="28"/>
          <w:szCs w:val="28"/>
          <w:rtl w:val="true"/>
          <w:lang w:bidi="fa-IR"/>
        </w:rPr>
        <w:t xml:space="preserve">» </w:t>
      </w:r>
      <w:r>
        <w:rPr>
          <w:rStyle w:val="FootnoteAnchor"/>
          <w:rtl w:val="true"/>
        </w:rPr>
        <w:footnoteReference w:id="5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میسّر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 المؤمن حرامٌ</w:t>
      </w:r>
      <w:r>
        <w:rPr>
          <w:rFonts w:eastAsia="IRNazanin" w:cs="IRNazanin"/>
          <w:color w:val="111111"/>
          <w:sz w:val="28"/>
          <w:szCs w:val="28"/>
          <w:rtl w:val="true"/>
          <w:lang w:bidi="fa-IR"/>
        </w:rPr>
        <w:t xml:space="preserve">» </w:t>
      </w:r>
      <w:r>
        <w:rPr>
          <w:rStyle w:val="FootnoteAnchor"/>
          <w:rtl w:val="true"/>
        </w:rPr>
        <w:footnoteReference w:id="600"/>
      </w:r>
      <w:r>
        <w:rPr>
          <w:rFonts w:ascii="IRNazanin" w:hAnsi="IRNazanin" w:eastAsia="IRNazanin"/>
          <w:color w:val="111111"/>
          <w:sz w:val="28"/>
          <w:sz w:val="28"/>
          <w:szCs w:val="28"/>
          <w:rtl w:val="true"/>
          <w:lang w:bidi="fa-IR"/>
        </w:rPr>
        <w:t>،و فی روایةٍ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تغبن المسترسل،</w:t>
      </w:r>
      <w:bookmarkStart w:id="322" w:name="pg19864_220791"/>
    </w:p>
    <w:p>
      <w:pPr>
        <w:pStyle w:val="BookText"/>
        <w:rPr/>
      </w:pPr>
      <w:bookmarkEnd w:id="322"/>
      <w:r>
        <w:rPr>
          <w:rFonts w:ascii="Amiri" w:hAnsi="Amiri" w:eastAsia="Amiri" w:cs="Amiri"/>
          <w:color w:val="111111"/>
          <w:sz w:val="28"/>
          <w:sz w:val="28"/>
          <w:szCs w:val="28"/>
          <w:rtl w:val="true"/>
          <w:lang w:bidi="ar-SA"/>
        </w:rPr>
        <w:t>فإنّ غبنه لا یحلّ</w:t>
      </w:r>
      <w:r>
        <w:rPr>
          <w:rFonts w:eastAsia="Amiri" w:cs="Amiri" w:ascii="Amiri" w:hAnsi="Amiri"/>
          <w:color w:val="111111"/>
          <w:sz w:val="28"/>
          <w:szCs w:val="28"/>
          <w:rtl w:val="true"/>
          <w:lang w:bidi="ar-SA"/>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مجمع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الاسترسال الاستئناس و الطمأنینة إلی الإنسان و الثقة به فیما یحدّثه،واصلة السکون و الثبات،و منه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مسلمٍ استرسل إلی مسلم فغبنه فهو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 المسترسل سحتٌ</w:t>
      </w:r>
      <w:r>
        <w:rPr>
          <w:rFonts w:eastAsia="IRNazanin" w:cs="IRNazanin"/>
          <w:color w:val="111111"/>
          <w:sz w:val="28"/>
          <w:szCs w:val="28"/>
          <w:rtl w:val="true"/>
          <w:lang w:bidi="fa-IR"/>
        </w:rPr>
        <w:t xml:space="preserve">» </w:t>
      </w:r>
      <w:r>
        <w:rPr>
          <w:rStyle w:val="FootnoteAnchor"/>
          <w:rtl w:val="true"/>
        </w:rPr>
        <w:footnoteReference w:id="602"/>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یظهر منه أنّ ما ذکره أوّلاً حدیثٌ رابعٌ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دلالتها علی المدّعی؛فإنّ ما عدا الروایة الأُولی ظاهرةٌ فی حرمة الخیانة فی المشاورة،فیحتمل کون الغبن بفتح الباء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الروایة الأُولی،فهی و إن کانت ظاهرةً فیما یتعلّق بالأموال، لکن یحتمل حینئذٍ أن یراد کون الغابن بمنزلة آکل السحت فی استحقاق العقاب علی أصل العمل و الخدیعة فی أخذ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أن یراد کون المقدار الذی یأخذه زائداً علی ما یستحقّه بمنزلة السحت فی الحرمة و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إرادة کون مجموع العوض المشتمل علی الزیادة بمنزلة السحت فی تحریم الأکل فی صورةٍ خاصّةٍ،و هی اطّلاع المغبون و ردّه للمعاملة المغبون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أنّ الحمل علی أحد الأوّلین أولی، و لا أقلّ من المساواة للثالث،فلا دلالة</w:t>
      </w:r>
      <w:r>
        <w:rPr>
          <w:rFonts w:eastAsia="IRNazanin" w:cs="IRNazanin"/>
          <w:color w:val="111111"/>
          <w:sz w:val="28"/>
          <w:szCs w:val="28"/>
          <w:rtl w:val="true"/>
          <w:lang w:bidi="fa-IR"/>
        </w:rPr>
        <w:t>.</w:t>
      </w:r>
    </w:p>
    <w:p>
      <w:pPr>
        <w:pStyle w:val="Heading5"/>
        <w:numPr>
          <w:ilvl w:val="4"/>
          <w:numId w:val="1"/>
        </w:numPr>
        <w:rPr/>
      </w:pPr>
      <w:bookmarkStart w:id="323" w:name="__RefHeading___Toc5148756_2314609296"/>
      <w:bookmarkStart w:id="324" w:name="_Toc123"/>
      <w:bookmarkEnd w:id="323"/>
      <w:r>
        <w:rPr>
          <w:rtl w:val="true"/>
        </w:rPr>
        <w:t>[</w:t>
      </w:r>
      <w:r>
        <w:rPr>
          <w:rtl w:val="true"/>
        </w:rPr>
        <w:t>العمدة فی المسألة الإجماع</w:t>
      </w:r>
      <w:r>
        <w:rPr>
          <w:rtl w:val="true"/>
        </w:rPr>
        <w:t>]</w:t>
      </w:r>
      <w:bookmarkEnd w:id="324"/>
    </w:p>
    <w:p>
      <w:pPr>
        <w:pStyle w:val="BookText"/>
        <w:rPr/>
      </w:pPr>
      <w:r>
        <w:rPr>
          <w:rFonts w:ascii="IRNazanin" w:hAnsi="IRNazanin" w:eastAsia="IRNazanin"/>
          <w:color w:val="111111"/>
          <w:sz w:val="28"/>
          <w:sz w:val="28"/>
          <w:szCs w:val="28"/>
          <w:rtl w:val="true"/>
          <w:lang w:bidi="fa-IR"/>
        </w:rPr>
        <w:t>فالعمدة فی المسألة الإجماع المحکیّ المعتضد بالشهرة المحقّقة، و حدیث نفی الضرر بالنسبة إلی خصوص الممتنع عن بذل التفاوت</w:t>
      </w:r>
      <w:r>
        <w:rPr>
          <w:rFonts w:eastAsia="IRNazanin" w:cs="IRNazanin"/>
          <w:color w:val="111111"/>
          <w:sz w:val="28"/>
          <w:szCs w:val="28"/>
          <w:rtl w:val="true"/>
          <w:lang w:bidi="fa-IR"/>
        </w:rPr>
        <w:t>.</w:t>
      </w:r>
    </w:p>
    <w:p>
      <w:pPr>
        <w:pStyle w:val="Heading5"/>
        <w:numPr>
          <w:ilvl w:val="4"/>
          <w:numId w:val="1"/>
        </w:numPr>
        <w:rPr/>
      </w:pPr>
      <w:bookmarkStart w:id="325" w:name="__RefHeading___Toc5148758_2314609296"/>
      <w:bookmarkStart w:id="326" w:name="_Toc124"/>
      <w:bookmarkEnd w:id="325"/>
      <w:r>
        <w:rPr>
          <w:rtl w:val="true"/>
        </w:rPr>
        <w:t>ثمّ إنّ تنقیح هذا المطلب یتمّ برسم مسائل</w:t>
      </w:r>
      <w:r>
        <w:rPr>
          <w:rtl w:val="true"/>
        </w:rPr>
        <w:t>:</w:t>
      </w:r>
      <w:bookmarkEnd w:id="326"/>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27" w:name="__RefHeading___Toc5148760_2314609296"/>
      <w:bookmarkStart w:id="328" w:name="_Toc125"/>
      <w:bookmarkEnd w:id="327"/>
      <w:r>
        <w:rPr>
          <w:rtl w:val="true"/>
        </w:rPr>
        <w:t>اشاره</w:t>
      </w:r>
      <w:bookmarkStart w:id="329" w:name="pg19864_220792"/>
      <w:bookmarkEnd w:id="328"/>
    </w:p>
    <w:p>
      <w:pPr>
        <w:pStyle w:val="Heading6"/>
        <w:numPr>
          <w:ilvl w:val="5"/>
          <w:numId w:val="1"/>
        </w:numPr>
        <w:rPr/>
      </w:pPr>
      <w:bookmarkStart w:id="330" w:name="__RefHeading___Toc5148762_2314609296"/>
      <w:bookmarkStart w:id="331" w:name="_Toc126"/>
      <w:bookmarkEnd w:id="329"/>
      <w:bookmarkEnd w:id="330"/>
      <w:r>
        <w:rPr>
          <w:rtl w:val="true"/>
        </w:rPr>
        <w:t>مسألة یشترط فی هذا الخیار أمران</w:t>
      </w:r>
      <w:r>
        <w:rPr>
          <w:rtl w:val="true"/>
        </w:rPr>
        <w:t>:</w:t>
      </w:r>
      <w:bookmarkEnd w:id="331"/>
    </w:p>
    <w:p>
      <w:pPr>
        <w:pStyle w:val="Heading6"/>
        <w:numPr>
          <w:ilvl w:val="5"/>
          <w:numId w:val="1"/>
        </w:numPr>
        <w:rPr/>
      </w:pPr>
      <w:bookmarkStart w:id="332" w:name="__RefHeading___Toc5148764_2314609296"/>
      <w:bookmarkStart w:id="333" w:name="_Toc127"/>
      <w:bookmarkEnd w:id="332"/>
      <w:r>
        <w:rPr>
          <w:rtl w:val="true"/>
        </w:rPr>
        <w:t>الأوّل</w:t>
      </w:r>
      <w:r>
        <w:rPr>
          <w:rtl w:val="true"/>
        </w:rPr>
        <w:t xml:space="preserve">: </w:t>
      </w:r>
      <w:r>
        <w:rPr>
          <w:rtl w:val="true"/>
        </w:rPr>
        <w:t>عدم علم المغبون بالقیمة،</w:t>
      </w:r>
      <w:bookmarkEnd w:id="333"/>
    </w:p>
    <w:p>
      <w:pPr>
        <w:pStyle w:val="BookText"/>
        <w:rPr/>
      </w:pPr>
      <w:r>
        <w:rPr>
          <w:rFonts w:ascii="IRNazanin" w:hAnsi="IRNazanin" w:eastAsia="IRNazanin"/>
          <w:color w:val="111111"/>
          <w:sz w:val="28"/>
          <w:sz w:val="28"/>
          <w:szCs w:val="28"/>
          <w:rtl w:val="true"/>
          <w:lang w:bidi="fa-IR"/>
        </w:rPr>
        <w:t>فلو علم بالقیمة فلا خیار،بل لا غبن کما عرفت بلا خلافٍ و لا إشکالٍ؛لأنّه أقدم علی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الظاهر عدم الفرق بین کونه غافلاً من القیمة بالمرّة أو ملتفتاً إلیها،و لا بین کونه مسبوقاً بالعلم و عدمه،و لا بین الجهل المرکّب و البسیط مع الظنّ بعدم الزیادة و النقیصة أو الظنّ بهما أو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یشکل فی الأخیرین إذا أقدم علی المعاملة بانیاً علی المسامحة علی تقدیر الزیادة أو </w:t>
      </w:r>
      <w:r>
        <w:rPr>
          <w:rStyle w:val="FootnoteAnchor"/>
          <w:rtl w:val="true"/>
        </w:rPr>
        <w:footnoteReference w:id="603"/>
      </w:r>
      <w:r>
        <w:rPr>
          <w:rFonts w:ascii="IRNazanin" w:hAnsi="IRNazanin" w:eastAsia="IRNazanin"/>
          <w:color w:val="111111"/>
          <w:sz w:val="28"/>
          <w:sz w:val="28"/>
          <w:szCs w:val="28"/>
          <w:rtl w:val="true"/>
          <w:lang w:bidi="fa-IR"/>
        </w:rPr>
        <w:t>النقیصة فهو کالعالم،بل الشاکّ فی الشیء إذا أقدم علیه بانیاً علی تحمّله فهو فی حکم العالم من حیث استحقاق المدح علیه أو الذمّ،و من حیث عدم معذوریّته لو کان ذلک الشیء ممّا یعذر الغافل فیه،و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الشاکّ الملتفت إلی الضرر مُقدِمٌ علیه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أنّ مقتضی عموم نفی الضرر و إطلاق الإجماع المحکی ثبوته بمجرّد تحقّق الضرر،خرج المقدِم علیه عن علمٍ،بل مطلق الشاکّ لیس</w:t>
      </w:r>
    </w:p>
    <w:p>
      <w:pPr>
        <w:pStyle w:val="BookText"/>
        <w:rPr/>
      </w:pPr>
      <w:r>
        <w:rPr>
          <w:rFonts w:ascii="IRNazanin" w:hAnsi="IRNazanin" w:eastAsia="IRNazanin"/>
          <w:color w:val="111111"/>
          <w:sz w:val="28"/>
          <w:sz w:val="28"/>
          <w:szCs w:val="28"/>
          <w:rtl w:val="true"/>
          <w:lang w:bidi="fa-IR"/>
        </w:rPr>
        <w:t>مُقدِماً علی الضرر،بل قد یُقدِم برجاء عدمه،و مساواته للعالم فی الآثار ممنوعةٌ حتّی فی استحقاق المدح و الذمّ لو کان المشکوک ممّا یترتّب علیه ذلک عند الإقدام علیه،و لذا قد یحصل للشاکّ بعد اطّلاعه علی الغبن حالةٌ اخری لو حصلت له قبل العقد لم یُقدم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صرّح فی العقد بالالتزام به و لو علی تقدیر ظهور الغبن کان ذلک راجعاً إلی إسقاط الغبن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ذکرنا یظهر ثبوت الخیار للجاهل و إن کان قادراً علی السؤال،کما صرّح به فی التحریر و التذکرة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أقدم عالماً علی غبنٍ یتسامح به فبان أزید بما لا یتسامح بالمجموع منه و من المعلوم،فلا یبعد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أقدم علی ما لا یتسامح فبان أزید بما یتسامح به منفرداً أو بما لا یتسامح،ففی الخیار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المعتبر القیمة حال العقد،فلو زادت بعده و لو قبل اطّلاع المغبون علی النقصان حین العقد لم ینفع؛لأنّ الزیادة إنّما حصلت فی ملکه و المعاملة وقعت علی الغبن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عدم الخیار حینئذٍ؛لأنّ التدارک حصل قبل الردّ،فلا یثبت الردّ المشروع لتدارک الضرر،کما لو برئ المعیوب قبل الاطّلاع علی عیبه،بل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مهما زال العیب قبل العلم أو بعده قبل الردّ سقط حقّ الردّ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أشکل منه ما لو توقّف الملک علی القبض فارتفع الغبن قبله؛ لأنّ الملک قد انتقل إلیه حینئذٍ من دون نقصٍ فی 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نعم،لو قلنا بوجوب التقابض بمجرّد العقد کما صرّح به العلّامة فی الصرف </w:t>
      </w:r>
      <w:r>
        <w:rPr>
          <w:rStyle w:val="FootnoteAnchor"/>
          <w:rtl w:val="true"/>
        </w:rPr>
        <w:footnoteReference w:id="606"/>
      </w:r>
      <w:r>
        <w:rPr>
          <w:rFonts w:ascii="IRNazanin" w:hAnsi="IRNazanin" w:eastAsia="IRNazanin"/>
          <w:color w:val="111111"/>
          <w:sz w:val="28"/>
          <w:sz w:val="28"/>
          <w:szCs w:val="28"/>
          <w:rtl w:val="true"/>
          <w:lang w:bidi="fa-IR"/>
        </w:rPr>
        <w:t>یثبت الخیار؛لثبوت الضرر بوجوب إقباض الزائد فی مقابلة الناقص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ظاهر المشهور عدم وجوب التقابض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ثبت الزیادة أو النقیصة بعد العقد،فإنّه لا عبرة بهما إجماعاً کما فی التذکرة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 لا عبرة بعلم الوکیل فی مجرّد العقد،بل العبرة بعلم الموکّل و جهله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نعم،لو کان وکیلاً فی المعاملة و المساومة،فمع علمه و فرض صحّة المعاملة حینئذٍ لا خیار للموکِّل،و مع جهله یثبت الخیار للموکِّل، إلّا أن یکون عالماً بالقیمة و بأنّ موکِّله </w:t>
      </w:r>
      <w:r>
        <w:rPr>
          <w:rStyle w:val="FootnoteAnchor"/>
          <w:rtl w:val="true"/>
        </w:rPr>
        <w:footnoteReference w:id="608"/>
      </w:r>
      <w:r>
        <w:rPr>
          <w:rFonts w:ascii="IRNazanin" w:hAnsi="IRNazanin" w:eastAsia="IRNazanin"/>
          <w:color w:val="111111"/>
          <w:sz w:val="28"/>
          <w:sz w:val="28"/>
          <w:szCs w:val="28"/>
          <w:rtl w:val="true"/>
          <w:lang w:bidi="fa-IR"/>
        </w:rPr>
        <w:t>یعقد علی أزید منها و یقرّره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ثبت الخیار فی عقد الوکیل فهو للموکِّل خاصّةً،إلّا أن یکون وکیلاً مطلقاً بحیث یشمل مثل الفسخ،فإنّه کالولیّ حینئذٍ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الجهل إنّما یثبت باعتراف الغابن،و بالبیّنة إن تحقّقت،و بقول مدّعیه مع الیمین؛لأصالة عدم العلم الحاکمة علی أصالة اللزوم،مع أنّه قد یتعسّر إقامة البیّنة علی الجهل،و لا یمکن للغابن الحلف علی علمه، لجهله بالحال،فتأمّل</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إذا لم یکن المغبون من أهل الخبرة بحیث لا یخفی علیه القیمة إلّا لعارضٍ من غفلةٍ أو غیرها،و إلّا فلا یقبل قوله کما فی</w:t>
      </w:r>
      <w:bookmarkStart w:id="334" w:name="pg19864_220795"/>
    </w:p>
    <w:p>
      <w:pPr>
        <w:pStyle w:val="BookText"/>
        <w:rPr/>
      </w:pPr>
      <w:bookmarkEnd w:id="334"/>
      <w:r>
        <w:rPr>
          <w:rFonts w:ascii="IRNazanin" w:hAnsi="IRNazanin" w:eastAsia="IRNazanin"/>
          <w:color w:val="111111"/>
          <w:sz w:val="28"/>
          <w:sz w:val="28"/>
          <w:szCs w:val="28"/>
          <w:rtl w:val="true"/>
          <w:lang w:bidi="fa-IR"/>
        </w:rPr>
        <w:t xml:space="preserve">الجامع </w:t>
      </w:r>
      <w:r>
        <w:rPr>
          <w:rStyle w:val="FootnoteAnchor"/>
          <w:rtl w:val="true"/>
        </w:rPr>
        <w:footnoteReference w:id="610"/>
      </w:r>
      <w:r>
        <w:rPr>
          <w:rFonts w:ascii="IRNazanin" w:hAnsi="IRNazanin" w:eastAsia="IRNazanin"/>
          <w:color w:val="111111"/>
          <w:sz w:val="28"/>
          <w:sz w:val="28"/>
          <w:szCs w:val="28"/>
          <w:rtl w:val="true"/>
          <w:lang w:bidi="fa-IR"/>
        </w:rPr>
        <w:t xml:space="preserve">و المسالک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یشکل بأنّ هذا إنّما یوجب عدم قبول قوله من حیث تقدیم الظاهر علی الأصل،فغایة الأمر أن یصیر مدّعیاً من جهة مخالفة قوله للظاهر،لکن المدّعی لمّا تعسّر إقامة البیّنة علیه و لا یُعرف إلّا من قِبَله یُقبل قوله مع الیمین،فلیکن هذا من هذا القبیل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معنی </w:t>
      </w:r>
      <w:r>
        <w:rPr>
          <w:rStyle w:val="FootnoteAnchor"/>
          <w:rtl w:val="true"/>
        </w:rPr>
        <w:footnoteReference w:id="612"/>
      </w:r>
      <w:r>
        <w:rPr>
          <w:rFonts w:ascii="IRNazanin" w:hAnsi="IRNazanin" w:eastAsia="IRNazanin"/>
          <w:color w:val="111111"/>
          <w:sz w:val="28"/>
          <w:sz w:val="28"/>
          <w:szCs w:val="28"/>
          <w:rtl w:val="true"/>
          <w:lang w:bidi="fa-IR"/>
        </w:rPr>
        <w:t>تقدیم الظاهر جعل مدّعیه مقبول القول بیمینه،لا جعل مخالفه مدّعیاً یجری علیه جمیع أحکام المدّعی حتّی فی قبول قوله إذا تعسّر علیه إقامة البیّنة،أ لا تری أنّهم لم یحکموا بقبول قول مدّعی فساد العقد إذا تعسّر علیه إقامة البیّنة علی سبب الفساد؟ مع أنّ عموم تلک القاعدة ثمّ اندراج المسألة فیها محلّ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اختلفا فی القیمة وقت العقد أو فی القیمة بعده مع تعذّر الاستعلام،فالقول قول منکر سبب الغبن؛لأصالة عدم التغیّر،و أصالة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حکم ما لو اتّفقا علی التغیّر و اختلفا فی تأریخ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عُلم تأریخ التغیّر فالأصل و إن اقتضی تأخّر العقد الواقع علی الزائد عن القیمة،إلّا أنّه لا یثبت به وقوع العقد علی الزائد حتّی یثبت الغبن</w:t>
      </w:r>
      <w:r>
        <w:rPr>
          <w:rFonts w:eastAsia="IRNazanin" w:cs="IRNazanin"/>
          <w:color w:val="111111"/>
          <w:sz w:val="28"/>
          <w:szCs w:val="28"/>
          <w:rtl w:val="true"/>
          <w:lang w:bidi="fa-IR"/>
        </w:rPr>
        <w:t>.</w:t>
      </w:r>
    </w:p>
    <w:p>
      <w:pPr>
        <w:pStyle w:val="Heading6"/>
        <w:numPr>
          <w:ilvl w:val="5"/>
          <w:numId w:val="1"/>
        </w:numPr>
        <w:rPr/>
      </w:pPr>
      <w:bookmarkStart w:id="335" w:name="__RefHeading___Toc5148766_2314609296"/>
      <w:bookmarkStart w:id="336" w:name="_Toc128"/>
      <w:bookmarkEnd w:id="335"/>
      <w:r>
        <w:rPr>
          <w:rtl w:val="true"/>
        </w:rPr>
        <w:t>الشرط الثانی</w:t>
      </w:r>
      <w:bookmarkEnd w:id="336"/>
    </w:p>
    <w:p>
      <w:pPr>
        <w:pStyle w:val="BookText"/>
        <w:rPr/>
      </w:pPr>
      <w:r>
        <w:rPr>
          <w:rFonts w:ascii="IRNazanin" w:hAnsi="IRNazanin" w:eastAsia="IRNazanin"/>
          <w:color w:val="111111"/>
          <w:sz w:val="28"/>
          <w:sz w:val="28"/>
          <w:szCs w:val="28"/>
          <w:rtl w:val="true"/>
          <w:lang w:bidi="fa-IR"/>
        </w:rPr>
        <w:t xml:space="preserve">الشرط الثانی </w:t>
      </w:r>
      <w:r>
        <w:rPr>
          <w:rStyle w:val="FootnoteAnchor"/>
          <w:rtl w:val="true"/>
        </w:rPr>
        <w:footnoteReference w:id="6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التفاوت فاحشاً،</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فالواحد بل الاثنان فی</w:t>
      </w:r>
      <w:bookmarkStart w:id="337" w:name="pg19864_220796"/>
    </w:p>
    <w:p>
      <w:pPr>
        <w:pStyle w:val="BookText"/>
        <w:rPr/>
      </w:pPr>
      <w:bookmarkEnd w:id="337"/>
      <w:r>
        <w:rPr>
          <w:rFonts w:ascii="IRNazanin" w:hAnsi="IRNazanin" w:eastAsia="IRNazanin"/>
          <w:color w:val="111111"/>
          <w:sz w:val="28"/>
          <w:sz w:val="28"/>
          <w:szCs w:val="28"/>
          <w:rtl w:val="true"/>
          <w:lang w:bidi="fa-IR"/>
        </w:rPr>
        <w:t>العشرین لا یوجب الغبن</w:t>
      </w:r>
      <w:r>
        <w:rPr>
          <w:rFonts w:eastAsia="IRNazanin" w:cs="IRNazanin"/>
          <w:color w:val="111111"/>
          <w:sz w:val="28"/>
          <w:szCs w:val="28"/>
          <w:rtl w:val="true"/>
          <w:lang w:bidi="fa-IR"/>
        </w:rPr>
        <w:t>.</w:t>
      </w:r>
    </w:p>
    <w:p>
      <w:pPr>
        <w:pStyle w:val="Heading6"/>
        <w:numPr>
          <w:ilvl w:val="5"/>
          <w:numId w:val="1"/>
        </w:numPr>
        <w:rPr/>
      </w:pPr>
      <w:bookmarkStart w:id="338" w:name="__RefHeading___Toc5148768_2314609296"/>
      <w:bookmarkStart w:id="339" w:name="_Toc129"/>
      <w:bookmarkEnd w:id="338"/>
      <w:r>
        <w:rPr>
          <w:rtl w:val="true"/>
        </w:rPr>
        <w:t>[</w:t>
      </w:r>
      <w:r>
        <w:rPr>
          <w:rtl w:val="true"/>
        </w:rPr>
        <w:t>حد التفاوت الفاحش</w:t>
      </w:r>
      <w:r>
        <w:rPr>
          <w:rtl w:val="true"/>
        </w:rPr>
        <w:t>]</w:t>
      </w:r>
      <w:bookmarkEnd w:id="339"/>
    </w:p>
    <w:p>
      <w:pPr>
        <w:pStyle w:val="BookText"/>
        <w:rPr/>
      </w:pPr>
      <w:r>
        <w:rPr>
          <w:rFonts w:ascii="IRNazanin" w:hAnsi="IRNazanin" w:eastAsia="IRNazanin"/>
          <w:color w:val="111111"/>
          <w:sz w:val="28"/>
          <w:sz w:val="28"/>
          <w:szCs w:val="28"/>
          <w:rtl w:val="true"/>
          <w:lang w:bidi="fa-IR"/>
        </w:rPr>
        <w:t>و حدّه عندنا کما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یتغابن الناس بمثله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فیها عن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التفاوت بالثلث لا یوجب الخیار و إن کان بأکثر من الثلث أوجبه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تخمینٌ لم یشهد له أصل فی الشرع </w:t>
      </w:r>
      <w:r>
        <w:rPr>
          <w:rStyle w:val="FootnoteAnchor"/>
          <w:rtl w:val="true"/>
        </w:rPr>
        <w:footnoteReference w:id="61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أنّه لا إشکال فی کون التفاوت بالثلث بل الربع فاحشاً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نعم،الإشکال فی الخمس،و لا یبعد دعوی عدم مسامحة الناس فیه،کما سیجیء التصریح به من المحقّق القمّی فی تصویره لغبن کلا المتبایعین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40" w:name="__RefHeading___Toc5148770_2314609296"/>
      <w:bookmarkStart w:id="341" w:name="_Toc130"/>
      <w:bookmarkEnd w:id="340"/>
      <w:r>
        <w:rPr>
          <w:rtl w:val="true"/>
        </w:rPr>
        <w:t>[</w:t>
      </w:r>
      <w:r>
        <w:rPr>
          <w:rtl w:val="true"/>
        </w:rPr>
        <w:t>ما هو المناط فی الضرر الموجب للخیار</w:t>
      </w:r>
      <w:r>
        <w:rPr>
          <w:rtl w:val="true"/>
        </w:rPr>
        <w:t>]</w:t>
      </w:r>
      <w:bookmarkEnd w:id="341"/>
    </w:p>
    <w:p>
      <w:pPr>
        <w:pStyle w:val="BookText"/>
        <w:rPr/>
      </w:pPr>
      <w:r>
        <w:rPr>
          <w:rFonts w:ascii="IRNazanin" w:hAnsi="IRNazanin" w:eastAsia="IRNazanin"/>
          <w:color w:val="111111"/>
          <w:sz w:val="28"/>
          <w:sz w:val="28"/>
          <w:szCs w:val="28"/>
          <w:rtl w:val="true"/>
          <w:lang w:bidi="fa-IR"/>
        </w:rPr>
        <w:t>ثمّ الظاهر أنّ المرجع عند الشکّ فی ذلک هو أصالة ثبوت الخیار؛ لأنّه ضررٌ لم یُعلم تسامح الناس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الرجوع إلی أصالة اللزوم؛ لأنّ الخارج هو الضرر الذی یُناقش فیه،لا مطلق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شیءٌ،و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ظاهر الأصحاب و غیرهم أنّ المناط فی الضرر الموجب للخیار کون المعاملة ضرریّةً مع قطع النظر عن ملاحظة حال أشخاص المتبایعین؛و لذا حدّوه بما لا یتغابن به الناس أو بالزائد علی الثلث،کما عرفت عن بعض العامّة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حدیث نفی الضرر </w:t>
      </w:r>
      <w:r>
        <w:rPr>
          <w:rStyle w:val="FootnoteAnchor"/>
          <w:rtl w:val="true"/>
        </w:rPr>
        <w:footnoteReference w:id="617"/>
      </w:r>
      <w:r>
        <w:rPr>
          <w:rFonts w:ascii="IRNazanin" w:hAnsi="IRNazanin" w:eastAsia="IRNazanin"/>
          <w:color w:val="111111"/>
          <w:sz w:val="28"/>
          <w:sz w:val="28"/>
          <w:szCs w:val="28"/>
          <w:rtl w:val="true"/>
          <w:lang w:bidi="fa-IR"/>
        </w:rPr>
        <w:t>ملاحظة الضرر بالنسبة إلی شخص الواقعة؛و لذا استدلّوا به علی عدم وجوب شراء ماء الوضوء بمبلغٍ کثیرٍ</w:t>
      </w:r>
      <w:bookmarkStart w:id="342" w:name="pg19864_220797"/>
    </w:p>
    <w:p>
      <w:pPr>
        <w:pStyle w:val="BookText"/>
        <w:rPr/>
      </w:pPr>
      <w:bookmarkEnd w:id="342"/>
      <w:r>
        <w:rPr>
          <w:rFonts w:ascii="IRNazanin" w:hAnsi="IRNazanin" w:eastAsia="IRNazanin"/>
          <w:color w:val="111111"/>
          <w:sz w:val="28"/>
          <w:sz w:val="28"/>
          <w:szCs w:val="28"/>
          <w:rtl w:val="true"/>
          <w:lang w:bidi="fa-IR"/>
        </w:rPr>
        <w:t xml:space="preserve">إذا أضرّ بالمکلّف و وجوب شرائه بذلک المبلغ علی من لا یضرّ به ذلک </w:t>
      </w:r>
      <w:r>
        <w:rPr>
          <w:rStyle w:val="FootnoteAnchor"/>
          <w:rtl w:val="true"/>
        </w:rPr>
        <w:footnoteReference w:id="618"/>
      </w:r>
      <w:r>
        <w:rPr>
          <w:rFonts w:ascii="Amiri" w:hAnsi="Amiri" w:eastAsia="Amiri" w:cs="Amiri"/>
          <w:color w:val="111111"/>
          <w:sz w:val="28"/>
          <w:sz w:val="28"/>
          <w:szCs w:val="28"/>
          <w:rtl w:val="true"/>
          <w:lang w:bidi="ar-SA"/>
        </w:rPr>
        <w:t>،مع أنّ أصل شراء الماء بأضعاف قیمته معاملةٌ ضرریّةٌ فی حقّ الکلّ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العبرة إن کان بالضرر المالی لم یجب شراء ماء الوضوء بأضعاف قیمته،و إن کانت بالضرر الحالی تعیّن التفصیل فی خیار الغبن بین ما یضرّ بحال المغبون و غیره</w:t>
      </w:r>
      <w:r>
        <w:rPr>
          <w:rFonts w:eastAsia="IRNazanin" w:cs="IRNazanin"/>
          <w:color w:val="111111"/>
          <w:sz w:val="28"/>
          <w:szCs w:val="28"/>
          <w:rtl w:val="true"/>
          <w:lang w:bidi="fa-IR"/>
        </w:rPr>
        <w:t>.</w:t>
      </w:r>
    </w:p>
    <w:p>
      <w:pPr>
        <w:pStyle w:val="Heading6"/>
        <w:numPr>
          <w:ilvl w:val="5"/>
          <w:numId w:val="1"/>
        </w:numPr>
        <w:rPr/>
      </w:pPr>
      <w:bookmarkStart w:id="343" w:name="__RefHeading___Toc5148772_2314609296"/>
      <w:bookmarkStart w:id="344" w:name="_Toc131"/>
      <w:bookmarkEnd w:id="343"/>
      <w:r>
        <w:rPr>
          <w:rtl w:val="true"/>
        </w:rPr>
        <w:t>[</w:t>
      </w:r>
      <w:r>
        <w:rPr>
          <w:rtl w:val="true"/>
        </w:rPr>
        <w:t>الأظهر اعتبار الضرر المالی</w:t>
      </w:r>
      <w:r>
        <w:rPr>
          <w:rtl w:val="true"/>
        </w:rPr>
        <w:t>]</w:t>
      </w:r>
      <w:bookmarkEnd w:id="344"/>
    </w:p>
    <w:p>
      <w:pPr>
        <w:pStyle w:val="BookText"/>
        <w:rPr/>
      </w:pPr>
      <w:r>
        <w:rPr>
          <w:rFonts w:ascii="IRNazanin" w:hAnsi="IRNazanin" w:eastAsia="IRNazanin"/>
          <w:color w:val="111111"/>
          <w:sz w:val="28"/>
          <w:sz w:val="28"/>
          <w:szCs w:val="28"/>
          <w:rtl w:val="true"/>
          <w:lang w:bidi="fa-IR"/>
        </w:rPr>
        <w:t>و الأظهر اعتبار الضرر المالی؛لأنّه ضررٌ فی نفسه من غیر مدخلیّةٍ لحال الشخص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تحمّله فی بعض المقامات کالتیمّم </w:t>
      </w:r>
      <w:r>
        <w:rPr>
          <w:rStyle w:val="FootnoteAnchor"/>
          <w:rtl w:val="true"/>
        </w:rPr>
        <w:footnoteReference w:id="619"/>
      </w:r>
      <w:r>
        <w:rPr>
          <w:rFonts w:ascii="IRNazanin" w:hAnsi="IRNazanin" w:eastAsia="IRNazanin"/>
          <w:color w:val="111111"/>
          <w:sz w:val="28"/>
          <w:sz w:val="28"/>
          <w:szCs w:val="28"/>
          <w:rtl w:val="true"/>
          <w:lang w:bidi="fa-IR"/>
        </w:rPr>
        <w:t>إنّما خرج بالنصّ؛و لذا أجاب فی المعتبر عن الشافعی المنکر لوجوب الوضوء فی الفرض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الضرر لا یعتبر مع معارضة النصّ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أیضاً أن یلتزم الضرر المالی فی مقام التکلیف،لا لتخصیص عموم نفی الضرر بالنصّ،بل لعدم کونه ضرراً بملاحظة ما بإزائه من الأجر،کما یشیر إلیه قوله علیه السلام بعد شرائه صلوات اللّٰه علیه ماء وضوئه بأضعاف قیمته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یشتری به مالٌ کثیرٌ</w:t>
      </w:r>
      <w:r>
        <w:rPr>
          <w:rFonts w:eastAsia="IRNazanin" w:cs="IRNazanin"/>
          <w:color w:val="111111"/>
          <w:sz w:val="28"/>
          <w:szCs w:val="28"/>
          <w:rtl w:val="true"/>
          <w:lang w:bidi="fa-IR"/>
        </w:rPr>
        <w:t xml:space="preserve">»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نعم،لو کان الضرر مجحفاً بالمکلّف انتفی بأدلة نفی الحرج،لا دلیل</w:t>
      </w:r>
      <w:bookmarkStart w:id="345" w:name="pg19864_220798"/>
    </w:p>
    <w:p>
      <w:pPr>
        <w:pStyle w:val="BookText"/>
        <w:rPr/>
      </w:pPr>
      <w:bookmarkEnd w:id="345"/>
      <w:r>
        <w:rPr>
          <w:rFonts w:ascii="IRNazanin" w:hAnsi="IRNazanin" w:eastAsia="IRNazanin"/>
          <w:color w:val="111111"/>
          <w:sz w:val="28"/>
          <w:sz w:val="28"/>
          <w:szCs w:val="28"/>
          <w:rtl w:val="true"/>
          <w:lang w:bidi="fa-IR"/>
        </w:rPr>
        <w:t xml:space="preserve">نفی الضرر،فنفی </w:t>
      </w:r>
      <w:r>
        <w:rPr>
          <w:rStyle w:val="FootnoteAnchor"/>
          <w:rtl w:val="true"/>
        </w:rPr>
        <w:footnoteReference w:id="622"/>
      </w:r>
      <w:r>
        <w:rPr>
          <w:rFonts w:ascii="IRNazanin" w:hAnsi="IRNazanin" w:eastAsia="IRNazanin"/>
          <w:color w:val="111111"/>
          <w:sz w:val="28"/>
          <w:sz w:val="28"/>
          <w:szCs w:val="28"/>
          <w:rtl w:val="true"/>
          <w:lang w:bidi="fa-IR"/>
        </w:rPr>
        <w:t xml:space="preserve">الضرر المالی فی التکالیف لا یتحقّق </w:t>
      </w:r>
      <w:r>
        <w:rPr>
          <w:rStyle w:val="FootnoteAnchor"/>
          <w:rtl w:val="true"/>
        </w:rPr>
        <w:footnoteReference w:id="623"/>
      </w:r>
      <w:r>
        <w:rPr>
          <w:rFonts w:ascii="Amiri" w:hAnsi="Amiri" w:eastAsia="Amiri" w:cs="Amiri"/>
          <w:color w:val="111111"/>
          <w:sz w:val="28"/>
          <w:sz w:val="28"/>
          <w:szCs w:val="28"/>
          <w:rtl w:val="true"/>
          <w:lang w:bidi="ar-SA"/>
        </w:rPr>
        <w:t>إلّا إذا کان تحمّله حرجاً</w:t>
      </w:r>
      <w:r>
        <w:rPr>
          <w:rFonts w:eastAsia="Amiri" w:cs="Amiri" w:ascii="Amiri" w:hAnsi="Amiri"/>
          <w:color w:val="111111"/>
          <w:sz w:val="28"/>
          <w:szCs w:val="28"/>
          <w:rtl w:val="true"/>
          <w:lang w:bidi="ar-SA"/>
        </w:rPr>
        <w:t>.</w:t>
      </w:r>
    </w:p>
    <w:p>
      <w:pPr>
        <w:pStyle w:val="Heading6"/>
        <w:numPr>
          <w:ilvl w:val="5"/>
          <w:numId w:val="1"/>
        </w:numPr>
        <w:rPr/>
      </w:pPr>
      <w:bookmarkStart w:id="346" w:name="__RefHeading___Toc5148774_2314609296"/>
      <w:bookmarkStart w:id="347" w:name="_Toc132"/>
      <w:bookmarkEnd w:id="346"/>
      <w:r>
        <w:rPr>
          <w:rtl w:val="true"/>
        </w:rPr>
        <w:t>[</w:t>
      </w:r>
      <w:r>
        <w:rPr>
          <w:rtl w:val="true"/>
        </w:rPr>
        <w:t>تصویر الغبن من الطرفین و الإشکال فیه</w:t>
      </w:r>
      <w:r>
        <w:rPr>
          <w:rtl w:val="true"/>
        </w:rPr>
        <w:t>]</w:t>
      </w:r>
      <w:bookmarkEnd w:id="347"/>
    </w:p>
    <w:p>
      <w:pPr>
        <w:pStyle w:val="BookText"/>
        <w:rPr/>
      </w:pPr>
      <w:r>
        <w:rPr>
          <w:rFonts w:ascii="IRNazanin" w:hAnsi="IRNazanin" w:eastAsia="IRNazanin"/>
          <w:color w:val="111111"/>
          <w:sz w:val="28"/>
          <w:sz w:val="28"/>
          <w:szCs w:val="28"/>
          <w:rtl w:val="true"/>
          <w:lang w:bidi="fa-IR"/>
        </w:rPr>
        <w:t>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فی الروضة و المسالک تبعاً لجامع المقاصد فی أقسام الغبن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المغبون إمّا أن یکون هو البائع أو المشتری أو هما </w:t>
      </w:r>
      <w:r>
        <w:rPr>
          <w:rStyle w:val="FootnoteAnchor"/>
          <w:rtl w:val="true"/>
        </w:rPr>
        <w:footnoteReference w:id="62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فیقع الإشکال فی تصوّر غبن کلٍّ من المتبایعین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المحکیّ عن بعض </w:t>
      </w:r>
      <w:r>
        <w:rPr>
          <w:rStyle w:val="FootnoteAnchor"/>
          <w:rtl w:val="true"/>
        </w:rPr>
        <w:footnoteReference w:id="625"/>
      </w:r>
      <w:r>
        <w:rPr>
          <w:rFonts w:ascii="IRNazanin" w:hAnsi="IRNazanin" w:eastAsia="IRNazanin"/>
          <w:color w:val="111111"/>
          <w:sz w:val="28"/>
          <w:sz w:val="28"/>
          <w:szCs w:val="28"/>
          <w:rtl w:val="true"/>
          <w:lang w:bidi="fa-IR"/>
        </w:rPr>
        <w:t>الفضلاء فی تعلیقه علی الروضة ما حاصله استحالة ذلک،حیث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أنّ الغبن فی طرف البائع إنّما هو إذا باع بأقلّ من القیمة السوقیّة،و فی طرف المشتری إذا اشتری بأزید منها،و لا یتفاوت الحال بکون الثمن و المثمن من الأثمان أو العروض أو مختلفین،و حینئذٍ فلا یعقل کونهما معاً مغبونین،و إلّا لزم کون الثمن أقلّ من القیمة السوقیّة و أکثر،و هو محالٌ،فتأمّل،انتهی</w:t>
      </w:r>
      <w:r>
        <w:rPr>
          <w:rFonts w:eastAsia="IRNazanin" w:cs="IRNazanin"/>
          <w:color w:val="111111"/>
          <w:sz w:val="28"/>
          <w:szCs w:val="28"/>
          <w:rtl w:val="true"/>
          <w:lang w:bidi="fa-IR"/>
        </w:rPr>
        <w:t>.</w:t>
      </w:r>
    </w:p>
    <w:p>
      <w:pPr>
        <w:pStyle w:val="Heading6"/>
        <w:numPr>
          <w:ilvl w:val="5"/>
          <w:numId w:val="1"/>
        </w:numPr>
        <w:rPr/>
      </w:pPr>
      <w:bookmarkStart w:id="348" w:name="__RefHeading___Toc5148776_2314609296"/>
      <w:bookmarkStart w:id="349" w:name="_Toc133"/>
      <w:bookmarkEnd w:id="348"/>
      <w:r>
        <w:rPr>
          <w:rtl w:val="true"/>
        </w:rPr>
        <w:t>[</w:t>
      </w:r>
      <w:r>
        <w:rPr>
          <w:rtl w:val="true"/>
        </w:rPr>
        <w:t>الوجوه المذکورة فی تصویر ذلک</w:t>
      </w:r>
      <w:r>
        <w:rPr>
          <w:rtl w:val="true"/>
        </w:rPr>
        <w:t>]</w:t>
      </w:r>
      <w:bookmarkEnd w:id="349"/>
    </w:p>
    <w:p>
      <w:pPr>
        <w:pStyle w:val="BookText"/>
        <w:rPr/>
      </w:pPr>
      <w:r>
        <w:rPr>
          <w:rFonts w:ascii="IRNazanin" w:hAnsi="IRNazanin" w:eastAsia="IRNazanin"/>
          <w:color w:val="111111"/>
          <w:sz w:val="28"/>
          <w:sz w:val="28"/>
          <w:szCs w:val="28"/>
          <w:rtl w:val="true"/>
          <w:lang w:bidi="fa-IR"/>
        </w:rPr>
        <w:t>و قد تعرّض غیر واحدٍ ممّن قارب عصرنا لتصویر ذلک فی بعض الفروض</w:t>
      </w:r>
      <w:r>
        <w:rPr>
          <w:rFonts w:eastAsia="IRNazanin" w:cs="IRNazanin"/>
          <w:color w:val="111111"/>
          <w:sz w:val="28"/>
          <w:szCs w:val="28"/>
          <w:rtl w:val="true"/>
          <w:lang w:bidi="fa-IR"/>
        </w:rPr>
        <w:t>:</w:t>
      </w:r>
    </w:p>
    <w:p>
      <w:pPr>
        <w:pStyle w:val="Heading6"/>
        <w:numPr>
          <w:ilvl w:val="5"/>
          <w:numId w:val="1"/>
        </w:numPr>
        <w:rPr/>
      </w:pPr>
      <w:bookmarkStart w:id="350" w:name="__RefHeading___Toc5148778_2314609296"/>
      <w:bookmarkStart w:id="351" w:name="_Toc134"/>
      <w:bookmarkEnd w:id="350"/>
      <w:r>
        <w:rPr>
          <w:rtl w:val="true"/>
        </w:rPr>
        <w:t>منها</w:t>
      </w:r>
      <w:r>
        <w:rPr>
          <w:rtl w:val="true"/>
        </w:rPr>
        <w:t>:</w:t>
      </w:r>
      <w:r>
        <w:rPr>
          <w:rtl w:val="true"/>
        </w:rPr>
        <w:t>ما ذکره المحقّق القمّی صاحب القوانین</w:t>
      </w:r>
      <w:bookmarkEnd w:id="351"/>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جواب من سأله</w:t>
      </w:r>
      <w:bookmarkStart w:id="352" w:name="pg19864_220799"/>
    </w:p>
    <w:p>
      <w:pPr>
        <w:pStyle w:val="BookText"/>
        <w:rPr/>
      </w:pPr>
      <w:bookmarkEnd w:id="352"/>
      <w:r>
        <w:rPr>
          <w:rFonts w:ascii="IRNazanin" w:hAnsi="IRNazanin" w:eastAsia="IRNazanin"/>
          <w:color w:val="111111"/>
          <w:sz w:val="28"/>
          <w:sz w:val="28"/>
          <w:szCs w:val="28"/>
          <w:rtl w:val="true"/>
          <w:lang w:bidi="fa-IR"/>
        </w:rPr>
        <w:t>عن هذه العبارة من الروضة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إنّها تفرض فیما إذا باع متاعه بأربعة توامین من الفلوس علی أن یعطیه عنها ثمانیة دنانیر معتقداً أنّها تسوی أربعة توامین،ثمّ تبیّن أنّ المتاع یسوی خمسة توامین و أنّ الدنانیر تسوی خمسة توامین إلّا خُمساً،فصار البائع مغبوناً من کون الثمن أقلّ من القیمة السوقیّة بخُمس تومان،و المشتری مغبوناً من جهة زیادة الدنانیر علی أربعة توامین،فالبائع مغبونٌ فی أصل البیع، و المشتری مغبونٌ فیما التزمه من إعطاء الدنانیر عن الثمن و إن لم یکن مغبوناً فی أصل البیع </w:t>
      </w:r>
      <w:r>
        <w:rPr>
          <w:rStyle w:val="FootnoteAnchor"/>
          <w:rtl w:val="true"/>
        </w:rPr>
        <w:footnoteReference w:id="62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مثل هذا البیع المشروط بهذا الشرط یلاحظ فیه حاصل ما یصل إلی البائع بسبب مجموع العقد و الشرط،کما لو باع شیئاً یسوی خمسة دراهم بدرهمین علی أن یخیط له ثوباً مع فرض کون أُجرة الخیاطة ثلاثة دراهم،و من هنا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للشروط قسطاً من العوض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أبیت إلّا عن أنّ الشرط معاملةٌ مستقلّةٌ فلا </w:t>
      </w:r>
      <w:r>
        <w:rPr>
          <w:rStyle w:val="FootnoteAnchor"/>
          <w:rtl w:val="true"/>
        </w:rPr>
        <w:footnoteReference w:id="627"/>
      </w:r>
      <w:r>
        <w:rPr>
          <w:rFonts w:ascii="IRNazanin" w:hAnsi="IRNazanin" w:eastAsia="IRNazanin"/>
          <w:color w:val="111111"/>
          <w:sz w:val="28"/>
          <w:sz w:val="28"/>
          <w:szCs w:val="28"/>
          <w:rtl w:val="true"/>
          <w:lang w:bidi="fa-IR"/>
        </w:rPr>
        <w:t>مدخل له فی زیادة الثمن،خرج ذلک عن فرض غبن کلٍّ من المتبایعین فی معاملةٍ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الحقّ 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وحدة المعاملة و کون الغبن من طرفٍ واحدٍ</w:t>
      </w:r>
      <w:r>
        <w:rPr>
          <w:rFonts w:eastAsia="IRNazanin" w:cs="IRNazanin"/>
          <w:color w:val="111111"/>
          <w:sz w:val="28"/>
          <w:szCs w:val="28"/>
          <w:rtl w:val="true"/>
          <w:lang w:bidi="fa-IR"/>
        </w:rPr>
        <w:t>.</w:t>
      </w:r>
    </w:p>
    <w:p>
      <w:pPr>
        <w:pStyle w:val="Heading6"/>
        <w:numPr>
          <w:ilvl w:val="5"/>
          <w:numId w:val="1"/>
        </w:numPr>
        <w:rPr/>
      </w:pPr>
      <w:bookmarkStart w:id="353" w:name="__RefHeading___Toc5148780_2314609296"/>
      <w:bookmarkStart w:id="354" w:name="_Toc135"/>
      <w:bookmarkEnd w:id="353"/>
      <w:r>
        <w:rPr>
          <w:rtl w:val="true"/>
        </w:rPr>
        <w:t>و منها</w:t>
      </w:r>
      <w:r>
        <w:rPr>
          <w:rtl w:val="true"/>
        </w:rPr>
        <w:t>:</w:t>
      </w:r>
      <w:r>
        <w:rPr>
          <w:rtl w:val="true"/>
        </w:rPr>
        <w:t>ما ذکره بعض المعاصرین،</w:t>
      </w:r>
      <w:bookmarkEnd w:id="354"/>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فرض المسألة فیما إذا باع شیئین فی عقدٍ واحدٍ بثمنین،فغبن البائع فی أحدهما و المشتری فی الآخر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bookmarkStart w:id="355" w:name="pg19864_220800"/>
    </w:p>
    <w:p>
      <w:pPr>
        <w:pStyle w:val="BookText"/>
        <w:rPr/>
      </w:pPr>
      <w:bookmarkEnd w:id="355"/>
      <w:r>
        <w:rPr>
          <w:rFonts w:ascii="IRNazanin" w:hAnsi="IRNazanin" w:eastAsia="IRNazanin"/>
          <w:color w:val="111111"/>
          <w:sz w:val="28"/>
          <w:sz w:val="28"/>
          <w:szCs w:val="28"/>
          <w:rtl w:val="true"/>
          <w:lang w:bidi="fa-IR"/>
        </w:rPr>
        <w:t xml:space="preserve">و هذا الجواب قریبٌ من سابقه فی الضعف؛لأنّه إن جاز التفکیک بینهما عند فرض ثبوت الغبن لأحدهما خاصّةً حتّی یجوز له الفسخ فی العین المغبون فیها خاصّةً،فهما معاملتان مستقلّتان کان الغبن فی کلّ واحدةٍ منهما </w:t>
      </w:r>
      <w:r>
        <w:rPr>
          <w:rStyle w:val="FootnoteAnchor"/>
          <w:rtl w:val="true"/>
        </w:rPr>
        <w:footnoteReference w:id="629"/>
      </w:r>
      <w:r>
        <w:rPr>
          <w:rFonts w:ascii="IRNazanin" w:hAnsi="IRNazanin" w:eastAsia="IRNazanin"/>
          <w:color w:val="111111"/>
          <w:sz w:val="28"/>
          <w:sz w:val="28"/>
          <w:szCs w:val="28"/>
          <w:rtl w:val="true"/>
          <w:lang w:bidi="fa-IR"/>
        </w:rPr>
        <w:t>لأحدهما خاصّةً،فلا وجه لجعل هذا قسماً ثالثاً لقسمی غبن البائع خاصّةً و المشتری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یجز التفکیک بینهما لم یکن غبنٌ أصلاً مع تساوی الزیادة فی أحدهما للنقیصة فی الآخر،و مع عدم المساواة فالغبن من طرفٍ واحدٍ</w:t>
      </w:r>
      <w:r>
        <w:rPr>
          <w:rFonts w:eastAsia="IRNazanin" w:cs="IRNazanin"/>
          <w:color w:val="111111"/>
          <w:sz w:val="28"/>
          <w:szCs w:val="28"/>
          <w:rtl w:val="true"/>
          <w:lang w:bidi="fa-IR"/>
        </w:rPr>
        <w:t>.</w:t>
      </w:r>
    </w:p>
    <w:p>
      <w:pPr>
        <w:pStyle w:val="Heading6"/>
        <w:numPr>
          <w:ilvl w:val="5"/>
          <w:numId w:val="1"/>
        </w:numPr>
        <w:rPr/>
      </w:pPr>
      <w:bookmarkStart w:id="356" w:name="__RefHeading___Toc5148782_2314609296"/>
      <w:bookmarkStart w:id="357" w:name="_Toc136"/>
      <w:bookmarkEnd w:id="356"/>
      <w:r>
        <w:rPr>
          <w:rtl w:val="true"/>
        </w:rPr>
        <w:t>و منها</w:t>
      </w:r>
      <w:r>
        <w:rPr>
          <w:rtl w:val="true"/>
        </w:rPr>
        <w:t>:</w:t>
      </w:r>
      <w:r>
        <w:rPr>
          <w:rtl w:val="true"/>
        </w:rPr>
        <w:t>أن یراد بالغبن فی المقسم معناه الأعمّ</w:t>
      </w:r>
      <w:bookmarkEnd w:id="357"/>
    </w:p>
    <w:p>
      <w:pPr>
        <w:pStyle w:val="BookText"/>
        <w:rPr/>
      </w:pPr>
      <w:r>
        <w:rPr>
          <w:rFonts w:ascii="IRNazanin" w:hAnsi="IRNazanin" w:eastAsia="IRNazanin"/>
          <w:color w:val="111111"/>
          <w:sz w:val="28"/>
          <w:sz w:val="28"/>
          <w:szCs w:val="28"/>
          <w:rtl w:val="true"/>
          <w:lang w:bidi="fa-IR"/>
        </w:rPr>
        <w:t xml:space="preserve">الشامل لصورة خروج العین المشاهدة سابقاً علی خلاف ما شاهده أو خروج ما أخبر البائع بوزنه علی خلاف خبره،و قد أطلق الغبن علی هذا المعنی الأعمّ العلّامة فی القواعد </w:t>
      </w:r>
      <w:r>
        <w:rPr>
          <w:rStyle w:val="FootnoteAnchor"/>
          <w:rtl w:val="true"/>
        </w:rPr>
        <w:footnoteReference w:id="630"/>
      </w:r>
      <w:r>
        <w:rPr>
          <w:rFonts w:ascii="IRNazanin" w:hAnsi="IRNazanin" w:eastAsia="IRNazanin"/>
          <w:color w:val="111111"/>
          <w:sz w:val="28"/>
          <w:sz w:val="28"/>
          <w:szCs w:val="28"/>
          <w:rtl w:val="true"/>
          <w:lang w:bidi="fa-IR"/>
        </w:rPr>
        <w:t xml:space="preserve">و الشهید فی اللمعة </w:t>
      </w:r>
      <w:r>
        <w:rPr>
          <w:rStyle w:val="FootnoteAnchor"/>
          <w:rtl w:val="true"/>
        </w:rPr>
        <w:footnoteReference w:id="631"/>
      </w:r>
      <w:r>
        <w:rPr>
          <w:rFonts w:ascii="IRNazanin" w:hAnsi="IRNazanin" w:eastAsia="IRNazanin"/>
          <w:color w:val="111111"/>
          <w:sz w:val="28"/>
          <w:sz w:val="28"/>
          <w:szCs w:val="28"/>
          <w:rtl w:val="true"/>
          <w:lang w:bidi="fa-IR"/>
        </w:rPr>
        <w:t>،و علی هذا المعنی الأعمّ تحقّق الغبن فی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حسنٌ،لکن ظاهر عبارة الشهید </w:t>
      </w:r>
      <w:r>
        <w:rPr>
          <w:rStyle w:val="FootnoteAnchor"/>
          <w:rtl w:val="true"/>
        </w:rPr>
        <w:footnoteReference w:id="632"/>
      </w:r>
      <w:r>
        <w:rPr>
          <w:rFonts w:ascii="Amiri" w:hAnsi="Amiri" w:eastAsia="Amiri" w:cs="Amiri"/>
          <w:color w:val="111111"/>
          <w:sz w:val="28"/>
          <w:sz w:val="28"/>
          <w:szCs w:val="28"/>
          <w:rtl w:val="true"/>
          <w:lang w:bidi="ar-SA"/>
        </w:rPr>
        <w:t xml:space="preserve">و المحقّق </w:t>
      </w:r>
      <w:r>
        <w:rPr>
          <w:rStyle w:val="FootnoteAnchor"/>
          <w:rtl w:val="true"/>
        </w:rPr>
        <w:footnoteReference w:id="633"/>
      </w:r>
      <w:r>
        <w:rPr>
          <w:rFonts w:ascii="IRNazanin" w:hAnsi="IRNazanin" w:eastAsia="IRNazanin"/>
          <w:color w:val="111111"/>
          <w:sz w:val="28"/>
          <w:sz w:val="28"/>
          <w:szCs w:val="28"/>
          <w:rtl w:val="true"/>
          <w:lang w:bidi="fa-IR"/>
        </w:rPr>
        <w:t>الثانیین إرادة ما عنون به هذا الخیار و هو الغبن بالمعنی الأخصّ علی ما فسّروه به</w:t>
      </w:r>
      <w:r>
        <w:rPr>
          <w:rFonts w:eastAsia="IRNazanin" w:cs="IRNazanin"/>
          <w:color w:val="111111"/>
          <w:sz w:val="28"/>
          <w:szCs w:val="28"/>
          <w:rtl w:val="true"/>
          <w:lang w:bidi="fa-IR"/>
        </w:rPr>
        <w:t>.</w:t>
      </w:r>
    </w:p>
    <w:p>
      <w:pPr>
        <w:pStyle w:val="Heading6"/>
        <w:numPr>
          <w:ilvl w:val="5"/>
          <w:numId w:val="1"/>
        </w:numPr>
        <w:rPr/>
      </w:pPr>
      <w:bookmarkStart w:id="358" w:name="__RefHeading___Toc5148784_2314609296"/>
      <w:bookmarkStart w:id="359" w:name="_Toc137"/>
      <w:bookmarkEnd w:id="358"/>
      <w:r>
        <w:rPr>
          <w:rtl w:val="true"/>
        </w:rPr>
        <w:t>و منها</w:t>
      </w:r>
      <w:r>
        <w:rPr>
          <w:rtl w:val="true"/>
        </w:rPr>
        <w:t>:</w:t>
      </w:r>
      <w:r>
        <w:rPr>
          <w:rtl w:val="true"/>
        </w:rPr>
        <w:t>ما ذکره بعضٌ</w:t>
      </w:r>
      <w:r>
        <w:rPr>
          <w:rtl w:val="true"/>
        </w:rPr>
        <w:t>:</w:t>
      </w:r>
      <w:r>
        <w:rPr>
          <w:rtl w:val="true"/>
        </w:rPr>
        <w:t>من أنّه یحصل بفرض المتبایعین وقت العقد فی مکانین،</w:t>
      </w:r>
      <w:bookmarkEnd w:id="359"/>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إذا حصر العسکر البلد و فُرض قیمة الطعام خارج البلد</w:t>
      </w:r>
      <w:bookmarkStart w:id="360" w:name="pg19864_220801"/>
    </w:p>
    <w:p>
      <w:pPr>
        <w:pStyle w:val="BookText"/>
        <w:rPr/>
      </w:pPr>
      <w:bookmarkEnd w:id="360"/>
      <w:r>
        <w:rPr>
          <w:rFonts w:ascii="IRNazanin" w:hAnsi="IRNazanin" w:eastAsia="IRNazanin"/>
          <w:color w:val="111111"/>
          <w:sz w:val="28"/>
          <w:sz w:val="28"/>
          <w:szCs w:val="28"/>
          <w:rtl w:val="true"/>
          <w:lang w:bidi="fa-IR"/>
        </w:rPr>
        <w:t xml:space="preserve">ضعف قیمته فی البلد،فاشتری بعض أهل البلد من وراء سور البلد طعاماً من العسکر بثمنٍ متوسّطٍ بین القیمتین،فالمشتری مغبونٌ لزیادة الثمن علی قیمة الطعام فی مکانه،و البائع مغبونٌ لنقصانه عن القیمة فی مکانه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ردّه بأنّ المبیع بعد العقد باقٍ علی قیمته حین العقد، و لا غبن فیه للمشتری ما دام فی محلّ العقد،و إنّما نزلت قیمته بقبض المشتری و نقله إیّاه إلی مکان الرخص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بالجملة،الطعام عند العقد لا یکون إلّا فی محلٍّ واحدٍ له قیمةٌ واحدةٌ</w:t>
      </w:r>
      <w:r>
        <w:rPr>
          <w:rFonts w:eastAsia="IRNazanin" w:cs="IRNazanin"/>
          <w:color w:val="111111"/>
          <w:sz w:val="28"/>
          <w:szCs w:val="28"/>
          <w:rtl w:val="true"/>
          <w:lang w:bidi="fa-IR"/>
        </w:rPr>
        <w:t>.</w:t>
      </w:r>
    </w:p>
    <w:p>
      <w:pPr>
        <w:pStyle w:val="Heading6"/>
        <w:numPr>
          <w:ilvl w:val="5"/>
          <w:numId w:val="1"/>
        </w:numPr>
        <w:rPr/>
      </w:pPr>
      <w:bookmarkStart w:id="361" w:name="__RefHeading___Toc5148786_2314609296"/>
      <w:bookmarkStart w:id="362" w:name="_Toc138"/>
      <w:bookmarkEnd w:id="361"/>
      <w:r>
        <w:rPr>
          <w:rtl w:val="true"/>
        </w:rPr>
        <w:t>و منها</w:t>
      </w:r>
      <w:r>
        <w:rPr>
          <w:rtl w:val="true"/>
        </w:rPr>
        <w:t>:</w:t>
      </w:r>
      <w:r>
        <w:rPr>
          <w:rtl w:val="true"/>
        </w:rPr>
        <w:t>ما ذکره فی مفتاح الکرامة</w:t>
      </w:r>
      <w:r>
        <w:rPr>
          <w:rtl w:val="true"/>
        </w:rPr>
        <w:t>:</w:t>
      </w:r>
      <w:r>
        <w:rPr>
          <w:rtl w:val="true"/>
        </w:rPr>
        <w:t>من فرضه فیما إذا ادّعی کلٌّ من المتبایعین الغبن،</w:t>
      </w:r>
      <w:bookmarkEnd w:id="362"/>
    </w:p>
    <w:p>
      <w:pPr>
        <w:pStyle w:val="BookText"/>
        <w:rPr/>
      </w:pPr>
      <w:r>
        <w:rPr>
          <w:rFonts w:ascii="IRNazanin" w:hAnsi="IRNazanin" w:eastAsia="IRNazanin"/>
          <w:color w:val="111111"/>
          <w:sz w:val="28"/>
          <w:sz w:val="28"/>
          <w:szCs w:val="28"/>
          <w:rtl w:val="true"/>
          <w:lang w:bidi="fa-IR"/>
        </w:rPr>
        <w:t>کما إذا بیع ثوبٌ بفرسٍ بظنّ المساواة،ثمّ ادّعی کلٌّ منهما نقص ما فی یده عمّا فی ید الآخر،و لم یوجد المقوِّم لیرجع إلیه، فتحالفا،فیثبت الغبن لکلٍّ منهما فی ما وصل إلیه،قال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یتصوّر غبنهما فی أحد العوضین،کما لو تبایعا شیئاً بمائة درهم،ثمّ ادّعی البائع کونه یسوی بمأتین و المشتری کونه لا یسوی إلّا بخمسین،و لا مقوِّم یرجع إلیه فتحالفا،و یثبت الفسخ لکلٍّ منهما </w:t>
      </w:r>
      <w:r>
        <w:rPr>
          <w:rStyle w:val="FootnoteAnchor"/>
          <w:rtl w:val="true"/>
        </w:rPr>
        <w:footnoteReference w:id="63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الظاهر أنّ لازم التحالف عدم الغبن لأحدهما </w:t>
      </w:r>
      <w:r>
        <w:rPr>
          <w:rStyle w:val="FootnoteAnchor"/>
          <w:rtl w:val="true"/>
        </w:rPr>
        <w:footnoteReference w:id="636"/>
      </w:r>
      <w:r>
        <w:rPr>
          <w:rFonts w:ascii="IRNazanin" w:hAnsi="IRNazanin" w:eastAsia="IRNazanin"/>
          <w:color w:val="111111"/>
          <w:sz w:val="28"/>
          <w:sz w:val="28"/>
          <w:szCs w:val="28"/>
          <w:rtl w:val="true"/>
          <w:lang w:bidi="fa-IR"/>
        </w:rPr>
        <w:t>،مع أنّ الکلام فی الغبن الواقعی دون الظاهری</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الأولی من هذه الوجوه هو الوجه الثالث،و اللّٰه العالم</w:t>
      </w:r>
      <w:r>
        <w:rPr>
          <w:rFonts w:eastAsia="IRNazanin" w:cs="IRNazanin"/>
          <w:color w:val="111111"/>
          <w:sz w:val="28"/>
          <w:szCs w:val="28"/>
          <w:rtl w:val="true"/>
          <w:lang w:bidi="fa-IR"/>
        </w:rPr>
        <w:t>.</w:t>
      </w:r>
      <w:bookmarkStart w:id="363" w:name="pg19864_220802"/>
    </w:p>
    <w:p>
      <w:pPr>
        <w:pStyle w:val="Heading6"/>
        <w:numPr>
          <w:ilvl w:val="5"/>
          <w:numId w:val="1"/>
        </w:numPr>
        <w:rPr/>
      </w:pPr>
      <w:bookmarkStart w:id="364" w:name="__RefHeading___Toc5148788_2314609296"/>
      <w:bookmarkStart w:id="365" w:name="_Toc139"/>
      <w:bookmarkEnd w:id="363"/>
      <w:bookmarkEnd w:id="364"/>
      <w:r>
        <w:rPr>
          <w:rtl w:val="true"/>
        </w:rPr>
        <w:t>مسألة ظهور الغبن شرطٌ شرعیٌّ لحدوث الخیار،أو کاشفٌ عقلیٌّ عن ثبوته حین العقد؟</w:t>
      </w:r>
      <w:bookmarkEnd w:id="365"/>
    </w:p>
    <w:p>
      <w:pPr>
        <w:pStyle w:val="BookText"/>
        <w:rPr/>
      </w:pPr>
      <w:r>
        <w:rPr>
          <w:rFonts w:ascii="IRNazanin" w:hAnsi="IRNazanin" w:eastAsia="IRNazanin"/>
          <w:color w:val="111111"/>
          <w:sz w:val="28"/>
          <w:sz w:val="28"/>
          <w:szCs w:val="28"/>
          <w:rtl w:val="true"/>
          <w:lang w:bidi="fa-IR"/>
        </w:rPr>
        <w:t>وجهان،منشؤهما اختلاف کلمات العلماء فی فتاویهم و معاقد إجماعهم و استدلالاتهم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فظاهر عبارة المبسوط و الغنیة و الشرائع </w:t>
      </w:r>
      <w:r>
        <w:rPr>
          <w:rStyle w:val="FootnoteAnchor"/>
          <w:rtl w:val="true"/>
        </w:rPr>
        <w:footnoteReference w:id="637"/>
      </w:r>
      <w:r>
        <w:rPr>
          <w:rFonts w:ascii="IRNazanin" w:hAnsi="IRNazanin" w:eastAsia="IRNazanin"/>
          <w:color w:val="111111"/>
          <w:sz w:val="28"/>
          <w:sz w:val="28"/>
          <w:szCs w:val="28"/>
          <w:rtl w:val="true"/>
          <w:lang w:bidi="fa-IR"/>
        </w:rPr>
        <w:t>و غیرها هو الأوّل،و فی الغنیة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علی أنّ ظهور الغبن سببٌ للخیار</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کلمات آخرین </w:t>
      </w:r>
      <w:r>
        <w:rPr>
          <w:rStyle w:val="FootnoteAnchor"/>
          <w:rtl w:val="true"/>
        </w:rPr>
        <w:footnoteReference w:id="638"/>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الغبن سببٌ لثبوت الخیار عند علمائنا </w:t>
      </w:r>
      <w:r>
        <w:rPr>
          <w:rStyle w:val="FootnoteAnchor"/>
          <w:rtl w:val="true"/>
        </w:rPr>
        <w:footnoteReference w:id="6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 هذا الخیار بالتصرّف</w:t>
      </w:r>
      <w:r>
        <w:rPr>
          <w:rFonts w:eastAsia="IRNazanin" w:cs="IRNazanin"/>
          <w:color w:val="111111"/>
          <w:sz w:val="28"/>
          <w:szCs w:val="28"/>
          <w:rtl w:val="true"/>
          <w:lang w:bidi="fa-IR"/>
        </w:rPr>
        <w:t xml:space="preserve">» </w:t>
      </w:r>
      <w:r>
        <w:rPr>
          <w:rStyle w:val="FootnoteAnchor"/>
          <w:rtl w:val="true"/>
        </w:rPr>
        <w:footnoteReference w:id="640"/>
      </w:r>
      <w:r>
        <w:rPr>
          <w:rFonts w:ascii="IRNazanin" w:hAnsi="IRNazanin" w:eastAsia="IRNazanin"/>
          <w:color w:val="111111"/>
          <w:sz w:val="28"/>
          <w:sz w:val="28"/>
          <w:szCs w:val="28"/>
          <w:rtl w:val="true"/>
          <w:lang w:bidi="fa-IR"/>
        </w:rPr>
        <w:t xml:space="preserve">فإنّ المراد التصرّف قبل العلم بالغبن،و عدم السقوط </w:t>
      </w:r>
      <w:r>
        <w:rPr>
          <w:rStyle w:val="FootnoteAnchor"/>
          <w:rtl w:val="true"/>
        </w:rPr>
        <w:footnoteReference w:id="641"/>
      </w:r>
      <w:r>
        <w:rPr>
          <w:rFonts w:ascii="IRNazanin" w:hAnsi="IRNazanin" w:eastAsia="IRNazanin"/>
          <w:color w:val="111111"/>
          <w:sz w:val="28"/>
          <w:sz w:val="28"/>
          <w:szCs w:val="28"/>
          <w:rtl w:val="true"/>
          <w:lang w:bidi="fa-IR"/>
        </w:rPr>
        <w:t>ظاهرٌ فی ثبوته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یؤیّد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اختلفوا </w:t>
      </w:r>
      <w:r>
        <w:rPr>
          <w:rStyle w:val="FootnoteAnchor"/>
          <w:rtl w:val="true"/>
        </w:rPr>
        <w:footnoteReference w:id="642"/>
      </w:r>
      <w:r>
        <w:rPr>
          <w:rFonts w:ascii="IRNazanin" w:hAnsi="IRNazanin" w:eastAsia="IRNazanin"/>
          <w:color w:val="111111"/>
          <w:sz w:val="28"/>
          <w:sz w:val="28"/>
          <w:szCs w:val="28"/>
          <w:rtl w:val="true"/>
          <w:lang w:bidi="fa-IR"/>
        </w:rPr>
        <w:t xml:space="preserve">فی صحّة التصرّفات الناقلة فی زمان الخیار و لم یحکموا ببطلان التصرّفات الواقعة من الغابن حین جهل المغبون،بل صرّح بعضهم </w:t>
      </w:r>
      <w:r>
        <w:rPr>
          <w:rStyle w:val="FootnoteAnchor"/>
          <w:rtl w:val="true"/>
        </w:rPr>
        <w:footnoteReference w:id="643"/>
      </w:r>
      <w:r>
        <w:rPr>
          <w:rFonts w:ascii="IRNazanin" w:hAnsi="IRNazanin" w:eastAsia="IRNazanin"/>
          <w:color w:val="111111"/>
          <w:sz w:val="28"/>
          <w:sz w:val="28"/>
          <w:szCs w:val="28"/>
          <w:rtl w:val="true"/>
          <w:lang w:bidi="fa-IR"/>
        </w:rPr>
        <w:t>بنفوذها و انتقال المغبون بعد ظهور غبنه إلی البدل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الاستدلال فی التذکرة </w:t>
      </w:r>
      <w:r>
        <w:rPr>
          <w:rStyle w:val="FootnoteAnchor"/>
          <w:rtl w:val="true"/>
        </w:rPr>
        <w:footnoteReference w:id="644"/>
      </w:r>
      <w:r>
        <w:rPr>
          <w:rFonts w:ascii="IRNazanin" w:hAnsi="IRNazanin" w:eastAsia="IRNazanin"/>
          <w:color w:val="111111"/>
          <w:sz w:val="28"/>
          <w:sz w:val="28"/>
          <w:szCs w:val="28"/>
          <w:rtl w:val="true"/>
          <w:lang w:bidi="fa-IR"/>
        </w:rPr>
        <w:t xml:space="preserve">و الغنیة </w:t>
      </w:r>
      <w:r>
        <w:rPr>
          <w:rStyle w:val="FootnoteAnchor"/>
          <w:rtl w:val="true"/>
        </w:rPr>
        <w:footnoteReference w:id="645"/>
      </w:r>
      <w:r>
        <w:rPr>
          <w:rFonts w:ascii="IRNazanin" w:hAnsi="IRNazanin" w:eastAsia="IRNazanin"/>
          <w:color w:val="111111"/>
          <w:sz w:val="28"/>
          <w:sz w:val="28"/>
          <w:szCs w:val="28"/>
          <w:rtl w:val="true"/>
          <w:lang w:bidi="fa-IR"/>
        </w:rPr>
        <w:t>علی هذا الخیار بقوله صلّی اللّٰه علیه و آله فی حدیث تلقّی الرکبان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بالخیار إذا دخلوا السوق</w:t>
      </w:r>
      <w:r>
        <w:rPr>
          <w:rFonts w:eastAsia="IRNazanin" w:cs="IRNazanin"/>
          <w:color w:val="111111"/>
          <w:sz w:val="28"/>
          <w:szCs w:val="28"/>
          <w:rtl w:val="true"/>
          <w:lang w:bidi="fa-IR"/>
        </w:rPr>
        <w:t xml:space="preserve">» </w:t>
      </w:r>
      <w:r>
        <w:rPr>
          <w:rStyle w:val="FootnoteAnchor"/>
          <w:rtl w:val="true"/>
        </w:rPr>
        <w:footnoteReference w:id="646"/>
      </w:r>
      <w:r>
        <w:rPr>
          <w:rFonts w:ascii="IRNazanin" w:hAnsi="IRNazanin" w:eastAsia="IRNazanin"/>
          <w:color w:val="111111"/>
          <w:sz w:val="28"/>
          <w:sz w:val="28"/>
          <w:szCs w:val="28"/>
          <w:rtl w:val="true"/>
          <w:lang w:bidi="fa-IR"/>
        </w:rPr>
        <w:t>فإنّ ظاهره حدوث الخیار بعد الدخول الموجب لظهور الغبن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لکن لا یخفی إمکان إرجاع الکلمات إلی أحد الوجهین بتوجیه ما کان منها ظاهراً فی المعنی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توضیح ذلک </w:t>
      </w:r>
      <w:r>
        <w:rPr>
          <w:rStyle w:val="FootnoteAnchor"/>
          <w:rtl w:val="true"/>
        </w:rPr>
        <w:footnoteReference w:id="6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 أُرید بالخیار السلطنة الفعلیّة التی یقتدر بها علی الفسخ و الإمضاء قولاً أو فعلاً،فلا یحدث إلّا بعد ظهور الغبن</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أُرید به ثبوت حقٍّ للمغبون لو علم به لقام بمقتضاه،فهو ثابتٌ قبل العلم،و إنّما یتوقّف علی العلم إعمال هذا الحقّ،فیکون حال</w:t>
      </w:r>
    </w:p>
    <w:p>
      <w:pPr>
        <w:pStyle w:val="BookText"/>
        <w:rPr/>
      </w:pPr>
      <w:r>
        <w:rPr>
          <w:rFonts w:ascii="IRNazanin" w:hAnsi="IRNazanin" w:eastAsia="IRNazanin"/>
          <w:color w:val="111111"/>
          <w:sz w:val="28"/>
          <w:sz w:val="28"/>
          <w:szCs w:val="28"/>
          <w:rtl w:val="true"/>
          <w:lang w:bidi="fa-IR"/>
        </w:rPr>
        <w:t xml:space="preserve">الجاهل بموضوع الغبن کالجاهل بحکمه أو بحکم خیاری المجلس أو الحیوان أو غیرهما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الآثار المجعولة للخیار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 ما یترتّب علی </w:t>
      </w:r>
      <w:r>
        <w:rPr>
          <w:rStyle w:val="FootnoteAnchor"/>
          <w:rtl w:val="true"/>
        </w:rPr>
        <w:footnoteReference w:id="649"/>
      </w:r>
      <w:r>
        <w:rPr>
          <w:rFonts w:ascii="IRNazanin" w:hAnsi="IRNazanin" w:eastAsia="IRNazanin"/>
          <w:color w:val="111111"/>
          <w:sz w:val="28"/>
          <w:sz w:val="28"/>
          <w:szCs w:val="28"/>
          <w:rtl w:val="true"/>
          <w:lang w:bidi="fa-IR"/>
        </w:rPr>
        <w:t>السلطنة الفعلیّة،کالسقوط بالتصرّف،فإنّه لا یکون إلّا بعد ظهور الغبن،فلا یسقط قبله کما سیجیء،و منه التلف؛ فإنّ الظاهر أنّه قبل ظهور الغبن من المغبون اتّفاقاً و لو قلنا بعموم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التلف فی زمان الخیار ممّن لا خیار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لمثل خیار الغبن، کما جزم به بعضٌ </w:t>
      </w:r>
      <w:r>
        <w:rPr>
          <w:rStyle w:val="FootnoteAnchor"/>
          <w:rtl w:val="true"/>
        </w:rPr>
        <w:footnoteReference w:id="650"/>
      </w:r>
      <w:r>
        <w:rPr>
          <w:rFonts w:ascii="IRNazanin" w:hAnsi="IRNazanin" w:eastAsia="IRNazanin"/>
          <w:color w:val="111111"/>
          <w:sz w:val="28"/>
          <w:sz w:val="28"/>
          <w:szCs w:val="28"/>
          <w:rtl w:val="true"/>
          <w:lang w:bidi="fa-IR"/>
        </w:rPr>
        <w:t xml:space="preserve">و تردّد فیه آخر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بین ما یترتّب علی المعنی الثانی کإسقاطه بعد العقد قبل ظهوره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ما یتردّد بین الأمرین کالتصرّفات الناقلة،فإنّ تعلیلهم المنع عنها بکونها مفوِّتةً لحقّ ذی الخیار من الغبن ظاهرٌ فی ترتّب المنع علی وجود نفس الحقّ و إن لم یعلم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حُکمُ بعضِ </w:t>
      </w:r>
      <w:r>
        <w:rPr>
          <w:rStyle w:val="FootnoteAnchor"/>
          <w:rtl w:val="true"/>
        </w:rPr>
        <w:footnoteReference w:id="652"/>
      </w:r>
      <w:r>
        <w:rPr>
          <w:rFonts w:ascii="IRNazanin" w:hAnsi="IRNazanin" w:eastAsia="IRNazanin"/>
          <w:color w:val="111111"/>
          <w:sz w:val="28"/>
          <w:sz w:val="28"/>
          <w:szCs w:val="28"/>
          <w:rtl w:val="true"/>
          <w:lang w:bidi="fa-IR"/>
        </w:rPr>
        <w:t>من منع من التصرّف فی زمان الخیار بمضیّ التصرّفات الواقعة من الغابن قبل علم المغبون،یظهر منه أنّ المنع لأجل التسلّط الفعلی</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المتّبع دلیل کلِّ واحدٍ من تلک الآثار،فقد یظهر منه ترتّب الأثر</w:t>
      </w:r>
    </w:p>
    <w:p>
      <w:pPr>
        <w:pStyle w:val="BookText"/>
        <w:rPr/>
      </w:pPr>
      <w:r>
        <w:rPr>
          <w:rFonts w:ascii="IRNazanin" w:hAnsi="IRNazanin" w:eastAsia="IRNazanin"/>
          <w:color w:val="111111"/>
          <w:sz w:val="28"/>
          <w:sz w:val="28"/>
          <w:szCs w:val="28"/>
          <w:rtl w:val="true"/>
          <w:lang w:bidi="fa-IR"/>
        </w:rPr>
        <w:t>علی نفس الحقّ الواقعی و لو کان مجهولاً لصاحبه،و قد یظهر منه ترتّبه علی السلطنة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ثمرة الوجهین أیضاً فیما لو فسخ المغبون الجاهل اقتراحاً أو بظنّ وجود سببٍ معدومٍ فی الواقع فصادف الغبن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ذکرناه فی الغبن من الوجهین جارٍ فی العیب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یستظهر من عبارة القواعد فی باب التدلیس الوجهُ الأوّل،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یعنی لا ردّ لو تعیّبت الأمة المدلّسة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عنده </w:t>
      </w:r>
      <w:r>
        <w:rPr>
          <w:rStyle w:val="FootnoteAnchor"/>
          <w:rtl w:val="true"/>
        </w:rPr>
        <w:footnoteReference w:id="6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علمه بالتدلیس </w:t>
      </w:r>
      <w:r>
        <w:rPr>
          <w:rStyle w:val="FootnoteAnchor"/>
          <w:rtl w:val="true"/>
        </w:rPr>
        <w:footnoteReference w:id="6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ذکر فی 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فرق بین تعیّبها قبل العلم و بعده؛لأنّ العیب مضمون علی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العیب بعد العلم غیر مضمونٍ علی المشتری لثبوت الخیار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ظاهره عدم ثبوت الخیار قبل العلم بالعیب؛لکون العیب فی زمان الخیار مضموناً علی من لا خیار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الاستظهار المذکور مبنیٌّ علی شمول قاعدة التلف ممّن لا خیار له لخیار العیب،و سیجیء عدم العموم </w:t>
      </w:r>
      <w:r>
        <w:rPr>
          <w:rStyle w:val="FootnoteAnchor"/>
          <w:rtl w:val="true"/>
        </w:rPr>
        <w:footnoteReference w:id="656"/>
      </w:r>
      <w:r>
        <w:rPr>
          <w:rFonts w:ascii="Amiri" w:hAnsi="Amiri" w:eastAsia="Amiri" w:cs="Amiri"/>
          <w:color w:val="111111"/>
          <w:sz w:val="28"/>
          <w:sz w:val="28"/>
          <w:szCs w:val="28"/>
          <w:rtl w:val="true"/>
          <w:lang w:bidi="ar-SA"/>
        </w:rPr>
        <w:t>إن شاء اللّٰه تعالی</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خیار الرؤیة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فسیأتی أنّ ظاهر التذکرة حدوثه بالرؤیة، فلا یجوز إسقاطه قبلها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bookmarkStart w:id="366" w:name="pg19864_220806"/>
    </w:p>
    <w:p>
      <w:pPr>
        <w:pStyle w:val="Heading6"/>
        <w:numPr>
          <w:ilvl w:val="5"/>
          <w:numId w:val="1"/>
        </w:numPr>
        <w:rPr/>
      </w:pPr>
      <w:bookmarkStart w:id="367" w:name="__RefHeading___Toc5148790_2314609296"/>
      <w:bookmarkStart w:id="368" w:name="_Toc140"/>
      <w:bookmarkEnd w:id="366"/>
      <w:bookmarkEnd w:id="367"/>
      <w:r>
        <w:rPr>
          <w:rtl w:val="true"/>
        </w:rPr>
        <w:t>مسألة یسقط هذا الخیار بأُمور</w:t>
      </w:r>
      <w:r>
        <w:rPr>
          <w:rtl w:val="true"/>
        </w:rPr>
        <w:t>:</w:t>
      </w:r>
      <w:bookmarkEnd w:id="368"/>
    </w:p>
    <w:p>
      <w:pPr>
        <w:pStyle w:val="Heading6"/>
        <w:numPr>
          <w:ilvl w:val="5"/>
          <w:numId w:val="1"/>
        </w:numPr>
        <w:rPr/>
      </w:pPr>
      <w:bookmarkStart w:id="369" w:name="__RefHeading___Toc5148792_2314609296"/>
      <w:bookmarkStart w:id="370" w:name="_Toc141"/>
      <w:bookmarkEnd w:id="369"/>
      <w:r>
        <w:rPr>
          <w:rtl w:val="true"/>
        </w:rPr>
        <w:t>أحدها</w:t>
      </w:r>
      <w:r>
        <w:rPr>
          <w:rtl w:val="true"/>
        </w:rPr>
        <w:t xml:space="preserve">: </w:t>
      </w:r>
      <w:r>
        <w:rPr>
          <w:rtl w:val="true"/>
        </w:rPr>
        <w:t>إسقاطه بعد العقد،</w:t>
      </w:r>
      <w:bookmarkEnd w:id="370"/>
    </w:p>
    <w:p>
      <w:pPr>
        <w:pStyle w:val="BookText"/>
        <w:rPr/>
      </w:pPr>
      <w:r>
        <w:rPr>
          <w:rFonts w:ascii="IRNazanin" w:hAnsi="IRNazanin" w:eastAsia="IRNazanin"/>
          <w:color w:val="111111"/>
          <w:sz w:val="28"/>
          <w:sz w:val="28"/>
          <w:szCs w:val="28"/>
          <w:rtl w:val="true"/>
          <w:lang w:bidi="fa-IR"/>
        </w:rPr>
        <w:t xml:space="preserve">و هو قد یکون بعد العلم بالغبن،و لا </w:t>
      </w:r>
      <w:r>
        <w:rPr>
          <w:rStyle w:val="FootnoteAnchor"/>
          <w:rtl w:val="true"/>
        </w:rPr>
        <w:footnoteReference w:id="658"/>
      </w:r>
      <w:r>
        <w:rPr>
          <w:rFonts w:ascii="IRNazanin" w:hAnsi="IRNazanin" w:eastAsia="IRNazanin"/>
          <w:color w:val="111111"/>
          <w:sz w:val="28"/>
          <w:sz w:val="28"/>
          <w:szCs w:val="28"/>
          <w:rtl w:val="true"/>
          <w:lang w:bidi="fa-IR"/>
        </w:rPr>
        <w:t xml:space="preserve">إشکال فی صحّة إسقاطه بلا عوضٍ مع العلم بمرتبة الغبن،و لا </w:t>
      </w:r>
      <w:r>
        <w:rPr>
          <w:rStyle w:val="FootnoteAnchor"/>
          <w:rtl w:val="true"/>
        </w:rPr>
        <w:footnoteReference w:id="659"/>
      </w:r>
      <w:r>
        <w:rPr>
          <w:rFonts w:ascii="IRNazanin" w:hAnsi="IRNazanin" w:eastAsia="IRNazanin"/>
          <w:color w:val="111111"/>
          <w:sz w:val="28"/>
          <w:sz w:val="28"/>
          <w:szCs w:val="28"/>
          <w:rtl w:val="true"/>
          <w:lang w:bidi="fa-IR"/>
        </w:rPr>
        <w:t>مع الجهل بها إذا أسقط الغبن المسبَّب عن أیّ مرتبةٍ کان،فاحشاً کان أو أفحش</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أسقطه بزعم کون التفاوت عشرةً فظهر مائةً،ففی السقوط إشکالٌ </w:t>
      </w:r>
      <w:r>
        <w:rPr>
          <w:rStyle w:val="FootnoteAnchor"/>
          <w:rtl w:val="true"/>
        </w:rPr>
        <w:footnoteReference w:id="6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طیب نفسه بسقوط هذا المقدار من الحقّ،کما لو أسقط حقّ عِرضٍ بزعم أنّه شتمٌ لا یبلغ القذف،فتبیّن کونه قذفاً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أنّ الخیار أمرٌ واحدٌ مسبَّبٌ عن مطلق التفاوت الذی لا یتسامح به و لا تعدّد فیه،فیسقط بمجرّد الإسقاط،و القذف و ما دونه من الشتم حقّان مختلفان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الإسقاط بعوضٍ بمعنی المصالحة عنه به،فلا إشکال فیه مع العلم بمرتبة الغبن أو التصریح بعموم المراتب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أطلق و کان للإطلاق منصرفٌ،کما لو صالح عن الغبن المحقَّق فی المتاع المشتری بعشرین بدرهم،فإنّ المتعارف من الغبن المحتمَل فی مثل هذه المعاملة هو کون التفاوت أربعةً أو خمسةً فی العشرین،فیصالح عن هذا المحتمل بدرهم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ظهر کون التفاوت ثمانیة عشر،و أنّ المبیع یسوی درهمین، ففی بطلان الصلح؛لأنّه لم یقع علی الحقّ الموجود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صحّته مع لزومه؛لما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الخیار حقّ واحدٌ له سببٌ واحدٌ و هو التفاوت الذی له أفرادٌ متعدّدةٌ فإذا أسقطه 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صحّته متزلزلاً؛لأنّ الخیار الذی صالح عنه باعتقاد أنّ عوضه المتعارف درهمٌ تبیّن کونه ممّا یبذل فی مقابله أزید من الدرهم، ضرورة أنّه کلّما کان التفاوت المحتمل أزید یبذل فی مقابله أزید ممّا یبذل فی مقابله لو کان 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فیحصل الغبن فی المصالحة </w:t>
      </w:r>
      <w:r>
        <w:rPr>
          <w:rStyle w:val="FootnoteAnchor"/>
          <w:rtl w:val="true"/>
        </w:rPr>
        <w:footnoteReference w:id="6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w:t>
      </w:r>
      <w:r>
        <w:rPr>
          <w:rStyle w:val="FootnoteAnchor"/>
          <w:rtl w:val="true"/>
        </w:rPr>
        <w:footnoteReference w:id="662"/>
      </w:r>
      <w:r>
        <w:rPr>
          <w:rFonts w:ascii="IRNazanin" w:hAnsi="IRNazanin" w:eastAsia="IRNazanin"/>
          <w:color w:val="111111"/>
          <w:sz w:val="28"/>
          <w:sz w:val="28"/>
          <w:szCs w:val="28"/>
          <w:rtl w:val="true"/>
          <w:lang w:bidi="fa-IR"/>
        </w:rPr>
        <w:t>فرق فی الغبن بین کونه للجهل بمقدار مالیّته مع العلم بعینه،و بین کونه لأجل الجهل بعینه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وجوهٌ </w:t>
      </w:r>
      <w:r>
        <w:rPr>
          <w:rStyle w:val="FootnoteAnchor"/>
          <w:rtl w:val="true"/>
        </w:rPr>
        <w:footnoteReference w:id="6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فتأمّل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إسقاط هذا الخیار بعد العقد قبل ظهور الغبن،فالظاهر أیضاً</w:t>
      </w:r>
    </w:p>
    <w:p>
      <w:pPr>
        <w:pStyle w:val="BookText"/>
        <w:rPr/>
      </w:pPr>
      <w:r>
        <w:rPr>
          <w:rFonts w:ascii="IRNazanin" w:hAnsi="IRNazanin" w:eastAsia="IRNazanin"/>
          <w:color w:val="111111"/>
          <w:sz w:val="28"/>
          <w:sz w:val="28"/>
          <w:szCs w:val="28"/>
          <w:rtl w:val="true"/>
          <w:lang w:bidi="fa-IR"/>
        </w:rPr>
        <w:t>جوازه،و لا یقدح عدم تحقّق شرطه بناءً علی کون ظهور الغبن شرطاً لحدوث الخیار؛إذ یکفی فی ذلک تحقّق السبب المقتضی للخیار،و هو الغبن الواقعی و إن لم یعلم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کافٍ فی جواز إسقاط المسبَّب قبل حصول شرطه،کإبراء المالک الودعیَّ المفرِّط عن الضمان،و کبراءة البائع من العیوب الراجعة إلی إسقاط الحقّ المسبَّب عن وجودها قبل العلم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یقدح فی المقام أیضاً کونه إسقاطاً لما لم یتحقّق؛إذ لا مانع من ذلک إلّا التعلیق و عدم الجزم الممنوع عنه فی العقود فضلاً عن الإیقاعات،و هو غیر قادحٍ هنا،فإنّ الممنوع منه هو التعلیق علی ما لا یتوقّف تحقّق مفهوم الإنشاء علیه،و أمّا ما نحن فیه و 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طلاق مشکوک الزوجیّة،و إعتاق مشکوک الرقّیّة منجّزاً،و الإبراء عمّا احتمل الاشتغال به فقد تقدّم فی شرائط الصیغة </w:t>
      </w:r>
      <w:r>
        <w:rPr>
          <w:rStyle w:val="FootnoteAnchor"/>
          <w:rtl w:val="true"/>
        </w:rPr>
        <w:footnoteReference w:id="6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مانع منه </w:t>
      </w:r>
      <w:r>
        <w:rPr>
          <w:rStyle w:val="FootnoteAnchor"/>
          <w:rtl w:val="true"/>
        </w:rPr>
        <w:footnoteReference w:id="666"/>
      </w:r>
      <w:r>
        <w:rPr>
          <w:rFonts w:ascii="IRNazanin" w:hAnsi="IRNazanin" w:eastAsia="IRNazanin"/>
          <w:color w:val="111111"/>
          <w:sz w:val="28"/>
          <w:sz w:val="28"/>
          <w:szCs w:val="28"/>
          <w:rtl w:val="true"/>
          <w:lang w:bidi="fa-IR"/>
        </w:rPr>
        <w:t>، و منه البراءة عن العیوب المحتملة فی المبیع و ضمان دَرَک المبیع عند ظهوره مستحقّاً للغیر</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نعم،قد یشکل الأمر من حیث العوض المصالح به،فإنّه لا بدّ من وقوع شیءٍ بإزائه و هو غیر معلومٍ،فالأولی ضمّ شیءٍ إلی المصالح عنه المجهول التحقّق،أو ضمّ سائر الخیارات إلیه 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صالحتک عن کلّ خیارٍ لی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تبیّن عدم الغبن لم یقسّط العوض علیه؛ لأنّ المعدوم إنّما دخل علی تقدیر وجوده،لا منجّزاً باعتقاد الوجود</w:t>
      </w:r>
      <w:r>
        <w:rPr>
          <w:rFonts w:eastAsia="IRNazanin" w:cs="IRNazanin"/>
          <w:color w:val="111111"/>
          <w:sz w:val="28"/>
          <w:szCs w:val="28"/>
          <w:rtl w:val="true"/>
          <w:lang w:bidi="fa-IR"/>
        </w:rPr>
        <w:t>.</w:t>
      </w:r>
      <w:bookmarkStart w:id="371" w:name="pg19864_220809"/>
    </w:p>
    <w:p>
      <w:pPr>
        <w:pStyle w:val="Heading6"/>
        <w:numPr>
          <w:ilvl w:val="5"/>
          <w:numId w:val="1"/>
        </w:numPr>
        <w:rPr/>
      </w:pPr>
      <w:bookmarkStart w:id="372" w:name="__RefHeading___Toc5148794_2314609296"/>
      <w:bookmarkStart w:id="373" w:name="_Toc142"/>
      <w:bookmarkEnd w:id="371"/>
      <w:bookmarkEnd w:id="372"/>
      <w:r>
        <w:rPr>
          <w:rtl w:val="true"/>
        </w:rPr>
        <w:t>الثانی من المسقطات</w:t>
      </w:r>
      <w:r>
        <w:rPr>
          <w:rtl w:val="true"/>
        </w:rPr>
        <w:t xml:space="preserve">: </w:t>
      </w:r>
      <w:r>
        <w:rPr>
          <w:rtl w:val="true"/>
        </w:rPr>
        <w:t>اشتراط سقوط الخیار فی متن العقد،</w:t>
      </w:r>
      <w:bookmarkEnd w:id="373"/>
    </w:p>
    <w:p>
      <w:pPr>
        <w:pStyle w:val="BookText"/>
        <w:rPr/>
      </w:pPr>
      <w:r>
        <w:rPr>
          <w:rFonts w:ascii="IRNazanin" w:hAnsi="IRNazanin" w:eastAsia="IRNazanin"/>
          <w:color w:val="111111"/>
          <w:sz w:val="28"/>
          <w:sz w:val="28"/>
          <w:szCs w:val="28"/>
          <w:rtl w:val="true"/>
          <w:lang w:bidi="fa-IR"/>
        </w:rPr>
        <w:t>و الإشکال فیه من الجهات المذکورة هنا،أو المتقدّمة فی إسقاط الخیارات المتقدّمة قد عُلم التفصّی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نعم،هنا وجهٌ آخر للمنع مختصٌّ </w:t>
      </w:r>
      <w:r>
        <w:rPr>
          <w:rStyle w:val="FootnoteAnchor"/>
          <w:rtl w:val="true"/>
        </w:rPr>
        <w:footnoteReference w:id="667"/>
      </w:r>
      <w:r>
        <w:rPr>
          <w:rFonts w:ascii="IRNazanin" w:hAnsi="IRNazanin" w:eastAsia="IRNazanin"/>
          <w:color w:val="111111"/>
          <w:sz w:val="28"/>
          <w:sz w:val="28"/>
          <w:szCs w:val="28"/>
          <w:rtl w:val="true"/>
          <w:lang w:bidi="fa-IR"/>
        </w:rPr>
        <w:t>بهذا الخیار و خیار الرؤیة، و هو لزوم الغرر من اشتراط إسقاطه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الدروس فی هذا المقام ما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اشترطا رفعه أو رفع خیار الرؤیة،فالظاهر بطلان العقد للغرر </w:t>
      </w:r>
      <w:r>
        <w:rPr>
          <w:rStyle w:val="FootnoteAnchor"/>
          <w:rtl w:val="true"/>
        </w:rPr>
        <w:footnoteReference w:id="66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احتمل الفرق بین الخیارین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الغرر فی الغبن سهل الإزالة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جَزَم الصیمری فی غایة المرام ببطلان العقد و الشرط </w:t>
      </w:r>
      <w:r>
        <w:rPr>
          <w:rStyle w:val="FootnoteAnchor"/>
          <w:rtl w:val="true"/>
        </w:rPr>
        <w:footnoteReference w:id="669"/>
      </w:r>
      <w:r>
        <w:rPr>
          <w:rFonts w:ascii="Amiri" w:hAnsi="Amiri" w:eastAsia="Amiri" w:cs="Amiri"/>
          <w:color w:val="111111"/>
          <w:sz w:val="28"/>
          <w:sz w:val="28"/>
          <w:szCs w:val="28"/>
          <w:rtl w:val="true"/>
          <w:lang w:bidi="ar-SA"/>
        </w:rPr>
        <w:t xml:space="preserve">،و تَرَدّد فیه المحقّق الثانی،إلّا أنّه استظهر الصحّة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 توجیه کلام الشهید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الغرر باعتبار الجهل بمقدار مالیّة المبیع کالجهل بصفاته؛لأنّ وجه کون الجهل بالصفات غرراً هو رجوعه إلی الجهل بمقدار مالیّته؛و لذا لا غرر مع الجهل بالصفات التی لا مدخل لها فی القیمة</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الأقوی الصحّة؛لأنّ مجرّد الجهل بمقدار المالیّة لو کان غرراً</w:t>
      </w:r>
      <w:bookmarkStart w:id="374" w:name="pg19864_220810"/>
    </w:p>
    <w:p>
      <w:pPr>
        <w:pStyle w:val="BookText"/>
        <w:rPr/>
      </w:pPr>
      <w:bookmarkEnd w:id="374"/>
      <w:r>
        <w:rPr>
          <w:rFonts w:ascii="IRNazanin" w:hAnsi="IRNazanin" w:eastAsia="IRNazanin"/>
          <w:color w:val="111111"/>
          <w:sz w:val="28"/>
          <w:sz w:val="28"/>
          <w:szCs w:val="28"/>
          <w:rtl w:val="true"/>
          <w:lang w:bidi="fa-IR"/>
        </w:rPr>
        <w:t>لم یصحّ البیع مع الشکّ فی القیمة،و أیضاً فإنّ ارتفاع الغرر عن هذا البیع لیس لأجل الخیار حتّی یکون إسقاطه موجباً لثبوته،و إلّا لم یصحّ البیع،إذ لا یجدی فی الإخراج عن الغرر ثبوت الخیار؛لأنّه حکمٌ شرعیٌّ لا یرتفع به موضوع الغرر،و إلّا لصحّ کلّ بیعٍ غرریٍّ علی وجه التزلزل و ثبوت الخیار،کبیع المجهول وجوده و المتعذّر تسلیمه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خیار الرؤیة،فاشتراط سقوطه راجعٌ إلی إسقاط اعتبار ما اشترطاه من الأوصاف فی العین الغیر المرئیّة،فکأنهما تبایعا سواءً وجد فیها تلک الأوصاف أم لا،فصحّة البیع موقوفةٌ علی اشتراط تلک الأوصاف،و إسقاط الخیار فی معنی إلغائها الموجب للبطلان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احتمال الصحّة هناک أیضاً؛لأنّ مرجع إسقاط خیار الرؤیة إلی التزام عدم تأثیر تخلّف تلک الشروط،لا إلی عدم التزام ما اشترطاه من الأوصاف،و لا تنافی بین أن یُقدم علی اشتراء العین بانیاً علی وجود تلک الأوصاف،و بین الالتزام بعدم الفسخ لو تخلّفت،فتأمّل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سیجیء تمام الکلام فی خیار الرؤیة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کیف کان،فلا أری إشکالاً فی اشتراط سقوط خیار الغبن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حیث لزوم الغرر </w:t>
      </w:r>
      <w:r>
        <w:rPr>
          <w:rStyle w:val="FootnoteAnchor"/>
          <w:rtl w:val="true"/>
        </w:rPr>
        <w:footnoteReference w:id="6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لو لم یشرع الخیار فی الغبن أصلاً لم یلزم منه غررٌ</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75" w:name="__RefHeading___Toc5148796_2314609296"/>
      <w:bookmarkStart w:id="376" w:name="_Toc143"/>
      <w:bookmarkEnd w:id="375"/>
      <w:r>
        <w:rPr>
          <w:rtl w:val="true"/>
        </w:rPr>
        <w:t>الثالث</w:t>
      </w:r>
      <w:r>
        <w:rPr>
          <w:rtl w:val="true"/>
        </w:rPr>
        <w:t xml:space="preserve">: </w:t>
      </w:r>
      <w:r>
        <w:rPr>
          <w:rtl w:val="true"/>
        </w:rPr>
        <w:t>تصرّف المغبون بأحد التصرّفات المسقطة للخیارات المتقدّمة بعد علمه بالغبن</w:t>
      </w:r>
      <w:r>
        <w:rPr>
          <w:rtl w:val="true"/>
        </w:rPr>
        <w:t>.</w:t>
      </w:r>
      <w:bookmarkEnd w:id="376"/>
    </w:p>
    <w:p>
      <w:pPr>
        <w:pStyle w:val="BookText"/>
        <w:rPr/>
      </w:pPr>
      <w:r>
        <w:rPr>
          <w:rFonts w:ascii="IRNazanin" w:hAnsi="IRNazanin" w:eastAsia="IRNazanin"/>
          <w:color w:val="111111"/>
          <w:sz w:val="28"/>
          <w:sz w:val="28"/>
          <w:szCs w:val="28"/>
          <w:rtl w:val="true"/>
          <w:lang w:bidi="fa-IR"/>
        </w:rPr>
        <w:t>و یدلّ علیه ما دلّ علی سقوط خیاری المجلس و الشرط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ورود نصٍّ فیهما و اختصاص النصّ بخیار الحیوان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إطلاقُ بعض معاقد الإجماع بأنّ تصرّف ذی الخیار فیما انتقل إلیه إجازةٌ و فیما انتقل عنه فسخٌ </w:t>
      </w:r>
      <w:r>
        <w:rPr>
          <w:rStyle w:val="FootnoteAnchor"/>
          <w:rtl w:val="true"/>
        </w:rPr>
        <w:footnoteReference w:id="673"/>
      </w:r>
      <w:r>
        <w:rPr>
          <w:rFonts w:ascii="IRNazanin" w:hAnsi="IRNazanin" w:eastAsia="IRNazanin"/>
          <w:color w:val="111111"/>
          <w:sz w:val="28"/>
          <w:sz w:val="28"/>
          <w:szCs w:val="28"/>
          <w:rtl w:val="true"/>
          <w:lang w:bidi="fa-IR"/>
        </w:rPr>
        <w:t xml:space="preserve">،و </w:t>
      </w:r>
      <w:r>
        <w:rPr>
          <w:rStyle w:val="FootnoteAnchor"/>
          <w:rtl w:val="true"/>
        </w:rPr>
        <w:footnoteReference w:id="674"/>
      </w:r>
      <w:r>
        <w:rPr>
          <w:rFonts w:ascii="IRNazanin" w:hAnsi="IRNazanin" w:eastAsia="IRNazanin"/>
          <w:color w:val="111111"/>
          <w:sz w:val="28"/>
          <w:sz w:val="28"/>
          <w:szCs w:val="28"/>
          <w:rtl w:val="true"/>
          <w:lang w:bidi="fa-IR"/>
        </w:rPr>
        <w:t>العلّةُ المستفادة من النصّ فی خیار الحیوان المستدلّ بها فی کلمات العلماء علی السقوط،و هی الرضا بلزوم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الدلیل هنا إمّا نفی الضرر و إمّا الإجماع،و الأوّل منتفٍ، فإنّه کما لا یجری مع الإقدام علیه کذلک </w:t>
      </w:r>
      <w:r>
        <w:rPr>
          <w:rStyle w:val="FootnoteAnchor"/>
          <w:rtl w:val="true"/>
        </w:rPr>
        <w:footnoteReference w:id="675"/>
      </w:r>
      <w:r>
        <w:rPr>
          <w:rFonts w:ascii="IRNazanin" w:hAnsi="IRNazanin" w:eastAsia="IRNazanin"/>
          <w:color w:val="111111"/>
          <w:sz w:val="28"/>
          <w:sz w:val="28"/>
          <w:szCs w:val="28"/>
          <w:rtl w:val="true"/>
          <w:lang w:bidi="fa-IR"/>
        </w:rPr>
        <w:t>لا یجری مع الرضا به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الإجماع فهو غیر ثابتٍ مع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الشکّ فی الرفع لا الدفع،فیستصحب،فتأمّل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ندّعی أنّ ظاهر قولهم فیما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الخیار لا یسقط بالتصرّف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شموله للتصرّف بعد العلم بالغبن و اختصاص هذا الخیار من بین الخیارات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الإنصاف عدم شمول التصرّف فی کلماتهم لما بعد العلم بالغبن، و غرضهم من تخصیص الحکم بهذا الخیار أنّ التصرّف مسقطٌ لکلّ خیارٍ و لو وقع قبل العلم بالخیار کما فی العیب و التدلیس سوی هذا الخیار</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 ذلک ما اشتهر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التصرّف قبل العلم بالعیب و التدلیس ملزمٌ؛لدلالته علی الرضا بالبیع فیسقط الردّ،و إنّما یثبت الأرش فی خصوص العیب لعدم دلالة التصرّف علی الرضا بالعیب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کان،فاختصاص التصرّف الغیر المسقط فی کلامهم بما قبل العلم لا یکاد یخفی علی المتتبّع فی کلماتهم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نعم،لم أجد لهم تصریحاً بذلک عدا ما حکی عن صاحب المسالک </w:t>
      </w:r>
      <w:r>
        <w:rPr>
          <w:rStyle w:val="FootnoteAnchor"/>
          <w:rtl w:val="true"/>
        </w:rPr>
        <w:footnoteReference w:id="676"/>
      </w:r>
      <w:r>
        <w:rPr>
          <w:rFonts w:ascii="Amiri" w:hAnsi="Amiri" w:eastAsia="Amiri" w:cs="Amiri"/>
          <w:color w:val="111111"/>
          <w:sz w:val="28"/>
          <w:sz w:val="28"/>
          <w:szCs w:val="28"/>
          <w:rtl w:val="true"/>
          <w:lang w:bidi="ar-SA"/>
        </w:rPr>
        <w:t xml:space="preserve">و تبعه جماعةٌ </w:t>
      </w:r>
      <w:r>
        <w:rPr>
          <w:rStyle w:val="FootnoteAnchor"/>
          <w:rtl w:val="true"/>
        </w:rPr>
        <w:footnoteReference w:id="677"/>
      </w:r>
      <w:r>
        <w:rPr>
          <w:rFonts w:ascii="IRNazanin" w:hAnsi="IRNazanin" w:eastAsia="IRNazanin"/>
          <w:color w:val="111111"/>
          <w:sz w:val="28"/>
          <w:sz w:val="28"/>
          <w:szCs w:val="28"/>
          <w:rtl w:val="true"/>
          <w:lang w:bidi="fa-IR"/>
        </w:rPr>
        <w:t xml:space="preserve">،مع أنّه إذا اقتضی الدلیل للسقوط فلا ینبغی الاستشکال من جهة ترک التصریح </w:t>
      </w:r>
      <w:r>
        <w:rPr>
          <w:rStyle w:val="FootnoteAnchor"/>
          <w:rtl w:val="true"/>
        </w:rPr>
        <w:footnoteReference w:id="6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ربما یستشکل فی حکمهم بعدم السقوط بالتصرّف قبل العلم مع حکمهم بسقوط خیار التدلیس و العیب بالتصرّف قبل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الاعتذار بالنصّ إنّما یتمّ فی العیب دون التدلیس، فإنّه مشترکٌ مع خیار الغبن فی عدم النصّ،و مقتضی القاعدة فی حکم التصرّف قبل العلم فیهما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مقتضی القاعدة عدم السقوط؛لبقاء الضرر، و عدم دلالة التصرّف مع الجهل علی الرضا بلزوم العقد و تحمّل الضرر</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نعم،قد ورد النصّ فی العیب علی السقوط </w:t>
      </w:r>
      <w:r>
        <w:rPr>
          <w:rStyle w:val="FootnoteAnchor"/>
          <w:rtl w:val="true"/>
        </w:rPr>
        <w:footnoteReference w:id="679"/>
      </w:r>
      <w:r>
        <w:rPr>
          <w:rFonts w:ascii="IRNazanin" w:hAnsi="IRNazanin" w:eastAsia="IRNazanin"/>
          <w:color w:val="111111"/>
          <w:sz w:val="28"/>
          <w:sz w:val="28"/>
          <w:szCs w:val="28"/>
          <w:rtl w:val="true"/>
          <w:lang w:bidi="fa-IR"/>
        </w:rPr>
        <w:t xml:space="preserve">،و ادّعی علیه الإجماع </w:t>
      </w:r>
      <w:r>
        <w:rPr>
          <w:rStyle w:val="FootnoteAnchor"/>
          <w:rtl w:val="true"/>
        </w:rPr>
        <w:footnoteReference w:id="680"/>
      </w:r>
      <w:r>
        <w:rPr>
          <w:rFonts w:ascii="IRNazanin" w:hAnsi="IRNazanin" w:eastAsia="IRNazanin"/>
          <w:color w:val="111111"/>
          <w:sz w:val="28"/>
          <w:sz w:val="28"/>
          <w:szCs w:val="28"/>
          <w:rtl w:val="true"/>
          <w:lang w:bidi="fa-IR"/>
        </w:rPr>
        <w:t>، مع أنّ ضرر السقوط فیه متدارَکٌ بالأرش و إن کان نفس إمساک</w:t>
      </w:r>
      <w:bookmarkStart w:id="377" w:name="pg19864_220813"/>
    </w:p>
    <w:p>
      <w:pPr>
        <w:pStyle w:val="BookText"/>
        <w:rPr/>
      </w:pPr>
      <w:bookmarkEnd w:id="377"/>
      <w:r>
        <w:rPr>
          <w:rFonts w:ascii="IRNazanin" w:hAnsi="IRNazanin" w:eastAsia="IRNazanin"/>
          <w:color w:val="111111"/>
          <w:sz w:val="28"/>
          <w:sz w:val="28"/>
          <w:szCs w:val="28"/>
          <w:rtl w:val="true"/>
          <w:lang w:bidi="fa-IR"/>
        </w:rPr>
        <w:t xml:space="preserve">المعیب </w:t>
      </w:r>
      <w:r>
        <w:rPr>
          <w:rStyle w:val="FootnoteAnchor"/>
          <w:rtl w:val="true"/>
        </w:rPr>
        <w:footnoteReference w:id="681"/>
      </w:r>
      <w:r>
        <w:rPr>
          <w:rFonts w:ascii="IRNazanin" w:hAnsi="IRNazanin" w:eastAsia="IRNazanin"/>
          <w:color w:val="111111"/>
          <w:sz w:val="28"/>
          <w:sz w:val="28"/>
          <w:szCs w:val="28"/>
          <w:rtl w:val="true"/>
          <w:lang w:bidi="fa-IR"/>
        </w:rPr>
        <w:t>قد یکون ضرراً،فإن تمّ دلیلٌ فی التدلیس أیضاً قلنا به،و إلّا وجب الرجوع إلی دلیل خیاره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الحکم بسقوط الخیار بالتصرّف بعد العلم بالغبن مبنیٌّ علی ما تقدّم فی الخیارات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تسلیم کون التصرّف دلیلاً علی الرضا بلزوم العقد،و إلّا کان اللازم فی غیر ما دلّ فعلاً علی الالتزام بالعقد من أفراد التصرّف،الرجوع إلی أصالة بقاء الخیار</w:t>
      </w:r>
      <w:r>
        <w:rPr>
          <w:rFonts w:eastAsia="IRNazanin" w:cs="IRNazanin"/>
          <w:color w:val="111111"/>
          <w:sz w:val="28"/>
          <w:szCs w:val="28"/>
          <w:rtl w:val="true"/>
          <w:lang w:bidi="fa-IR"/>
        </w:rPr>
        <w:t>.</w:t>
      </w:r>
    </w:p>
    <w:p>
      <w:pPr>
        <w:pStyle w:val="Heading6"/>
        <w:numPr>
          <w:ilvl w:val="5"/>
          <w:numId w:val="1"/>
        </w:numPr>
        <w:rPr/>
      </w:pPr>
      <w:bookmarkStart w:id="378" w:name="__RefHeading___Toc5148798_2314609296"/>
      <w:bookmarkStart w:id="379" w:name="_Toc144"/>
      <w:bookmarkEnd w:id="378"/>
      <w:r>
        <w:rPr>
          <w:rtl w:val="true"/>
        </w:rPr>
        <w:t>الرابع من المسقطات</w:t>
      </w:r>
      <w:r>
        <w:rPr>
          <w:rtl w:val="true"/>
        </w:rPr>
        <w:t xml:space="preserve">: </w:t>
      </w:r>
      <w:r>
        <w:rPr>
          <w:rtl w:val="true"/>
        </w:rPr>
        <w:t>تصرّف المشتری المغبون قبل العلم بالغبن</w:t>
      </w:r>
      <w:r>
        <w:rPr>
          <w:rtl w:val="true"/>
        </w:rPr>
        <w:t xml:space="preserve">- </w:t>
      </w:r>
      <w:r>
        <w:rPr>
          <w:rtl w:val="true"/>
        </w:rPr>
        <w:t>تصرّفاً مخرجاً عن الملک علی وجه اللزوم کالبیع و العتق</w:t>
      </w:r>
      <w:r>
        <w:rPr>
          <w:rtl w:val="true"/>
        </w:rPr>
        <w:t>.</w:t>
      </w:r>
      <w:bookmarkEnd w:id="379"/>
    </w:p>
    <w:p>
      <w:pPr>
        <w:pStyle w:val="BookText"/>
        <w:rPr/>
      </w:pPr>
      <w:r>
        <w:rPr>
          <w:rFonts w:ascii="Amiri" w:hAnsi="Amiri" w:eastAsia="Amiri" w:cs="Amiri"/>
          <w:color w:val="111111"/>
          <w:sz w:val="28"/>
          <w:sz w:val="28"/>
          <w:szCs w:val="28"/>
          <w:rtl w:val="true"/>
          <w:lang w:bidi="ar-SA"/>
        </w:rPr>
        <w:t xml:space="preserve">فإنّ المصرَّح به فی کلام المحقّق </w:t>
      </w:r>
      <w:r>
        <w:rPr>
          <w:rStyle w:val="FootnoteAnchor"/>
          <w:rtl w:val="true"/>
        </w:rPr>
        <w:footnoteReference w:id="682"/>
      </w:r>
      <w:r>
        <w:rPr>
          <w:rFonts w:ascii="IRNazanin" w:hAnsi="IRNazanin" w:eastAsia="IRNazanin"/>
          <w:color w:val="111111"/>
          <w:sz w:val="28"/>
          <w:sz w:val="28"/>
          <w:szCs w:val="28"/>
          <w:rtl w:val="true"/>
          <w:lang w:bidi="fa-IR"/>
        </w:rPr>
        <w:t xml:space="preserve">و من تأخّر عنه </w:t>
      </w:r>
      <w:r>
        <w:rPr>
          <w:rStyle w:val="FootnoteAnchor"/>
          <w:rtl w:val="true"/>
        </w:rPr>
        <w:footnoteReference w:id="683"/>
      </w:r>
      <w:r>
        <w:rPr>
          <w:rFonts w:ascii="IRNazanin" w:hAnsi="IRNazanin" w:eastAsia="IRNazanin"/>
          <w:color w:val="111111"/>
          <w:sz w:val="28"/>
          <w:sz w:val="28"/>
          <w:szCs w:val="28"/>
          <w:rtl w:val="true"/>
          <w:lang w:bidi="fa-IR"/>
        </w:rPr>
        <w:t>هو سقوط خیاره حینئذٍ،و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المشهور </w:t>
      </w:r>
      <w:r>
        <w:rPr>
          <w:rStyle w:val="FootnoteAnchor"/>
          <w:rtl w:val="true"/>
        </w:rPr>
        <w:footnoteReference w:id="6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کذلک بین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نعم،ذکر الشیخ فی خیار المشتری مرابحةً عند کذب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لو هلک السلعة أو تصرّف فیها،سقط الردّ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اتّحاد هذا الخیار مع خیار الغبن،کما یظهر من جامع</w:t>
      </w:r>
    </w:p>
    <w:p>
      <w:pPr>
        <w:pStyle w:val="BookText"/>
        <w:rPr/>
      </w:pPr>
      <w:r>
        <w:rPr>
          <w:rFonts w:ascii="IRNazanin" w:hAnsi="IRNazanin" w:eastAsia="IRNazanin"/>
          <w:color w:val="111111"/>
          <w:sz w:val="28"/>
          <w:sz w:val="28"/>
          <w:szCs w:val="28"/>
          <w:rtl w:val="true"/>
          <w:lang w:bidi="fa-IR"/>
        </w:rPr>
        <w:t>المقاصد فی شرح قول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یسقط </w:t>
      </w:r>
      <w:r>
        <w:rPr>
          <w:rStyle w:val="FootnoteAnchor"/>
          <w:rtl w:val="true"/>
        </w:rPr>
        <w:footnoteReference w:id="686"/>
      </w:r>
      <w:r>
        <w:rPr>
          <w:rFonts w:ascii="IRNazanin" w:hAnsi="IRNazanin" w:eastAsia="IRNazanin"/>
          <w:color w:val="111111"/>
          <w:sz w:val="28"/>
          <w:sz w:val="28"/>
          <w:szCs w:val="28"/>
          <w:rtl w:val="true"/>
          <w:lang w:bidi="fa-IR"/>
        </w:rPr>
        <w:t>الخیار بتلف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فراجع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استدلّ علی هذا الحکم فی التذکرة </w:t>
      </w:r>
      <w:r>
        <w:rPr>
          <w:rStyle w:val="FootnoteAnchor"/>
          <w:rtl w:val="true"/>
        </w:rPr>
        <w:footnoteReference w:id="688"/>
      </w:r>
      <w:r>
        <w:rPr>
          <w:rFonts w:ascii="IRNazanin" w:hAnsi="IRNazanin" w:eastAsia="IRNazanin"/>
          <w:color w:val="111111"/>
          <w:sz w:val="28"/>
          <w:sz w:val="28"/>
          <w:szCs w:val="28"/>
          <w:rtl w:val="true"/>
          <w:lang w:bidi="fa-IR"/>
        </w:rPr>
        <w:t>بعدم إمکان استدراکه مع الخروج عن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بظاهره مشکلٌ؛لأنّ الخیار غیر مشروطٍ عندهم بإمکان ردّ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یوجّه بأنّ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یدلّ علی الخیار، بل المتیقّن منه جواز ردّ العین المغبون فیها،فإذا امتنع ردّها،فلا دلیل علی جواز فسخ العقد،و تضرّر المغبون من جهة زیادة الثمن معارَضٌ بتضرّر الغابن بقبول البدل،فإنّ دفع الضرر من الطرفین إنّما یکون بتسلّط المغبون علی ردّ العین،فیکون حاله من حیث إنّ له القبول و الردّ حالَ العالم بالغبن قبل المعاملة فی أنّ له أن یشتری و أن یترک، و لیس هکذا بعد خروج العین عن ملکه؛مع أنّ إخراج المغبون العینَ عن ملکه التزامٌ بالضرر،و لو جهلاً منه به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هذا،و لکن اعترض علیهم شیخنا الشهید قدّس روحه السعیدة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اللمعة </w:t>
      </w:r>
      <w:r>
        <w:rPr>
          <w:rStyle w:val="FootnoteAnchor"/>
          <w:rtl w:val="true"/>
        </w:rPr>
        <w:footnoteReference w:id="689"/>
      </w:r>
      <w:r>
        <w:rPr>
          <w:rFonts w:ascii="IRNazanin" w:hAnsi="IRNazanin" w:eastAsia="IRNazanin"/>
          <w:color w:val="111111"/>
          <w:sz w:val="28"/>
          <w:sz w:val="28"/>
          <w:szCs w:val="28"/>
          <w:rtl w:val="true"/>
          <w:lang w:bidi="fa-IR"/>
        </w:rPr>
        <w:t>بما 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الضرر الموجب للخیار قبل التصرّف ثابتٌ مع التصرّف،و التصرّف مع الجهل بالضرر لیس إقداماً علیه؛لما عرفت من أنّ الخارج عن عموم نفی الضرر لیس إلّا صورة الإقدام علیه عالماً به،فیجب تدارک الضرر باسترداد ما دفعه من الثمن الزائد بردّ نفس العین مع بقائها علی ملکه و بدلها مع عدمه،و فوات خصوصیّة العین</w:t>
      </w:r>
    </w:p>
    <w:p>
      <w:pPr>
        <w:pStyle w:val="BookText"/>
        <w:rPr/>
      </w:pPr>
      <w:r>
        <w:rPr>
          <w:rFonts w:ascii="IRNazanin" w:hAnsi="IRNazanin" w:eastAsia="IRNazanin"/>
          <w:color w:val="111111"/>
          <w:sz w:val="28"/>
          <w:sz w:val="28"/>
          <w:szCs w:val="28"/>
          <w:rtl w:val="true"/>
          <w:lang w:bidi="fa-IR"/>
        </w:rPr>
        <w:t xml:space="preserve">علی الغابن لیس ضرراً؛لأنّ العین </w:t>
      </w:r>
      <w:r>
        <w:rPr>
          <w:rStyle w:val="FootnoteAnchor"/>
          <w:rtl w:val="true"/>
        </w:rPr>
        <w:footnoteReference w:id="690"/>
      </w:r>
      <w:r>
        <w:rPr>
          <w:rFonts w:ascii="IRNazanin" w:hAnsi="IRNazanin" w:eastAsia="IRNazanin"/>
          <w:color w:val="111111"/>
          <w:sz w:val="28"/>
          <w:sz w:val="28"/>
          <w:szCs w:val="28"/>
          <w:rtl w:val="true"/>
          <w:lang w:bidi="fa-IR"/>
        </w:rPr>
        <w:t>إن کانت مثلیّةً فلا ضرر بتبدّلها بمثلها،و إن کانت قیمیّةً فتعریضها للبیع یدلّ علی إرادة قیمتها،فلا ضرر أصلاً،فضلاً عن أن یعارض به ضرر زیادة الثمن علی القیمة،خصوصاً مع الإفراط فی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الإنصاف أنّ هذا حسنٌ جدّاً،لکن قال فی الروضة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لم یکن الحکم إجماعاً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عدمه؛لأنّک عرفت عدم عنوان المسألة فی کلام من تقدّم علی المحقّق فیما تتبّعتُ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مقتضی دلیل المشهور عدم الفرق فی المغبون المتصرّف بین البائع و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التحریر بعد أن صرّح بثبوت الخیار للمغبون بائعاً کان أو مشتریاً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یسقط الخیار بالتصرّف مع إمکان الردّ</w:t>
      </w:r>
      <w:r>
        <w:rPr>
          <w:rFonts w:eastAsia="IRNazanin" w:cs="IRNazanin"/>
          <w:color w:val="111111"/>
          <w:sz w:val="28"/>
          <w:szCs w:val="28"/>
          <w:rtl w:val="true"/>
          <w:lang w:bidi="fa-IR"/>
        </w:rPr>
        <w:t xml:space="preserve">» </w:t>
      </w:r>
      <w:r>
        <w:rPr>
          <w:rStyle w:val="FootnoteAnchor"/>
          <w:rtl w:val="true"/>
        </w:rPr>
        <w:footnoteReference w:id="692"/>
      </w:r>
      <w:r>
        <w:rPr>
          <w:rFonts w:ascii="IRNazanin" w:hAnsi="IRNazanin" w:eastAsia="IRNazanin"/>
          <w:color w:val="111111"/>
          <w:sz w:val="28"/>
          <w:sz w:val="28"/>
          <w:szCs w:val="28"/>
          <w:rtl w:val="true"/>
          <w:lang w:bidi="fa-IR"/>
        </w:rPr>
        <w:t>،و مقتضی إطلاقه عدم الفرق بین الناقل اللازم،و بین فکّ الملک کالعتق و الوقف، و بین المانع عن الردّ مع البقاء علی الملک کالاستیلاد،بل و یعمّ التلف</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تخصیص العبارة بالمشتری </w:t>
      </w:r>
      <w:r>
        <w:rPr>
          <w:rStyle w:val="FootnoteAnchor"/>
          <w:rtl w:val="true"/>
        </w:rPr>
        <w:footnoteReference w:id="6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أرادوا قصرَ</w:t>
      </w:r>
    </w:p>
    <w:p>
      <w:pPr>
        <w:pStyle w:val="BookText"/>
        <w:rPr/>
      </w:pPr>
      <w:r>
        <w:rPr>
          <w:rFonts w:ascii="IRNazanin" w:hAnsi="IRNazanin" w:eastAsia="IRNazanin"/>
          <w:color w:val="111111"/>
          <w:sz w:val="28"/>
          <w:sz w:val="28"/>
          <w:szCs w:val="28"/>
          <w:rtl w:val="true"/>
          <w:lang w:bidi="fa-IR"/>
        </w:rPr>
        <w:t>الحکم علیه فلا یُعرف له وجهٌ،إلّا أن یبنی علی مخالفته لعموم دلیل الخیار،أعنی نفی الضرر،فیقتصر علی مورد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ظاهر التقیید بصورة امتناع الردّ،و ظاهر التعلیل بعدم إمکان الاستدراک ما صرّح به جماعةٌ </w:t>
      </w:r>
      <w:r>
        <w:rPr>
          <w:rStyle w:val="FootnoteAnchor"/>
          <w:rtl w:val="true"/>
        </w:rPr>
        <w:footnoteReference w:id="6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الناقل الجائز لا یمنع الردّ بالخیار إذا فسخه،فضلاً عن مثل التدبیر و الوصیّة من التصرّفات الغیر الموجبة للخروج عن الملک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حسنٌ؛لعموم نفی الضرر، و مجرّد الخروج عن الملک لا یُسقط تدارک ضرر الغبن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اتّفق زوال المانع کموت ولد أُمّ الولد و فسخ العقد اللازم لعیبٍ أو غبنٍ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جواز الردّ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متمکّنٌ حینئذٍ،و من استقرار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یُبنیان علی أنّ الزائل العائد کالذی لم یزُل أو کالذی لم یَعُد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الوجهان فیما لو عاد إلیه بناقلٍ جدید،و عدم الخیار هنا أولی؛لأنّ العود هنا بسببٍ جدید،و فی الفسخ برفع السبب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لحوق الإجارة بالبیع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امتناع الردّ،و هو مختار الصیمری </w:t>
      </w:r>
      <w:r>
        <w:rPr>
          <w:rStyle w:val="FootnoteAnchor"/>
          <w:rtl w:val="true"/>
        </w:rPr>
        <w:footnoteReference w:id="695"/>
      </w:r>
      <w:r>
        <w:rPr>
          <w:rFonts w:ascii="IRNazanin" w:hAnsi="IRNazanin" w:eastAsia="IRNazanin"/>
          <w:color w:val="111111"/>
          <w:sz w:val="28"/>
          <w:sz w:val="28"/>
          <w:szCs w:val="28"/>
          <w:rtl w:val="true"/>
          <w:lang w:bidi="fa-IR"/>
        </w:rPr>
        <w:t xml:space="preserve">و أبی العبّاس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أنّ مورد الاستثناء هو التصرّف المخرِج عن الملک،و هو المحکیّ عن ظاهر الأکثر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لم یعلم بالغبن إلّا بعد انقضاء الإجارة توجّه الردّ؛و کذا لو لم یعلم به حتّی انفسخ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لحوق الامتزاج مطلقاً أو فی الجملة بالخروج عن الملک وجوهٌ، أقواها اللحوق؛لحصول الشرکة،فیمتنع ردّ العین الذی هو مورد الاستثناء،و کذا لو تغیّرت العین بالنقیصة،و لو تغیّرت بالزیادة العینیّة أو الحکمیّة أو من الجهتین،فالأقوی الردّ فی الوسطی بناءً علی حصول الشرکة فی غیرها المانعة عن ردّ العین </w:t>
      </w:r>
      <w:r>
        <w:rPr>
          <w:rStyle w:val="FootnoteAnchor"/>
          <w:rtl w:val="true"/>
        </w:rPr>
        <w:footnoteReference w:id="6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فی تصرّف المغبون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تصرّف الغابن،فالظاهر أنّه لا وجه لسقوط خیار المغبون به،و حینئذٍ فإن فسخ و وجد العین خارجةً عن ملکه لزوماً بالعتق أو الوقف أو البیع اللازم،ففی تسلّطه علی إبطال ذلک من حینها </w:t>
      </w:r>
      <w:r>
        <w:rPr>
          <w:rStyle w:val="FootnoteAnchor"/>
          <w:rtl w:val="true"/>
        </w:rPr>
        <w:footnoteReference w:id="699"/>
      </w:r>
      <w:r>
        <w:rPr>
          <w:rFonts w:ascii="IRNazanin" w:hAnsi="IRNazanin" w:eastAsia="IRNazanin"/>
          <w:color w:val="111111"/>
          <w:sz w:val="28"/>
          <w:sz w:val="28"/>
          <w:szCs w:val="28"/>
          <w:rtl w:val="true"/>
          <w:lang w:bidi="fa-IR"/>
        </w:rPr>
        <w:t>أو من أصلها کالمرتهن و الشفیع أو رجوعه إلی البدل،وجوهٌ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وقوع العقد فی متعلّق حقّ الغیر،فإنّ حقّ المغبون ثابتٌ بأصل المعاملة الغبنیّة،و إنّما یظهر له بظهور السبب،فله الخیار فی استرداد العین إذا ظهر السبب،و حیث وقع العقد فی ملک الغابن، فلا وجه لبطلانه من 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أنّ وقوع العقد فی متعلّق حقّ الغیر یوجب تزلزله من 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بیع الرهن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فسخ البیع الأوّل تلقیّ الملک من الغابن الذی وقع البیع معه،لا من المشتری الثانی</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أنّه لا وجه للتزلزل،إمّا لأنّ التصرّف فی زمان خیار</w:t>
      </w:r>
    </w:p>
    <w:p>
      <w:pPr>
        <w:pStyle w:val="BookText"/>
        <w:rPr/>
      </w:pPr>
      <w:r>
        <w:rPr>
          <w:rFonts w:ascii="IRNazanin" w:hAnsi="IRNazanin" w:eastAsia="IRNazanin"/>
          <w:color w:val="111111"/>
          <w:sz w:val="28"/>
          <w:sz w:val="28"/>
          <w:szCs w:val="28"/>
          <w:rtl w:val="true"/>
          <w:lang w:bidi="fa-IR"/>
        </w:rPr>
        <w:t xml:space="preserve">غیر </w:t>
      </w:r>
      <w:r>
        <w:rPr>
          <w:rStyle w:val="FootnoteAnchor"/>
          <w:rtl w:val="true"/>
        </w:rPr>
        <w:footnoteReference w:id="700"/>
      </w:r>
      <w:r>
        <w:rPr>
          <w:rFonts w:ascii="IRNazanin" w:hAnsi="IRNazanin" w:eastAsia="IRNazanin"/>
          <w:color w:val="111111"/>
          <w:sz w:val="28"/>
          <w:sz w:val="28"/>
          <w:szCs w:val="28"/>
          <w:rtl w:val="true"/>
          <w:lang w:bidi="fa-IR"/>
        </w:rPr>
        <w:t xml:space="preserve">المتصرّف صحیحٌ لازم کما سیجیء فی أحکام الخیار </w:t>
      </w:r>
      <w:r>
        <w:rPr>
          <w:rStyle w:val="FootnoteAnchor"/>
          <w:rtl w:val="true"/>
        </w:rPr>
        <w:footnoteReference w:id="7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فیستردّ الفاسخ البدل،و إمّا لعدم تحقّق الخیار قبل ظهور الغبن فعلاً علی وجهٍ یمنع من تصرّف مَن علیه الخیار،کما هو ظاهر الجماعة هنا و فی خیار العیب قبل ظهوره،فإنّ غیر واحدٍ ممّن منع من تصرّف غیر ذی الخیار بدون إذنه أو استشکاله </w:t>
      </w:r>
      <w:r>
        <w:rPr>
          <w:rStyle w:val="FootnoteAnchor"/>
          <w:rtl w:val="true"/>
        </w:rPr>
        <w:footnoteReference w:id="702"/>
      </w:r>
      <w:r>
        <w:rPr>
          <w:rFonts w:ascii="IRNazanin" w:hAnsi="IRNazanin" w:eastAsia="IRNazanin"/>
          <w:color w:val="111111"/>
          <w:sz w:val="28"/>
          <w:sz w:val="28"/>
          <w:szCs w:val="28"/>
          <w:rtl w:val="true"/>
          <w:lang w:bidi="fa-IR"/>
        </w:rPr>
        <w:t xml:space="preserve">فیه حکم بلزوم العقود الواقعة قبل ظهور الغبن و العیب </w:t>
      </w:r>
      <w:r>
        <w:rPr>
          <w:rStyle w:val="FootnoteAnchor"/>
          <w:rtl w:val="true"/>
        </w:rPr>
        <w:footnoteReference w:id="7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هو الأقوی،و ستأتی تتمّةٌ لذلک فی أحکام الخیار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الحکم لو حصل مانعٌ من ردّه کالاستیلاد،و یحتمل هنا تقدیم حقّ الخیار؛لسبق سببه علی الاستیلاد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مقتضی ما ذکرنا جریان الحکم فی خروج المبیع عن ملک الغابن بالعقد الجائز؛لأنّ معنی جوازه تسلّط أحد المتعاقدین علی فسخه، أمّا تسلّط الأجنبیّ و هو المغبون،فلا دلیل علیه بعد فرض وقوع العقد صحیحاً</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الناقل ممّا یمکن إبطاله کالبیع بخیارٍ الزم</w:t>
      </w:r>
    </w:p>
    <w:p>
      <w:pPr>
        <w:pStyle w:val="BookText"/>
        <w:rPr/>
      </w:pPr>
      <w:r>
        <w:rPr>
          <w:rFonts w:ascii="IRNazanin" w:hAnsi="IRNazanin" w:eastAsia="IRNazanin"/>
          <w:color w:val="111111"/>
          <w:sz w:val="28"/>
          <w:sz w:val="28"/>
          <w:szCs w:val="28"/>
          <w:rtl w:val="true"/>
          <w:lang w:bidi="fa-IR"/>
        </w:rPr>
        <w:t xml:space="preserve">بالفسخ،فإن امتنع فَسَخَه الحاکم،فإن امتنع </w:t>
      </w:r>
      <w:r>
        <w:rPr>
          <w:rStyle w:val="FootnoteAnchor"/>
          <w:rtl w:val="true"/>
        </w:rPr>
        <w:footnoteReference w:id="705"/>
      </w:r>
      <w:r>
        <w:rPr>
          <w:rFonts w:ascii="Amiri" w:hAnsi="Amiri" w:eastAsia="Amiri" w:cs="Amiri"/>
          <w:color w:val="111111"/>
          <w:sz w:val="28"/>
          <w:sz w:val="28"/>
          <w:szCs w:val="28"/>
          <w:rtl w:val="true"/>
          <w:lang w:bidi="ar-SA"/>
        </w:rPr>
        <w:t xml:space="preserve">فَسخَه المغبون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النظر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فسخ المغبون إمّا بدخول العین فی ملکه، و إمّا بدخول بدلها،فعلی الأوّل لا حاجة إلی الفسخ حتّی یتکلّم فی الفاسخ،و علی الثانی فلا وجه للعدول عمّا استحقّه بالفسخ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لا منافاة؛لأنّ البدل المستحقّ بالفسخ إنّما هو للحیلولة،فإذا أمکن ردّ العین وجب علی الغابن تحصیلها،لکن ذلک إنّما یتمّ مع کون العین </w:t>
      </w:r>
      <w:r>
        <w:rPr>
          <w:rStyle w:val="FootnoteAnchor"/>
          <w:rtl w:val="true"/>
        </w:rPr>
        <w:footnoteReference w:id="707"/>
      </w:r>
      <w:r>
        <w:rPr>
          <w:rFonts w:ascii="IRNazanin" w:hAnsi="IRNazanin" w:eastAsia="IRNazanin"/>
          <w:color w:val="111111"/>
          <w:sz w:val="28"/>
          <w:sz w:val="28"/>
          <w:szCs w:val="28"/>
          <w:rtl w:val="true"/>
          <w:lang w:bidi="fa-IR"/>
        </w:rPr>
        <w:t>علی ملک المغبون،و أمّا مع عدمه و تملّک المغبون للبدل فلا دلیل علی وجوب تحصیل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علی القول بعدم وجوب الفسخ فی الجائز،لو اتّفق عود الملک إلیه لفسخٍ فی العقد الجائز أو اللازم </w:t>
      </w:r>
      <w:r>
        <w:rPr>
          <w:rStyle w:val="FootnoteAnchor"/>
          <w:rtl w:val="true"/>
        </w:rPr>
        <w:footnoteReference w:id="708"/>
      </w:r>
      <w:r>
        <w:rPr>
          <w:rFonts w:ascii="IRNazanin" w:hAnsi="IRNazanin" w:eastAsia="IRNazanin"/>
          <w:color w:val="111111"/>
          <w:sz w:val="28"/>
          <w:sz w:val="28"/>
          <w:szCs w:val="28"/>
          <w:rtl w:val="true"/>
          <w:lang w:bidi="fa-IR"/>
        </w:rPr>
        <w:t>فإن کان ذلک قبل فسخ المغبون فالظاهر وجوب ردّ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بعده،فالظاهر عدم وجوب ردّه؛لعدم الدلیل بعد تملّک البدل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العود بعقدٍ جدید فالأقوی عدم وجوب الردّ مطلقاً؛ لأنّه ملکٌ جدید تلقّاه من مالکه،و الفاسخ إنّما یملک بسبب ملکه السابق بعد ارتفاع السبب الناقل</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تصرّف الغابن تصرّفاً مغیّراً للعین،فإمّا أن یکون بالنقیصة أو بالزیادة أو بالامتزاج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بالنقیصة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 أن یکون نقصاً یوجب الأرش،و إمّا أن یکون ممّا لا یوجبه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أوجب الأرش أخذه مع الأرش،کما هو مقتضی الفسخ؛لأنّ الفائت مضمونٌ بجزءٍ من العوض،فإذا ردّ تمام العوض وجب ردّ مجموع المعوّض،فیتدارک الفائت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Style w:val="FootnoteAnchor"/>
          <w:rtl w:val="true"/>
        </w:rPr>
        <w:footnoteReference w:id="709"/>
      </w:r>
      <w:r>
        <w:rPr>
          <w:rFonts w:ascii="IRNazanin" w:hAnsi="IRNazanin" w:eastAsia="IRNazanin"/>
          <w:color w:val="111111"/>
          <w:sz w:val="28"/>
          <w:sz w:val="28"/>
          <w:szCs w:val="28"/>
          <w:rtl w:val="true"/>
          <w:lang w:bidi="fa-IR"/>
        </w:rPr>
        <w:t>ببدله،و مثل ذلک ما لو تلف بعض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ممّا لا یوجب شیئاً،ردَّه بلا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ما لو وجد العین مستأجرةً،فإنّ علی الفاسخ الصبر إلی أن ینقضی مدّة الإجارة، و لا یجب علی الغابن بذل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عوض </w:t>
      </w:r>
      <w:r>
        <w:rPr>
          <w:rStyle w:val="FootnoteAnchor"/>
          <w:rtl w:val="true"/>
        </w:rPr>
        <w:footnoteReference w:id="710"/>
      </w:r>
      <w:r>
        <w:rPr>
          <w:rFonts w:ascii="IRNazanin" w:hAnsi="IRNazanin" w:eastAsia="IRNazanin"/>
          <w:color w:val="111111"/>
          <w:sz w:val="28"/>
          <w:sz w:val="28"/>
          <w:szCs w:val="28"/>
          <w:rtl w:val="true"/>
          <w:lang w:bidi="fa-IR"/>
        </w:rPr>
        <w:t>المنفعة المستوفاة بالنسبة إلی بقیّة المدّة بعد الفسخ؛لأنّ المنفعة من الزوائد المنفصلة المتخلّلة بین العقد و الفسخ،فهی ملکٌ للمفسوخ علیه،فالمنفعة الدائمة تابعةٌ للملک المطلق، فإذا تحقّق فی زمانٍ مَلِکَ منفعةَ العین بأسرها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یحتمل انفساخ الإجارة فی بقیّة المدّة؛لأنّ ملک منفعة الملک المتزلزل متزلزلٌ،و هو الذی جزم به المحقّق القمّی فیما إذا فسخ البائع بخیاره المشروط له فی البیع </w:t>
      </w:r>
      <w:r>
        <w:rPr>
          <w:rStyle w:val="FootnoteAnchor"/>
          <w:rtl w:val="true"/>
        </w:rPr>
        <w:footnoteReference w:id="7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نظرٌ؛لمنع تزلزل ملک المنفعة</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نعم،ذکر العلّامة فی القواعد فیما إذا وقع التفاسخ لأجل اختلاف المتبایعین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إذا وجد البائع العین مستأجرةً کانت الأُجرة للمشتری الموجر و وجب علیه للبائع أُجرة المثل للمدّة الباقیة بعد الفسخ </w:t>
      </w:r>
      <w:r>
        <w:rPr>
          <w:rStyle w:val="FootnoteAnchor"/>
          <w:rtl w:val="true"/>
        </w:rPr>
        <w:footnoteReference w:id="712"/>
      </w:r>
      <w:r>
        <w:rPr>
          <w:rFonts w:ascii="Amiri" w:hAnsi="Amiri" w:eastAsia="Amiri" w:cs="Amiri"/>
          <w:color w:val="111111"/>
          <w:sz w:val="28"/>
          <w:sz w:val="28"/>
          <w:szCs w:val="28"/>
          <w:rtl w:val="true"/>
          <w:lang w:bidi="ar-SA"/>
        </w:rPr>
        <w:t>،و قرّره</w:t>
      </w:r>
    </w:p>
    <w:p>
      <w:pPr>
        <w:pStyle w:val="BookText"/>
        <w:rPr/>
      </w:pPr>
      <w:r>
        <w:rPr>
          <w:rFonts w:ascii="IRNazanin" w:hAnsi="IRNazanin" w:eastAsia="IRNazanin"/>
          <w:color w:val="111111"/>
          <w:sz w:val="28"/>
          <w:sz w:val="28"/>
          <w:szCs w:val="28"/>
          <w:rtl w:val="true"/>
          <w:lang w:bidi="fa-IR"/>
        </w:rPr>
        <w:t xml:space="preserve">علی ذلک شرّاح الکتاب </w:t>
      </w:r>
      <w:r>
        <w:rPr>
          <w:rStyle w:val="FootnoteAnchor"/>
          <w:rtl w:val="true"/>
        </w:rPr>
        <w:footnoteReference w:id="713"/>
      </w:r>
      <w:r>
        <w:rPr>
          <w:rFonts w:ascii="IRNazanin" w:hAnsi="IRNazanin" w:eastAsia="IRNazanin"/>
          <w:color w:val="111111"/>
          <w:sz w:val="28"/>
          <w:sz w:val="28"/>
          <w:szCs w:val="28"/>
          <w:rtl w:val="true"/>
          <w:lang w:bidi="fa-IR"/>
        </w:rPr>
        <w:t>،و سیجیء ما یمکن أن یکون فارقاً بین المقامین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التغییر بالزیادة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حُکمیّةً محضة کقصارة الثوب و تعلیم الصنعة،فالظاهر ثبوت الشرکة فیه بنسبة تلک الزیادة،بأن تقوَّم العین معها و لا معها و تؤخذ النسبة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یکن للزیادة مدخل فی زیادة القیمة،فالظاهر عدم شیءٍ لمحدثها؛لأنّه إنّما عمل فی ماله،و عمله لنفسه غیر مضمونٍ علی غیره،و لم یحصل منه فی الخارج ما یقابل المال و لو فی ضمن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الزیادة عیناً محضاً کالغرس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تسلّط المغبون علی القلع بلا أرشٍ،کما اختاره فی المختلف فی الشفعة </w:t>
      </w:r>
      <w:r>
        <w:rPr>
          <w:rStyle w:val="FootnoteAnchor"/>
          <w:rtl w:val="true"/>
        </w:rPr>
        <w:footnoteReference w:id="714"/>
      </w:r>
      <w:r>
        <w:rPr>
          <w:rFonts w:ascii="IRNazanin" w:hAnsi="IRNazanin" w:eastAsia="IRNazanin"/>
          <w:color w:val="111111"/>
          <w:sz w:val="28"/>
          <w:sz w:val="28"/>
          <w:szCs w:val="28"/>
          <w:rtl w:val="true"/>
          <w:lang w:bidi="fa-IR"/>
        </w:rPr>
        <w:t>أو عدم تسلّطه علیه مطلقاً،کما علیه المشهور،فیما إذا رجع بائع الأرض المغروسة بعد تفلیس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تسلّطه علیه مع الأرش کما اختاره فی المسالک هنا </w:t>
      </w:r>
      <w:r>
        <w:rPr>
          <w:rStyle w:val="FootnoteAnchor"/>
          <w:rtl w:val="true"/>
        </w:rPr>
        <w:footnoteReference w:id="715"/>
      </w:r>
      <w:r>
        <w:rPr>
          <w:rFonts w:ascii="IRNazanin" w:hAnsi="IRNazanin" w:eastAsia="IRNazanin"/>
          <w:color w:val="111111"/>
          <w:sz w:val="28"/>
          <w:sz w:val="28"/>
          <w:szCs w:val="28"/>
          <w:rtl w:val="true"/>
          <w:lang w:bidi="fa-IR"/>
        </w:rPr>
        <w:t xml:space="preserve">و قیل به فی الشفعة و العاریة </w:t>
      </w:r>
      <w:r>
        <w:rPr>
          <w:rStyle w:val="FootnoteAnchor"/>
          <w:rtl w:val="true"/>
        </w:rPr>
        <w:footnoteReference w:id="716"/>
      </w: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أنّ صفة کونه منصوباً المستلزمة لزیادة قیمته إنّما هی عبارةٌ</w:t>
      </w:r>
    </w:p>
    <w:p>
      <w:pPr>
        <w:pStyle w:val="BookText"/>
        <w:rPr/>
      </w:pPr>
      <w:r>
        <w:rPr>
          <w:rFonts w:ascii="IRNazanin" w:hAnsi="IRNazanin" w:eastAsia="IRNazanin"/>
          <w:color w:val="111111"/>
          <w:sz w:val="28"/>
          <w:sz w:val="28"/>
          <w:szCs w:val="28"/>
          <w:rtl w:val="true"/>
          <w:lang w:bidi="fa-IR"/>
        </w:rPr>
        <w:t>عن کونه فی مکانٍ صار ملکاً للغیر،فلا حقّ للغرس،کما إذا باع أرضاً مشغولة بماله و کان ماله فی تلک الأرض أزید قیمةً،مضافاً إلی ما فی المختلف فی مسألة الشفعة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الفائت لمّا حدث فی محلٍّ مُعرضٍ للزوال لم یجب تدارکه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أنّ الغرس المنصوب الذی هو مالٌ للمشتری مالٌ مغایرٌ للمقلوع عرفاً،و لیس کالمتاع الموضوع فی بیتٍ بحیث یکون تفاوت قیمته باعتبار المکان،مضافاً إلی مفهوم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لعِرقِ ظالمٍ </w:t>
      </w:r>
      <w:r>
        <w:rPr>
          <w:rStyle w:val="FootnoteAnchor"/>
          <w:rtl w:val="true"/>
        </w:rPr>
        <w:footnoteReference w:id="718"/>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Style w:val="FootnoteAnchor"/>
          <w:rtl w:val="true"/>
        </w:rPr>
        <w:footnoteReference w:id="719"/>
      </w:r>
      <w:r>
        <w:rPr>
          <w:rFonts w:ascii="IRNazanin" w:hAnsi="IRNazanin" w:eastAsia="IRNazanin"/>
          <w:color w:val="111111"/>
          <w:sz w:val="28"/>
          <w:sz w:val="28"/>
          <w:szCs w:val="28"/>
          <w:rtl w:val="true"/>
          <w:lang w:bidi="fa-IR"/>
        </w:rPr>
        <w:t>فیکون کما لو باع الأرض المغروسة</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أنّ الغرس إنّما وقع فی ملکٍ متزلزلٍ،و لا دلیل علی استحقاق الغرس علی الأرض البقاءَ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قیاس الأرض المغروسة علی</w:t>
      </w:r>
    </w:p>
    <w:p>
      <w:pPr>
        <w:pStyle w:val="BookText"/>
        <w:rPr/>
      </w:pPr>
      <w:r>
        <w:rPr>
          <w:rFonts w:ascii="IRNazanin" w:hAnsi="IRNazanin" w:eastAsia="IRNazanin"/>
          <w:color w:val="111111"/>
          <w:sz w:val="28"/>
          <w:sz w:val="28"/>
          <w:szCs w:val="28"/>
          <w:rtl w:val="true"/>
          <w:lang w:bidi="fa-IR"/>
        </w:rPr>
        <w:t>الأرض المستأجرة حیث لا یفسخ إجارتها و لا تغرم لها اجرة المثل فاسدٌ؛للفرق بتملّک المنفعة فی تمام المدّة قبل استحقاق الفاسخ هناک بخلاف ما نحن فیه،فإنّ المستحقّ هو الغرس المنصوب من دون استحقاق مکانٍ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کلاّ من المالکین یملک ماله لا بشرط حقٍّ له علی الآخر و لا علیه له،فلکلٍّ منهما تخلیص ماله عن مال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أراد مالک الغرس قلعَه فعلیه أرش طمّ الحفر،و إن أراد مالک الأرض تخلیصَها فعلیه أرش الغرس،أعنی تفاوت ما بین کونه منصوباً دائماً و کونه مقلوعاً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کونه مالاً للمالک علی صفة النصب دائماً لیس اعترافاً علی عدم </w:t>
      </w:r>
      <w:r>
        <w:rPr>
          <w:rStyle w:val="FootnoteAnchor"/>
          <w:rtl w:val="true"/>
        </w:rPr>
        <w:footnoteReference w:id="720"/>
      </w:r>
      <w:r>
        <w:rPr>
          <w:rFonts w:ascii="IRNazanin" w:hAnsi="IRNazanin" w:eastAsia="IRNazanin"/>
          <w:color w:val="111111"/>
          <w:sz w:val="28"/>
          <w:sz w:val="28"/>
          <w:szCs w:val="28"/>
          <w:rtl w:val="true"/>
          <w:lang w:bidi="fa-IR"/>
        </w:rPr>
        <w:t>تسلّطه علی قلعه؛لأنّ المال هو الغرس المنصوب،و مرجع دوامه إلی دوام ثبوت هذا المال الخاصّ له،فلیس هذا من باب استحقاق الغرس للمکان،فافهم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یبقی الفرق بین ما نحن فیه و بین مسألة التفلیس،حیث ذهب الأکثر إلی أن لیس للبائع الفاسخ قلع الغرس و لو مع الأرش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الفرق بکون حدوث ملک الغرس فی ملکٍ متزلزلٍ فیما نحن فیه،فحقّ المغبون إنّما تعلّق بالأرض قبل الغرس،بخلاف مسألة التفلیس؛لأنّ سبب التزلزل هناک بعد الغرس،فیشبه بیع الأرض المغروسة و لیس للمشتری قلعه و لو مع الأرش بلا خلافٍ،بل عرفت أنّ العلّامة قدّس سرّه فی المختلف جعل التزلزل موجباً لعدم استحقاق أرش الغرس</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إذا جاز القلع،فهل یجوز للمغبون مباشرة القلع،أم له مطالبة</w:t>
      </w:r>
    </w:p>
    <w:p>
      <w:pPr>
        <w:pStyle w:val="BookText"/>
        <w:rPr/>
      </w:pPr>
      <w:r>
        <w:rPr>
          <w:rFonts w:ascii="IRNazanin" w:hAnsi="IRNazanin" w:eastAsia="IRNazanin"/>
          <w:color w:val="111111"/>
          <w:sz w:val="28"/>
          <w:sz w:val="28"/>
          <w:szCs w:val="28"/>
          <w:rtl w:val="true"/>
          <w:lang w:bidi="fa-IR"/>
        </w:rPr>
        <w:t xml:space="preserve">المالک بالقلع،و مع امتناعه یجبره الحاکم أو یقلعه؟ وجوهٌ،ذکروها </w:t>
      </w:r>
      <w:r>
        <w:rPr>
          <w:rStyle w:val="FootnoteAnchor"/>
          <w:rtl w:val="true"/>
        </w:rPr>
        <w:footnoteReference w:id="721"/>
      </w:r>
      <w:r>
        <w:rPr>
          <w:rFonts w:ascii="IRNazanin" w:hAnsi="IRNazanin" w:eastAsia="IRNazanin"/>
          <w:color w:val="111111"/>
          <w:sz w:val="28"/>
          <w:sz w:val="28"/>
          <w:szCs w:val="28"/>
          <w:rtl w:val="true"/>
          <w:lang w:bidi="fa-IR"/>
        </w:rPr>
        <w:t>فیما لو دخلت أغصان شجر الجار إلی 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الفرق بین المقامین من جهة کون الدخول هناک بغیر فعل المالک،و لذا قیل فیه بعدم وجوب إجابة المالکِ الجارَ إلی القلع و إن جاز للجار قلعها بعد الامتناع أو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حکم القلع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لو اختار المغبون الإبقاء،فمقتضی ما ذکرنا من عدم ثبوت حقٍّ لأحد المالکین علی الآخر استحقاقه الأُجرة علی البقاء؛لأنّ انتقال الأرض إلی المغبون بحقٍّ سابقٍ علی الغرس،لا بسببٍ لاحقٍ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حکم الشجر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یتعیّن إبقاؤه بالأُجرة </w:t>
      </w:r>
      <w:r>
        <w:rPr>
          <w:rStyle w:val="FootnoteAnchor"/>
          <w:rtl w:val="true"/>
        </w:rPr>
        <w:footnoteReference w:id="723"/>
      </w:r>
      <w:r>
        <w:rPr>
          <w:rFonts w:ascii="IRNazanin" w:hAnsi="IRNazanin" w:eastAsia="IRNazanin"/>
          <w:color w:val="111111"/>
          <w:sz w:val="28"/>
          <w:sz w:val="28"/>
          <w:szCs w:val="28"/>
          <w:rtl w:val="true"/>
          <w:lang w:bidi="fa-IR"/>
        </w:rPr>
        <w:t>لأنّ له أمداً ینتظر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لإمکان الجمع بین الحقّین علی وجهٍ لا ضرر فیه علی الطرفین،بخلاف مسألة الشجر،فإنّ فی تعیین إبقائه بالأُجرة ضرراً علی مالک الأرض،لطول مدّة البقاء،فتأمّل</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طلب مالک الغرس القلع،فهل لمالک الأرض منعه لاستلزام نقص أرضه،فإنّ کلاّ منهما مسلّط علی ماله و لا یجوز تصرّفه فی مال غیره إلّا بإذنه،أم لا؛لأنّ التسلّط علی المال لا یوجب منع مالکٍ آخر عن التصرّف فی ماله؟وجهان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أقواهما الثانی</w:t>
      </w:r>
      <w:r>
        <w:rPr>
          <w:rFonts w:eastAsia="IRNazanin" w:cs="IRNazanin"/>
          <w:color w:val="111111"/>
          <w:sz w:val="28"/>
          <w:szCs w:val="28"/>
          <w:rtl w:val="true"/>
          <w:lang w:bidi="fa-IR"/>
        </w:rPr>
        <w:t>.</w:t>
      </w:r>
      <w:bookmarkStart w:id="380" w:name="pg19864_220825"/>
    </w:p>
    <w:p>
      <w:pPr>
        <w:pStyle w:val="BookText"/>
        <w:rPr/>
      </w:pPr>
      <w:bookmarkEnd w:id="380"/>
      <w:r>
        <w:rPr>
          <w:rFonts w:ascii="IRNazanin" w:hAnsi="IRNazanin" w:eastAsia="IRNazanin"/>
          <w:color w:val="111111"/>
          <w:sz w:val="28"/>
          <w:sz w:val="28"/>
          <w:szCs w:val="28"/>
          <w:rtl w:val="true"/>
          <w:lang w:bidi="fa-IR"/>
        </w:rPr>
        <w:t>و لو کان التغیّر بالامتزاج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 أن یکون بغیر جنسه،و إمّا أن یکون بجنسه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بغیر الجنس،فإن کان علی وجه الاستهلاک عرفاً بحیث لا یحکم فی مثله بالشرکة کامتزاج ماء الورد المبیع بالزیت فهو فی حکم التالف یرجع إلی قیمته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لا علی وجهٍ یُعدّ تالفاً کالخلّ الممتزج مع الأنجبین ففی کونه شریکاً أو کونه کالمعدوم </w:t>
      </w:r>
      <w:r>
        <w:rPr>
          <w:rStyle w:val="FootnoteAnchor"/>
          <w:rtl w:val="true"/>
        </w:rPr>
        <w:footnoteReference w:id="724"/>
      </w:r>
      <w:r>
        <w:rPr>
          <w:rFonts w:ascii="IRNazanin" w:hAnsi="IRNazanin" w:eastAsia="IRNazanin"/>
          <w:color w:val="111111"/>
          <w:sz w:val="28"/>
          <w:sz w:val="28"/>
          <w:szCs w:val="28"/>
          <w:rtl w:val="true"/>
          <w:lang w:bidi="fa-IR"/>
        </w:rPr>
        <w:t xml:space="preserve">،وجهان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کان الامتزاج بالجنس،فإن کان بالمساوی یثبت الشرکة، و إن کان بالأردإ فکذلک،و فی استحقاقه لأرش النقص أو تفاوت الرداءة من الجنس الممتزج أو من ثمنه،وجوهٌ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کان بالأجود احتمل الشرکة فی الثمن،بأن یُباع و یُعطی من الثمن بنسبة قیمته، و یحتمل الشرکة بنسبة القیمة،فإذا کان الأجود یساوی قیمتی الردیء کان المجموع بینهما أثلاثاً،و ردّه الشیخ فی مسألة رجوع البائع علی المفلّس بعین ماله بأنّه یستلزم الربا </w:t>
      </w:r>
      <w:r>
        <w:rPr>
          <w:rStyle w:val="FootnoteAnchor"/>
          <w:rtl w:val="true"/>
        </w:rPr>
        <w:footnoteReference w:id="7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حسنٌ مع عموم الربا لکلّ معاوضة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81" w:name="__RefHeading___Toc5148800_2314609296"/>
      <w:bookmarkStart w:id="382" w:name="_Toc145"/>
      <w:bookmarkEnd w:id="381"/>
      <w:r>
        <w:rPr>
          <w:rtl w:val="true"/>
        </w:rPr>
        <w:t>بقی الکلام فی حکم تلف العوضین مع الغبن</w:t>
      </w:r>
      <w:r>
        <w:rPr>
          <w:rtl w:val="true"/>
        </w:rPr>
        <w:t>:</w:t>
      </w:r>
      <w:bookmarkEnd w:id="382"/>
    </w:p>
    <w:p>
      <w:pPr>
        <w:pStyle w:val="BookText"/>
        <w:rPr/>
      </w:pPr>
      <w:r>
        <w:rPr>
          <w:rFonts w:ascii="IRNazanin" w:hAnsi="IRNazanin" w:eastAsia="IRNazanin"/>
          <w:color w:val="111111"/>
          <w:sz w:val="28"/>
          <w:sz w:val="28"/>
          <w:szCs w:val="28"/>
          <w:rtl w:val="true"/>
          <w:lang w:bidi="fa-IR"/>
        </w:rPr>
        <w:t>و تفصیله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التلف إمّا أن یکون فیما وصل إلی الغابن،أو فیما وصل إلی المغبون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التلف،إمّا بآفةٍ أو بإتلاف أحدهما أو بإتلاف الأجنبیّ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لو تلف ما فی ید المغبون،فإن کان بآفةٍ فمقتضی ما تقدّم من التذکرة </w:t>
      </w:r>
      <w:r>
        <w:rPr>
          <w:rStyle w:val="FootnoteAnchor"/>
          <w:rtl w:val="true"/>
        </w:rPr>
        <w:footnoteReference w:id="728"/>
      </w:r>
      <w:r>
        <w:rPr>
          <w:rFonts w:ascii="IRNazanin" w:hAnsi="IRNazanin" w:eastAsia="IRNazanin"/>
          <w:color w:val="111111"/>
          <w:sz w:val="28"/>
          <w:sz w:val="28"/>
          <w:szCs w:val="28"/>
          <w:rtl w:val="true"/>
          <w:lang w:bidi="fa-IR"/>
        </w:rPr>
        <w:t>فی الإخراج عن الملک من تعلیل السقوط بعدم إمکان الاستدراک سقوط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لکنّک قد عرفت الکلام فی مورد التعلیل فضلاً عن غیره؛و لذا اختار غیر واحدٍ بقاء الخیار </w:t>
      </w:r>
      <w:r>
        <w:rPr>
          <w:rStyle w:val="FootnoteAnchor"/>
          <w:rtl w:val="true"/>
        </w:rPr>
        <w:footnoteReference w:id="729"/>
      </w:r>
      <w:r>
        <w:rPr>
          <w:rFonts w:ascii="IRNazanin" w:hAnsi="IRNazanin" w:eastAsia="IRNazanin"/>
          <w:color w:val="111111"/>
          <w:sz w:val="28"/>
          <w:sz w:val="28"/>
          <w:szCs w:val="28"/>
          <w:rtl w:val="true"/>
          <w:lang w:bidi="fa-IR"/>
        </w:rPr>
        <w:t xml:space="preserve">،فإذا فسخ غرم قیمة </w:t>
      </w:r>
      <w:r>
        <w:rPr>
          <w:rStyle w:val="FootnoteAnchor"/>
          <w:rtl w:val="true"/>
        </w:rPr>
        <w:footnoteReference w:id="730"/>
      </w:r>
      <w:r>
        <w:rPr>
          <w:rFonts w:ascii="IRNazanin" w:hAnsi="IRNazanin" w:eastAsia="IRNazanin"/>
          <w:color w:val="111111"/>
          <w:sz w:val="28"/>
          <w:sz w:val="28"/>
          <w:szCs w:val="28"/>
          <w:rtl w:val="true"/>
          <w:lang w:bidi="fa-IR"/>
        </w:rPr>
        <w:t>یوم التلف أو یوم الفسخ و أخذ ما عند الغابن أو بدله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کان بإتلافه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بإتلاف الأجنبیّ ففسخ المغبون،أخذ الثمن و رجع الغابن إلی المُتلِف إن لم یرجع المغبون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رجع علیه بالبدل ثمّ ظهر الغبن ففسخ ردّ علی الغابن القیمة یوم التلف أو یوم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بإتلاف الغابن فإن لم یفسخ المغبون أخذ القیمة من الغابن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فسخ أخذ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إتلافه قبل ظهور الغبن فأبرأه المغبون من الغرامة ثمّ ظهر الغبن ففسخ وجب علیه ردّ القیمة؛لأنّ ما أبرأه بمنزلة المقبوض</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تلف ما فی ید الغابن بآفةٍ أو بإتلافه ففسخ المغبون أخذ</w:t>
      </w:r>
    </w:p>
    <w:p>
      <w:pPr>
        <w:pStyle w:val="BookText"/>
        <w:rPr/>
      </w:pPr>
      <w:r>
        <w:rPr>
          <w:rFonts w:ascii="IRNazanin" w:hAnsi="IRNazanin" w:eastAsia="IRNazanin"/>
          <w:color w:val="111111"/>
          <w:sz w:val="28"/>
          <w:sz w:val="28"/>
          <w:szCs w:val="28"/>
          <w:rtl w:val="true"/>
          <w:lang w:bidi="fa-IR"/>
        </w:rPr>
        <w:t>البدل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اعتبار القیمة یوم التلف أو یوم الفسخ قولان،ظاهر الأکثر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صرّح فی الدروس </w:t>
      </w:r>
      <w:r>
        <w:rPr>
          <w:rStyle w:val="FootnoteAnchor"/>
          <w:rtl w:val="true"/>
        </w:rPr>
        <w:footnoteReference w:id="731"/>
      </w:r>
      <w:r>
        <w:rPr>
          <w:rFonts w:ascii="IRNazanin" w:hAnsi="IRNazanin" w:eastAsia="IRNazanin"/>
          <w:color w:val="111111"/>
          <w:sz w:val="28"/>
          <w:sz w:val="28"/>
          <w:szCs w:val="28"/>
          <w:rtl w:val="true"/>
          <w:lang w:bidi="fa-IR"/>
        </w:rPr>
        <w:t xml:space="preserve">و المسالک </w:t>
      </w:r>
      <w:r>
        <w:rPr>
          <w:rStyle w:val="FootnoteAnchor"/>
          <w:rtl w:val="true"/>
        </w:rPr>
        <w:footnoteReference w:id="732"/>
      </w:r>
      <w:r>
        <w:rPr>
          <w:rFonts w:ascii="IRNazanin" w:hAnsi="IRNazanin" w:eastAsia="IRNazanin"/>
          <w:color w:val="111111"/>
          <w:sz w:val="28"/>
          <w:sz w:val="28"/>
          <w:szCs w:val="28"/>
          <w:rtl w:val="true"/>
          <w:lang w:bidi="fa-IR"/>
        </w:rPr>
        <w:t xml:space="preserve">و محکیّ حاشیة الشرائع </w:t>
      </w:r>
      <w:r>
        <w:rPr>
          <w:rStyle w:val="FootnoteAnchor"/>
          <w:rtl w:val="true"/>
        </w:rPr>
        <w:footnoteReference w:id="733"/>
      </w:r>
      <w:r>
        <w:rPr>
          <w:rFonts w:ascii="IRNazanin" w:hAnsi="IRNazanin" w:eastAsia="IRNazanin"/>
          <w:color w:val="111111"/>
          <w:sz w:val="28"/>
          <w:sz w:val="28"/>
          <w:szCs w:val="28"/>
          <w:rtl w:val="true"/>
          <w:lang w:bidi="fa-IR"/>
        </w:rPr>
        <w:t xml:space="preserve">للمحقّق الثانی و صاحب الحدائق </w:t>
      </w:r>
      <w:r>
        <w:rPr>
          <w:rStyle w:val="FootnoteAnchor"/>
          <w:rtl w:val="true"/>
        </w:rPr>
        <w:footnoteReference w:id="734"/>
      </w:r>
      <w:r>
        <w:rPr>
          <w:rFonts w:ascii="Amiri" w:hAnsi="Amiri" w:eastAsia="Amiri" w:cs="Amiri"/>
          <w:color w:val="111111"/>
          <w:sz w:val="28"/>
          <w:sz w:val="28"/>
          <w:szCs w:val="28"/>
          <w:rtl w:val="true"/>
          <w:lang w:bidi="ar-SA"/>
        </w:rPr>
        <w:t xml:space="preserve">و بعضٌ آخر </w:t>
      </w:r>
      <w:r>
        <w:rPr>
          <w:rStyle w:val="FootnoteAnchor"/>
          <w:rtl w:val="true"/>
        </w:rPr>
        <w:footnoteReference w:id="7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اشتری عیناً بعینٍ فقبض أحدهما دون الأُخری فباع المقبوضَ ثمّ تلف غیر المقبوض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البیع الأوّل ینفسخ بتلف متعلّقه قبل القبض بخلاف البیع الثانی، فیغرم البائع الثانی قیمةَ ما باعه یوم تلف غیر المقبوض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ظاهرٌ بل صریحٌ فی أنّ العبرة بقیمة یوم الانفساخ دون تلف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 المسألتین مشکلٌ،و تمام الکلام فی باب الإقالة إن شاء اللّٰه تعالی</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تلف بإتلاف الأجنبیّ رجع المغبون بعد الفسخ إلی الغابن؛ لأنّه الذی یُردّ إلیه العوض فیؤخذ منه المعوَّض أو بدله،و لأنه مَلِکَ القیمةَ علی المُتلِف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یحتمل الرجوع إلی المُتلِف؛لأنّ المال فی ضمانه و ما لم یدفع العوض فنفس المال فی عهدته؛و لذا صرّح فی الشرائع </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 xml:space="preserve">بجواز المصالحة علی ذلک المتلَف بما لو صالح به علی قیمته لزم الربا، و صرّح العلّامة </w:t>
      </w:r>
      <w:r>
        <w:rPr>
          <w:rStyle w:val="FootnoteAnchor"/>
          <w:rtl w:val="true"/>
        </w:rPr>
        <w:footnoteReference w:id="737"/>
      </w:r>
      <w:r>
        <w:rPr>
          <w:rFonts w:ascii="IRNazanin" w:hAnsi="IRNazanin" w:eastAsia="IRNazanin"/>
          <w:color w:val="111111"/>
          <w:sz w:val="28"/>
          <w:sz w:val="28"/>
          <w:szCs w:val="28"/>
          <w:rtl w:val="true"/>
          <w:lang w:bidi="fa-IR"/>
        </w:rPr>
        <w:t>بأنّه لو صالحه علی نفس المتلَف بأقلّ من قیمته لم یلزم الربا،و إن صالحه علی قیمته بالأقلّ لزم الربا،بناءً علی جریانه فی الصلح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التخییر أمّا الغابن فلأنه ملک البدل،و أمّا المتلِف فلأنّ المال المتلَف فی عهدته قبل أداء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بإتلاف المغبون فإن لم یفسخ غرم بدله،و لو أبرأه الغابن من بدل المتلَف فظهر الغبن ففسخ،ردّ الثمن و أخذ قیمة المتلف؛لأنّ المبرإ منه کالمقبوض</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قلیلٌ من کثیر ما یکون هذا المقام قابلاً له من الکلام، و ینبغی إحالة الزائد علی ما ذکروه فی غیر هذا المقام،و اللّٰه العالم بالأحکام و رسوله و خلفاؤه الکرام صلوات اللّٰه علیه و علیهم إلی یوم القیام</w:t>
      </w:r>
      <w:r>
        <w:rPr>
          <w:rFonts w:eastAsia="IRNazanin" w:cs="IRNazanin"/>
          <w:color w:val="111111"/>
          <w:sz w:val="28"/>
          <w:szCs w:val="28"/>
          <w:rtl w:val="true"/>
          <w:lang w:bidi="fa-IR"/>
        </w:rPr>
        <w:t>.</w:t>
      </w:r>
      <w:bookmarkStart w:id="383" w:name="pg19864_220829"/>
    </w:p>
    <w:p>
      <w:pPr>
        <w:pStyle w:val="Heading6"/>
        <w:numPr>
          <w:ilvl w:val="5"/>
          <w:numId w:val="1"/>
        </w:numPr>
        <w:rPr/>
      </w:pPr>
      <w:bookmarkStart w:id="384" w:name="__RefHeading___Toc5148802_2314609296"/>
      <w:bookmarkStart w:id="385" w:name="_Toc146"/>
      <w:bookmarkEnd w:id="383"/>
      <w:bookmarkEnd w:id="384"/>
      <w:r>
        <w:rPr>
          <w:rtl w:val="true"/>
        </w:rPr>
        <w:t>مسألة الظاهر ثبوت خیار الغبن فی کلّ معاوضةٍ مالیّةٍ؛</w:t>
      </w:r>
      <w:bookmarkEnd w:id="385"/>
    </w:p>
    <w:p>
      <w:pPr>
        <w:pStyle w:val="BookText"/>
        <w:rPr/>
      </w:pPr>
      <w:r>
        <w:rPr>
          <w:rFonts w:ascii="IRNazanin" w:hAnsi="IRNazanin" w:eastAsia="IRNazanin"/>
          <w:color w:val="111111"/>
          <w:sz w:val="28"/>
          <w:sz w:val="28"/>
          <w:szCs w:val="28"/>
          <w:rtl w:val="true"/>
          <w:lang w:bidi="fa-IR"/>
        </w:rPr>
        <w:t>بناءً علی الاستناد فی ثبوته فی البیع إلی نفی 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استُند إلی الإجماعات المنقولة أمکن الرجوع فی غیر البیع إلی أصالة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ممّن حکی عنه التصریح بالعموم فخر الدین قدّس سرّه فی شرح الإرشاد </w:t>
      </w:r>
      <w:r>
        <w:rPr>
          <w:rStyle w:val="FootnoteAnchor"/>
          <w:rtl w:val="true"/>
        </w:rPr>
        <w:footnoteReference w:id="738"/>
      </w:r>
      <w:r>
        <w:rPr>
          <w:rFonts w:ascii="IRNazanin" w:hAnsi="IRNazanin" w:eastAsia="IRNazanin"/>
          <w:color w:val="111111"/>
          <w:sz w:val="28"/>
          <w:sz w:val="28"/>
          <w:szCs w:val="28"/>
          <w:rtl w:val="true"/>
          <w:lang w:bidi="fa-IR"/>
        </w:rPr>
        <w:t xml:space="preserve">و صاحب التنقیح </w:t>
      </w:r>
      <w:r>
        <w:rPr>
          <w:rStyle w:val="FootnoteAnchor"/>
          <w:rtl w:val="true"/>
        </w:rPr>
        <w:footnoteReference w:id="739"/>
      </w:r>
      <w:r>
        <w:rPr>
          <w:rFonts w:ascii="IRNazanin" w:hAnsi="IRNazanin" w:eastAsia="IRNazanin"/>
          <w:color w:val="111111"/>
          <w:sz w:val="28"/>
          <w:sz w:val="28"/>
          <w:szCs w:val="28"/>
          <w:rtl w:val="true"/>
          <w:lang w:bidi="fa-IR"/>
        </w:rPr>
        <w:t xml:space="preserve">و صاحب إیضاح النافع </w:t>
      </w:r>
      <w:r>
        <w:rPr>
          <w:rStyle w:val="FootnoteAnchor"/>
          <w:rtl w:val="true"/>
        </w:rPr>
        <w:footnoteReference w:id="740"/>
      </w:r>
      <w:r>
        <w:rPr>
          <w:rFonts w:ascii="IRNazanin" w:hAnsi="IRNazanin" w:eastAsia="IRNazanin"/>
          <w:color w:val="111111"/>
          <w:sz w:val="28"/>
          <w:sz w:val="28"/>
          <w:szCs w:val="28"/>
          <w:rtl w:val="true"/>
          <w:lang w:bidi="fa-IR"/>
        </w:rPr>
        <w:t>،و عن إجارة 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جریانه فیها مستنداً إلی أنّه من توابع المعاوضات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نعم،حکی عن المهذّب البارع عدم جریانه فی الصلح </w:t>
      </w:r>
      <w:r>
        <w:rPr>
          <w:rStyle w:val="FootnoteAnchor"/>
          <w:rtl w:val="true"/>
        </w:rPr>
        <w:footnoteReference w:id="7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لکون الغرض الأصلی فیه قطع المنازعة،فلا یشرع فیه الفسخ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غایة المرام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التفصیل بین الصلح الواقع علی وجه المعاوضة فیجری فیه،و بین الواقع علی إسقاط دعوی قبل ثبوتها ثمّ ظهر حقّیة ما یدّعیه و کان مغبوناً فیما صالح به،و الواقع علی ما فی الذمم و کان مجهولاً ثمّ ظهر بعد عقد الصلح و ظهر غبن أحدهما علی تأمّلٍ </w:t>
      </w:r>
      <w:r>
        <w:rPr>
          <w:rStyle w:val="FootnoteAnchor"/>
          <w:rtl w:val="true"/>
        </w:rPr>
        <w:footnoteReference w:id="7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للإقدام فی هذین علی رفع الید عمّا صالح عنه کائناً ما کان،فقد أقدم علی الضرر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حکی عن بعضٍ </w:t>
      </w:r>
      <w:r>
        <w:rPr>
          <w:rStyle w:val="FootnoteAnchor"/>
          <w:rtl w:val="true"/>
        </w:rPr>
        <w:footnoteReference w:id="744"/>
      </w:r>
      <w:r>
        <w:rPr>
          <w:rFonts w:ascii="IRNazanin" w:hAnsi="IRNazanin" w:eastAsia="IRNazanin"/>
          <w:color w:val="111111"/>
          <w:sz w:val="28"/>
          <w:sz w:val="28"/>
          <w:szCs w:val="28"/>
          <w:rtl w:val="true"/>
          <w:lang w:bidi="fa-IR"/>
        </w:rPr>
        <w:t>التفصیل بین کلّ عقدٍ وقع شخصه علی وجه المسامحة و کان الإقدام علی المعاملة فیه مبنیّاً علی عدم الالتفات إلی النقص و الزیادة بیعاً کان أو صلحاً أو غیرهما فإنّه لا یصدق فیه اسم الغبن،و بین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مع أنّ منع صدق الغبن محلّ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الحکم بالخیار لم یعلَّق فی دلیلٍ علی مفهوم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یتّبع مصادیقه،فإنّ الفتاوی مختصّةٌ بغبن البیع،و حدیث نفی الضرر عامٌّ لم یخرج منه إلّا ما استُثنی فی الفتاوی من صورة الإقدام علی الضرر عالماً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استدلّ بآیة التجارة عن تراضٍ أو النهی عن أکل المال بالباطل أمکن اختصاصهما بما إذا أقدم علی المعاملة محتمِلاً للضرر مسامِحاً فی دفع ذلک الاحتمال</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المسألة لا تخلو عن إشکالٍ</w:t>
      </w:r>
    </w:p>
    <w:p>
      <w:pPr>
        <w:pStyle w:val="BookText"/>
        <w:rPr/>
      </w:pPr>
      <w:r>
        <w:rPr>
          <w:rFonts w:ascii="IRNazanin" w:hAnsi="IRNazanin" w:eastAsia="IRNazanin"/>
          <w:color w:val="111111"/>
          <w:sz w:val="28"/>
          <w:sz w:val="28"/>
          <w:szCs w:val="28"/>
          <w:rtl w:val="true"/>
          <w:lang w:bidi="fa-IR"/>
        </w:rPr>
        <w:t xml:space="preserve">من جهة أصالة اللزوم،و اختصاص معقد الإجماع و الشهرة بالبیع، و عدم تعرّض الأکثر لدخول هذا الخیار فی غیر البیع کما تعرّضوا لجریان خیار الشرط </w:t>
      </w:r>
      <w:r>
        <w:rPr>
          <w:rStyle w:val="FootnoteAnchor"/>
          <w:rtl w:val="true"/>
        </w:rPr>
        <w:footnoteReference w:id="745"/>
      </w:r>
      <w:r>
        <w:rPr>
          <w:rFonts w:ascii="IRNazanin" w:hAnsi="IRNazanin" w:eastAsia="IRNazanin"/>
          <w:color w:val="111111"/>
          <w:sz w:val="28"/>
          <w:sz w:val="28"/>
          <w:szCs w:val="28"/>
          <w:rtl w:val="true"/>
          <w:lang w:bidi="fa-IR"/>
        </w:rPr>
        <w:t xml:space="preserve">،و تعرّضهم لعدم جریان خیار المجلس فی غیر البیع لکونه محلّ خلافٍ لبعض العامّة فی بعض أفراد ما عدا البیع </w:t>
      </w:r>
      <w:r>
        <w:rPr>
          <w:rStyle w:val="FootnoteAnchor"/>
          <w:rtl w:val="true"/>
        </w:rPr>
        <w:footnoteReference w:id="746"/>
      </w:r>
      <w:r>
        <w:rPr>
          <w:rFonts w:ascii="IRNazanin" w:hAnsi="IRNazanin" w:eastAsia="IRNazanin"/>
          <w:color w:val="111111"/>
          <w:sz w:val="28"/>
          <w:sz w:val="28"/>
          <w:szCs w:val="28"/>
          <w:rtl w:val="true"/>
          <w:lang w:bidi="fa-IR"/>
        </w:rPr>
        <w:t>، فلا یدلّ علی عموم غیره لما عدا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دلالة حدیث نفی الضرر علی عدم لزوم المعاملة المغبون فیها و لو فی صورة امتناع الغابن عن بذل التفاوت </w:t>
      </w:r>
      <w:r>
        <w:rPr>
          <w:rStyle w:val="FootnoteAnchor"/>
          <w:rtl w:val="true"/>
        </w:rPr>
        <w:footnoteReference w:id="747"/>
      </w:r>
      <w:r>
        <w:rPr>
          <w:rFonts w:ascii="IRNazanin" w:hAnsi="IRNazanin" w:eastAsia="IRNazanin"/>
          <w:color w:val="111111"/>
          <w:sz w:val="28"/>
          <w:sz w:val="28"/>
          <w:szCs w:val="28"/>
          <w:rtl w:val="true"/>
          <w:lang w:bidi="fa-IR"/>
        </w:rPr>
        <w:t>،و قد استدلّ به الأصحاب علی إثبات کثیرٍ من الخیارات،فدخوله فیما عدا البیع لا یخلو عن قوّة</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نعم،یبقی الإشکال فی شموله للصورة المتقدّمة،و هی ما إذا علم من الخارج بناء شخص تلک المعاملة بیعاً کان أو غیره علی عدم المغابنة و المکایسة من حیث المالیّة،کما إذا احتاج المشتری إلی قلیلٍ من شیءٍ مبتذلٍ لحاجةٍ عظیمة دینیّةٍ أو دنیویّةٍ،فإنّه لا یلاحظ فی شرائه مساواته للثمن المدفوع بإزائه،فإنّ فی شمول الأدلّة لمثل هذا خفاءً،بل منعاً </w:t>
      </w:r>
      <w:r>
        <w:rPr>
          <w:rStyle w:val="FootnoteAnchor"/>
          <w:rtl w:val="true"/>
        </w:rPr>
        <w:footnoteReference w:id="748"/>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bookmarkStart w:id="386" w:name="pg19864_220832"/>
    </w:p>
    <w:p>
      <w:pPr>
        <w:pStyle w:val="Heading6"/>
        <w:numPr>
          <w:ilvl w:val="5"/>
          <w:numId w:val="1"/>
        </w:numPr>
        <w:rPr/>
      </w:pPr>
      <w:bookmarkStart w:id="387" w:name="__RefHeading___Toc5148804_2314609296"/>
      <w:bookmarkStart w:id="388" w:name="_Toc147"/>
      <w:bookmarkEnd w:id="386"/>
      <w:bookmarkEnd w:id="387"/>
      <w:r>
        <w:rPr>
          <w:rtl w:val="true"/>
        </w:rPr>
        <w:t>مسألة اختلف أصحابنا فی کون هذا الخیار علی الفور أو علی التراخی</w:t>
      </w:r>
      <w:bookmarkEnd w:id="388"/>
    </w:p>
    <w:p>
      <w:pPr>
        <w:pStyle w:val="BookText"/>
        <w:rPr/>
      </w:pPr>
      <w:r>
        <w:rPr>
          <w:rFonts w:ascii="IRNazanin" w:hAnsi="IRNazanin" w:eastAsia="IRNazanin"/>
          <w:color w:val="111111"/>
          <w:sz w:val="28"/>
          <w:sz w:val="28"/>
          <w:szCs w:val="28"/>
          <w:rtl w:val="true"/>
          <w:lang w:bidi="fa-IR"/>
        </w:rPr>
        <w:t>علی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استند للقول الأوّل و هو المشهور ظاهراً إلی کون الخیار علی خلاف الأصل </w:t>
      </w:r>
      <w:r>
        <w:rPr>
          <w:rStyle w:val="FootnoteAnchor"/>
          <w:rtl w:val="true"/>
        </w:rPr>
        <w:footnoteReference w:id="749"/>
      </w:r>
      <w:r>
        <w:rPr>
          <w:rFonts w:ascii="IRNazanin" w:hAnsi="IRNazanin" w:eastAsia="IRNazanin"/>
          <w:color w:val="111111"/>
          <w:sz w:val="28"/>
          <w:sz w:val="28"/>
          <w:szCs w:val="28"/>
          <w:rtl w:val="true"/>
          <w:lang w:bidi="fa-IR"/>
        </w:rPr>
        <w:t>،فیقتصر فیه علی المتیقّن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قرّره فی جامع المقاصد بأنّ العموم فی أفراد العقود یستتبع عموم الأزمنة،و إلّا لم ینتفع بعمومه </w:t>
      </w:r>
      <w:r>
        <w:rPr>
          <w:rStyle w:val="FootnoteAnchor"/>
          <w:rtl w:val="true"/>
        </w:rPr>
        <w:footnoteReference w:id="750"/>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للقول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w:t>
      </w:r>
      <w:r>
        <w:rPr>
          <w:rStyle w:val="FootnoteAnchor"/>
          <w:rtl w:val="true"/>
        </w:rPr>
        <w:footnoteReference w:id="7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فی الریاض ما حاصله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المستند فی هذا الخیار إن کان الإجماع المنقول اتّجه التمسّک بالاستصحاب،و إن کان نفی الضرر وجب الاقتصار علی الزمان الأوّل، إذ به یندفع الضرر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الخدشة فی جمیع الوجوه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وجوب الاقتصار علی المتیقّن،فلأنه غیر متّجهٍ مع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فی جامع المقاصد من عموم الأزمنة فإن أراد به عمومها المستفاد من إطلاق الحکم بالنسبة إلی زمانه الراجع بدلیل الحکمة إلی استمراره فی جمیع الأزمنة،فلا یخفی أنّ هذا العموم فی کلّ فردٍ من موضوع الحکم تابعٌ لدخوله تحت العموم،فإذا فرض خروج فردٍ منه،فلا یفرق فیه بین خروجه عن حکم العامّ دائماً أو فی زمانٍ ما؛إذ لیس فی خروجه دائماً زیادة تخصیصٍ فی العامّ حتّی یقتصر عند الشکّ فیه علی المتیقّن،نظیر ما إذا ورد تحریم فعلٍ بعنوان العموم و خرج منه فردٌ خاصٌّ من ذلک الفعل،لکن وقع الشکّ فی أنّ ارتفاع الحرمة عن ذلک الفرد مختصٌّ ببعض الأزمنة أو عامٌّ لجمیعها،فإنّ اللازم هنا استصحاب حکم الخاصّ أعنی الحلّیة لا الرجوع فیما بعد الزمان المتیقّن إلی عموم التحریم،و لیس هذا من معارضة العموم للاستصحاب؛ و السرّ فیه 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تبعیّة العموم الزمانی للعموم الأفرادی،فإذا فرض خروج بعضها فلا مقتضی للعموم الزمانی فیه حتّی یقتصر فیه من حیث الزمان علی المتیقّن،بل الفرد الخارج واحدٌ،دام زمان خروجه أو انقطع</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نعم،لو فرض إفادة الکلام للعموم الزمانی علی وجهٍ یکون الزمان مکثِّراً لأفراد العامّ،بحیث یکون الفرد فی کلّ زمانٍ مغایراً له فی زمانٍ آخر،کان اللازم بعد العلم بخروج فردٍ فی زمانٍ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الاقتصار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المتیقّن؛لأنّ خروج غیره من الزمان مستلزمٌ لخروج فردٍ آخر من العامّ غیر ما عُلم خروجه،کما إذا قال المولی لعبده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فی کلّ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کان إکرام کلِّ عالمٍ فی کلّ یومٍ واجباً مستقلا غیر إکرام ذلک العالم فی الیوم الآخر،فإذا علم بخروج زیدٍ العالم و شُکّ فی خروجه عن العموم یوماً أو أزید،وجب الرجوع فی ما بعد الیوم الأوّل إلی عموم وجوب الإکرام،لا إلی استصحاب عدم وجوبه،بل لو فرضنا عدم وجود ذلک العموم لم یجز التمسّک بالاستصحاب،بل یجب الرجوع إلی أصلٍ آخر؛کما أنّ فی الصورة الاُولی لو فرضنا عدم حجّیة الاستصحاب لم یجز الرجوع إلی العموم،فما أوضح الفرق بین الصورتین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یخفی أنّ مناط هذا الفرق لیس کون عموم الزمان فی الصورة الاُولی من الإطلاق المحمول علی العموم بدلیل الحکمة و کونه فی الصورة الثانیة عموماً لغویّاً،بل المناط کون الزمان فی الأُولی ظرفاً للحکم و إن فُرض عمومه لغویّاً،فیکون الحکم فیه حکماً واحداً مستمرّاً لموضوعٍ واحد،فیکون مرجع الشکّ فیه إلی الشکّ فی استمرار حکمٍ واحدٍ و انقطاعه فیستصحب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الزمان فی الثانیة مکثّرٌ لأفراد موضوع الحکم،فمرجع الشکّ فی وجود الحکم فی الآن الثانی إلی ثبوت حکم الخاصّ لفردٍ من العامّ مغایرٍ للفرد الأوّل،و معلومٌ أنّ المرجع فیه إلی أصالة العموم،فافهم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فساد دفع کلام 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آیة أَوْفُوا</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غیرها مطلقةٌ لا عامّةٌ،فلا تنافی الاستصحاب </w:t>
      </w:r>
      <w:r>
        <w:rPr>
          <w:rStyle w:val="FootnoteAnchor"/>
          <w:rtl w:val="true"/>
        </w:rPr>
        <w:footnoteReference w:id="754"/>
      </w:r>
      <w:r>
        <w:rPr>
          <w:rFonts w:ascii="Amiri" w:hAnsi="Amiri" w:eastAsia="Amiri" w:cs="Amiri"/>
          <w:color w:val="111111"/>
          <w:sz w:val="28"/>
          <w:sz w:val="28"/>
          <w:szCs w:val="28"/>
          <w:rtl w:val="true"/>
          <w:lang w:bidi="ar-SA"/>
        </w:rPr>
        <w:t>إلّا أن یدّعی أنّ</w:t>
      </w:r>
    </w:p>
    <w:p>
      <w:pPr>
        <w:pStyle w:val="BookText"/>
        <w:rPr/>
      </w:pPr>
      <w:r>
        <w:rPr>
          <w:rFonts w:ascii="IRNazanin" w:hAnsi="IRNazanin" w:eastAsia="IRNazanin"/>
          <w:color w:val="111111"/>
          <w:sz w:val="28"/>
          <w:sz w:val="28"/>
          <w:szCs w:val="28"/>
          <w:rtl w:val="true"/>
          <w:lang w:bidi="fa-IR"/>
        </w:rPr>
        <w:t>العموم الإطلاقی لا یرجع إلّا إلی العموم الزمانی علی الوجه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w:t>
      </w:r>
      <w:r>
        <w:rPr>
          <w:rStyle w:val="FootnoteAnchor"/>
          <w:rtl w:val="true"/>
        </w:rPr>
        <w:footnoteReference w:id="755"/>
      </w:r>
      <w:r>
        <w:rPr>
          <w:rFonts w:ascii="IRNazanin" w:hAnsi="IRNazanin" w:eastAsia="IRNazanin"/>
          <w:color w:val="111111"/>
          <w:sz w:val="28"/>
          <w:sz w:val="28"/>
          <w:szCs w:val="28"/>
          <w:rtl w:val="true"/>
          <w:lang w:bidi="fa-IR"/>
        </w:rPr>
        <w:t>ظهر أیضاً ممّا ذکرنا من تغایر موردی الرجوع إلی الاستصحاب و الرجوع إلی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ما قیل فی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الاستصحاب قد یخصّص العموم،و مثّل له بالصورة الأُولی،زعماً منه أنّ الاستصحاب قد خَصّص العموم </w:t>
      </w:r>
      <w:r>
        <w:rPr>
          <w:rStyle w:val="FootnoteAnchor"/>
          <w:rtl w:val="true"/>
        </w:rPr>
        <w:footnoteReference w:id="7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أنّ مقام جریان الاستصحاب لا یجوز فیه الرجوع إلی العموم و لو علی فرض عدم الاستصحاب،و مقام جریان العموم لا یجوز فیه الرجوع إلی الاستصحاب و لو علی فرض عدم العموم،فلیس شیءٌ منهما ممنوعاً بالآخر فی شیءٍ من المقامین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فما نحن فیه من قبیل الأوّل؛لأنّ العقد المغبون فیه إذا خرج عن عموم وجوب الوفاء فلا فرق بین عدم وجوب الوفاء به فی زمانٍ واحدٍ و بین عدم وجوبه رأساً،نظیر العقد الجائز دائماً،فلیس الأمر دائراً بین قلّة التخصیص و کثرته حتّی یتمسّک بالعموم فیما عدا المتیقّن،فلو فرض عدم جریان الاستصحاب فی الخیار علی ما سنشیر إلیه لم یجز التمسّک بالعموم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نعم،یتمسّک فیه حینئذٍ بأصالة اللزوم الثابتة بغیر العمومات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استناد القول بالتراخی إلی الاستصحاب،فهو حسنٌ علی ما اشتهر من المسامحة فی تشخیص الموضوع فی استصحاب الحکم الشرعی الثابت بغیر الأدلّة اللفظیّة المشخِّصة للموضوع،مع کون الشکّ</w:t>
      </w:r>
    </w:p>
    <w:p>
      <w:pPr>
        <w:pStyle w:val="BookText"/>
        <w:rPr/>
      </w:pPr>
      <w:r>
        <w:rPr>
          <w:rFonts w:ascii="IRNazanin" w:hAnsi="IRNazanin" w:eastAsia="IRNazanin"/>
          <w:color w:val="111111"/>
          <w:sz w:val="28"/>
          <w:sz w:val="28"/>
          <w:szCs w:val="28"/>
          <w:rtl w:val="true"/>
          <w:lang w:bidi="fa-IR"/>
        </w:rPr>
        <w:t>من حیث استعداد الحکم للبقاء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علی التحقیق من عدم إحراز الموضوع فی مثل ذلک علی وجه التحقیق،فلا یجری فیما نحن فیه الاستصحاب؛فإنّ المتیقّن سابقاً ثبوت الخیار لمن لم یتمکّن من تدارک ضرره بالفسخ،فإذا فرضنا ثبوت </w:t>
      </w:r>
      <w:r>
        <w:rPr>
          <w:rStyle w:val="FootnoteAnchor"/>
          <w:rtl w:val="true"/>
        </w:rPr>
        <w:footnoteReference w:id="757"/>
      </w:r>
      <w:r>
        <w:rPr>
          <w:rFonts w:ascii="IRNazanin" w:hAnsi="IRNazanin" w:eastAsia="IRNazanin"/>
          <w:color w:val="111111"/>
          <w:sz w:val="28"/>
          <w:sz w:val="28"/>
          <w:szCs w:val="28"/>
          <w:rtl w:val="true"/>
          <w:lang w:bidi="fa-IR"/>
        </w:rPr>
        <w:t xml:space="preserve">الحکم من الشرع علی هذا الوجه </w:t>
      </w:r>
      <w:r>
        <w:rPr>
          <w:rStyle w:val="FootnoteAnchor"/>
          <w:rtl w:val="true"/>
        </w:rPr>
        <w:footnoteReference w:id="758"/>
      </w:r>
      <w:r>
        <w:rPr>
          <w:rFonts w:ascii="IRNazanin" w:hAnsi="IRNazanin" w:eastAsia="IRNazanin"/>
          <w:color w:val="111111"/>
          <w:sz w:val="28"/>
          <w:sz w:val="28"/>
          <w:szCs w:val="28"/>
          <w:rtl w:val="true"/>
          <w:lang w:bidi="fa-IR"/>
        </w:rPr>
        <w:t>فلا معنی لانسحابه فی الآن اللاحق مع کون الشخص قد تمکّن من التدارک و لم یفعل؛لأنّ هذا موضوعٌ آخر یکون إثبات الحکم له من القیاس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أُحرز الموضوع من دلیلٍ لفظیٍّ علی المستصحب أو کان الشکّ فی رافع الحکم حتّی لا یحتمل أن یکون الشکّ لأجل تغیّر الموضوع اتّجه التمسّک بالاستصحاب</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ذکره فی الریاض </w:t>
      </w:r>
      <w:r>
        <w:rPr>
          <w:rStyle w:val="FootnoteAnchor"/>
          <w:rtl w:val="true"/>
        </w:rPr>
        <w:footnoteReference w:id="759"/>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 بنی الأمر علی التدقیق فی موضوع الاستصحاب کما أشرنا هنا و حقّقناه فی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یجری الاستصحاب و إن کان المدرک للخیار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بنی علی المسامحة فیه کما اشتهر جری الاستصحاب و إن استند فی الخیار إلی قاعدة الضرر،کما اعترف به ولده قدّس سرّهما فی المناهل </w:t>
      </w:r>
      <w:r>
        <w:rPr>
          <w:rStyle w:val="FootnoteAnchor"/>
          <w:rtl w:val="true"/>
        </w:rPr>
        <w:footnoteReference w:id="760"/>
      </w:r>
      <w:r>
        <w:rPr>
          <w:rFonts w:ascii="Amiri" w:hAnsi="Amiri" w:eastAsia="Amiri" w:cs="Amiri"/>
          <w:color w:val="111111"/>
          <w:sz w:val="28"/>
          <w:sz w:val="28"/>
          <w:szCs w:val="28"/>
          <w:rtl w:val="true"/>
          <w:lang w:bidi="ar-SA"/>
        </w:rPr>
        <w:t>مستنداً</w:t>
      </w:r>
    </w:p>
    <w:p>
      <w:pPr>
        <w:pStyle w:val="BookText"/>
        <w:rPr/>
      </w:pPr>
      <w:r>
        <w:rPr>
          <w:rFonts w:ascii="IRNazanin" w:hAnsi="IRNazanin" w:eastAsia="IRNazanin"/>
          <w:color w:val="111111"/>
          <w:sz w:val="28"/>
          <w:sz w:val="28"/>
          <w:szCs w:val="28"/>
          <w:rtl w:val="true"/>
          <w:lang w:bidi="fa-IR"/>
        </w:rPr>
        <w:t>إلی احتمال أن یکون الضرر علّةً محدِثةً یکفی فی بقاء الحکم و إن ارتفع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یدّعی أنّه إذا استند الحکم إلی الضرر فالموضوع للخیار هو المتضرّر العاجز عن تدارک ضرره و هو غیر محقَّقٍ فی الزمان اللاحق، کما أشرنا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إنّه بنی المسألةَ بعضُ المعاصرین </w:t>
      </w:r>
      <w:r>
        <w:rPr>
          <w:rStyle w:val="FootnoteAnchor"/>
          <w:rtl w:val="true"/>
        </w:rPr>
        <w:footnoteReference w:id="761"/>
      </w:r>
      <w:r>
        <w:rPr>
          <w:rFonts w:ascii="IRNazanin" w:hAnsi="IRNazanin" w:eastAsia="IRNazanin"/>
          <w:color w:val="111111"/>
          <w:sz w:val="28"/>
          <w:sz w:val="28"/>
          <w:szCs w:val="28"/>
          <w:rtl w:val="true"/>
          <w:lang w:bidi="fa-IR"/>
        </w:rPr>
        <w:t>علی ما لا محصَّل له،فقال ما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المسألة مبتنیة علی أنّ لزوم العقد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أثر العقد مستمرٌّ إلی یوم القیامة و أنّ عموم الوفاء بالعقود عمومٌ زمانیٌّ؛للقطع بأن لیس المراد بالآیة الوفاء بالعقود آناً ما،بل علی الدوام،و قد فهم المشهور منها ذلک،و </w:t>
      </w:r>
      <w:r>
        <w:rPr>
          <w:rStyle w:val="FootnoteAnchor"/>
          <w:rtl w:val="true"/>
        </w:rPr>
        <w:footnoteReference w:id="762"/>
      </w:r>
      <w:r>
        <w:rPr>
          <w:rFonts w:ascii="IRNazanin" w:hAnsi="IRNazanin" w:eastAsia="IRNazanin"/>
          <w:color w:val="111111"/>
          <w:sz w:val="28"/>
          <w:sz w:val="28"/>
          <w:szCs w:val="28"/>
          <w:rtl w:val="true"/>
          <w:lang w:bidi="fa-IR"/>
        </w:rPr>
        <w:t>باعتبار أنّ الوفاء بها العمل بمقتضاها و لا ریب أنّ مفاده عرفاً و بحسب قصد المتعاقدین الدوام،فإذا دلّ دلیلٌ علی ثبوت 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ضررٍ،أو إجماعٍ،أو نصٍّ فی ثبوته فی الماضی أو مطلقاً بناءً علی الإهمال لا الإطلاق فی الأخبار فیکون استثناءً من ذلک العامّ و یبقی العامّ علی عمومه،کاستثناء أیّام الإقامة و الثلاثین و وقت المعصیة و نحوها من حکم السفر</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أنّ اللزوم لیس کالعموم و إنّما یُثبت مِلکاً سابقاً و یبقی حکمه مستصحَباً إلی المزیل،فتکون المعارضة بین استصحابین،و الثانی واردٌ علی الأوّل،فیقدّم علیه،و الأوّل أقوی؛لأنّ حدوث الحادث مع زوال علّته السابقة یقضی بعدم اعتبار السابق،أمّا مع بقائها فلا یلغو اعتبار</w:t>
      </w:r>
    </w:p>
    <w:p>
      <w:pPr>
        <w:pStyle w:val="BookText"/>
        <w:rPr/>
      </w:pPr>
      <w:r>
        <w:rPr>
          <w:rFonts w:ascii="IRNazanin" w:hAnsi="IRNazanin" w:eastAsia="IRNazanin"/>
          <w:color w:val="111111"/>
          <w:sz w:val="28"/>
          <w:sz w:val="28"/>
          <w:szCs w:val="28"/>
          <w:rtl w:val="true"/>
          <w:lang w:bidi="fa-IR"/>
        </w:rPr>
        <w:t>السابق،انتهی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ما ذکره من المبنی للرجوع إلی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استمرار اللزوم مبنیٌّ لطرح العموم و الرجوع إلی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أخیراً لمبنی الرجوع إلی الاستصحاب،و 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اللزوم إنّما یثبت بالاستصحاب،فإذا ورد علیه استصحاب الخیار قُدّم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الکلّ متّفقون علی الاستناد فی أصالة اللزوم إلی عموم آیة الوفاء و إن أمکن الاستناد فیه إلی الاستصحاب أیضاً،فلا وجه للإغماض عن الآیة و ملاحظة الاستصحاب المقتضی للّزوم مع استصحاب الخیار</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قد علم من تضاعیف ما أوردناه علی کلمات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الأقوی کون الخیار هنا علی الفور؛لأنّه لمّا لم یجز التمسّک فی الزمان الثانی بالعموم لما عرفت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مرجع العموم الزمانی فی هذا المقام إلی استمرار الحکم فی الأفراد فإذا انقطع الاستمرار فلا دلیل علی العود إلیه،کما فی جمیع الأحکام المستمرّة إذا طرأ علیها الانقطاع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باستصحاب الخیار لما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الموضوع غیر محرَزٍ؛لاحتمال کون موضوع الحکم عند الشارع هو من لم یتمکّن من تدارک ضرره بالفسخ،فلا یشمل الشخصَ المتمکّن منه التارک له،بل قد یُستظهر ذلک من حدیث نفی الضرر تَعیَّنَ </w:t>
      </w:r>
      <w:r>
        <w:rPr>
          <w:rStyle w:val="FootnoteAnchor"/>
          <w:rtl w:val="true"/>
        </w:rPr>
        <w:footnoteReference w:id="763"/>
      </w:r>
      <w:r>
        <w:rPr>
          <w:rFonts w:ascii="IRNazanin" w:hAnsi="IRNazanin" w:eastAsia="IRNazanin"/>
          <w:color w:val="111111"/>
          <w:sz w:val="28"/>
          <w:sz w:val="28"/>
          <w:szCs w:val="28"/>
          <w:rtl w:val="true"/>
          <w:lang w:bidi="fa-IR"/>
        </w:rPr>
        <w:t>الرجوع إلی أصالة فساد فسخ المغبون و عدم ترتّب الأثر علیه و بقاء آثار العقد،فیثبت اللزوم من</w:t>
      </w:r>
    </w:p>
    <w:p>
      <w:pPr>
        <w:pStyle w:val="BookText"/>
        <w:rPr/>
      </w:pPr>
      <w:r>
        <w:rPr>
          <w:rFonts w:ascii="IRNazanin" w:hAnsi="IRNazanin" w:eastAsia="IRNazanin"/>
          <w:color w:val="111111"/>
          <w:sz w:val="28"/>
          <w:sz w:val="28"/>
          <w:szCs w:val="28"/>
          <w:rtl w:val="true"/>
          <w:lang w:bidi="fa-IR"/>
        </w:rPr>
        <w:t>هذه الجهة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لیس کاستصحاب الخیار؛لأنّ الشکّ هنا فی الرافع، فالموضوع محرَزٌ کما فی استصحاب الطهارة بعد خروج المذی،فافهم و اغتنم،و 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هذا،مضافاً إلی ما قد یقال هنا و فیما یشبهه من إجازة عقد الفضولی و نکاحه 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تجویز التأخیر فیها ضررٌ علی من علیه الخیار،و فیه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مقتضی ما استند إلیه للفوریّة عدا هذا المؤیّد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الفوریّة العرفیّة؛لأنّ الاقتصار علی الحقیقیّة حرجٌ علی ذی الخیار، فلا ینبغی تدارک الضرر به،و الزائد علیها لا دلیل علیه عدا الاستصحاب المتسالَم علی ردّه بین أهل 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الذی یظهر من التذکرة فی خیار العیب علی القول بفوریّته ما هو أوسع من الفور العرفی،قال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العیب لیس علی الفور علی ما تقدّم،خلافاً للشافعی،فإنّه اشترط الفوریّة و المبادرة بالعادة، فلا یؤمر بالعَدْو و لا الرکض لیردّ،و إن کان مشغولاً بصلاةٍ أو أکلٍ أو قضاء حاجةٍ فله الخیار إلی أن یفرغ،و کذا لو اطّلع حین دخل وقت هذه الأُمور فاشتغل بها فلا بأس إجماعاً،و کذا لو لبس ثوباً أو أغلق 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اطّلع علی العیب لیلاً فله التأخیر إلی أن یُصبح و إن لم یکن عذر </w:t>
      </w:r>
      <w:r>
        <w:rPr>
          <w:rStyle w:val="FootnoteAnchor"/>
          <w:rtl w:val="true"/>
        </w:rPr>
        <w:footnoteReference w:id="76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صرّح فی الشفعة علی القول بفوریّتها بما یقرب من ذلک و جعلها من الأعذار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صرّح فی الشفعة بأنّه لا یجب المبادرة علی</w:t>
      </w:r>
    </w:p>
    <w:p>
      <w:pPr>
        <w:pStyle w:val="BookText"/>
        <w:rPr/>
      </w:pPr>
      <w:r>
        <w:rPr>
          <w:rFonts w:ascii="Amiri" w:hAnsi="Amiri" w:eastAsia="Amiri" w:cs="Amiri"/>
          <w:color w:val="111111"/>
          <w:sz w:val="28"/>
          <w:sz w:val="28"/>
          <w:szCs w:val="28"/>
          <w:rtl w:val="true"/>
          <w:lang w:bidi="ar-SA"/>
        </w:rPr>
        <w:t xml:space="preserve">خلاف العادة،و رجع </w:t>
      </w:r>
      <w:r>
        <w:rPr>
          <w:rStyle w:val="FootnoteAnchor"/>
          <w:rtl w:val="true"/>
        </w:rPr>
        <w:footnoteReference w:id="765"/>
      </w:r>
      <w:r>
        <w:rPr>
          <w:rFonts w:ascii="Amiri" w:hAnsi="Amiri" w:eastAsia="Amiri" w:cs="Amiri"/>
          <w:color w:val="111111"/>
          <w:sz w:val="28"/>
          <w:sz w:val="28"/>
          <w:szCs w:val="28"/>
          <w:rtl w:val="true"/>
          <w:lang w:bidi="ar-SA"/>
        </w:rPr>
        <w:t xml:space="preserve">فی ذلک کلّه إلی العرف،فکلّ ما لا یُعدّ تقصیراً لا یبطل به الشفعة،و کلّ ما یُعدّ تقصیراً و توانیاً فی الطلب فإنّه مسقطٌ لها </w:t>
      </w:r>
      <w:r>
        <w:rPr>
          <w:rStyle w:val="FootnoteAnchor"/>
          <w:rtl w:val="true"/>
        </w:rPr>
        <w:footnoteReference w:id="76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المسألة لا تخلو عن إشکالٍ،لأنّ جعل حضور وقت الصلاة أو دخول اللیل عذراً فی ترک الفسخ المتحقّق بمجرّد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دلیل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نعم،لو توقّف الفسخ علی الحضور عند الخصم أو القاضی أو علی الإشهاد،توجّه ما ذکر فی الجملة،مع أنّ قیام الدلیل علیه مشکلٌ،إلّا أن یُجعل الدلیل علی الفوریّة لزوم الإضرار لمن علیه الخیار،فدفع </w:t>
      </w:r>
      <w:r>
        <w:rPr>
          <w:rStyle w:val="FootnoteAnchor"/>
          <w:rtl w:val="true"/>
        </w:rPr>
        <w:footnoteReference w:id="767"/>
      </w:r>
      <w:r>
        <w:rPr>
          <w:rFonts w:ascii="IRNazanin" w:hAnsi="IRNazanin" w:eastAsia="IRNazanin"/>
          <w:color w:val="111111"/>
          <w:sz w:val="28"/>
          <w:sz w:val="28"/>
          <w:szCs w:val="28"/>
          <w:rtl w:val="true"/>
          <w:lang w:bidi="fa-IR"/>
        </w:rPr>
        <w:t xml:space="preserve">ذلک بلزوم المبادرة العرفیّة بحیث لا یُعدّ متوانیاً فیه، فإنّ هذا هو الذی یضرّ بحال من علیه الخیار من جهة عدم استقرار ملکه و کون تصرّفاته فیه فی معرض النقض </w:t>
      </w:r>
      <w:r>
        <w:rPr>
          <w:rStyle w:val="FootnoteAnchor"/>
          <w:rtl w:val="true"/>
        </w:rPr>
        <w:footnoteReference w:id="7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لکنّک عرفت التأمّل فی هذا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إن تمّ الإجماع الذی تقدّم </w:t>
      </w:r>
      <w:r>
        <w:rPr>
          <w:rStyle w:val="FootnoteAnchor"/>
          <w:rtl w:val="true"/>
        </w:rPr>
        <w:footnoteReference w:id="769"/>
      </w:r>
      <w:r>
        <w:rPr>
          <w:rFonts w:ascii="IRNazanin" w:hAnsi="IRNazanin" w:eastAsia="IRNazanin"/>
          <w:color w:val="111111"/>
          <w:sz w:val="28"/>
          <w:sz w:val="28"/>
          <w:szCs w:val="28"/>
          <w:rtl w:val="true"/>
          <w:lang w:bidi="fa-IR"/>
        </w:rPr>
        <w:t>عن العلّامة علی عدم البأس بالأُمور المذکورة و عدم قدح أمثالها فی الفوریّة،فهو،و إلّا وجب الاقتصار علی أوّل مراتب إمکان إنشاء الفسخ،و اللّٰه العالم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الظاهر أنّه لا خلاف فی معذوریّة الجاهل بالخیار فی ترک</w:t>
      </w:r>
    </w:p>
    <w:p>
      <w:pPr>
        <w:pStyle w:val="BookText"/>
        <w:rPr/>
      </w:pPr>
      <w:r>
        <w:rPr>
          <w:rFonts w:ascii="IRNazanin" w:hAnsi="IRNazanin" w:eastAsia="IRNazanin"/>
          <w:color w:val="111111"/>
          <w:sz w:val="28"/>
          <w:sz w:val="28"/>
          <w:szCs w:val="28"/>
          <w:rtl w:val="true"/>
          <w:lang w:bidi="fa-IR"/>
        </w:rPr>
        <w:t>المبادرة،لعموم نفی الضرر؛إذ لا فرق بین الجاهل بالغبن و الجاهل بحکمه،و لیس ترک الفحص عن الحکم الشرعی منافیاً لمعذوریّته،کترک الفحص عن الغبن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جهل الفوریّة فظاهر بعضٍ الوفاق علی المعذوریّة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بعدم جریان نفی الضرر هنا؛لتمکّنه من الفسخ و تدارک الضرر،فیرجع إلی ما تقدّم من أصالة بقاء آثار العقد و عدم صحّة فسخ المغبون بعد الزمان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حکی عن بعض الأساطین عدم المعذوریّة فی خیار التأخیر </w:t>
      </w:r>
      <w:r>
        <w:rPr>
          <w:rStyle w:val="FootnoteAnchor"/>
          <w:rtl w:val="true"/>
        </w:rPr>
        <w:footnoteReference w:id="770"/>
      </w:r>
      <w:r>
        <w:rPr>
          <w:rFonts w:ascii="IRNazanin" w:hAnsi="IRNazanin" w:eastAsia="IRNazanin"/>
          <w:color w:val="111111"/>
          <w:sz w:val="28"/>
          <w:sz w:val="28"/>
          <w:szCs w:val="28"/>
          <w:rtl w:val="true"/>
          <w:lang w:bidi="fa-IR"/>
        </w:rPr>
        <w:t>،و المناط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ادّعی الجهل بالخیار فالأقوی القبول،إلّا أن یکون ممّا لا یخفی علیه هذا الحکم الشرعی إلّا لعارضٍ،ففیه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التذکرة فی باب الشفعة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أعلم ثبوت حقّ الشفعة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أخّرت لأنی لم أعلم أنّ الشفعة علی الفور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قریب العهد بالإسلام أو نشأ فی بریّةٍ لا یعرفون الأحکام قُبل قوله و له الأخذ بالشفعة،و إلّا فلا </w:t>
      </w:r>
      <w:r>
        <w:rPr>
          <w:rStyle w:val="FootnoteAnchor"/>
          <w:rtl w:val="true"/>
        </w:rPr>
        <w:footnoteReference w:id="77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أراد بالتقیید المذکور تخصیص السماع بمن یحتمل فی حقّه الجهل،فلا حاجة إلیه؛لأنّ أکثر العوامّ و کثیراً من الخواصّ لا یعلمون مثل هذه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أراد تخصیص السماع بمن یکون الظاهر فی حقّه عدم العلم،ففیه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داعی إلی اعتبار الظهور،مع أنّ الأصل العدم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الناسی فی حکم الجاهل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سماع دعواه النسیان</w:t>
      </w:r>
    </w:p>
    <w:p>
      <w:pPr>
        <w:pStyle w:val="BookText"/>
        <w:rPr/>
      </w:pP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 مدّعٍ،و من تعسّر إقامة البیّنة علیه و أنّه لا یُعرف إلّا من قِبَله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الشاکّ فی ثبوت الخیار فالظاهر معذوریّته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عدم معذوریّته؛لتمکّنه من الفسخ بعد الاطّلاع علی الغبن ثمّ السؤال عن صحّته شرعاً،فهو متمکّنٌ من الفسخ العرفی،إذ الجهل بالصحّة لا یمنع عن الإنشاء،فهو مقصّرٌ بترک الفسخ لا لعذرٍ،فافهم،و اللّٰه العالم</w:t>
      </w:r>
      <w:r>
        <w:rPr>
          <w:rFonts w:eastAsia="IRNazanin" w:cs="IRNazanin"/>
          <w:color w:val="111111"/>
          <w:sz w:val="28"/>
          <w:szCs w:val="28"/>
          <w:rtl w:val="true"/>
          <w:lang w:bidi="fa-IR"/>
        </w:rPr>
        <w:t>.</w:t>
      </w:r>
      <w:bookmarkStart w:id="389" w:name="pg19864_220843"/>
    </w:p>
    <w:p>
      <w:pPr>
        <w:pStyle w:val="Heading4"/>
        <w:numPr>
          <w:ilvl w:val="3"/>
          <w:numId w:val="1"/>
        </w:numPr>
        <w:rPr/>
      </w:pPr>
      <w:bookmarkStart w:id="390" w:name="__RefHeading___Toc5148806_2314609296"/>
      <w:bookmarkStart w:id="391" w:name="_Toc148"/>
      <w:bookmarkEnd w:id="389"/>
      <w:bookmarkEnd w:id="390"/>
      <w:r>
        <w:rPr>
          <w:rtl w:val="true"/>
        </w:rPr>
        <w:t>الخامس خیار التأخیر</w:t>
      </w:r>
      <w:bookmarkEnd w:id="391"/>
    </w:p>
    <w:p>
      <w:pPr>
        <w:pStyle w:val="Heading5"/>
        <w:numPr>
          <w:ilvl w:val="4"/>
          <w:numId w:val="1"/>
        </w:numPr>
        <w:rPr/>
      </w:pPr>
      <w:bookmarkStart w:id="392" w:name="__RefHeading___Toc5148808_2314609296"/>
      <w:bookmarkStart w:id="393" w:name="_Toc149"/>
      <w:bookmarkEnd w:id="392"/>
      <w:r>
        <w:rPr>
          <w:rtl w:val="true"/>
        </w:rPr>
        <w:t>اشاره</w:t>
      </w:r>
      <w:bookmarkEnd w:id="393"/>
    </w:p>
    <w:p>
      <w:pPr>
        <w:pStyle w:val="BookText"/>
        <w:rPr/>
      </w:pP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باع شیئاً و لم یسلّمه إلی المشتری و لا قبض الثمن و لا شرط تأخیره و لو ساعةً لزم البیع ثلاثة أیّام،فإن جاء المشتری بالثمن فی هذه الثلاثة فهو أحقّ بالعین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مضت الثلاثة و لم یأتِ بالثمن تخیّر البائع بین فسخ العقد و الصبر و المطالبة بالثمن عند علمائنا أجمع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الأصل فی ذلک قبل الإجماع المحکیّ </w:t>
      </w:r>
      <w:r>
        <w:rPr>
          <w:rStyle w:val="FootnoteAnchor"/>
          <w:rtl w:val="true"/>
        </w:rPr>
        <w:footnoteReference w:id="773"/>
      </w:r>
      <w:r>
        <w:rPr>
          <w:rFonts w:ascii="IRNazanin" w:hAnsi="IRNazanin" w:eastAsia="IRNazanin"/>
          <w:color w:val="111111"/>
          <w:sz w:val="28"/>
          <w:sz w:val="28"/>
          <w:szCs w:val="28"/>
          <w:rtl w:val="true"/>
          <w:lang w:bidi="fa-IR"/>
        </w:rPr>
        <w:t xml:space="preserve">عن الانتصار و الخلاف و الجواهر و غیرها </w:t>
      </w:r>
      <w:r>
        <w:rPr>
          <w:rStyle w:val="FootnoteAnchor"/>
          <w:rtl w:val="true"/>
        </w:rPr>
        <w:footnoteReference w:id="774"/>
      </w:r>
      <w:r>
        <w:rPr>
          <w:rFonts w:ascii="IRNazanin" w:hAnsi="IRNazanin" w:eastAsia="IRNazanin"/>
          <w:color w:val="111111"/>
          <w:sz w:val="28"/>
          <w:sz w:val="28"/>
          <w:szCs w:val="28"/>
          <w:rtl w:val="true"/>
          <w:lang w:bidi="fa-IR"/>
        </w:rPr>
        <w:t xml:space="preserve">المعتضد بدعوی الاتّفاق المصرَّح بها فی التذکرة </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و الظاهرة من غیرها،و بما ذکره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الصبر أبداً مظنّة الضرر المنفیّ بالخبر </w:t>
      </w:r>
      <w:r>
        <w:rPr>
          <w:rStyle w:val="FootnoteAnchor"/>
          <w:rtl w:val="true"/>
        </w:rPr>
        <w:footnoteReference w:id="776"/>
      </w:r>
      <w:r>
        <w:rPr>
          <w:rFonts w:ascii="IRNazanin" w:hAnsi="IRNazanin" w:eastAsia="IRNazanin"/>
          <w:color w:val="111111"/>
          <w:sz w:val="28"/>
          <w:sz w:val="28"/>
          <w:szCs w:val="28"/>
          <w:rtl w:val="true"/>
          <w:lang w:bidi="fa-IR"/>
        </w:rPr>
        <w:t>،بل الضرر هنا أشدّ من الضرر فی الغبن؛حیث إنّ المبیع هنا فی ضمانه و تلفه منه و ملکٌ لغیره لا یجوز له التصرّف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المستفیضة،منها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روایة علیّ بن یقطین،قال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علیه السلام عن الرجل یبیع البیع و لا یقبضه صاحبه و لا یقبض الثمن،قال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الأجل بینهما ثلاثة أیّام،فإن قبض </w:t>
      </w:r>
      <w:r>
        <w:rPr>
          <w:rStyle w:val="FootnoteAnchor"/>
          <w:rtl w:val="true"/>
        </w:rPr>
        <w:footnoteReference w:id="777"/>
      </w:r>
      <w:r>
        <w:rPr>
          <w:rFonts w:ascii="IRNazanin" w:hAnsi="IRNazanin" w:eastAsia="IRNazanin"/>
          <w:color w:val="111111"/>
          <w:sz w:val="28"/>
          <w:sz w:val="28"/>
          <w:szCs w:val="28"/>
          <w:rtl w:val="true"/>
          <w:lang w:bidi="fa-IR"/>
        </w:rPr>
        <w:t>بیعه،و إلّا فلا بیع بینهما</w:t>
      </w:r>
      <w:r>
        <w:rPr>
          <w:rFonts w:eastAsia="IRNazanin" w:cs="IRNazanin"/>
          <w:color w:val="111111"/>
          <w:sz w:val="28"/>
          <w:szCs w:val="28"/>
          <w:rtl w:val="true"/>
          <w:lang w:bidi="fa-IR"/>
        </w:rPr>
        <w:t xml:space="preserve">»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إسحاق بن عمّار عن العبد الصالح،قال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اشتری بیعاً فمضت ثلاثة أیّامٍ و لم یجیء،فلا بیع له</w:t>
      </w:r>
      <w:r>
        <w:rPr>
          <w:rFonts w:eastAsia="IRNazanin" w:cs="IRNazanin"/>
          <w:color w:val="111111"/>
          <w:sz w:val="28"/>
          <w:szCs w:val="28"/>
          <w:rtl w:val="true"/>
          <w:lang w:bidi="fa-IR"/>
        </w:rPr>
        <w:t xml:space="preserve">»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روایة ابن الحجّاج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 محمِلاً و أعطیت بعض الثمن و ترکته عند صاحبه،ثمّ احتبست أیّاماً،ثمّ جئت إلی بائع المحمِل لآخذه،فقال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بعته،فضحکت،ثمّ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أدعک أو أُقاضیک،فقال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ترضی بأبی بکر بن عیّاش؟قلت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نعم،فأتیناه فقصصنا علیه قصّتنا،فقال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بقول من تحبّ أن یُقضی </w:t>
      </w:r>
      <w:r>
        <w:rPr>
          <w:rStyle w:val="FootnoteAnchor"/>
          <w:rtl w:val="true"/>
        </w:rPr>
        <w:footnoteReference w:id="780"/>
      </w:r>
      <w:r>
        <w:rPr>
          <w:rFonts w:ascii="IRNazanin" w:hAnsi="IRNazanin" w:eastAsia="IRNazanin"/>
          <w:color w:val="111111"/>
          <w:sz w:val="28"/>
          <w:sz w:val="28"/>
          <w:szCs w:val="28"/>
          <w:rtl w:val="true"/>
          <w:lang w:bidi="fa-IR"/>
        </w:rPr>
        <w:t>بینکما، بقول صاحبک أو غیره؟قلت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صاحبی،قال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اشتری شیئاً فجاء بالثمن ما بینه و بین ثلاثة أیّام،و إلّا فلا بیع له</w:t>
      </w:r>
      <w:r>
        <w:rPr>
          <w:rFonts w:eastAsia="IRNazanin" w:cs="IRNazanin"/>
          <w:color w:val="111111"/>
          <w:sz w:val="28"/>
          <w:szCs w:val="28"/>
          <w:rtl w:val="true"/>
          <w:lang w:bidi="fa-IR"/>
        </w:rPr>
        <w:t xml:space="preserve">»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زرارة 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یشتری من الرجل المتاع ثمّ یدعه عنده،فیقول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آتیک بثمنه؟قال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 ما بینه و بین ثلاثة أیّام،و إلّا فلا بیع له</w:t>
      </w:r>
      <w:r>
        <w:rPr>
          <w:rFonts w:eastAsia="IRNazanin" w:cs="IRNazanin"/>
          <w:color w:val="111111"/>
          <w:sz w:val="28"/>
          <w:szCs w:val="28"/>
          <w:rtl w:val="true"/>
          <w:lang w:bidi="fa-IR"/>
        </w:rPr>
        <w:t xml:space="preserve">»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 هذه الأخبار بطلان البیع،کما فهمه فی المبسوط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أصحابنا أنّه إذا اشتری شیئاً بعینه بثمنٍ معلومٍ و قال للبائع أجیئک بالثمن و مضی،فإن جاء فی مدّة الثلاثة کان البیع له،و إن لم یرتجع بطل البیع </w:t>
      </w:r>
      <w:r>
        <w:rPr>
          <w:rStyle w:val="FootnoteAnchor"/>
          <w:rtl w:val="true"/>
        </w:rPr>
        <w:footnoteReference w:id="78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ربما یُحکی </w:t>
      </w:r>
      <w:r>
        <w:rPr>
          <w:rStyle w:val="FootnoteAnchor"/>
          <w:rtl w:val="true"/>
        </w:rPr>
        <w:footnoteReference w:id="784"/>
      </w:r>
      <w:r>
        <w:rPr>
          <w:rFonts w:ascii="IRNazanin" w:hAnsi="IRNazanin" w:eastAsia="IRNazanin"/>
          <w:color w:val="111111"/>
          <w:sz w:val="28"/>
          <w:sz w:val="28"/>
          <w:szCs w:val="28"/>
          <w:rtl w:val="true"/>
          <w:lang w:bidi="fa-IR"/>
        </w:rPr>
        <w:t xml:space="preserve">عن ظاهر الإسکافی </w:t>
      </w:r>
      <w:r>
        <w:rPr>
          <w:rStyle w:val="FootnoteAnchor"/>
          <w:rtl w:val="true"/>
        </w:rPr>
        <w:footnoteReference w:id="785"/>
      </w:r>
      <w:r>
        <w:rPr>
          <w:rFonts w:ascii="IRNazanin" w:hAnsi="IRNazanin" w:eastAsia="IRNazanin"/>
          <w:color w:val="111111"/>
          <w:sz w:val="28"/>
          <w:sz w:val="28"/>
          <w:szCs w:val="28"/>
          <w:rtl w:val="true"/>
          <w:lang w:bidi="fa-IR"/>
        </w:rPr>
        <w:t xml:space="preserve">المعبِّر بلفظ الروایات، و توقّف فیه المحقّق الأردبیلی </w:t>
      </w:r>
      <w:r>
        <w:rPr>
          <w:rStyle w:val="FootnoteAnchor"/>
          <w:rtl w:val="true"/>
        </w:rPr>
        <w:footnoteReference w:id="786"/>
      </w:r>
      <w:r>
        <w:rPr>
          <w:rFonts w:ascii="IRNazanin" w:hAnsi="IRNazanin" w:eastAsia="IRNazanin"/>
          <w:color w:val="111111"/>
          <w:sz w:val="28"/>
          <w:sz w:val="28"/>
          <w:szCs w:val="28"/>
          <w:rtl w:val="true"/>
          <w:lang w:bidi="fa-IR"/>
        </w:rPr>
        <w:t xml:space="preserve">،و قوّاه صاحب الکفایة </w:t>
      </w:r>
      <w:r>
        <w:rPr>
          <w:rStyle w:val="FootnoteAnchor"/>
          <w:rtl w:val="true"/>
        </w:rPr>
        <w:footnoteReference w:id="787"/>
      </w:r>
      <w:r>
        <w:rPr>
          <w:rFonts w:ascii="IRNazanin" w:hAnsi="IRNazanin" w:eastAsia="IRNazanin"/>
          <w:color w:val="111111"/>
          <w:sz w:val="28"/>
          <w:sz w:val="28"/>
          <w:szCs w:val="28"/>
          <w:rtl w:val="true"/>
          <w:lang w:bidi="fa-IR"/>
        </w:rPr>
        <w:t xml:space="preserve">،و جزم به فی الحدائق طاعناً علی العلّامة فی المختلف،حیث إنّه اعترف بظهور الأخبار فی خلاف المشهور ثمّ اختار المشهور مستدلا بأنّ الأصل بقاء صحّة العقد،و حَمَل الأخبار علی نفی اللزوم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الأخبار فی الفساد فی محلّه،إلّا أنّ فهم العلماء</w:t>
      </w:r>
      <w:bookmarkStart w:id="394" w:name="pg19864_220846"/>
    </w:p>
    <w:p>
      <w:pPr>
        <w:pStyle w:val="BookText"/>
        <w:rPr/>
      </w:pPr>
      <w:bookmarkEnd w:id="394"/>
      <w:r>
        <w:rPr>
          <w:rFonts w:ascii="Amiri" w:hAnsi="Amiri" w:eastAsia="Amiri" w:cs="Amiri"/>
          <w:color w:val="111111"/>
          <w:sz w:val="28"/>
          <w:sz w:val="28"/>
          <w:szCs w:val="28"/>
          <w:rtl w:val="true"/>
          <w:lang w:bidi="ar-SA"/>
        </w:rPr>
        <w:t xml:space="preserve">و حَمَلَةِ الأخبار نفیَ اللزوم </w:t>
      </w:r>
      <w:r>
        <w:rPr>
          <w:rStyle w:val="FootnoteAnchor"/>
          <w:rtl w:val="true"/>
        </w:rPr>
        <w:footnoteReference w:id="789"/>
      </w:r>
      <w:r>
        <w:rPr>
          <w:rFonts w:ascii="IRNazanin" w:hAnsi="IRNazanin" w:eastAsia="IRNazanin"/>
          <w:color w:val="111111"/>
          <w:sz w:val="28"/>
          <w:sz w:val="28"/>
          <w:szCs w:val="28"/>
          <w:rtl w:val="true"/>
          <w:lang w:bidi="fa-IR"/>
        </w:rPr>
        <w:t>ممّا یقرّب هذا المعنی؛مضافاً إلی ما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 قوله علیه السلام فی أکثر تلک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بیع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فی انتفاء البیع بالنسبة إلی المشتری فقط،و لا یکون إلّا نفی اللزوم من طرف البائع،إلّا أنّ فی روایة ابن یقطین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بیع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کان،فلا أقلّ من الشکّ فیرجع إلی استصحاب الآثار المترتّبة علی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الصحّة سابقاً فی ضمن اللزوم،فترتفع بارتفاعه، مندفعٌ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اللزوم لیس من قبیل الفصل للصحّة،و إنّما هو حکمٌ مقارنٌ له فی خصوص البیع الخالی من الخیار</w:t>
      </w:r>
      <w:r>
        <w:rPr>
          <w:rFonts w:eastAsia="IRNazanin" w:cs="IRNazanin"/>
          <w:color w:val="111111"/>
          <w:sz w:val="28"/>
          <w:szCs w:val="28"/>
          <w:rtl w:val="true"/>
          <w:lang w:bidi="fa-IR"/>
        </w:rPr>
        <w:t>.</w:t>
      </w:r>
    </w:p>
    <w:p>
      <w:pPr>
        <w:pStyle w:val="Heading5"/>
        <w:numPr>
          <w:ilvl w:val="4"/>
          <w:numId w:val="1"/>
        </w:numPr>
        <w:rPr/>
      </w:pPr>
      <w:bookmarkStart w:id="395" w:name="__RefHeading___Toc5148810_2314609296"/>
      <w:bookmarkStart w:id="396" w:name="_Toc150"/>
      <w:bookmarkEnd w:id="395"/>
      <w:r>
        <w:rPr>
          <w:rtl w:val="true"/>
        </w:rPr>
        <w:t>ثمّ إنّه یشترط فی هذا الخیار أُمور</w:t>
      </w:r>
      <w:r>
        <w:rPr>
          <w:rtl w:val="true"/>
        </w:rPr>
        <w:t>:</w:t>
      </w:r>
      <w:bookmarkEnd w:id="396"/>
    </w:p>
    <w:p>
      <w:pPr>
        <w:pStyle w:val="Heading6"/>
        <w:numPr>
          <w:ilvl w:val="5"/>
          <w:numId w:val="1"/>
        </w:numPr>
        <w:rPr/>
      </w:pPr>
      <w:bookmarkStart w:id="397" w:name="__RefHeading___Toc5148812_2314609296"/>
      <w:bookmarkStart w:id="398" w:name="_Toc151"/>
      <w:bookmarkEnd w:id="397"/>
      <w:r>
        <w:rPr>
          <w:rtl w:val="true"/>
        </w:rPr>
        <w:t>أحدها</w:t>
      </w:r>
      <w:r>
        <w:rPr>
          <w:rtl w:val="true"/>
        </w:rPr>
        <w:t xml:space="preserve">: </w:t>
      </w:r>
      <w:r>
        <w:rPr>
          <w:rtl w:val="true"/>
        </w:rPr>
        <w:t>عدم قبض المبیع،</w:t>
      </w:r>
      <w:bookmarkEnd w:id="398"/>
    </w:p>
    <w:p>
      <w:pPr>
        <w:pStyle w:val="BookText"/>
        <w:rPr/>
      </w:pPr>
      <w:r>
        <w:rPr>
          <w:rFonts w:ascii="IRNazanin" w:hAnsi="IRNazanin" w:eastAsia="IRNazanin"/>
          <w:color w:val="111111"/>
          <w:sz w:val="28"/>
          <w:sz w:val="28"/>
          <w:szCs w:val="28"/>
          <w:rtl w:val="true"/>
          <w:lang w:bidi="fa-IR"/>
        </w:rPr>
        <w:t>و لا خلاف فی اشتراطه ظاهراً،و یدلّ علیه من الروایات المتقدّمة قوله علیه السلام فی صحیحة علیّ بن یقطین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قبض بیعه،و إلّا فلا بیع بینهما</w:t>
      </w:r>
      <w:r>
        <w:rPr>
          <w:rFonts w:eastAsia="IRNazanin" w:cs="IRNazanin"/>
          <w:color w:val="111111"/>
          <w:sz w:val="28"/>
          <w:szCs w:val="28"/>
          <w:rtl w:val="true"/>
          <w:lang w:bidi="fa-IR"/>
        </w:rPr>
        <w:t xml:space="preserve">» </w:t>
      </w:r>
      <w:r>
        <w:rPr>
          <w:rStyle w:val="FootnoteAnchor"/>
          <w:rtl w:val="true"/>
        </w:rPr>
        <w:footnoteReference w:id="790"/>
      </w:r>
      <w:r>
        <w:rPr>
          <w:rFonts w:ascii="IRNazanin" w:hAnsi="IRNazanin" w:eastAsia="IRNazanin"/>
          <w:color w:val="111111"/>
          <w:sz w:val="28"/>
          <w:sz w:val="28"/>
          <w:szCs w:val="28"/>
          <w:rtl w:val="true"/>
          <w:lang w:bidi="fa-IR"/>
        </w:rPr>
        <w:t>بناءً علی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بمعنی المبیع</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فی 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إنکار دلالة الأخبار علی هذا الشرط </w:t>
      </w:r>
      <w:r>
        <w:rPr>
          <w:rStyle w:val="FootnoteAnchor"/>
          <w:rtl w:val="true"/>
        </w:rPr>
        <w:footnoteReference w:id="791"/>
      </w:r>
      <w:r>
        <w:rPr>
          <w:rFonts w:ascii="IRNazanin" w:hAnsi="IRNazanin" w:eastAsia="IRNazanin"/>
          <w:color w:val="111111"/>
          <w:sz w:val="28"/>
          <w:sz w:val="28"/>
          <w:szCs w:val="28"/>
          <w:rtl w:val="true"/>
          <w:lang w:bidi="fa-IR"/>
        </w:rPr>
        <w:t xml:space="preserve">،و تبعه بعض المعاصرین </w:t>
      </w:r>
      <w:r>
        <w:rPr>
          <w:rStyle w:val="FootnoteAnchor"/>
          <w:rtl w:val="true"/>
        </w:rPr>
        <w:footnoteReference w:id="7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أعلم له وجهاً غیر سقوط هذه الفقرة عن</w:t>
      </w:r>
    </w:p>
    <w:p>
      <w:pPr>
        <w:pStyle w:val="BookText"/>
        <w:rPr/>
      </w:pPr>
      <w:r>
        <w:rPr>
          <w:rFonts w:ascii="IRNazanin" w:hAnsi="IRNazanin" w:eastAsia="IRNazanin"/>
          <w:color w:val="111111"/>
          <w:sz w:val="28"/>
          <w:sz w:val="28"/>
          <w:szCs w:val="28"/>
          <w:rtl w:val="true"/>
          <w:lang w:bidi="fa-IR"/>
        </w:rPr>
        <w:t>النسخة المأخوذ منها الروایة،أو احتمال 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بالتخفیف،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بالتشدید،یعنی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بائعُه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ضعف هذا الاحتمال؛لأنّ 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بالتشدید مفرداً نادر،بل لم یوجد،مع إمکان إجراء أصالة عدم التشدید،نظیر ما ذکره فی الروضة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أصالة عدم المدّ فی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الوارد فی قواطع الصلاة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إنّه لو کان عدم قبض المشتری لعدوان البائع بأن بذله </w:t>
      </w:r>
      <w:r>
        <w:rPr>
          <w:rStyle w:val="FootnoteAnchor"/>
          <w:rtl w:val="true"/>
        </w:rPr>
        <w:footnoteReference w:id="794"/>
      </w:r>
      <w:r>
        <w:rPr>
          <w:rFonts w:ascii="IRNazanin" w:hAnsi="IRNazanin" w:eastAsia="IRNazanin"/>
          <w:color w:val="111111"/>
          <w:sz w:val="28"/>
          <w:sz w:val="28"/>
          <w:szCs w:val="28"/>
          <w:rtl w:val="true"/>
          <w:lang w:bidi="fa-IR"/>
        </w:rPr>
        <w:t>الثمن فامتنع من أخذه و إقباض المبیع فالظاهر عدم الخیار؛لأنّ ظاهر النصّ و الفتوی کون هذا الخیار إرفاقاً للبائع و دفعاً لتضرّره،فلا یجری فیما إذا کان الامتناع من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قبضه المشتری علی وجهٍ یکون للبائع استرداده کما إذا کان بدون إذنه مع عدم إقباض الثمن ففی کونه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 أو مع استرداده،أو کونه قبضاً،وجوهٌ،رابعها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ابتناء المسألة علی ما سیجیء فی أحکام القبض،من ارتفاع الضمان عن البائع بهذا القبض و عدمه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لعلّه الأقوی؛إذ مع ارتفاع الضمان بهذا القبض لا ضرر علی البائع إلّا من جهة وجوب حفظ المبیع لمالکه و تضرّره بعدم وصول ثمنه إلیه،و کلاهما ممکن الاندفاع بأخذ المبیع مقاصّةً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مع عدم ارتفاع الضمان بذلک فیجری دلیل الضرر بالتقریب المتقدّم و إن ادّعی انصراف</w:t>
      </w:r>
      <w:bookmarkStart w:id="399" w:name="pg19864_220848"/>
    </w:p>
    <w:p>
      <w:pPr>
        <w:pStyle w:val="BookText"/>
        <w:rPr/>
      </w:pPr>
      <w:bookmarkEnd w:id="399"/>
      <w:r>
        <w:rPr>
          <w:rFonts w:ascii="IRNazanin" w:hAnsi="IRNazanin" w:eastAsia="IRNazanin"/>
          <w:color w:val="111111"/>
          <w:sz w:val="28"/>
          <w:sz w:val="28"/>
          <w:szCs w:val="28"/>
          <w:rtl w:val="true"/>
          <w:lang w:bidi="fa-IR"/>
        </w:rPr>
        <w:t xml:space="preserve">الأخبار إلی غیر هذه الصورة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مکّن المشتری من القبض فلم یقبض،فالأقوی أیضاً ابتناء المسألة علی ارتفاع الضمان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یستظهر من قول السائل فی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یدعه عنده</w:t>
      </w:r>
      <w:r>
        <w:rPr>
          <w:rFonts w:eastAsia="IRNazanin" w:cs="IRNazanin"/>
          <w:color w:val="111111"/>
          <w:sz w:val="28"/>
          <w:szCs w:val="28"/>
          <w:rtl w:val="true"/>
          <w:lang w:bidi="fa-IR"/>
        </w:rPr>
        <w:t xml:space="preserve">» </w:t>
      </w:r>
      <w:r>
        <w:rPr>
          <w:rStyle w:val="FootnoteAnchor"/>
          <w:rtl w:val="true"/>
        </w:rPr>
        <w:footnoteReference w:id="797"/>
      </w:r>
      <w:r>
        <w:rPr>
          <w:rFonts w:ascii="IRNazanin" w:hAnsi="IRNazanin" w:eastAsia="IRNazanin"/>
          <w:color w:val="111111"/>
          <w:sz w:val="28"/>
          <w:sz w:val="28"/>
          <w:szCs w:val="28"/>
          <w:rtl w:val="true"/>
          <w:lang w:bidi="fa-IR"/>
        </w:rPr>
        <w:t>عدم کفایة التمکین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عدم الخیار؛لعدم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کون قبض بعض المبیع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لظاهر الأخبار،أو کالقبض،لدعوی انصرافها إلی صورة عدم قبض شیءٍ منه،أو تبعیض الخیار بالنسبة إلی المقبوض و غیره استناداً مع تسلیم الانصراف المذکور إلی تحقّق الضرر بالنسبة إلی غیر المقبوض لا غیر،وجوهٌ</w:t>
      </w:r>
      <w:r>
        <w:rPr>
          <w:rFonts w:eastAsia="IRNazanin" w:cs="IRNazanin"/>
          <w:color w:val="111111"/>
          <w:sz w:val="28"/>
          <w:szCs w:val="28"/>
          <w:rtl w:val="true"/>
          <w:lang w:bidi="fa-IR"/>
        </w:rPr>
        <w:t>.</w:t>
      </w:r>
    </w:p>
    <w:p>
      <w:pPr>
        <w:pStyle w:val="Heading6"/>
        <w:numPr>
          <w:ilvl w:val="5"/>
          <w:numId w:val="1"/>
        </w:numPr>
        <w:rPr/>
      </w:pPr>
      <w:bookmarkStart w:id="400" w:name="__RefHeading___Toc5148814_2314609296"/>
      <w:bookmarkStart w:id="401" w:name="_Toc152"/>
      <w:bookmarkEnd w:id="400"/>
      <w:r>
        <w:rPr>
          <w:rtl w:val="true"/>
        </w:rPr>
        <w:t>الشرط الثانی</w:t>
      </w:r>
      <w:r>
        <w:rPr>
          <w:rtl w:val="true"/>
        </w:rPr>
        <w:t xml:space="preserve">: </w:t>
      </w:r>
      <w:r>
        <w:rPr>
          <w:rtl w:val="true"/>
        </w:rPr>
        <w:t>عدم قبض مجموع الثمن،</w:t>
      </w:r>
      <w:bookmarkEnd w:id="401"/>
    </w:p>
    <w:p>
      <w:pPr>
        <w:pStyle w:val="BookText"/>
        <w:rPr/>
      </w:pPr>
      <w:r>
        <w:rPr>
          <w:rFonts w:ascii="Amiri" w:hAnsi="Amiri" w:eastAsia="Amiri" w:cs="Amiri"/>
          <w:color w:val="111111"/>
          <w:sz w:val="28"/>
          <w:sz w:val="28"/>
          <w:szCs w:val="28"/>
          <w:rtl w:val="true"/>
          <w:lang w:bidi="ar-SA"/>
        </w:rPr>
        <w:t>و اشتراطه مجمَعٌ علیه نصّاً و فتوی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قبض البعض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؛لظاهر الأخبار المعتضد بفهم أبی بکر ابن عیّاش فی روایة ابن الحجّاج المتقدّمة </w:t>
      </w:r>
      <w:r>
        <w:rPr>
          <w:rStyle w:val="FootnoteAnchor"/>
          <w:rtl w:val="true"/>
        </w:rPr>
        <w:footnoteReference w:id="798"/>
      </w:r>
      <w:r>
        <w:rPr>
          <w:rFonts w:ascii="IRNazanin" w:hAnsi="IRNazanin" w:eastAsia="IRNazanin"/>
          <w:color w:val="111111"/>
          <w:sz w:val="28"/>
          <w:sz w:val="28"/>
          <w:szCs w:val="28"/>
          <w:rtl w:val="true"/>
          <w:lang w:bidi="fa-IR"/>
        </w:rPr>
        <w:t xml:space="preserve">،و ربما یستدلّ بها </w:t>
      </w:r>
      <w:r>
        <w:rPr>
          <w:rStyle w:val="FootnoteAnchor"/>
          <w:rtl w:val="true"/>
        </w:rPr>
        <w:footnoteReference w:id="799"/>
      </w:r>
      <w:r>
        <w:rPr>
          <w:rFonts w:ascii="IRNazanin" w:hAnsi="IRNazanin" w:eastAsia="IRNazanin"/>
          <w:color w:val="111111"/>
          <w:sz w:val="28"/>
          <w:sz w:val="28"/>
          <w:szCs w:val="28"/>
          <w:rtl w:val="true"/>
          <w:lang w:bidi="fa-IR"/>
        </w:rPr>
        <w:t xml:space="preserve">تبعاً للتذکرة </w:t>
      </w:r>
      <w:r>
        <w:rPr>
          <w:rStyle w:val="FootnoteAnchor"/>
          <w:rtl w:val="true"/>
        </w:rPr>
        <w:footnoteReference w:id="8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فیه نظرٌ</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القبض بدون الإذن کعدمه؛لظهور الأخبار فی اشتراط وقوعه</w:t>
      </w:r>
      <w:bookmarkStart w:id="402" w:name="pg19864_220849"/>
    </w:p>
    <w:p>
      <w:pPr>
        <w:pStyle w:val="BookText"/>
        <w:rPr/>
      </w:pPr>
      <w:bookmarkEnd w:id="402"/>
      <w:r>
        <w:rPr>
          <w:rFonts w:ascii="IRNazanin" w:hAnsi="IRNazanin" w:eastAsia="IRNazanin"/>
          <w:color w:val="111111"/>
          <w:sz w:val="28"/>
          <w:sz w:val="28"/>
          <w:szCs w:val="28"/>
          <w:rtl w:val="true"/>
          <w:lang w:bidi="fa-IR"/>
        </w:rPr>
        <w:t>بالإذن فی بقاء البیع علی اللزوم،مع أنّ ضرر ضمان المبیع مع عدم وصول الثمن إلیه علی وجهٍ یجوز له التصرّف فیه 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کان القبض بدون الإذن حقّا کما إذا عرض المبیع علی المشتری فلم یقبضه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عدم الخیار؛لعدم دخوله فی منصرف الأخبار و عدم تضرّر البائع بالتأخیر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 بکفایة القبض هنا مطلقاً مع الاعتراف باعتبار الإذن فی الشرط السابق أعنی قبض المبیع نظراً إلی أنّهم شرطوا فی عناوین المسألة فی طرف المبیع عدم إقباض المبیع إیّاه،و فی طرف الثمن عدم قبضه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نظر؛لأنّ هذا النحو من التعبیر من مناسبات عنوان المسألة باسم البائع،فیُعبّر فی طرف الثمن و المثمن بما هو فعلٌ له،و هو القبض فی الأوّل و الإقباض فی الثانی،فتأمّل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أجاز المشتری قبض الثمن بناءً علی اعتبار الإذن کانت فی حکم الإذن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هی کاشفة أو مثبتة؟أقواهما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یترتّب علیه ما لو قبض قبل الثلاثة فأجاز المشتری بعدها</w:t>
      </w:r>
      <w:r>
        <w:rPr>
          <w:rFonts w:eastAsia="IRNazanin" w:cs="IRNazanin"/>
          <w:color w:val="111111"/>
          <w:sz w:val="28"/>
          <w:szCs w:val="28"/>
          <w:rtl w:val="true"/>
          <w:lang w:bidi="fa-IR"/>
        </w:rPr>
        <w:t>.</w:t>
      </w:r>
    </w:p>
    <w:p>
      <w:pPr>
        <w:pStyle w:val="Heading6"/>
        <w:numPr>
          <w:ilvl w:val="5"/>
          <w:numId w:val="1"/>
        </w:numPr>
        <w:rPr/>
      </w:pPr>
      <w:bookmarkStart w:id="403" w:name="__RefHeading___Toc5148816_2314609296"/>
      <w:bookmarkStart w:id="404" w:name="_Toc153"/>
      <w:bookmarkEnd w:id="403"/>
      <w:r>
        <w:rPr>
          <w:rtl w:val="true"/>
        </w:rPr>
        <w:t>الشرط الثالث</w:t>
      </w:r>
      <w:r>
        <w:rPr>
          <w:rtl w:val="true"/>
        </w:rPr>
        <w:t xml:space="preserve">: </w:t>
      </w:r>
      <w:r>
        <w:rPr>
          <w:rtl w:val="true"/>
        </w:rPr>
        <w:t>عدم اشتراط تأخیر تسلیم أحد العوضین؛</w:t>
      </w:r>
      <w:bookmarkEnd w:id="404"/>
    </w:p>
    <w:p>
      <w:pPr>
        <w:pStyle w:val="BookText"/>
        <w:rPr/>
      </w:pPr>
      <w:r>
        <w:rPr>
          <w:rFonts w:ascii="IRNazanin" w:hAnsi="IRNazanin" w:eastAsia="IRNazanin"/>
          <w:color w:val="111111"/>
          <w:sz w:val="28"/>
          <w:sz w:val="28"/>
          <w:szCs w:val="28"/>
          <w:rtl w:val="true"/>
          <w:lang w:bidi="fa-IR"/>
        </w:rPr>
        <w:t>لأنّ المتبادر من النصّ غیر ذلک،فیقتصر فی مخالفة الأصل علی منصرف النصّ،مع أنّه فی الجملة إجماعیٌّ</w:t>
      </w:r>
      <w:r>
        <w:rPr>
          <w:rFonts w:eastAsia="IRNazanin" w:cs="IRNazanin"/>
          <w:color w:val="111111"/>
          <w:sz w:val="28"/>
          <w:szCs w:val="28"/>
          <w:rtl w:val="true"/>
          <w:lang w:bidi="fa-IR"/>
        </w:rPr>
        <w:t>.</w:t>
      </w:r>
    </w:p>
    <w:p>
      <w:pPr>
        <w:pStyle w:val="Heading6"/>
        <w:numPr>
          <w:ilvl w:val="5"/>
          <w:numId w:val="1"/>
        </w:numPr>
        <w:rPr/>
      </w:pPr>
      <w:bookmarkStart w:id="405" w:name="__RefHeading___Toc5148818_2314609296"/>
      <w:bookmarkStart w:id="406" w:name="_Toc154"/>
      <w:bookmarkEnd w:id="405"/>
      <w:r>
        <w:rPr>
          <w:rtl w:val="true"/>
        </w:rPr>
        <w:t>الشرط الرابع</w:t>
      </w:r>
      <w:r>
        <w:rPr>
          <w:rtl w:val="true"/>
        </w:rPr>
        <w:t xml:space="preserve">: </w:t>
      </w:r>
      <w:r>
        <w:rPr>
          <w:rtl w:val="true"/>
        </w:rPr>
        <w:t>أن یکون المبیع عیناً أو شبهه،</w:t>
      </w:r>
      <w:bookmarkEnd w:id="406"/>
    </w:p>
    <w:p>
      <w:pPr>
        <w:pStyle w:val="BookText"/>
        <w:rPr/>
      </w:pPr>
      <w:r>
        <w:rPr>
          <w:rFonts w:ascii="Amiri" w:hAnsi="Amiri" w:eastAsia="Amiri" w:cs="Amiri"/>
          <w:color w:val="111111"/>
          <w:sz w:val="28"/>
          <w:sz w:val="28"/>
          <w:szCs w:val="28"/>
          <w:rtl w:val="true"/>
          <w:lang w:bidi="ar-SA"/>
        </w:rPr>
        <w:t>کصاعٍ من صبرةٍ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 علیه الشیخ فی عبارته المتقدّمة </w:t>
      </w:r>
      <w:r>
        <w:rPr>
          <w:rStyle w:val="FootnoteAnchor"/>
          <w:rtl w:val="true"/>
        </w:rPr>
        <w:footnoteReference w:id="801"/>
      </w:r>
      <w:r>
        <w:rPr>
          <w:rFonts w:ascii="IRNazanin" w:hAnsi="IRNazanin" w:eastAsia="IRNazanin"/>
          <w:color w:val="111111"/>
          <w:sz w:val="28"/>
          <w:sz w:val="28"/>
          <w:szCs w:val="28"/>
          <w:rtl w:val="true"/>
          <w:lang w:bidi="fa-IR"/>
        </w:rPr>
        <w:t>فی نقل مضمون روایات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ظاهره کونه مفتیً به عندهم،و صرّح به فی التحریر </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 xml:space="preserve">و المهذّب البارع </w:t>
      </w:r>
      <w:r>
        <w:rPr>
          <w:rStyle w:val="FootnoteAnchor"/>
          <w:rtl w:val="true"/>
        </w:rPr>
        <w:footnoteReference w:id="803"/>
      </w:r>
      <w:r>
        <w:rPr>
          <w:rFonts w:ascii="IRNazanin" w:hAnsi="IRNazanin" w:eastAsia="IRNazanin"/>
          <w:color w:val="111111"/>
          <w:sz w:val="28"/>
          <w:sz w:val="28"/>
          <w:szCs w:val="28"/>
          <w:rtl w:val="true"/>
          <w:lang w:bidi="fa-IR"/>
        </w:rPr>
        <w:t xml:space="preserve">و غایة المرام </w:t>
      </w:r>
      <w:r>
        <w:rPr>
          <w:rStyle w:val="FootnoteAnchor"/>
          <w:rtl w:val="true"/>
        </w:rPr>
        <w:footnoteReference w:id="804"/>
      </w:r>
      <w:r>
        <w:rPr>
          <w:rFonts w:ascii="IRNazanin" w:hAnsi="IRNazanin" w:eastAsia="IRNazanin"/>
          <w:color w:val="111111"/>
          <w:sz w:val="28"/>
          <w:sz w:val="28"/>
          <w:szCs w:val="28"/>
          <w:rtl w:val="true"/>
          <w:lang w:bidi="fa-IR"/>
        </w:rPr>
        <w:t>،و هو ظاهر جامع المقاصد،حیث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فرق فی الثمن بین کونه عیناً أو فی الذمّة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الغنیة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أصحابنا أنّ المشتری إذا لم یقبض المبیع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أجیئک بالثمن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مضی،فعلی البائع الصبر علیه ثلاثاً،ثمّ هو بالخیار بین فسخ البیع و مطالبته بالثمن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کان المبیع ممّا یصحّ بقاؤه،فإن لم یکن کذلک کالخضروات فعلیه الصبر یوماً واحداً ثمّ هو بالخیار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أنّ تلف المبیع قبل الثلاثة من مال المشتری و بعده من مال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یدلّ علی ذلک کلّه إجماع الطائفة </w:t>
      </w:r>
      <w:r>
        <w:rPr>
          <w:rStyle w:val="FootnoteAnchor"/>
          <w:rtl w:val="true"/>
        </w:rPr>
        <w:footnoteReference w:id="80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معقد إجماع الانتصار و الخلاف و ما وجدته فی نسخة </w:t>
      </w:r>
      <w:r>
        <w:rPr>
          <w:rStyle w:val="FootnoteAnchor"/>
          <w:rtl w:val="true"/>
        </w:rPr>
        <w:footnoteReference w:id="807"/>
      </w:r>
      <w:r>
        <w:rPr>
          <w:rFonts w:ascii="Amiri" w:hAnsi="Amiri" w:eastAsia="Amiri" w:cs="Amiri"/>
          <w:color w:val="111111"/>
          <w:sz w:val="28"/>
          <w:sz w:val="28"/>
          <w:szCs w:val="28"/>
          <w:rtl w:val="true"/>
          <w:lang w:bidi="ar-SA"/>
        </w:rPr>
        <w:t>جواهر القاضی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باع شیئاً معیّناً بثمنٍ معیّن</w:t>
      </w:r>
      <w:r>
        <w:rPr>
          <w:rFonts w:eastAsia="Amiri" w:cs="Amiri" w:ascii="Amiri" w:hAnsi="Amiri"/>
          <w:color w:val="111111"/>
          <w:sz w:val="28"/>
          <w:szCs w:val="28"/>
          <w:rtl w:val="true"/>
          <w:lang w:bidi="ar-SA"/>
        </w:rPr>
        <w:t xml:space="preserve">» </w:t>
      </w:r>
      <w:r>
        <w:rPr>
          <w:rStyle w:val="FootnoteAnchor"/>
          <w:rtl w:val="true"/>
        </w:rPr>
        <w:footnoteReference w:id="808"/>
      </w:r>
      <w:r>
        <w:rPr>
          <w:rFonts w:ascii="IRNazanin" w:hAnsi="IRNazanin" w:eastAsia="IRNazanin"/>
          <w:color w:val="111111"/>
          <w:sz w:val="28"/>
          <w:sz w:val="28"/>
          <w:szCs w:val="28"/>
          <w:rtl w:val="true"/>
          <w:lang w:bidi="fa-IR"/>
        </w:rPr>
        <w:t>لکن فی بعض نسخ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باع شیئاً غیر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أخذ عنه فی مفتاح الکرامة و غیره </w:t>
      </w:r>
      <w:r>
        <w:rPr>
          <w:rStyle w:val="FootnoteAnchor"/>
          <w:rtl w:val="true"/>
        </w:rPr>
        <w:footnoteReference w:id="809"/>
      </w:r>
      <w:r>
        <w:rPr>
          <w:rFonts w:ascii="IRNazanin" w:hAnsi="IRNazanin" w:eastAsia="IRNazanin"/>
          <w:color w:val="111111"/>
          <w:sz w:val="28"/>
          <w:sz w:val="28"/>
          <w:szCs w:val="28"/>
          <w:rtl w:val="true"/>
          <w:lang w:bidi="fa-IR"/>
        </w:rPr>
        <w:t>و نسب إلی القاضی دعوی الإجماع علی غیر المعیّن،و أظنّ</w:t>
      </w:r>
    </w:p>
    <w:p>
      <w:pPr>
        <w:pStyle w:val="BookText"/>
        <w:rPr/>
      </w:pPr>
      <w:r>
        <w:rPr>
          <w:rFonts w:ascii="IRNazanin" w:hAnsi="IRNazanin" w:eastAsia="IRNazanin"/>
          <w:color w:val="111111"/>
          <w:sz w:val="28"/>
          <w:sz w:val="28"/>
          <w:szCs w:val="28"/>
          <w:rtl w:val="true"/>
          <w:lang w:bidi="fa-IR"/>
        </w:rPr>
        <w:t>الغلط فی تلک النسخة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الثمن المعیّن</w:t>
      </w:r>
      <w:r>
        <w:rPr>
          <w:rFonts w:eastAsia="IRNazanin" w:cs="IRNazanin"/>
          <w:color w:val="111111"/>
          <w:sz w:val="28"/>
          <w:szCs w:val="28"/>
          <w:rtl w:val="true"/>
          <w:lang w:bidi="fa-IR"/>
        </w:rPr>
        <w:t xml:space="preserve">» </w:t>
      </w:r>
      <w:r>
        <w:rPr>
          <w:rStyle w:val="FootnoteAnchor"/>
          <w:rtl w:val="true"/>
        </w:rPr>
        <w:footnoteReference w:id="810"/>
      </w:r>
      <w:r>
        <w:rPr>
          <w:rFonts w:ascii="IRNazanin" w:hAnsi="IRNazanin" w:eastAsia="IRNazanin"/>
          <w:color w:val="111111"/>
          <w:sz w:val="28"/>
          <w:sz w:val="28"/>
          <w:szCs w:val="28"/>
          <w:rtl w:val="true"/>
          <w:lang w:bidi="fa-IR"/>
        </w:rPr>
        <w:t xml:space="preserve">هو المعلوم فی مقابل المجهول؛ لأنّ تشخّص الثمن غیر معتبر إجماعاً؛و لذا وصف فی التحریر </w:t>
      </w:r>
      <w:r>
        <w:rPr>
          <w:rStyle w:val="FootnoteAnchor"/>
          <w:rtl w:val="true"/>
        </w:rPr>
        <w:footnoteReference w:id="811"/>
      </w:r>
      <w:r>
        <w:rPr>
          <w:rFonts w:ascii="IRNazanin" w:hAnsi="IRNazanin" w:eastAsia="IRNazanin"/>
          <w:color w:val="111111"/>
          <w:sz w:val="28"/>
          <w:sz w:val="28"/>
          <w:szCs w:val="28"/>
          <w:rtl w:val="true"/>
          <w:lang w:bidi="fa-IR"/>
        </w:rPr>
        <w:t xml:space="preserve">تبعاً للمبسوط </w:t>
      </w:r>
      <w:r>
        <w:rPr>
          <w:rStyle w:val="FootnoteAnchor"/>
          <w:rtl w:val="true"/>
        </w:rPr>
        <w:footnoteReference w:id="812"/>
      </w:r>
      <w:r>
        <w:rPr>
          <w:rFonts w:ascii="IRNazanin" w:hAnsi="IRNazanin" w:eastAsia="IRNazanin"/>
          <w:color w:val="111111"/>
          <w:sz w:val="28"/>
          <w:sz w:val="28"/>
          <w:szCs w:val="28"/>
          <w:rtl w:val="true"/>
          <w:lang w:bidi="fa-IR"/>
        </w:rPr>
        <w:t>المبیع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الثمن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البعید اختلاف عنوان ما نسبه فی الخلاف </w:t>
      </w:r>
      <w:r>
        <w:rPr>
          <w:rStyle w:val="FootnoteAnchor"/>
          <w:rtl w:val="true"/>
        </w:rPr>
        <w:footnoteReference w:id="813"/>
      </w:r>
      <w:r>
        <w:rPr>
          <w:rFonts w:ascii="IRNazanin" w:hAnsi="IRNazanin" w:eastAsia="IRNazanin"/>
          <w:color w:val="111111"/>
          <w:sz w:val="28"/>
          <w:sz w:val="28"/>
          <w:szCs w:val="28"/>
          <w:rtl w:val="true"/>
          <w:lang w:bidi="fa-IR"/>
        </w:rPr>
        <w:t>إلی إجماع الفرقة و أخبارهم مع ما نسبه فی المبسوط إلی روایات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معاقد الإجماعات التشخّص العینی،لا مجرّد المعلوم فی مقابل المجهول و لو کان کلّیاً،خرجنا عن هذا الظاهر بالنسبة إلی الثمن؛للإجماع علی عدم اعتبار التعیین فیه،مع أنّه فرقٌ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الثمن المعیّن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المعیّن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الثانی ظاهرٌ فی الشخصی بخلاف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معقد إجماع التذکرة المتقدّم فی عنوان المسألة </w:t>
      </w:r>
      <w:r>
        <w:rPr>
          <w:rStyle w:val="FootnoteAnchor"/>
          <w:rtl w:val="true"/>
        </w:rPr>
        <w:footnoteReference w:id="814"/>
      </w:r>
      <w:r>
        <w:rPr>
          <w:rFonts w:ascii="IRNazanin" w:hAnsi="IRNazanin" w:eastAsia="IRNazanin"/>
          <w:color w:val="111111"/>
          <w:sz w:val="28"/>
          <w:sz w:val="28"/>
          <w:szCs w:val="28"/>
          <w:rtl w:val="true"/>
          <w:lang w:bidi="fa-IR"/>
        </w:rPr>
        <w:t>فهو مختصٌّ بالشخصی؛لأنّه ذکر فی معقد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المشتری لو جاء بالثمن فی الثلاثة فهو أحقّ بالعین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فی الشخصی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حال معاقد الإجماعات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حدیث نفی الضرر،فهو مختصٌّ بالشخصی؛لأنّه المضمون</w:t>
      </w:r>
    </w:p>
    <w:p>
      <w:pPr>
        <w:pStyle w:val="BookText"/>
        <w:rPr/>
      </w:pPr>
      <w:r>
        <w:rPr>
          <w:rFonts w:ascii="IRNazanin" w:hAnsi="IRNazanin" w:eastAsia="IRNazanin"/>
          <w:color w:val="111111"/>
          <w:sz w:val="28"/>
          <w:sz w:val="28"/>
          <w:szCs w:val="28"/>
          <w:rtl w:val="true"/>
          <w:lang w:bidi="fa-IR"/>
        </w:rPr>
        <w:t>علی البائع قبل القبض،فیتضرّر بضمانه و عدم جواز التصرّف فیه و عدم وصول بدله إلیه،بخلاف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النصوص،فروایتا ابن یقطین </w:t>
      </w:r>
      <w:r>
        <w:rPr>
          <w:rStyle w:val="FootnoteAnchor"/>
          <w:rtl w:val="true"/>
        </w:rPr>
        <w:footnoteReference w:id="815"/>
      </w:r>
      <w:r>
        <w:rPr>
          <w:rFonts w:ascii="Amiri" w:hAnsi="Amiri" w:eastAsia="Amiri" w:cs="Amiri"/>
          <w:color w:val="111111"/>
          <w:sz w:val="28"/>
          <w:sz w:val="28"/>
          <w:szCs w:val="28"/>
          <w:rtl w:val="true"/>
          <w:lang w:bidi="ar-SA"/>
        </w:rPr>
        <w:t xml:space="preserve">و ابن عمّار </w:t>
      </w:r>
      <w:r>
        <w:rPr>
          <w:rStyle w:val="FootnoteAnchor"/>
          <w:rtl w:val="true"/>
        </w:rPr>
        <w:footnoteReference w:id="816"/>
      </w:r>
      <w:r>
        <w:rPr>
          <w:rFonts w:ascii="IRNazanin" w:hAnsi="IRNazanin" w:eastAsia="IRNazanin"/>
          <w:color w:val="111111"/>
          <w:sz w:val="28"/>
          <w:sz w:val="28"/>
          <w:szCs w:val="28"/>
          <w:rtl w:val="true"/>
          <w:lang w:bidi="fa-IR"/>
        </w:rPr>
        <w:t>مشتملتان علی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المبیع الذی یطلق قبل البیع علی العین المعرضة للبیع،و لا مناسبة فی إطلاقه علی الکلّی،کما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روایة زرارة </w:t>
      </w:r>
      <w:r>
        <w:rPr>
          <w:rStyle w:val="FootnoteAnchor"/>
          <w:rtl w:val="true"/>
        </w:rPr>
        <w:footnoteReference w:id="817"/>
      </w:r>
      <w:r>
        <w:rPr>
          <w:rFonts w:ascii="IRNazanin" w:hAnsi="IRNazanin" w:eastAsia="IRNazanin"/>
          <w:color w:val="111111"/>
          <w:sz w:val="28"/>
          <w:sz w:val="28"/>
          <w:szCs w:val="28"/>
          <w:rtl w:val="true"/>
          <w:lang w:bidi="fa-IR"/>
        </w:rPr>
        <w:t>ظاهرةٌ أیضاً فی الشخصی من جهة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یدعه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یبقَ إلّا قوله علیه السلام فی روایة أبی بکر بن عیّاش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اشتری شیئاً</w:t>
      </w:r>
      <w:r>
        <w:rPr>
          <w:rFonts w:eastAsia="IRNazanin" w:cs="IRNazanin"/>
          <w:color w:val="111111"/>
          <w:sz w:val="28"/>
          <w:szCs w:val="28"/>
          <w:rtl w:val="true"/>
          <w:lang w:bidi="fa-IR"/>
        </w:rPr>
        <w:t xml:space="preserve">» </w:t>
      </w:r>
      <w:r>
        <w:rPr>
          <w:rStyle w:val="FootnoteAnchor"/>
          <w:rtl w:val="true"/>
        </w:rPr>
        <w:footnoteReference w:id="818"/>
      </w:r>
      <w:r>
        <w:rPr>
          <w:rFonts w:ascii="IRNazanin" w:hAnsi="IRNazanin" w:eastAsia="IRNazanin"/>
          <w:color w:val="111111"/>
          <w:sz w:val="28"/>
          <w:sz w:val="28"/>
          <w:szCs w:val="28"/>
          <w:rtl w:val="true"/>
          <w:lang w:bidi="fa-IR"/>
        </w:rPr>
        <w:t>فإنّ إطلاقه و إن شمل المعیّن و الکلیّ،إلّا أنّ الظاهر من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الموجود الخارجی،کما فی قول القائل</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 شیئاً</w:t>
      </w:r>
      <w:r>
        <w:rPr>
          <w:rFonts w:eastAsia="IRNazanin" w:cs="IRNazanin"/>
          <w:color w:val="111111"/>
          <w:sz w:val="28"/>
          <w:szCs w:val="28"/>
          <w:rtl w:val="true"/>
          <w:lang w:bidi="fa-IR"/>
        </w:rPr>
        <w:t xml:space="preserve">» </w:t>
      </w:r>
      <w:r>
        <w:rPr>
          <w:rStyle w:val="FootnoteAnchor"/>
          <w:rtl w:val="true"/>
        </w:rPr>
        <w:footnoteReference w:id="8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الکلّی المبیع لیس موجوداً خارجیّاً؛إذ لیس المراد من الکلّی هنا الکلّی الطبیعی الموجود فی الخارج؛لأنّ المبیع قد یکون معدوماً عند العقد،و الموجود منه قد لا یملکه البائع المملِّک له </w:t>
      </w:r>
      <w:r>
        <w:rPr>
          <w:rStyle w:val="FootnoteAnchor"/>
          <w:rtl w:val="true"/>
        </w:rPr>
        <w:footnoteReference w:id="820"/>
      </w:r>
      <w:r>
        <w:rPr>
          <w:rFonts w:ascii="Amiri" w:hAnsi="Amiri" w:eastAsia="Amiri" w:cs="Amiri"/>
          <w:color w:val="111111"/>
          <w:sz w:val="28"/>
          <w:sz w:val="28"/>
          <w:szCs w:val="28"/>
          <w:rtl w:val="true"/>
          <w:lang w:bidi="ar-SA"/>
        </w:rPr>
        <w:t xml:space="preserve">،بل هو أمرٌ اعتباریٌّ یعامِل </w:t>
      </w:r>
      <w:r>
        <w:rPr>
          <w:rStyle w:val="FootnoteAnchor"/>
          <w:rtl w:val="true"/>
        </w:rPr>
        <w:footnoteReference w:id="821"/>
      </w:r>
      <w:r>
        <w:rPr>
          <w:rFonts w:ascii="IRNazanin" w:hAnsi="IRNazanin" w:eastAsia="IRNazanin"/>
          <w:color w:val="111111"/>
          <w:sz w:val="28"/>
          <w:sz w:val="28"/>
          <w:szCs w:val="28"/>
          <w:rtl w:val="true"/>
          <w:lang w:bidi="fa-IR"/>
        </w:rPr>
        <w:t>العرف و الشرع معه معاملةَ الأملاک،و هذه المعاملة و إن اقتضت صحّة إطلاق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أو علی ما یعمّه، إلّا أنّه لیس بحیث لو أُرید من اللفظ خصوص ما عداه من الموجود</w:t>
      </w:r>
    </w:p>
    <w:p>
      <w:pPr>
        <w:pStyle w:val="BookText"/>
        <w:rPr/>
      </w:pPr>
      <w:r>
        <w:rPr>
          <w:rFonts w:ascii="IRNazanin" w:hAnsi="IRNazanin" w:eastAsia="IRNazanin"/>
          <w:color w:val="111111"/>
          <w:sz w:val="28"/>
          <w:sz w:val="28"/>
          <w:szCs w:val="28"/>
          <w:rtl w:val="true"/>
          <w:lang w:bidi="fa-IR"/>
        </w:rPr>
        <w:t>الخارجی الشخصی احتیج إلی قرینةٍ علی التقیید،فهو نظیر المجاز المشهور و المطلق المنصرف إلی بعض أفراده انصرافاً لا یحوج إرادة المطلق إلی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یمکن هنا دفع احتمال إرادة خصوص الموجود الخارجی بأصالة عدم القرینة،فافهم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ظهر ممّا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لیس فی أدلّة المسألة من النصوص و الإجماعات المنقولة و دلیل الضرر ما یجری فی المبیع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یُنسب التعمیم إلی ظاهر الأکثر </w:t>
      </w:r>
      <w:r>
        <w:rPr>
          <w:rStyle w:val="FootnoteAnchor"/>
          <w:rtl w:val="true"/>
        </w:rPr>
        <w:footnoteReference w:id="822"/>
      </w:r>
      <w:r>
        <w:rPr>
          <w:rFonts w:ascii="IRNazanin" w:hAnsi="IRNazanin" w:eastAsia="IRNazanin"/>
          <w:color w:val="111111"/>
          <w:sz w:val="28"/>
          <w:sz w:val="28"/>
          <w:szCs w:val="28"/>
          <w:rtl w:val="true"/>
          <w:lang w:bidi="fa-IR"/>
        </w:rPr>
        <w:t>لعدم تقییدهم البیع بالشخصی</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التأمّل فی عباراتهم،مع الإنصاف یُعطی الاختصاص بالمعیّن،أو الشکّ فی التعمیم،مع أنّه معارَضٌ بعدم تصریح أحدٍ بکون المسألة محلّ الخلاف من حیث التعمیم و التخصیص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w:t>
      </w:r>
      <w:r>
        <w:rPr>
          <w:rStyle w:val="FootnoteAnchor"/>
          <w:rtl w:val="true"/>
        </w:rPr>
        <w:footnoteReference w:id="823"/>
      </w:r>
      <w:r>
        <w:rPr>
          <w:rFonts w:ascii="IRNazanin" w:hAnsi="IRNazanin" w:eastAsia="IRNazanin"/>
          <w:color w:val="111111"/>
          <w:sz w:val="28"/>
          <w:sz w:val="28"/>
          <w:szCs w:val="28"/>
          <w:rtl w:val="true"/>
          <w:lang w:bidi="fa-IR"/>
        </w:rPr>
        <w:t>،إلّا الشهید فی الدروس،حیث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الشیخ قدّس سرّه قیّد فی المبسوط هذا الخیار بشراء المعیّن</w:t>
      </w:r>
      <w:r>
        <w:rPr>
          <w:rFonts w:eastAsia="IRNazanin" w:cs="IRNazanin"/>
          <w:color w:val="111111"/>
          <w:sz w:val="28"/>
          <w:szCs w:val="28"/>
          <w:rtl w:val="true"/>
          <w:lang w:bidi="fa-IR"/>
        </w:rPr>
        <w:t xml:space="preserve">» </w:t>
      </w:r>
      <w:r>
        <w:rPr>
          <w:rStyle w:val="FootnoteAnchor"/>
          <w:rtl w:val="true"/>
        </w:rPr>
        <w:footnoteReference w:id="824"/>
      </w:r>
      <w:r>
        <w:rPr>
          <w:rFonts w:ascii="IRNazanin" w:hAnsi="IRNazanin" w:eastAsia="IRNazanin"/>
          <w:color w:val="111111"/>
          <w:sz w:val="28"/>
          <w:sz w:val="28"/>
          <w:szCs w:val="28"/>
          <w:rtl w:val="true"/>
          <w:lang w:bidi="fa-IR"/>
        </w:rPr>
        <w:t xml:space="preserve">فإنّه ظاهرٌ فی عدم فهم هذا التقیید من کلمات باقی الأصحاب،لکنّک عرفت أنّ الشیخ قدّس سرّه قد أخذ هذا التقیید فی مضمون روایات أصحابنا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bookmarkStart w:id="407" w:name="pg19864_220854"/>
    </w:p>
    <w:p>
      <w:pPr>
        <w:pStyle w:val="BookText"/>
        <w:rPr/>
      </w:pPr>
      <w:bookmarkEnd w:id="407"/>
      <w:r>
        <w:rPr>
          <w:rFonts w:ascii="IRNazanin" w:hAnsi="IRNazanin" w:eastAsia="IRNazanin"/>
          <w:color w:val="111111"/>
          <w:sz w:val="28"/>
          <w:sz w:val="28"/>
          <w:szCs w:val="28"/>
          <w:rtl w:val="true"/>
          <w:lang w:bidi="fa-IR"/>
        </w:rPr>
        <w:t>و کیف کان،فالتأمّل فی أدلّة المسألة و فتاوی الأصحاب یُشرف الفقیهَ علی القطع باختصاص الحکم بالمعیّن</w:t>
      </w:r>
      <w:r>
        <w:rPr>
          <w:rFonts w:eastAsia="IRNazanin" w:cs="IRNazanin"/>
          <w:color w:val="111111"/>
          <w:sz w:val="28"/>
          <w:szCs w:val="28"/>
          <w:rtl w:val="true"/>
          <w:lang w:bidi="fa-IR"/>
        </w:rPr>
        <w:t>.</w:t>
      </w:r>
    </w:p>
    <w:p>
      <w:pPr>
        <w:pStyle w:val="Heading5"/>
        <w:numPr>
          <w:ilvl w:val="4"/>
          <w:numId w:val="1"/>
        </w:numPr>
        <w:rPr/>
      </w:pPr>
      <w:bookmarkStart w:id="408" w:name="__RefHeading___Toc5148820_2314609296"/>
      <w:bookmarkStart w:id="409" w:name="_Toc155"/>
      <w:bookmarkEnd w:id="408"/>
      <w:r>
        <w:rPr>
          <w:rtl w:val="true"/>
        </w:rPr>
        <w:t>ثمّ إنّ هنا أُموراً قیل باعتبارها فی هذا الخیار</w:t>
      </w:r>
      <w:r>
        <w:rPr>
          <w:rtl w:val="true"/>
        </w:rPr>
        <w:t>:</w:t>
      </w:r>
      <w:bookmarkEnd w:id="409"/>
    </w:p>
    <w:p>
      <w:pPr>
        <w:pStyle w:val="Heading6"/>
        <w:numPr>
          <w:ilvl w:val="5"/>
          <w:numId w:val="1"/>
        </w:numPr>
        <w:rPr/>
      </w:pPr>
      <w:bookmarkStart w:id="410" w:name="__RefHeading___Toc5148822_2314609296"/>
      <w:bookmarkStart w:id="411" w:name="_Toc156"/>
      <w:bookmarkEnd w:id="410"/>
      <w:r>
        <w:rPr>
          <w:rtl w:val="true"/>
        </w:rPr>
        <w:t>منها</w:t>
      </w:r>
      <w:r>
        <w:rPr>
          <w:rtl w:val="true"/>
        </w:rPr>
        <w:t xml:space="preserve">: </w:t>
      </w:r>
      <w:r>
        <w:rPr>
          <w:rtl w:val="true"/>
        </w:rPr>
        <w:t>عدم الخیار لأحدهما أو لهما،</w:t>
      </w:r>
      <w:bookmarkEnd w:id="411"/>
    </w:p>
    <w:p>
      <w:pPr>
        <w:pStyle w:val="BookText"/>
        <w:rPr/>
      </w:pPr>
      <w:r>
        <w:rPr>
          <w:rFonts w:ascii="IRNazanin" w:hAnsi="IRNazanin" w:eastAsia="IRNazanin"/>
          <w:color w:val="111111"/>
          <w:sz w:val="28"/>
          <w:sz w:val="28"/>
          <w:szCs w:val="28"/>
          <w:rtl w:val="true"/>
          <w:lang w:bidi="fa-IR"/>
        </w:rPr>
        <w:t>قال فی التحریر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خیار للبائع لو کان فی المبیع خیار لأحدهما</w:t>
      </w:r>
      <w:r>
        <w:rPr>
          <w:rFonts w:eastAsia="IRNazanin" w:cs="IRNazanin"/>
          <w:color w:val="111111"/>
          <w:sz w:val="28"/>
          <w:szCs w:val="28"/>
          <w:rtl w:val="true"/>
          <w:lang w:bidi="fa-IR"/>
        </w:rPr>
        <w:t xml:space="preserve">» </w:t>
      </w:r>
      <w:r>
        <w:rPr>
          <w:rStyle w:val="FootnoteAnchor"/>
          <w:rtl w:val="true"/>
        </w:rPr>
        <w:footnoteReference w:id="826"/>
      </w:r>
      <w:r>
        <w:rPr>
          <w:rFonts w:ascii="IRNazanin" w:hAnsi="IRNazanin" w:eastAsia="IRNazanin"/>
          <w:color w:val="111111"/>
          <w:sz w:val="28"/>
          <w:sz w:val="28"/>
          <w:szCs w:val="28"/>
          <w:rtl w:val="true"/>
          <w:lang w:bidi="fa-IR"/>
        </w:rPr>
        <w:t>و فی السرائر قیّد الحکم فی عنوان المسألة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یشترطا خیاراً لهما أو لأحدهما</w:t>
      </w:r>
      <w:r>
        <w:rPr>
          <w:rFonts w:eastAsia="IRNazanin" w:cs="IRNazanin"/>
          <w:color w:val="111111"/>
          <w:sz w:val="28"/>
          <w:szCs w:val="28"/>
          <w:rtl w:val="true"/>
          <w:lang w:bidi="fa-IR"/>
        </w:rPr>
        <w:t xml:space="preserve">» </w:t>
      </w:r>
      <w:r>
        <w:rPr>
          <w:rStyle w:val="FootnoteAnchor"/>
          <w:rtl w:val="true"/>
        </w:rPr>
        <w:footnoteReference w:id="827"/>
      </w:r>
      <w:r>
        <w:rPr>
          <w:rFonts w:ascii="IRNazanin" w:hAnsi="IRNazanin" w:eastAsia="IRNazanin"/>
          <w:color w:val="111111"/>
          <w:sz w:val="28"/>
          <w:sz w:val="28"/>
          <w:szCs w:val="28"/>
          <w:rtl w:val="true"/>
          <w:lang w:bidi="fa-IR"/>
        </w:rPr>
        <w:t>و ظاهره الاختصاص بخیار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أن یکون الاقتصار علیه لعنوان المسألة فی کلامه بغیر الحیوان و هو المتاع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کان،فلا أعرف وجهاً معتمداً فی اشتراط هذا الشرط سواءً أُرید </w:t>
      </w:r>
      <w:r>
        <w:rPr>
          <w:rStyle w:val="FootnoteAnchor"/>
          <w:rtl w:val="true"/>
        </w:rPr>
        <w:footnoteReference w:id="828"/>
      </w:r>
      <w:r>
        <w:rPr>
          <w:rFonts w:ascii="IRNazanin" w:hAnsi="IRNazanin" w:eastAsia="IRNazanin"/>
          <w:color w:val="111111"/>
          <w:sz w:val="28"/>
          <w:sz w:val="28"/>
          <w:szCs w:val="28"/>
          <w:rtl w:val="true"/>
          <w:lang w:bidi="fa-IR"/>
        </w:rPr>
        <w:t xml:space="preserve">ما یعمّ خیار الحیوان أم خصوص خیار الشرط،و سواءً أُرید مطلق الخیار و لو اختصّ بما قبل انقضاء الثلاثة أم أُرید خصوص الخیار المحقّق فیما بعد الثلاثة،سواءً حدث </w:t>
      </w:r>
      <w:r>
        <w:rPr>
          <w:rStyle w:val="FootnoteAnchor"/>
          <w:rtl w:val="true"/>
        </w:rPr>
        <w:footnoteReference w:id="829"/>
      </w:r>
      <w:r>
        <w:rPr>
          <w:rFonts w:ascii="IRNazanin" w:hAnsi="IRNazanin" w:eastAsia="IRNazanin"/>
          <w:color w:val="111111"/>
          <w:sz w:val="28"/>
          <w:sz w:val="28"/>
          <w:szCs w:val="28"/>
          <w:rtl w:val="true"/>
          <w:lang w:bidi="fa-IR"/>
        </w:rPr>
        <w:t>فیها أم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أوجه ما یقال </w:t>
      </w:r>
      <w:r>
        <w:rPr>
          <w:rStyle w:val="FootnoteAnchor"/>
          <w:rtl w:val="true"/>
        </w:rPr>
        <w:footnoteReference w:id="830"/>
      </w:r>
      <w:r>
        <w:rPr>
          <w:rFonts w:ascii="IRNazanin" w:hAnsi="IRNazanin" w:eastAsia="IRNazanin"/>
          <w:color w:val="111111"/>
          <w:sz w:val="28"/>
          <w:sz w:val="28"/>
          <w:szCs w:val="28"/>
          <w:rtl w:val="true"/>
          <w:lang w:bidi="fa-IR"/>
        </w:rPr>
        <w:t>فی توجیه هذا القول مضافاً إلی دعوی انصراف النصوص إلی غیر هذا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شرط الخیار فی قوّة اشتراط التأخیر،و تأخیر المشتری بحقّ الخیار ینفی خیار البائع</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ذلک ما ذکره فی التذکرة فی أحکام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w:t>
      </w:r>
    </w:p>
    <w:p>
      <w:pPr>
        <w:pStyle w:val="BookText"/>
        <w:rPr/>
      </w:pPr>
      <w:r>
        <w:rPr>
          <w:rFonts w:ascii="IRNazanin" w:hAnsi="IRNazanin" w:eastAsia="IRNazanin"/>
          <w:color w:val="111111"/>
          <w:sz w:val="28"/>
          <w:sz w:val="28"/>
          <w:szCs w:val="28"/>
          <w:rtl w:val="true"/>
          <w:lang w:bidi="fa-IR"/>
        </w:rPr>
        <w:t xml:space="preserve">لا یجب علی البائع تسلیم المبیع و لا علی المشتری تسلیم الثمن فی زمان الخیار،و لو تبرّع أحدهما بالتسلیم لم یبطل خیاره و لا یُجبر الآخر علی تسلیم ما فی یده </w:t>
      </w:r>
      <w:r>
        <w:rPr>
          <w:rStyle w:val="FootnoteAnchor"/>
          <w:rtl w:val="true"/>
        </w:rPr>
        <w:footnoteReference w:id="831"/>
      </w:r>
      <w:r>
        <w:rPr>
          <w:rFonts w:ascii="IRNazanin" w:hAnsi="IRNazanin" w:eastAsia="IRNazanin"/>
          <w:color w:val="111111"/>
          <w:sz w:val="28"/>
          <w:sz w:val="28"/>
          <w:szCs w:val="28"/>
          <w:rtl w:val="true"/>
          <w:lang w:bidi="fa-IR"/>
        </w:rPr>
        <w:t>و له استرداد المدفوع قضیّةً للخیار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 الشافعیّة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له استرداده،و له أخذ ما عند صاحبه بدون رضاه، کما لو کان التسلیم بعد لزوم البیع </w:t>
      </w:r>
      <w:r>
        <w:rPr>
          <w:rStyle w:val="FootnoteAnchor"/>
          <w:rtl w:val="true"/>
        </w:rPr>
        <w:footnoteReference w:id="83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فوجه هذا الاشتراط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ظاهر الأخبار کون عدم مجیء المشتری بالثمن بغیر حقّ التأخیر،و ذو الخیار له حقّ التأخیر،و ظاهرها أیضاً کون عدم إقباض البائع لعدم قبض الثمن لا لحقٍّ له فی عدم الإقباض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الخیار بمنزلة تأجیل أحد العوضین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تسلیم الحکم فی الخیار و تسلیم انصراف الأخبار إلی کون التأخیر بغیر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ینبغی علی هذا القول کون مبدأ الثلاثة من حین التفرّق و کون هذا الخیار مختصّاً بغیر الحیوان،مع اتّفاقهم علی ثبوته فیه کما یظهر من المختلف </w:t>
      </w:r>
      <w:r>
        <w:rPr>
          <w:rStyle w:val="FootnoteAnchor"/>
          <w:rtl w:val="true"/>
        </w:rPr>
        <w:footnoteReference w:id="833"/>
      </w:r>
      <w:r>
        <w:rPr>
          <w:rFonts w:ascii="IRNazanin" w:hAnsi="IRNazanin" w:eastAsia="IRNazanin"/>
          <w:color w:val="111111"/>
          <w:sz w:val="28"/>
          <w:sz w:val="28"/>
          <w:szCs w:val="28"/>
          <w:rtl w:val="true"/>
          <w:lang w:bidi="fa-IR"/>
        </w:rPr>
        <w:t xml:space="preserve">،و إن </w:t>
      </w:r>
      <w:r>
        <w:rPr>
          <w:rStyle w:val="FootnoteAnchor"/>
          <w:rtl w:val="true"/>
        </w:rPr>
        <w:footnoteReference w:id="834"/>
      </w:r>
      <w:r>
        <w:rPr>
          <w:rFonts w:ascii="IRNazanin" w:hAnsi="IRNazanin" w:eastAsia="IRNazanin"/>
          <w:color w:val="111111"/>
          <w:sz w:val="28"/>
          <w:sz w:val="28"/>
          <w:szCs w:val="28"/>
          <w:rtl w:val="true"/>
          <w:lang w:bidi="fa-IR"/>
        </w:rPr>
        <w:t xml:space="preserve">ذهب الصدوق إلی کون الخیار فی الجاریة بعد شهرٍ </w:t>
      </w:r>
      <w:r>
        <w:rPr>
          <w:rStyle w:val="FootnoteAnchor"/>
          <w:rtl w:val="true"/>
        </w:rPr>
        <w:footnoteReference w:id="8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یراد بما فی التحریر</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ثبوت خیار التأخیر ما دام الخیار ثابتاً لأحدهما </w:t>
      </w:r>
      <w:r>
        <w:rPr>
          <w:rStyle w:val="FootnoteAnchor"/>
          <w:rtl w:val="true"/>
        </w:rPr>
        <w:footnoteReference w:id="836"/>
      </w:r>
      <w:r>
        <w:rPr>
          <w:rFonts w:ascii="IRNazanin" w:hAnsi="IRNazanin" w:eastAsia="IRNazanin"/>
          <w:color w:val="111111"/>
          <w:sz w:val="28"/>
          <w:sz w:val="28"/>
          <w:szCs w:val="28"/>
          <w:rtl w:val="true"/>
          <w:lang w:bidi="fa-IR"/>
        </w:rPr>
        <w:t>،فلا ینافی</w:t>
      </w:r>
      <w:bookmarkStart w:id="412" w:name="pg19864_220856"/>
    </w:p>
    <w:p>
      <w:pPr>
        <w:pStyle w:val="BookText"/>
        <w:rPr/>
      </w:pPr>
      <w:bookmarkEnd w:id="412"/>
      <w:r>
        <w:rPr>
          <w:rFonts w:ascii="IRNazanin" w:hAnsi="IRNazanin" w:eastAsia="IRNazanin"/>
          <w:color w:val="111111"/>
          <w:sz w:val="28"/>
          <w:sz w:val="28"/>
          <w:szCs w:val="28"/>
          <w:rtl w:val="true"/>
          <w:lang w:bidi="fa-IR"/>
        </w:rPr>
        <w:t>ثبوته فی الحیوان بعد الثلاثة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یفصّل </w:t>
      </w:r>
      <w:r>
        <w:rPr>
          <w:rStyle w:val="FootnoteAnchor"/>
          <w:rtl w:val="true"/>
        </w:rPr>
        <w:footnoteReference w:id="837"/>
      </w:r>
      <w:r>
        <w:rPr>
          <w:rFonts w:ascii="IRNazanin" w:hAnsi="IRNazanin" w:eastAsia="IRNazanin"/>
          <w:color w:val="111111"/>
          <w:sz w:val="28"/>
          <w:sz w:val="28"/>
          <w:szCs w:val="28"/>
          <w:rtl w:val="true"/>
          <w:lang w:bidi="fa-IR"/>
        </w:rPr>
        <w:t>بین ثبوت الخیار للبائع من جهةٍ أُخری فیسقط معه هذا الخیار لأنّ خیار التأخیر شُرّع لدفع ضرره و قد اندفع بغیره، و لدلالة النصّ و الفتوی علی لزوم البیع فی الثلاثة فیختصّ بغیر صورة ثبوت الخیار 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دعوی أنّ المراد من الأخبار اللزوم من هذه الجهة،مدفوعةٌ بأنّ التأخیر سبب الخیار </w:t>
      </w:r>
      <w:r>
        <w:rPr>
          <w:rStyle w:val="FootnoteAnchor"/>
          <w:rtl w:val="true"/>
        </w:rPr>
        <w:footnoteReference w:id="838"/>
      </w:r>
      <w:r>
        <w:rPr>
          <w:rFonts w:ascii="IRNazanin" w:hAnsi="IRNazanin" w:eastAsia="IRNazanin"/>
          <w:color w:val="111111"/>
          <w:sz w:val="28"/>
          <w:sz w:val="28"/>
          <w:szCs w:val="28"/>
          <w:rtl w:val="true"/>
          <w:lang w:bidi="fa-IR"/>
        </w:rPr>
        <w:t>و لا یتقیّد الحکم بالسبب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ما إذا کان الخیار للمشتری فلا وجه لسقوطه،مع أنّ اللازم منه عدم ثبوت هذا الخیار فی الحیوان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 ضعف هذا التفصیل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ضرر الصبر بعد الثلاثة لا یندفع بالخیار فی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ذکره من عدم تقیید الحکم بالسبب،فلا یمنع من کون نفی الخیار فی الثلاثة من جهة التضرّر بالتأخیر،و لذا لا ینافی هذا الخیار خیارَ المجلس</w:t>
      </w:r>
      <w:r>
        <w:rPr>
          <w:rFonts w:eastAsia="IRNazanin" w:cs="IRNazanin"/>
          <w:color w:val="111111"/>
          <w:sz w:val="28"/>
          <w:szCs w:val="28"/>
          <w:rtl w:val="true"/>
          <w:lang w:bidi="fa-IR"/>
        </w:rPr>
        <w:t>.</w:t>
      </w:r>
    </w:p>
    <w:p>
      <w:pPr>
        <w:pStyle w:val="Heading6"/>
        <w:numPr>
          <w:ilvl w:val="5"/>
          <w:numId w:val="1"/>
        </w:numPr>
        <w:rPr/>
      </w:pPr>
      <w:bookmarkStart w:id="413" w:name="__RefHeading___Toc5148824_2314609296"/>
      <w:bookmarkStart w:id="414" w:name="_Toc157"/>
      <w:bookmarkEnd w:id="413"/>
      <w:r>
        <w:rPr>
          <w:rtl w:val="true"/>
        </w:rPr>
        <w:t>و منها</w:t>
      </w:r>
      <w:bookmarkEnd w:id="414"/>
    </w:p>
    <w:p>
      <w:pPr>
        <w:pStyle w:val="BookText"/>
        <w:rPr/>
      </w:pPr>
      <w:r>
        <w:rPr>
          <w:rFonts w:ascii="IRNazanin" w:hAnsi="IRNazanin" w:eastAsia="IRNazanin"/>
          <w:color w:val="111111"/>
          <w:sz w:val="28"/>
          <w:sz w:val="28"/>
          <w:szCs w:val="28"/>
          <w:rtl w:val="true"/>
          <w:lang w:bidi="fa-IR"/>
        </w:rPr>
        <w:t xml:space="preserve">و منها </w:t>
      </w:r>
      <w:r>
        <w:rPr>
          <w:rStyle w:val="FootnoteAnchor"/>
          <w:rtl w:val="true"/>
        </w:rPr>
        <w:footnoteReference w:id="8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المتعاقدین؛</w:t>
      </w:r>
    </w:p>
    <w:p>
      <w:pPr>
        <w:pStyle w:val="BookText"/>
        <w:rPr/>
      </w:pPr>
      <w:r>
        <w:rPr>
          <w:rFonts w:ascii="IRNazanin" w:hAnsi="IRNazanin" w:eastAsia="IRNazanin"/>
          <w:color w:val="111111"/>
          <w:sz w:val="28"/>
          <w:sz w:val="28"/>
          <w:szCs w:val="28"/>
          <w:rtl w:val="true"/>
          <w:lang w:bidi="fa-IR"/>
        </w:rPr>
        <w:t>لأنّ النصّ مختصٌّ بصورة التعدّد،و لأنّ هذا الخیار ثبت بعد خیار المجلس،و خیار المجلس باقٍ مع اتّحاد العاقد إلّا مع إسقاطه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المناط عدم الإقباض و القبض،و لا إشکال فی تصوّره</w:t>
      </w:r>
      <w:bookmarkStart w:id="415" w:name="pg19864_220857"/>
    </w:p>
    <w:p>
      <w:pPr>
        <w:pStyle w:val="BookText"/>
        <w:rPr/>
      </w:pPr>
      <w:bookmarkEnd w:id="415"/>
      <w:r>
        <w:rPr>
          <w:rFonts w:ascii="IRNazanin" w:hAnsi="IRNazanin" w:eastAsia="IRNazanin"/>
          <w:color w:val="111111"/>
          <w:sz w:val="28"/>
          <w:sz w:val="28"/>
          <w:szCs w:val="28"/>
          <w:rtl w:val="true"/>
          <w:lang w:bidi="fa-IR"/>
        </w:rPr>
        <w:t>من المالکَین مع اتّحاد العاقد من قبلهما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خیار المجلس،فقد عرفت أنّه غیر ثابتٍ للوکیل فی مجرّد العقد،و علی تقدیره فیمکن إسقاطه أو اشتراط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کان العاقد ولیّاً بیده العوضان لم یتحقّق الشرطان الأوّلان أعنی عدم الإقباض و القبض و لیس ذلک من جهة اشتراط التعدّد</w:t>
      </w:r>
      <w:r>
        <w:rPr>
          <w:rFonts w:eastAsia="IRNazanin" w:cs="IRNazanin"/>
          <w:color w:val="111111"/>
          <w:sz w:val="28"/>
          <w:szCs w:val="28"/>
          <w:rtl w:val="true"/>
          <w:lang w:bidi="fa-IR"/>
        </w:rPr>
        <w:t>.</w:t>
      </w:r>
    </w:p>
    <w:p>
      <w:pPr>
        <w:pStyle w:val="Heading6"/>
        <w:numPr>
          <w:ilvl w:val="5"/>
          <w:numId w:val="1"/>
        </w:numPr>
        <w:rPr/>
      </w:pPr>
      <w:bookmarkStart w:id="416" w:name="__RefHeading___Toc5148826_2314609296"/>
      <w:bookmarkStart w:id="417" w:name="_Toc158"/>
      <w:bookmarkEnd w:id="416"/>
      <w:r>
        <w:rPr>
          <w:rtl w:val="true"/>
        </w:rPr>
        <w:t>و منها</w:t>
      </w:r>
      <w:r>
        <w:rPr>
          <w:rtl w:val="true"/>
        </w:rPr>
        <w:t xml:space="preserve">: </w:t>
      </w:r>
      <w:r>
        <w:rPr>
          <w:rtl w:val="true"/>
        </w:rPr>
        <w:t>أن لا یکون المبیع حیواناً أو خصوص الجاریة،</w:t>
      </w:r>
      <w:bookmarkEnd w:id="417"/>
    </w:p>
    <w:p>
      <w:pPr>
        <w:pStyle w:val="BookText"/>
        <w:rPr/>
      </w:pPr>
      <w:r>
        <w:rPr>
          <w:rFonts w:ascii="IRNazanin" w:hAnsi="IRNazanin" w:eastAsia="IRNazanin"/>
          <w:color w:val="111111"/>
          <w:sz w:val="28"/>
          <w:sz w:val="28"/>
          <w:szCs w:val="28"/>
          <w:rtl w:val="true"/>
          <w:lang w:bidi="fa-IR"/>
        </w:rPr>
        <w:t>فإنّ المحکیّ عن الصدوق فی المقنع أنّه إذا اشتری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جاریةً </w:t>
      </w:r>
      <w:r>
        <w:rPr>
          <w:rStyle w:val="FootnoteAnchor"/>
          <w:rtl w:val="true"/>
        </w:rPr>
        <w:footnoteReference w:id="8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أجیئک بالثمن،فإن جاء بالثمن فیما بینه و بین شهرٍ،و إلّا فلا بیع له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ظاهر المختلف نسبة الخلاف إلی الصدوق فی مطلق الحیوان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المستند فیه روایة ابن یقطین عن رجلٍ اشتری جاریة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أجیئک بالثمن،فقال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 فیما بینه و بین شهر،و إلّا فلا بیع له</w:t>
      </w:r>
      <w:r>
        <w:rPr>
          <w:rFonts w:eastAsia="IRNazanin" w:cs="IRNazanin"/>
          <w:color w:val="111111"/>
          <w:sz w:val="28"/>
          <w:szCs w:val="28"/>
          <w:rtl w:val="true"/>
          <w:lang w:bidi="fa-IR"/>
        </w:rPr>
        <w:t xml:space="preserve">»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دلالة فیها </w:t>
      </w:r>
      <w:r>
        <w:rPr>
          <w:rStyle w:val="FootnoteAnchor"/>
          <w:rtl w:val="true"/>
        </w:rPr>
        <w:footnoteReference w:id="845"/>
      </w:r>
      <w:r>
        <w:rPr>
          <w:rFonts w:ascii="IRNazanin" w:hAnsi="IRNazanin" w:eastAsia="IRNazanin"/>
          <w:color w:val="111111"/>
          <w:sz w:val="28"/>
          <w:sz w:val="28"/>
          <w:szCs w:val="28"/>
          <w:rtl w:val="true"/>
          <w:lang w:bidi="fa-IR"/>
        </w:rPr>
        <w:t>علی صورة عدم إقباض الجاریة و لا قرینة علی حملها علیها،فیحتمل الحمل علی اشتراط المجیء بالثمن إلی شهرٍ فی متن العقد،فیثبت الخیار عند تخلّف الشرط،و یحتمل الحمل علی استحباب صبر البائع و عدم فسخه إلی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کان،فالروایة مخالفةٌ لعمل المعظم،فلا بدّ من حملها علی بعض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مبدأ الثلاثة من حین التفرّق أو من حین العقد؟وجهان</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ظهور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جاء بالثمن بینه و بین ثلاثة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کون مدّة الغیبة ثلاثةً،و من کون ذلک کنایةً عن عدم التقابض ثلاثة أیّامٍ،کما هو ظاهر قوله علیه السلام فی روایة ابن یقطین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الأجل بینهما ثلاثة أیّامٍ،فإن قبض بیعه و إلّا فلا بیع بینهما</w:t>
      </w:r>
      <w:r>
        <w:rPr>
          <w:rFonts w:eastAsia="IRNazanin" w:cs="IRNazanin"/>
          <w:color w:val="111111"/>
          <w:sz w:val="28"/>
          <w:szCs w:val="28"/>
          <w:rtl w:val="true"/>
          <w:lang w:bidi="fa-IR"/>
        </w:rPr>
        <w:t xml:space="preserve">» </w:t>
      </w:r>
      <w:r>
        <w:rPr>
          <w:rStyle w:val="FootnoteAnchor"/>
          <w:rtl w:val="true"/>
        </w:rPr>
        <w:footnoteReference w:id="846"/>
      </w:r>
      <w:r>
        <w:rPr>
          <w:rFonts w:ascii="IRNazanin" w:hAnsi="IRNazanin" w:eastAsia="IRNazanin"/>
          <w:color w:val="111111"/>
          <w:sz w:val="28"/>
          <w:sz w:val="28"/>
          <w:szCs w:val="28"/>
          <w:rtl w:val="true"/>
          <w:lang w:bidi="fa-IR"/>
        </w:rPr>
        <w:t>و هذا هو الأقوی</w:t>
      </w:r>
      <w:r>
        <w:rPr>
          <w:rFonts w:eastAsia="IRNazanin" w:cs="IRNazanin"/>
          <w:color w:val="111111"/>
          <w:sz w:val="28"/>
          <w:szCs w:val="28"/>
          <w:rtl w:val="true"/>
          <w:lang w:bidi="fa-IR"/>
        </w:rPr>
        <w:t>.</w:t>
      </w:r>
      <w:bookmarkStart w:id="418" w:name="pg19864_220859"/>
    </w:p>
    <w:p>
      <w:pPr>
        <w:pStyle w:val="Heading5"/>
        <w:numPr>
          <w:ilvl w:val="4"/>
          <w:numId w:val="1"/>
        </w:numPr>
        <w:rPr/>
      </w:pPr>
      <w:bookmarkStart w:id="419" w:name="__RefHeading___Toc5148828_2314609296"/>
      <w:bookmarkStart w:id="420" w:name="_Toc159"/>
      <w:bookmarkEnd w:id="418"/>
      <w:bookmarkEnd w:id="419"/>
      <w:r>
        <w:rPr>
          <w:rtl w:val="true"/>
        </w:rPr>
        <w:t>مسألة یسقط هذا الخیار بأُمورٍ</w:t>
      </w:r>
      <w:r>
        <w:rPr>
          <w:rtl w:val="true"/>
        </w:rPr>
        <w:t>:</w:t>
      </w:r>
      <w:bookmarkEnd w:id="420"/>
    </w:p>
    <w:p>
      <w:pPr>
        <w:pStyle w:val="Heading6"/>
        <w:numPr>
          <w:ilvl w:val="5"/>
          <w:numId w:val="1"/>
        </w:numPr>
        <w:rPr/>
      </w:pPr>
      <w:bookmarkStart w:id="421" w:name="__RefHeading___Toc5148830_2314609296"/>
      <w:bookmarkStart w:id="422" w:name="_Toc160"/>
      <w:bookmarkEnd w:id="421"/>
      <w:r>
        <w:rPr>
          <w:rtl w:val="true"/>
        </w:rPr>
        <w:t>أحدها</w:t>
      </w:r>
      <w:r>
        <w:rPr>
          <w:rtl w:val="true"/>
        </w:rPr>
        <w:t xml:space="preserve">: </w:t>
      </w:r>
      <w:r>
        <w:rPr>
          <w:rtl w:val="true"/>
        </w:rPr>
        <w:t>إسقاطه بعد الثلاثة بلا إشکالٍ و لا خلاف،</w:t>
      </w:r>
      <w:bookmarkEnd w:id="422"/>
    </w:p>
    <w:p>
      <w:pPr>
        <w:pStyle w:val="BookText"/>
        <w:rPr/>
      </w:pPr>
      <w:r>
        <w:rPr>
          <w:rFonts w:ascii="IRNazanin" w:hAnsi="IRNazanin" w:eastAsia="IRNazanin"/>
          <w:color w:val="111111"/>
          <w:sz w:val="28"/>
          <w:sz w:val="28"/>
          <w:szCs w:val="28"/>
          <w:rtl w:val="true"/>
          <w:lang w:bidi="fa-IR"/>
        </w:rPr>
        <w:t>و فی سقوطه بالإسقاط فی الثلاثة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السبب فیه الضرر الحاصل بالتأخیر،فلا یتحقّق إلّا بعد الثلاثة؛و لذا صرّح فی التذکرة بعدم جواز إسقاط خیار الشرط قبل التفرّق إذا قلنا بکون مبدئه بعده </w:t>
      </w:r>
      <w:r>
        <w:rPr>
          <w:rStyle w:val="FootnoteAnchor"/>
          <w:rtl w:val="true"/>
        </w:rPr>
        <w:footnoteReference w:id="847"/>
      </w:r>
      <w:r>
        <w:rPr>
          <w:rFonts w:ascii="IRNazanin" w:hAnsi="IRNazanin" w:eastAsia="IRNazanin"/>
          <w:color w:val="111111"/>
          <w:sz w:val="28"/>
          <w:sz w:val="28"/>
          <w:szCs w:val="28"/>
          <w:rtl w:val="true"/>
          <w:lang w:bidi="fa-IR"/>
        </w:rPr>
        <w:t xml:space="preserve">مع أنّه أولی بالجواز،و من أنّ العقد سبب الخیار،فیکفی وجوده فی إسقاطه، مضافاً إلی فحوی جواز اشتراط سقوطه فی متن العقد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23" w:name="__RefHeading___Toc5148832_2314609296"/>
      <w:bookmarkStart w:id="424" w:name="_Toc161"/>
      <w:bookmarkEnd w:id="423"/>
      <w:r>
        <w:rPr>
          <w:rtl w:val="true"/>
        </w:rPr>
        <w:t>الثانی</w:t>
      </w:r>
      <w:r>
        <w:rPr>
          <w:rtl w:val="true"/>
        </w:rPr>
        <w:t xml:space="preserve">: </w:t>
      </w:r>
      <w:r>
        <w:rPr>
          <w:rtl w:val="true"/>
        </w:rPr>
        <w:t>اشتراط سقوطه فی متن العقد،</w:t>
      </w:r>
      <w:bookmarkEnd w:id="424"/>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 عن الدروس و جامع المقاصد و تعلیق الإرشاد </w:t>
      </w:r>
      <w:r>
        <w:rPr>
          <w:rStyle w:val="FootnoteAnchor"/>
          <w:rtl w:val="true"/>
        </w:rPr>
        <w:footnoteReference w:id="849"/>
      </w:r>
      <w:r>
        <w:rPr>
          <w:rFonts w:ascii="Amiri" w:hAnsi="Amiri" w:eastAsia="Amiri" w:cs="Amiri"/>
          <w:color w:val="111111"/>
          <w:sz w:val="28"/>
          <w:sz w:val="28"/>
          <w:szCs w:val="28"/>
          <w:rtl w:val="true"/>
          <w:lang w:bidi="ar-SA"/>
        </w:rPr>
        <w:t>،و لعلّه لعموم أدلّة الشروط</w:t>
      </w:r>
      <w:r>
        <w:rPr>
          <w:rFonts w:eastAsia="Amiri" w:cs="Amiri" w:ascii="Amiri" w:hAnsi="Amiri"/>
          <w:color w:val="111111"/>
          <w:sz w:val="28"/>
          <w:szCs w:val="28"/>
          <w:rtl w:val="true"/>
          <w:lang w:bidi="ar-SA"/>
        </w:rPr>
        <w:t>.</w:t>
      </w:r>
      <w:bookmarkStart w:id="425" w:name="pg19864_220860"/>
    </w:p>
    <w:p>
      <w:pPr>
        <w:pStyle w:val="BookText"/>
        <w:rPr/>
      </w:pPr>
      <w:bookmarkEnd w:id="425"/>
      <w:r>
        <w:rPr>
          <w:rFonts w:ascii="IRNazanin" w:hAnsi="IRNazanin" w:eastAsia="IRNazanin"/>
          <w:color w:val="111111"/>
          <w:sz w:val="28"/>
          <w:sz w:val="28"/>
          <w:szCs w:val="28"/>
          <w:rtl w:val="true"/>
          <w:lang w:bidi="fa-IR"/>
        </w:rPr>
        <w:t xml:space="preserve">و یشکل علی عدم جواز إسقاطه فی الثلاثة بناءً علی أنّ السبب فی هذا الخیار هو الضرر الحادث بالتأخیر دون العقد،فإنّ الشرط إنّما یسقط به ما یقبل الإسقاط بدون الشرط،و لا یوجب شرعیّة سقوط ما لا یشرع إسقاطه بدون شرطٍ،فإن کان إجماعٌ علی السقوط بالشرط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حکاه بعضٌ </w:t>
      </w:r>
      <w:r>
        <w:rPr>
          <w:rStyle w:val="FootnoteAnchor"/>
          <w:rtl w:val="true"/>
        </w:rPr>
        <w:footnoteReference w:id="850"/>
      </w:r>
      <w:r>
        <w:rPr>
          <w:rFonts w:ascii="IRNazanin" w:hAnsi="IRNazanin" w:eastAsia="IRNazanin"/>
          <w:color w:val="111111"/>
          <w:sz w:val="28"/>
          <w:sz w:val="28"/>
          <w:szCs w:val="28"/>
          <w:rtl w:val="true"/>
          <w:lang w:bidi="fa-IR"/>
        </w:rPr>
        <w:t>قلنا به،بل بصحّة الإسقاط بعد العقد؛لفحواه، و إلّا فللنظر فیه مجالٌ</w:t>
      </w:r>
      <w:r>
        <w:rPr>
          <w:rFonts w:eastAsia="IRNazanin" w:cs="IRNazanin"/>
          <w:color w:val="111111"/>
          <w:sz w:val="28"/>
          <w:szCs w:val="28"/>
          <w:rtl w:val="true"/>
          <w:lang w:bidi="fa-IR"/>
        </w:rPr>
        <w:t>.</w:t>
      </w:r>
    </w:p>
    <w:p>
      <w:pPr>
        <w:pStyle w:val="Heading6"/>
        <w:numPr>
          <w:ilvl w:val="5"/>
          <w:numId w:val="1"/>
        </w:numPr>
        <w:rPr/>
      </w:pPr>
      <w:bookmarkStart w:id="426" w:name="__RefHeading___Toc5148834_2314609296"/>
      <w:bookmarkStart w:id="427" w:name="_Toc162"/>
      <w:bookmarkEnd w:id="426"/>
      <w:r>
        <w:rPr>
          <w:rtl w:val="true"/>
        </w:rPr>
        <w:t>الثالث</w:t>
      </w:r>
      <w:r>
        <w:rPr>
          <w:rtl w:val="true"/>
        </w:rPr>
        <w:t xml:space="preserve">: </w:t>
      </w:r>
      <w:r>
        <w:rPr>
          <w:rtl w:val="true"/>
        </w:rPr>
        <w:t>بذل المشتری للثمن بعد الثلاثة،</w:t>
      </w:r>
      <w:bookmarkEnd w:id="427"/>
    </w:p>
    <w:p>
      <w:pPr>
        <w:pStyle w:val="BookText"/>
        <w:rPr/>
      </w:pPr>
      <w:r>
        <w:rPr>
          <w:rFonts w:ascii="Amiri" w:hAnsi="Amiri" w:eastAsia="Amiri" w:cs="Amiri"/>
          <w:color w:val="111111"/>
          <w:sz w:val="28"/>
          <w:sz w:val="28"/>
          <w:szCs w:val="28"/>
          <w:rtl w:val="true"/>
          <w:lang w:bidi="ar-SA"/>
        </w:rPr>
        <w:t xml:space="preserve">فإنّ المصرَّح به فی التذکرة سقوط الخیار حینئذٍ </w:t>
      </w:r>
      <w:r>
        <w:rPr>
          <w:rStyle w:val="FootnoteAnchor"/>
          <w:rtl w:val="true"/>
        </w:rPr>
        <w:footnoteReference w:id="8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قیل بعدم السقوط بذلک استصحاباً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حسنٌ لو استند فی الخیار إلی الأخبار،و أمّا إذا استند فیه إلی الضرر،فلا شکّ فی عدم الضرر حال بذل الثمن،فلا ضرر لیتدارک بالخیار،و لو فرض تضرّره سابقاً بالتأخیر فالخیار لا یوجب تدارک ذلک،و إنّما یتدارک به الضرر المستقبل</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حدوث الضرر قبل البذل یکفی فی بقاء الخیار، مدفوعٌ بأنّ الأحکام المترتّبة علی نفی الضرر تابعةٌ للضرر الفعلی، لا مجرّد حدوث الضرر فی زمانٍ،و لا یبعد دعوی انصراف الأخبار إلی</w:t>
      </w:r>
      <w:bookmarkStart w:id="428" w:name="pg19864_220861"/>
    </w:p>
    <w:p>
      <w:pPr>
        <w:pStyle w:val="BookText"/>
        <w:rPr/>
      </w:pPr>
      <w:bookmarkEnd w:id="428"/>
      <w:r>
        <w:rPr>
          <w:rFonts w:ascii="IRNazanin" w:hAnsi="IRNazanin" w:eastAsia="IRNazanin"/>
          <w:color w:val="111111"/>
          <w:sz w:val="28"/>
          <w:sz w:val="28"/>
          <w:szCs w:val="28"/>
          <w:rtl w:val="true"/>
          <w:lang w:bidi="fa-IR"/>
        </w:rPr>
        <w:t>صورة التضرّر فعلاً بلزوم العقد،بأن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عدم حضور المشتری علّةٌ لانتفاء اللزوم یدور معها وجوداً و عدماً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کان،فمختار التذکرة لا یخلو عن قوّةٍ</w:t>
      </w:r>
      <w:r>
        <w:rPr>
          <w:rFonts w:eastAsia="IRNazanin" w:cs="IRNazanin"/>
          <w:color w:val="111111"/>
          <w:sz w:val="28"/>
          <w:szCs w:val="28"/>
          <w:rtl w:val="true"/>
          <w:lang w:bidi="fa-IR"/>
        </w:rPr>
        <w:t>.</w:t>
      </w:r>
    </w:p>
    <w:p>
      <w:pPr>
        <w:pStyle w:val="Heading6"/>
        <w:numPr>
          <w:ilvl w:val="5"/>
          <w:numId w:val="1"/>
        </w:numPr>
        <w:rPr/>
      </w:pPr>
      <w:bookmarkStart w:id="429" w:name="__RefHeading___Toc5148836_2314609296"/>
      <w:bookmarkStart w:id="430" w:name="_Toc163"/>
      <w:bookmarkEnd w:id="429"/>
      <w:r>
        <w:rPr>
          <w:rtl w:val="true"/>
        </w:rPr>
        <w:t>الرابع</w:t>
      </w:r>
      <w:r>
        <w:rPr>
          <w:rtl w:val="true"/>
        </w:rPr>
        <w:t xml:space="preserve">: </w:t>
      </w:r>
      <w:r>
        <w:rPr>
          <w:rtl w:val="true"/>
        </w:rPr>
        <w:t>أخذ الثمن من المشتری بناءً علی عدم سقوطه بالبذل،</w:t>
      </w:r>
      <w:bookmarkEnd w:id="430"/>
    </w:p>
    <w:p>
      <w:pPr>
        <w:pStyle w:val="BookText"/>
        <w:rPr/>
      </w:pPr>
      <w:r>
        <w:rPr>
          <w:rFonts w:ascii="IRNazanin" w:hAnsi="IRNazanin" w:eastAsia="IRNazanin"/>
          <w:color w:val="111111"/>
          <w:sz w:val="28"/>
          <w:sz w:val="28"/>
          <w:szCs w:val="28"/>
          <w:rtl w:val="true"/>
          <w:lang w:bidi="fa-IR"/>
        </w:rPr>
        <w:t>و إلّا لم یحتج إلی الأخذ به و السقوط به؛لأنّه التزامٌ فعلیٌّ بالبیع و رضاً بلزومه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یشترط إفادة العلم بکونه لأجل الالتزام أو یکفی الظنّ، فلو احتمل کون الأخذ بعنوان العاریة أو غیرها لم ینفع،أم لا یعتبر الظنّ أیضاً؟وجوهٌ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عدم تحقّق موضوع الالتزام إلّا بالعلم،و من کون الفعل مع إفادة الظنّ أمارةً عرفیّةً علی الالتزام کالقول،و ممّا تقدّم من سقوط خیار الحیوان أو الشرط بما کان رضاً نوعیّاً بالعقد و هذا من أوضح أفراده،و قد بیّنّا </w:t>
      </w:r>
      <w:r>
        <w:rPr>
          <w:rStyle w:val="FootnoteAnchor"/>
          <w:rtl w:val="true"/>
        </w:rPr>
        <w:footnoteReference w:id="853"/>
      </w:r>
      <w:r>
        <w:rPr>
          <w:rFonts w:ascii="IRNazanin" w:hAnsi="IRNazanin" w:eastAsia="IRNazanin"/>
          <w:color w:val="111111"/>
          <w:sz w:val="28"/>
          <w:sz w:val="28"/>
          <w:szCs w:val="28"/>
          <w:rtl w:val="true"/>
          <w:lang w:bidi="fa-IR"/>
        </w:rPr>
        <w:t>عدم اعتبار الظنّ الشخصی فی دلالة التصرّف علی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خیر الوجوه أوسطها،لکنّ الأقوی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هل یسقط الخیار بمطالبة الثمن؟ المصرَّح به فی التذکرة </w:t>
      </w:r>
      <w:r>
        <w:rPr>
          <w:rStyle w:val="FootnoteAnchor"/>
          <w:rtl w:val="true"/>
        </w:rPr>
        <w:footnoteReference w:id="854"/>
      </w:r>
      <w:r>
        <w:rPr>
          <w:rFonts w:ascii="IRNazanin" w:hAnsi="IRNazanin" w:eastAsia="IRNazanin"/>
          <w:color w:val="111111"/>
          <w:sz w:val="28"/>
          <w:sz w:val="28"/>
          <w:szCs w:val="28"/>
          <w:rtl w:val="true"/>
          <w:lang w:bidi="fa-IR"/>
        </w:rPr>
        <w:t xml:space="preserve">و غیرها </w:t>
      </w:r>
      <w:r>
        <w:rPr>
          <w:rStyle w:val="FootnoteAnchor"/>
          <w:rtl w:val="true"/>
        </w:rPr>
        <w:footnoteReference w:id="855"/>
      </w:r>
      <w:r>
        <w:rPr>
          <w:rFonts w:ascii="IRNazanin" w:hAnsi="IRNazanin" w:eastAsia="IRNazanin"/>
          <w:color w:val="111111"/>
          <w:sz w:val="28"/>
          <w:sz w:val="28"/>
          <w:szCs w:val="28"/>
          <w:rtl w:val="true"/>
          <w:lang w:bidi="fa-IR"/>
        </w:rPr>
        <w:t>العدم؛للأصل و عدم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السقوط؛لدلالته علی الرضا بالبیع</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سبب الخیار هو التضرّر فی المستقبل،لما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الخیار لا یتدارک به ما مضی من ضرر الصبر،و مطالبة الثمن لا تدلّ علی التزام الضرر المستقبل حتّی یکون التزاماً بالبیع،بل مطالبة</w:t>
      </w:r>
    </w:p>
    <w:p>
      <w:pPr>
        <w:pStyle w:val="BookText"/>
        <w:rPr/>
      </w:pPr>
      <w:r>
        <w:rPr>
          <w:rFonts w:ascii="IRNazanin" w:hAnsi="IRNazanin" w:eastAsia="IRNazanin"/>
          <w:color w:val="111111"/>
          <w:sz w:val="28"/>
          <w:sz w:val="28"/>
          <w:szCs w:val="28"/>
          <w:rtl w:val="true"/>
          <w:lang w:bidi="fa-IR"/>
        </w:rPr>
        <w:t>الثمن إنّما هو استدفاعٌ للضرر المستقبل کالفسخ،لا التزامٌ بذلک الضرر لیسقط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الضرر هنا من قبیل الضرر فی بیع الغبن و نحوه ممّا کان الضرر حاصلاً بنفس العقد،حتّی یکون الرضا به بعد العقد و العلم بالضرر التزاماً بالضرر الذی هو سبب الخیار</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بالجملة،فالمسقط لهذا الخیار لیس إلّا دفع الضرر المستقبل ببذل الثمن،أو التزامه بإسقاطه،أو اشتراط سقوطه،و ما تقدّم من سقوط الخیارات المتقدّمة بما یدلّ علی الرضا فإنّما هو حیث یکون نفس العقد سبباً للخیار و لو من جهة التضرّر بلزومه،و ما نحن فیه لیس من هذا القبیل،مع أنّ سقوط تلک الخیارات بمجرّد مطالبة الثمن أیضاً محلّ نظرٍ؛ لعدم کونه تصرّفاً،و اللّٰه العالم</w:t>
      </w:r>
      <w:r>
        <w:rPr>
          <w:rFonts w:eastAsia="IRNazanin" w:cs="IRNazanin"/>
          <w:color w:val="111111"/>
          <w:sz w:val="28"/>
          <w:szCs w:val="28"/>
          <w:rtl w:val="true"/>
          <w:lang w:bidi="fa-IR"/>
        </w:rPr>
        <w:t>.</w:t>
      </w:r>
      <w:bookmarkStart w:id="431" w:name="pg19864_220863"/>
    </w:p>
    <w:p>
      <w:pPr>
        <w:pStyle w:val="Heading5"/>
        <w:numPr>
          <w:ilvl w:val="4"/>
          <w:numId w:val="1"/>
        </w:numPr>
        <w:rPr/>
      </w:pPr>
      <w:bookmarkStart w:id="432" w:name="__RefHeading___Toc5148838_2314609296"/>
      <w:bookmarkStart w:id="433" w:name="_Toc164"/>
      <w:bookmarkEnd w:id="431"/>
      <w:bookmarkEnd w:id="432"/>
      <w:r>
        <w:rPr>
          <w:rtl w:val="true"/>
        </w:rPr>
        <w:t>مسألة فی کون هذا الخیار علی الفور أو التراخی قولان،</w:t>
      </w:r>
      <w:bookmarkEnd w:id="433"/>
    </w:p>
    <w:p>
      <w:pPr>
        <w:pStyle w:val="BookText"/>
        <w:rPr/>
      </w:pPr>
      <w:r>
        <w:rPr>
          <w:rFonts w:ascii="IRNazanin" w:hAnsi="IRNazanin" w:eastAsia="IRNazanin"/>
          <w:color w:val="111111"/>
          <w:sz w:val="28"/>
          <w:sz w:val="28"/>
          <w:szCs w:val="28"/>
          <w:rtl w:val="true"/>
          <w:lang w:bidi="fa-IR"/>
        </w:rPr>
        <w:t xml:space="preserve">و قد تقدّم ما یصلح أن یستند إلیه لکلٍّ من القولین فی مطلق الخیار مع قطع النظر عن خصوصیّات الموارد،و قد عرفت أنّ الأقوی الفور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أن یقال فی خصوص 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بیع له</w:t>
      </w:r>
      <w:r>
        <w:rPr>
          <w:rFonts w:eastAsia="IRNazanin" w:cs="IRNazanin"/>
          <w:color w:val="111111"/>
          <w:sz w:val="28"/>
          <w:szCs w:val="28"/>
          <w:rtl w:val="true"/>
          <w:lang w:bidi="fa-IR"/>
        </w:rPr>
        <w:t xml:space="preserve">» </w:t>
      </w:r>
      <w:r>
        <w:rPr>
          <w:rStyle w:val="FootnoteAnchor"/>
          <w:rtl w:val="true"/>
        </w:rPr>
        <w:footnoteReference w:id="857"/>
      </w:r>
      <w:r>
        <w:rPr>
          <w:rFonts w:ascii="IRNazanin" w:hAnsi="IRNazanin" w:eastAsia="IRNazanin"/>
          <w:color w:val="111111"/>
          <w:sz w:val="28"/>
          <w:sz w:val="28"/>
          <w:szCs w:val="28"/>
          <w:rtl w:val="true"/>
          <w:lang w:bidi="fa-IR"/>
        </w:rPr>
        <w:t>نفی البیع رأساً،و الأنسب بنفی الحقیقة بعد عدم إرادة نفی الصحّة هو نفی لزومه رأساً،بأن لا یعود لازماً أبداً،فتأمّل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تقدیر إهمال النصّ و عدم ظهوره فی العموم یمکن التمسّک بالاستصحاب هنا؛لأنّ اللزوم إذا ارتفع عن البیع فی زمانٍ،فعوده یحتاج إلی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الشکّ هنا فی موضوع المستصحب نظیر ما تقدّم فی استصحاب الخیار لأنّ الموضوع مستفادٌ من النصّ،فراجع</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کان،فالقول بالتراخی لا یخلو عن قوّة،إمّا لظهور النصّ و إمّا للاستصحاب</w:t>
      </w:r>
      <w:r>
        <w:rPr>
          <w:rFonts w:eastAsia="IRNazanin" w:cs="IRNazanin"/>
          <w:color w:val="111111"/>
          <w:sz w:val="28"/>
          <w:szCs w:val="28"/>
          <w:rtl w:val="true"/>
          <w:lang w:bidi="fa-IR"/>
        </w:rPr>
        <w:t>.</w:t>
      </w:r>
      <w:bookmarkStart w:id="434" w:name="pg19864_220864"/>
    </w:p>
    <w:p>
      <w:pPr>
        <w:pStyle w:val="Heading5"/>
        <w:numPr>
          <w:ilvl w:val="4"/>
          <w:numId w:val="1"/>
        </w:numPr>
        <w:rPr/>
      </w:pPr>
      <w:bookmarkStart w:id="435" w:name="__RefHeading___Toc5148840_2314609296"/>
      <w:bookmarkStart w:id="436" w:name="_Toc165"/>
      <w:bookmarkEnd w:id="434"/>
      <w:bookmarkEnd w:id="435"/>
      <w:r>
        <w:rPr>
          <w:rtl w:val="true"/>
        </w:rPr>
        <w:t>مسألة لو تلف المبیع بعد الثلاثة کان من البائع إجماعاً مستفیضاً،</w:t>
      </w:r>
      <w:bookmarkEnd w:id="436"/>
    </w:p>
    <w:p>
      <w:pPr>
        <w:pStyle w:val="BookText"/>
        <w:rPr/>
      </w:pPr>
      <w:r>
        <w:rPr>
          <w:rFonts w:ascii="IRNazanin" w:hAnsi="IRNazanin" w:eastAsia="IRNazanin"/>
          <w:color w:val="111111"/>
          <w:sz w:val="28"/>
          <w:sz w:val="28"/>
          <w:szCs w:val="28"/>
          <w:rtl w:val="true"/>
          <w:lang w:bidi="fa-IR"/>
        </w:rPr>
        <w:t xml:space="preserve">بل متواتراً کما فی الریاض </w:t>
      </w:r>
      <w:r>
        <w:rPr>
          <w:rStyle w:val="FootnoteAnchor"/>
          <w:rtl w:val="true"/>
        </w:rPr>
        <w:footnoteReference w:id="8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علیه النبویّ المشهور و إن کان فی کتب روایات أصحابنا غیر مسطور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قبل قبضه فهو من مال بائعه</w:t>
      </w:r>
      <w:r>
        <w:rPr>
          <w:rFonts w:eastAsia="IRNazanin" w:cs="IRNazanin"/>
          <w:color w:val="111111"/>
          <w:sz w:val="28"/>
          <w:szCs w:val="28"/>
          <w:rtl w:val="true"/>
          <w:lang w:bidi="fa-IR"/>
        </w:rPr>
        <w:t xml:space="preserve">» </w:t>
      </w:r>
      <w:r>
        <w:rPr>
          <w:rStyle w:val="FootnoteAnchor"/>
          <w:rtl w:val="true"/>
        </w:rPr>
        <w:footnoteReference w:id="859"/>
      </w:r>
      <w:r>
        <w:rPr>
          <w:rFonts w:ascii="IRNazanin" w:hAnsi="IRNazanin" w:eastAsia="IRNazanin"/>
          <w:color w:val="111111"/>
          <w:sz w:val="28"/>
          <w:sz w:val="28"/>
          <w:szCs w:val="28"/>
          <w:rtl w:val="true"/>
          <w:lang w:bidi="fa-IR"/>
        </w:rPr>
        <w:t>،و إطلاقه کمعاقد الإجماعات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یعمّ </w:t>
      </w:r>
      <w:r>
        <w:rPr>
          <w:rStyle w:val="FootnoteAnchor"/>
          <w:rtl w:val="true"/>
        </w:rPr>
        <w:footnoteReference w:id="8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تلف فی حال الخیار أم تلف بعد بطلانه،کما لو قلنا بکونه علی الفور فبطل بالتأخیر،أو بذل المشتری الثمن فتلف العین فی هذا الحال</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یُعارض النبویّ بقاعدة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الملازمة بین النماء و الدَّرَک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المستفادة من النصّ </w:t>
      </w:r>
      <w:r>
        <w:rPr>
          <w:rStyle w:val="FootnoteAnchor"/>
          <w:rtl w:val="true"/>
        </w:rPr>
        <w:footnoteReference w:id="861"/>
      </w:r>
      <w:r>
        <w:rPr>
          <w:rFonts w:ascii="IRNazanin" w:hAnsi="IRNazanin" w:eastAsia="IRNazanin"/>
          <w:color w:val="111111"/>
          <w:sz w:val="28"/>
          <w:sz w:val="28"/>
          <w:szCs w:val="28"/>
          <w:rtl w:val="true"/>
          <w:lang w:bidi="fa-IR"/>
        </w:rPr>
        <w:t>و الاستقراء و القاعدة المجمَع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w:t>
      </w:r>
      <w:r>
        <w:rPr>
          <w:rStyle w:val="FootnoteAnchor"/>
          <w:rtl w:val="true"/>
        </w:rPr>
        <w:footnoteReference w:id="862"/>
      </w:r>
      <w:r>
        <w:rPr>
          <w:rFonts w:ascii="IRNazanin" w:hAnsi="IRNazanin" w:eastAsia="IRNazanin"/>
          <w:color w:val="111111"/>
          <w:sz w:val="28"/>
          <w:sz w:val="28"/>
          <w:szCs w:val="28"/>
          <w:rtl w:val="true"/>
          <w:lang w:bidi="fa-IR"/>
        </w:rPr>
        <w:t>التلف فی زمان الخیار ممّن لا خیار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النبویّ أخصّ من القاعدة الاُولی فلا معارضة،و القاعدة الثانیة لا عموم فیها یشمل جمیع أفراد الخیار و لا جمیع أحوال البیع حتّی قبل القبض،بل التحقیق فیها کما سیجیء </w:t>
      </w:r>
      <w:r>
        <w:rPr>
          <w:rStyle w:val="FootnoteAnchor"/>
          <w:rtl w:val="true"/>
        </w:rPr>
        <w:footnoteReference w:id="863"/>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اختصاصها بخیار المجلس و الشرط و الحیوان مع کون التلف بعد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تلف فی الثلاثة،فالمشهور کونه من مال البائع أیضاً،و عن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الإجماع علیه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خلافاً لجماعةٍ من القدماء منهم المفید </w:t>
      </w:r>
      <w:r>
        <w:rPr>
          <w:rStyle w:val="FootnoteAnchor"/>
          <w:rtl w:val="true"/>
        </w:rPr>
        <w:footnoteReference w:id="865"/>
      </w:r>
      <w:r>
        <w:rPr>
          <w:rFonts w:ascii="Amiri" w:hAnsi="Amiri" w:eastAsia="Amiri" w:cs="Amiri"/>
          <w:color w:val="111111"/>
          <w:sz w:val="28"/>
          <w:sz w:val="28"/>
          <w:szCs w:val="28"/>
          <w:rtl w:val="true"/>
          <w:lang w:bidi="ar-SA"/>
        </w:rPr>
        <w:t xml:space="preserve">و السیّدان </w:t>
      </w:r>
      <w:r>
        <w:rPr>
          <w:rStyle w:val="FootnoteAnchor"/>
          <w:rtl w:val="true"/>
        </w:rPr>
        <w:footnoteReference w:id="8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مدّعین علیه الإجماع،و هو مع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المالک لماله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حجّةً لهذا القول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 الإجماع معارَضٌ بل موهونٌ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القاعدة مخصَّصةٌ بالنبویّ المذکور </w:t>
      </w:r>
      <w:r>
        <w:rPr>
          <w:rStyle w:val="FootnoteAnchor"/>
          <w:rtl w:val="true"/>
        </w:rPr>
        <w:footnoteReference w:id="867"/>
      </w:r>
      <w:r>
        <w:rPr>
          <w:rFonts w:ascii="IRNazanin" w:hAnsi="IRNazanin" w:eastAsia="IRNazanin"/>
          <w:color w:val="111111"/>
          <w:sz w:val="28"/>
          <w:sz w:val="28"/>
          <w:szCs w:val="28"/>
          <w:rtl w:val="true"/>
          <w:lang w:bidi="fa-IR"/>
        </w:rPr>
        <w:t>المنجبر من حیث الصدور،مضافاً إلی روایة عقبة بن خالد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اشتری متاعاً من رجلٍ و أوجبه غیر أنّه ترک المتاع عنده و لم یقبضه،قال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آتیک غداً إن شاء اللّٰه،فسُرق المتاع،من مال مَن یکون؟قال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مال صاحب المتاع الذی هو فی بیته حتّی یُقبض</w:t>
      </w:r>
    </w:p>
    <w:p>
      <w:pPr>
        <w:pStyle w:val="BookText"/>
        <w:rPr/>
      </w:pPr>
      <w:r>
        <w:rPr>
          <w:rFonts w:ascii="IRNazanin" w:hAnsi="IRNazanin" w:eastAsia="IRNazanin"/>
          <w:color w:val="111111"/>
          <w:sz w:val="28"/>
          <w:sz w:val="28"/>
          <w:szCs w:val="28"/>
          <w:rtl w:val="true"/>
          <w:lang w:bidi="fa-IR"/>
        </w:rPr>
        <w:t xml:space="preserve">المال و یخرجه من بیته،فإذا أخرجه من بیته فالمبتاع ضامنٌ لحقّه حتّی یردّ إلیه حقّه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مکّنه من القبض فلم یتسلّم،فضمان البائع مبنیٌّ علی ارتفاع الضمان بذلک،و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باع الإنسان شیئاً و لم یقبض المتاع و لا قبض الثمن و مضی المبتاع،فإنّ العقد موقوفٌ ثلاثة أیّام،فإن جاء المبتاع فی مدّة ثلاثة أیّامٍ کان المبیع له،و إن مضت ثلاثة أیّامٍ کان البائع أولی بالمتاع،فإن هلک المتاع فی هذه الثلاثة أیّام و لم یکن قبّضه إیّاه کان من مال البائع دون المبتاع،و إن کان قبّضه إیّاه ثمّ هلک فی مدّة الثلاثة أیّام کان من مال المبتاع،و إن هلک بعد الثلاثة أیّام کان من مال البائع علی کلّ حالٍ </w:t>
      </w:r>
      <w:r>
        <w:rPr>
          <w:rStyle w:val="FootnoteAnchor"/>
          <w:rtl w:val="true"/>
        </w:rPr>
        <w:footnoteReference w:id="869"/>
      </w:r>
      <w:r>
        <w:rPr>
          <w:rFonts w:ascii="IRNazanin" w:hAnsi="IRNazanin" w:eastAsia="IRNazanin"/>
          <w:color w:val="111111"/>
          <w:sz w:val="28"/>
          <w:sz w:val="28"/>
          <w:szCs w:val="28"/>
          <w:rtl w:val="true"/>
          <w:lang w:bidi="fa-IR"/>
        </w:rPr>
        <w:t>،انتهی المحکیّ فی المختلف،و قال بعد الحکایة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نظرٌ،إذ مع القبض یلزم البیع </w:t>
      </w:r>
      <w:r>
        <w:rPr>
          <w:rStyle w:val="FootnoteAnchor"/>
          <w:rtl w:val="true"/>
        </w:rPr>
        <w:footnoteReference w:id="87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جعل الفِقرة الثالثة مقابلةً للفِقْرتین،فیشمل ما بعد القبض و ما قبله،خصوصاً مع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التعمیم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خلاف الإجماع منافٍ لتعلیل الحکم بعد ذلک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الخیار له بعد الثلاثة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من المعلوم أنّ الخیار إنّما یکون له مع عدم القبض،فیدلّ ذلک علی أنّ الحکم المعلّل مفروضٌ فیما قبل القبض</w:t>
      </w:r>
      <w:r>
        <w:rPr>
          <w:rFonts w:eastAsia="IRNazanin" w:cs="IRNazanin"/>
          <w:color w:val="111111"/>
          <w:sz w:val="28"/>
          <w:szCs w:val="28"/>
          <w:rtl w:val="true"/>
          <w:lang w:bidi="fa-IR"/>
        </w:rPr>
        <w:t>.</w:t>
      </w:r>
      <w:bookmarkStart w:id="437" w:name="pg19864_220867"/>
    </w:p>
    <w:p>
      <w:pPr>
        <w:pStyle w:val="Heading5"/>
        <w:numPr>
          <w:ilvl w:val="4"/>
          <w:numId w:val="1"/>
        </w:numPr>
        <w:rPr/>
      </w:pPr>
      <w:bookmarkStart w:id="438" w:name="__RefHeading___Toc5148842_2314609296"/>
      <w:bookmarkStart w:id="439" w:name="_Toc166"/>
      <w:bookmarkEnd w:id="437"/>
      <w:bookmarkEnd w:id="438"/>
      <w:r>
        <w:rPr>
          <w:rtl w:val="true"/>
        </w:rPr>
        <w:t>مسألة لو اشتری ما یفسد من یومه،فإن جاء بالثمن ما بینه و بین اللیل،و إلّا فلا بیع له،</w:t>
      </w:r>
      <w:bookmarkEnd w:id="439"/>
    </w:p>
    <w:p>
      <w:pPr>
        <w:pStyle w:val="BookText"/>
        <w:rPr/>
      </w:pPr>
      <w:r>
        <w:rPr>
          <w:rFonts w:ascii="IRNazanin" w:hAnsi="IRNazanin" w:eastAsia="IRNazanin"/>
          <w:color w:val="111111"/>
          <w:sz w:val="28"/>
          <w:sz w:val="28"/>
          <w:szCs w:val="28"/>
          <w:rtl w:val="true"/>
          <w:lang w:bidi="fa-IR"/>
        </w:rPr>
        <w:t xml:space="preserve">کما فی مرسلة محمّد بن أبی حمزة </w:t>
      </w:r>
      <w:r>
        <w:rPr>
          <w:rStyle w:val="FootnoteAnchor"/>
          <w:rtl w:val="true"/>
        </w:rPr>
        <w:footnoteReference w:id="8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 نفی البیع نفی لزومه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علیه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البائع ضامنٌ للمبیع ممنوعٌ عن التصرّف فیه محرومٌ عن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یمکن تعدیة الحکم إلی کلِّ موردٍ یتحقّق فیه هذا الضرر،و إن خرج عن مورد النصّ،کما إذا کان المبیع ممّا یفسد فی نصف یومٍ أو فی یومین،فیثبت فیه الخیار فی زمانٍ یکون التأخیر عنه ضرراً علی البائع</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ظاهر النصّ یوهم خلاف ما ذکرنا؛لأنّ الموضوع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یفسد من یومه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 فیه بثبوت الخیار من أوّل اللیل،فیکون الخیار فی أوّل أزمنة الفساد،و من المعلوم أنّ الخیار حینئذٍ لا یجدی للبائع شیئاً،لکن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و لیله،فالمعنی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یبقی علی صفة الصلاح أزید من یوم بلیلته </w:t>
      </w:r>
      <w:r>
        <w:rPr>
          <w:rStyle w:val="FootnoteAnchor"/>
          <w:rtl w:val="true"/>
        </w:rPr>
        <w:footnoteReference w:id="872"/>
      </w:r>
      <w:r>
        <w:rPr>
          <w:rFonts w:ascii="IRNazanin" w:hAnsi="IRNazanin" w:eastAsia="IRNazanin"/>
          <w:color w:val="111111"/>
          <w:sz w:val="28"/>
          <w:sz w:val="28"/>
          <w:szCs w:val="28"/>
          <w:rtl w:val="true"/>
          <w:lang w:bidi="fa-IR"/>
        </w:rPr>
        <w:t>،فیکون المفسد له المبیت</w:t>
      </w:r>
    </w:p>
    <w:p>
      <w:pPr>
        <w:pStyle w:val="BookText"/>
        <w:rPr/>
      </w:pPr>
      <w:r>
        <w:rPr>
          <w:rFonts w:ascii="IRNazanin" w:hAnsi="IRNazanin" w:eastAsia="IRNazanin"/>
          <w:color w:val="111111"/>
          <w:sz w:val="28"/>
          <w:sz w:val="28"/>
          <w:szCs w:val="28"/>
          <w:rtl w:val="true"/>
          <w:lang w:bidi="fa-IR"/>
        </w:rPr>
        <w:t>لا مجرّد دخول اللیل،فإذا فسخ البائع أوّل اللیل أمکن له الانتفاع به و ببدله،و لأجل ذلک عبّر فی الدروس عن هذا الخیار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ما یفسده المبیت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أنّه ثابتٌ عند دخول اللیل </w:t>
      </w:r>
      <w:r>
        <w:rPr>
          <w:rStyle w:val="FootnoteAnchor"/>
          <w:rtl w:val="true"/>
        </w:rPr>
        <w:footnoteReference w:id="873"/>
      </w:r>
      <w:r>
        <w:rPr>
          <w:rFonts w:ascii="IRNazanin" w:hAnsi="IRNazanin" w:eastAsia="IRNazanin"/>
          <w:color w:val="111111"/>
          <w:sz w:val="28"/>
          <w:sz w:val="28"/>
          <w:szCs w:val="28"/>
          <w:rtl w:val="true"/>
          <w:lang w:bidi="fa-IR"/>
        </w:rPr>
        <w:t>،و فی معقد إجماع الغنیة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علی البائع الصبر یوماً </w:t>
      </w:r>
      <w:r>
        <w:rPr>
          <w:rStyle w:val="FootnoteAnchor"/>
          <w:rtl w:val="true"/>
        </w:rPr>
        <w:footnoteReference w:id="874"/>
      </w:r>
      <w:r>
        <w:rPr>
          <w:rFonts w:ascii="IRNazanin" w:hAnsi="IRNazanin" w:eastAsia="IRNazanin"/>
          <w:color w:val="111111"/>
          <w:sz w:val="28"/>
          <w:sz w:val="28"/>
          <w:szCs w:val="28"/>
          <w:rtl w:val="true"/>
          <w:lang w:bidi="fa-IR"/>
        </w:rPr>
        <w:t xml:space="preserve">ثمّ هو بالخیار </w:t>
      </w:r>
      <w:r>
        <w:rPr>
          <w:rStyle w:val="FootnoteAnchor"/>
          <w:rtl w:val="true"/>
        </w:rPr>
        <w:footnoteReference w:id="8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محکیّ الوسیلة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خیار الفواکه للبائع،فإذا مرّ علی المبیع یومٌ و لم یقبض المبتاع کان البائع بالخیار </w:t>
      </w:r>
      <w:r>
        <w:rPr>
          <w:rStyle w:val="FootnoteAnchor"/>
          <w:rtl w:val="true"/>
        </w:rPr>
        <w:footnoteReference w:id="8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نحوها عبارة جامع الشرائع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نعم،عبارات جماعةٍ من الأصحاب لا یخلو عن اختلالٍ فی التعبیر،لکن الإجماع علی عدم الخیار للبائع فی النهار یوجب تأویلها إلی ما یوافق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أحسن تلک العبارات عبارة الصدوق فی الفقیه التی أسندها فی الوسائل إلی روایة زرارة،قال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العهدة فیما یفسد من یومه مثل البقول و البطّیخ و الفواکه یومٌ إلی اللیل</w:t>
      </w:r>
      <w:r>
        <w:rPr>
          <w:rFonts w:eastAsia="IRNazanin" w:cs="IRNazanin"/>
          <w:color w:val="111111"/>
          <w:sz w:val="28"/>
          <w:szCs w:val="28"/>
          <w:rtl w:val="true"/>
          <w:lang w:bidi="fa-IR"/>
        </w:rPr>
        <w:t xml:space="preserve">» </w:t>
      </w:r>
      <w:r>
        <w:rPr>
          <w:rStyle w:val="FootnoteAnchor"/>
          <w:rtl w:val="true"/>
        </w:rPr>
        <w:footnoteReference w:id="878"/>
      </w:r>
      <w:r>
        <w:rPr>
          <w:rFonts w:ascii="Amiri" w:hAnsi="Amiri" w:eastAsia="Amiri" w:cs="Amiri"/>
          <w:color w:val="111111"/>
          <w:sz w:val="28"/>
          <w:sz w:val="28"/>
          <w:szCs w:val="28"/>
          <w:rtl w:val="true"/>
          <w:lang w:bidi="ar-SA"/>
        </w:rPr>
        <w:t>فإنّ المراد بالعهدة عهدة البائع</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باع الإنسان ما لا یصحّ علیه البقاء من الخُضَر و غیرها و لم یقبض المبتاع و لا قَبَض الثمن کان الخیار فیه یوماً،</w:t>
      </w:r>
    </w:p>
    <w:p>
      <w:pPr>
        <w:pStyle w:val="BookText"/>
        <w:rPr/>
      </w:pPr>
      <w:r>
        <w:rPr>
          <w:rFonts w:ascii="IRNazanin" w:hAnsi="IRNazanin" w:eastAsia="IRNazanin"/>
          <w:color w:val="111111"/>
          <w:sz w:val="28"/>
          <w:sz w:val="28"/>
          <w:szCs w:val="28"/>
          <w:rtl w:val="true"/>
          <w:lang w:bidi="fa-IR"/>
        </w:rPr>
        <w:t xml:space="preserve">فإن جاء المبتاع بالثمن فی ذلک الیوم،و إلّا فلا بیع له </w:t>
      </w:r>
      <w:r>
        <w:rPr>
          <w:rStyle w:val="FootnoteAnchor"/>
          <w:rtl w:val="true"/>
        </w:rPr>
        <w:footnoteReference w:id="87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نحوها عبارة السرائر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 المراد بالخیار اختیار المشتری فی تأخیر القبض و الإقباض مع بقاء البیع علی حاله من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المتأخّرون،فظاهر أکثرهم یوهم کون اللیل غایةً للخیار، و إن اختلفوا بین من عبّر بکون الخیار یوماً </w:t>
      </w:r>
      <w:r>
        <w:rPr>
          <w:rStyle w:val="FootnoteAnchor"/>
          <w:rtl w:val="true"/>
        </w:rPr>
        <w:footnoteReference w:id="881"/>
      </w:r>
      <w:r>
        <w:rPr>
          <w:rFonts w:ascii="IRNazanin" w:hAnsi="IRNazanin" w:eastAsia="IRNazanin"/>
          <w:color w:val="111111"/>
          <w:sz w:val="28"/>
          <w:sz w:val="28"/>
          <w:szCs w:val="28"/>
          <w:rtl w:val="true"/>
          <w:lang w:bidi="fa-IR"/>
        </w:rPr>
        <w:t xml:space="preserve">و من عبّر بأنّ الخیار إلی اللیل </w:t>
      </w:r>
      <w:r>
        <w:rPr>
          <w:rStyle w:val="FootnoteAnchor"/>
          <w:rtl w:val="true"/>
        </w:rPr>
        <w:footnoteReference w:id="8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یُعلم وجهٌ صحیحٌ لهذه التعبیرات مع وضوح المقصد إلّا متابعة عبارة الشیخ فی النهایة،لکنّک عرفت أنّ المراد بالخیار فیه اختیار المشتری،و أنّ له تأخیر القبض و الإقباض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الاستعمال فی کلام المتأخّرین خلاف ما اصطلحوا علیه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یحسن المتابعة هنا فی التعبیر،و الأولی تعبیر الدروس کما عرفت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الظاهر أنّ شروط هذا الخیار شروط خیار التأخیر؛لأنّه فردٌ من أفراده،کما هو صریح عنوان الغنیة </w:t>
      </w:r>
      <w:r>
        <w:rPr>
          <w:rStyle w:val="FootnoteAnchor"/>
          <w:rtl w:val="true"/>
        </w:rPr>
        <w:footnoteReference w:id="884"/>
      </w:r>
      <w:r>
        <w:rPr>
          <w:rFonts w:ascii="IRNazanin" w:hAnsi="IRNazanin" w:eastAsia="IRNazanin"/>
          <w:color w:val="111111"/>
          <w:sz w:val="28"/>
          <w:sz w:val="28"/>
          <w:szCs w:val="28"/>
          <w:rtl w:val="true"/>
          <w:lang w:bidi="fa-IR"/>
        </w:rPr>
        <w:t xml:space="preserve">و غیرها </w:t>
      </w:r>
      <w:r>
        <w:rPr>
          <w:rStyle w:val="FootnoteAnchor"/>
          <w:rtl w:val="true"/>
        </w:rPr>
        <w:footnoteReference w:id="885"/>
      </w:r>
      <w:r>
        <w:rPr>
          <w:rFonts w:ascii="IRNazanin" w:hAnsi="IRNazanin" w:eastAsia="IRNazanin"/>
          <w:color w:val="111111"/>
          <w:sz w:val="28"/>
          <w:sz w:val="28"/>
          <w:szCs w:val="28"/>
          <w:rtl w:val="true"/>
          <w:lang w:bidi="fa-IR"/>
        </w:rPr>
        <w:t>،فیشترط فیه جمیع</w:t>
      </w:r>
    </w:p>
    <w:p>
      <w:pPr>
        <w:pStyle w:val="BookText"/>
        <w:rPr/>
      </w:pPr>
      <w:r>
        <w:rPr>
          <w:rFonts w:ascii="IRNazanin" w:hAnsi="IRNazanin" w:eastAsia="IRNazanin"/>
          <w:color w:val="111111"/>
          <w:sz w:val="28"/>
          <w:sz w:val="28"/>
          <w:szCs w:val="28"/>
          <w:rtl w:val="true"/>
          <w:lang w:bidi="fa-IR"/>
        </w:rPr>
        <w:t>ما سبق من الشروط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نعم،لا ینبغی التأمّل هنا فی اختصاص الحکم بالمبیع </w:t>
      </w:r>
      <w:r>
        <w:rPr>
          <w:rStyle w:val="FootnoteAnchor"/>
          <w:rtl w:val="true"/>
        </w:rPr>
        <w:footnoteReference w:id="886"/>
      </w:r>
      <w:r>
        <w:rPr>
          <w:rFonts w:ascii="IRNazanin" w:hAnsi="IRNazanin" w:eastAsia="IRNazanin"/>
          <w:color w:val="111111"/>
          <w:sz w:val="28"/>
          <w:sz w:val="28"/>
          <w:szCs w:val="28"/>
          <w:rtl w:val="true"/>
          <w:lang w:bidi="fa-IR"/>
        </w:rPr>
        <w:t xml:space="preserve">الشخصی أو ما فی حکمه کالصاع من الصبرة،و قد عرفت هناک </w:t>
      </w:r>
      <w:r>
        <w:rPr>
          <w:rStyle w:val="FootnoteAnchor"/>
          <w:rtl w:val="true"/>
        </w:rPr>
        <w:footnoteReference w:id="887"/>
      </w:r>
      <w:r>
        <w:rPr>
          <w:rFonts w:ascii="IRNazanin" w:hAnsi="IRNazanin" w:eastAsia="IRNazanin"/>
          <w:color w:val="111111"/>
          <w:sz w:val="28"/>
          <w:sz w:val="28"/>
          <w:szCs w:val="28"/>
          <w:rtl w:val="true"/>
          <w:lang w:bidi="fa-IR"/>
        </w:rPr>
        <w:t xml:space="preserve">أنّ التأمّل فی الأدلّة و الفتاوی یشرف </w:t>
      </w:r>
      <w:r>
        <w:rPr>
          <w:rStyle w:val="FootnoteAnchor"/>
          <w:rtl w:val="true"/>
        </w:rPr>
        <w:footnoteReference w:id="888"/>
      </w:r>
      <w:r>
        <w:rPr>
          <w:rFonts w:ascii="IRNazanin" w:hAnsi="IRNazanin" w:eastAsia="IRNazanin"/>
          <w:color w:val="111111"/>
          <w:sz w:val="28"/>
          <w:sz w:val="28"/>
          <w:szCs w:val="28"/>
          <w:rtl w:val="true"/>
          <w:lang w:bidi="fa-IR"/>
        </w:rPr>
        <w:t>علی القطع بالاختصاص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 الهلاک فی الیوم هنا و فیما بعده حکم المبیع هناک فی کونه من البائع فی الحالین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لازم القول الآخر هناک جریانه هنا،کما صرّح به فی الغنیة حیث جعله قبل اللیل من المشتری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المراد بالفساد فی النصّ و الفتوی لیس الفساد الحقیقی؛لأنّ موردهما هو الخُضَر و الفواکه و البقول،و هذه لا تضیع بالمبیت و لا تهلک، بل المراد ما یشمل تغیّر العین نظیر التغیّر الحادث فی هذه الأُمور بسبب المبیت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لم یحدث فی البیع إلّا فوات السوق،ففی إلحاقه بتغیّر العین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کونه ضرراً،و من إمکان منع ذلک لکونه فوت نفعٍ لا ضرراً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bookmarkStart w:id="440" w:name="pg19864_220871"/>
    </w:p>
    <w:p>
      <w:pPr>
        <w:pStyle w:val="Heading4"/>
        <w:numPr>
          <w:ilvl w:val="3"/>
          <w:numId w:val="1"/>
        </w:numPr>
        <w:rPr/>
      </w:pPr>
      <w:bookmarkStart w:id="441" w:name="__RefHeading___Toc5148844_2314609296"/>
      <w:bookmarkStart w:id="442" w:name="_Toc167"/>
      <w:bookmarkEnd w:id="440"/>
      <w:bookmarkEnd w:id="441"/>
      <w:r>
        <w:rPr>
          <w:rtl w:val="true"/>
        </w:rPr>
        <w:t>السادس خیار الرؤیة</w:t>
      </w:r>
      <w:bookmarkEnd w:id="442"/>
    </w:p>
    <w:p>
      <w:pPr>
        <w:pStyle w:val="Heading5"/>
        <w:numPr>
          <w:ilvl w:val="4"/>
          <w:numId w:val="1"/>
        </w:numPr>
        <w:rPr/>
      </w:pPr>
      <w:bookmarkStart w:id="443" w:name="__RefHeading___Toc5148846_2314609296"/>
      <w:bookmarkStart w:id="444" w:name="_Toc168"/>
      <w:bookmarkEnd w:id="443"/>
      <w:r>
        <w:rPr>
          <w:rtl w:val="true"/>
        </w:rPr>
        <w:t>اشاره</w:t>
      </w:r>
      <w:bookmarkEnd w:id="444"/>
    </w:p>
    <w:p>
      <w:pPr>
        <w:pStyle w:val="BookText"/>
        <w:rPr/>
      </w:pPr>
      <w:r>
        <w:rPr>
          <w:rFonts w:ascii="IRNazanin" w:hAnsi="IRNazanin" w:eastAsia="IRNazanin"/>
          <w:color w:val="111111"/>
          <w:sz w:val="28"/>
          <w:sz w:val="28"/>
          <w:szCs w:val="28"/>
          <w:rtl w:val="true"/>
          <w:lang w:bidi="fa-IR"/>
        </w:rPr>
        <w:t>و المراد به الخیار المسبَّب عن رؤیة المبیع علی خلاف ما اشترطه فیه المتبایعان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یدلّ علیه قبل الإجماع المحقَّق و المستفیض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حدیثُ نفی الضرر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استُدلّ علیه أیضاً بأخبارٍ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جمیل بن درّاج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رجلٍ اشتری ضیعةً و قد کان یدخلها و یخرج منها،فلمّا أن نقد المال صار إلی الضیعة فقلّبها ثمّ رجع فاستقال صاحبه،فلم یُقِله،فقال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لو قلّب منها و نظر إلی تسعٍ و تسعین قطعةً ثمّ بقی منها قطعةٌ لم یرها لکان له فیها خیار الرؤیة</w:t>
      </w:r>
      <w:r>
        <w:rPr>
          <w:rFonts w:eastAsia="IRNazanin" w:cs="IRNazanin"/>
          <w:color w:val="111111"/>
          <w:sz w:val="28"/>
          <w:szCs w:val="28"/>
          <w:rtl w:val="true"/>
          <w:lang w:bidi="fa-IR"/>
        </w:rPr>
        <w:t xml:space="preserve">» </w:t>
      </w:r>
      <w:r>
        <w:rPr>
          <w:rStyle w:val="FootnoteAnchor"/>
          <w:rtl w:val="true"/>
        </w:rPr>
        <w:footnoteReference w:id="8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حملها علی صورةٍ یصحّ معها بیع الضیعة،إمّا بوصف القطعة الغیر المرئیّة،أو بدلالة ما رآه منها علی ما لم یره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یستدلّ أیضاً بصحیحة زید الشحّام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رجلٍ اشتری سهام القصّابین من قبل أن یخرج السهم،فقال علیه السلام</w:t>
      </w:r>
    </w:p>
    <w:p>
      <w:pPr>
        <w:pStyle w:val="BookText"/>
        <w:rPr/>
      </w:pPr>
      <w:r>
        <w:rPr>
          <w:rFonts w:ascii="IRNazanin" w:hAnsi="IRNazanin" w:eastAsia="IRNazanin"/>
          <w:color w:val="111111"/>
          <w:sz w:val="28"/>
          <w:sz w:val="28"/>
          <w:szCs w:val="28"/>
          <w:rtl w:val="true"/>
          <w:lang w:bidi="fa-IR"/>
        </w:rPr>
        <w:t>لا یشتر شیئاً حتّی یعلم أین یخرج السهم،فإن اشتری شیئاً فهو بالخیار إذا خرج</w:t>
      </w:r>
      <w:r>
        <w:rPr>
          <w:rFonts w:eastAsia="IRNazanin" w:cs="IRNazanin"/>
          <w:color w:val="111111"/>
          <w:sz w:val="28"/>
          <w:szCs w:val="28"/>
          <w:rtl w:val="true"/>
          <w:lang w:bidi="fa-IR"/>
        </w:rPr>
        <w:t xml:space="preserve">»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فی الحدائق </w:t>
      </w:r>
      <w:r>
        <w:rPr>
          <w:rStyle w:val="FootnoteAnchor"/>
          <w:rtl w:val="true"/>
        </w:rPr>
        <w:footnoteReference w:id="8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توضیح معنی هذا الخبر ما رواه فی الکافی و التهذیب فی الصحیح عن عبد الرحمن بن الحجّاج عن منهال القصّاب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مجهولٌ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أشتری الغنم أو یشتری الغنم جماعةٌ،ثمّ تُدخَل داراً،ثمّ یقوم رجلٌ علی الباب فیعُدّ واحداً و اثنین و ثلاثة و أربعة و خمسة ثمّ یخرج السهم؟قال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 هذا،إنّما تصلح السهام إذا عدلت القسمة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یُعلم وجه الاستشهاد به لما نحن فیه؛لأنّ المشتری لسهم القصّاب إن اشتراه مشاعاً فلا مورد لخیار الرؤیة،و إن اشتری سهمه المعیّن الذی یخرج فهو شراء فردٍ غیر معیّنٍ،و هو باطلٌ،و علی الصحّة فلا خیار فیه للرؤیة کالمشاع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حمله علی شراء عددٍ معیّنٍ نظیر الصاع من الصبرة، و یکون له خیار الحیوان إذا خرج السهم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صحیحة جمیل مختصّةٌ بالمشتری،و الظاهر الاتّفاق علی أنّ هذا الخیار یثبت للبائع أیضاً إذا لم یرَ المبیع و باعه بوصف غیره فتبیّن کونه زائداً علی ما وصف</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حکی عن بعضٍ </w:t>
      </w:r>
      <w:r>
        <w:rPr>
          <w:rStyle w:val="FootnoteAnchor"/>
          <w:rtl w:val="true"/>
        </w:rPr>
        <w:footnoteReference w:id="8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یحتمل فی صحیحة جمیل أن یکون التفتیش من البائع بأن یکون البائع باعه بوصف المشتری،و حینئذٍ فیکون الجواب عامّاً بالنسبة إلیهما علی تقدیر هذا الاحتمال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یخفی بعده،و أبعد منه دعوی عموم الجواب حینئذٍ </w:t>
      </w:r>
      <w:r>
        <w:rPr>
          <w:rStyle w:val="FootnoteAnchor"/>
          <w:rtl w:val="true"/>
        </w:rPr>
        <w:footnoteReference w:id="896"/>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bookmarkStart w:id="445" w:name="pg19864_220874"/>
    </w:p>
    <w:p>
      <w:pPr>
        <w:pStyle w:val="Heading5"/>
        <w:numPr>
          <w:ilvl w:val="4"/>
          <w:numId w:val="1"/>
        </w:numPr>
        <w:rPr/>
      </w:pPr>
      <w:bookmarkStart w:id="446" w:name="__RefHeading___Toc5148848_2314609296"/>
      <w:bookmarkStart w:id="447" w:name="_Toc169"/>
      <w:bookmarkEnd w:id="445"/>
      <w:bookmarkEnd w:id="446"/>
      <w:r>
        <w:rPr>
          <w:rtl w:val="true"/>
        </w:rPr>
        <w:t>مسألة مورد هذا الخیار بیع العین الشخصیّة الغائبة</w:t>
      </w:r>
      <w:r>
        <w:rPr>
          <w:rtl w:val="true"/>
        </w:rPr>
        <w:t>.</w:t>
      </w:r>
      <w:bookmarkEnd w:id="447"/>
    </w:p>
    <w:p>
      <w:pPr>
        <w:pStyle w:val="BookText"/>
        <w:rPr/>
      </w:pPr>
      <w:r>
        <w:rPr>
          <w:rFonts w:ascii="IRNazanin" w:hAnsi="IRNazanin" w:eastAsia="IRNazanin"/>
          <w:color w:val="111111"/>
          <w:sz w:val="28"/>
          <w:sz w:val="28"/>
          <w:szCs w:val="28"/>
          <w:rtl w:val="true"/>
          <w:lang w:bidi="fa-IR"/>
        </w:rPr>
        <w:t>و المعروف أنّه یشترط فی صحّته ذکر أوصاف المبیع التی یرتفع بها الجهالة الموجبة للغرر؛إذ لولاها لکان غرراً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عبّر بعضهم عن هذه الأوصاف بما یختلف الثمن باختلافه،کما فی الوسیلة </w:t>
      </w:r>
      <w:r>
        <w:rPr>
          <w:rStyle w:val="FootnoteAnchor"/>
          <w:rtl w:val="true"/>
        </w:rPr>
        <w:footnoteReference w:id="897"/>
      </w:r>
      <w:r>
        <w:rPr>
          <w:rFonts w:ascii="IRNazanin" w:hAnsi="IRNazanin" w:eastAsia="IRNazanin"/>
          <w:color w:val="111111"/>
          <w:sz w:val="28"/>
          <w:sz w:val="28"/>
          <w:szCs w:val="28"/>
          <w:rtl w:val="true"/>
          <w:lang w:bidi="fa-IR"/>
        </w:rPr>
        <w:t xml:space="preserve">و جامع المقاصد </w:t>
      </w:r>
      <w:r>
        <w:rPr>
          <w:rStyle w:val="FootnoteAnchor"/>
          <w:rtl w:val="true"/>
        </w:rPr>
        <w:footnoteReference w:id="898"/>
      </w:r>
      <w:r>
        <w:rPr>
          <w:rFonts w:ascii="IRNazanin" w:hAnsi="IRNazanin" w:eastAsia="IRNazanin"/>
          <w:color w:val="111111"/>
          <w:sz w:val="28"/>
          <w:sz w:val="28"/>
          <w:szCs w:val="28"/>
          <w:rtl w:val="true"/>
          <w:lang w:bidi="fa-IR"/>
        </w:rPr>
        <w:t xml:space="preserve">و غیرهما </w:t>
      </w:r>
      <w:r>
        <w:rPr>
          <w:rStyle w:val="FootnoteAnchor"/>
          <w:rtl w:val="true"/>
        </w:rPr>
        <w:footnoteReference w:id="8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آخر بما یعتبر فی صحّة السلم </w:t>
      </w:r>
      <w:r>
        <w:rPr>
          <w:rStyle w:val="FootnoteAnchor"/>
          <w:rtl w:val="true"/>
        </w:rPr>
        <w:footnoteReference w:id="9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آخرون کالشیخین </w:t>
      </w:r>
      <w:r>
        <w:rPr>
          <w:rStyle w:val="FootnoteAnchor"/>
          <w:rtl w:val="true"/>
        </w:rPr>
        <w:footnoteReference w:id="901"/>
      </w:r>
      <w:r>
        <w:rPr>
          <w:rFonts w:ascii="Amiri" w:hAnsi="Amiri" w:eastAsia="Amiri" w:cs="Amiri"/>
          <w:color w:val="111111"/>
          <w:sz w:val="28"/>
          <w:sz w:val="28"/>
          <w:szCs w:val="28"/>
          <w:rtl w:val="true"/>
          <w:lang w:bidi="ar-SA"/>
        </w:rPr>
        <w:t xml:space="preserve">و الحلّی </w:t>
      </w:r>
      <w:r>
        <w:rPr>
          <w:rStyle w:val="FootnoteAnchor"/>
          <w:rtl w:val="true"/>
        </w:rPr>
        <w:footnoteReference w:id="9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اقتصروا علی اعتبار ذکر الصفة</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مرجع الجمیع واحدٌ،و لذا ادّعی الإجماع علی کلّ</w:t>
      </w:r>
    </w:p>
    <w:p>
      <w:pPr>
        <w:pStyle w:val="BookText"/>
        <w:rPr/>
      </w:pPr>
      <w:r>
        <w:rPr>
          <w:rFonts w:ascii="Amiri" w:hAnsi="Amiri" w:eastAsia="Amiri" w:cs="Amiri"/>
          <w:color w:val="111111"/>
          <w:sz w:val="28"/>
          <w:sz w:val="28"/>
          <w:szCs w:val="28"/>
          <w:rtl w:val="true"/>
          <w:lang w:bidi="ar-SA"/>
        </w:rPr>
        <w:t>واحدٍ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ففی موضعٍ من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بیع خیار الرؤیة وصف المبیع وصفاً یکفی فی السلم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فی موضعٍ آخر من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شرط صحّة بیع الغائبة وصفها بما یرفع الجهالة عند علمائنا أجمع،و یجب ذکر اللفظ الدالّ علی الجنس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ذکر أنّه یجب ذکر اللفظ الدالّ علی التمیّز،و ذلک بذکر جمیع الصفات التی یختلف الأثمان باختلافها و یتطرّق الجهالة بترک بعضها </w:t>
      </w:r>
      <w:r>
        <w:rPr>
          <w:rStyle w:val="FootnoteAnchor"/>
          <w:rtl w:val="true"/>
        </w:rPr>
        <w:footnoteReference w:id="90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ضابط ذلک أنّ کلّ وصفٍ تتفاوت الرغبات بثبوته و انتفائه و تتفاوت به القیمة تفاوتاً ظاهراً لا یتسامح به یجب ذکره،فلا بدّ من استقصاء أوصاف السلَم،انتهی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ربما یتراءی التنافی بین اعتبار ما یختلف الثمن باختلافه و کفایة ذکر أوصاف السلم من جهة أنّه قد یتسامح فی السلم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Style w:val="FootnoteAnchor"/>
          <w:rtl w:val="true"/>
        </w:rPr>
        <w:footnoteReference w:id="9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بعض الأوصاف،لإفضائه إلی عزّة الوجود أو لتعذّر الاستقصاء علی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المانع مفقودٌ فیما نحن فیه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التذکرة فی باب السلَم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یشترط وصف کلّ عضوٍ من الحیوان بأوصافه المقصودة و إن تفاوت به الغرض و القیمة؛لإفضائه إلی عزّة الوجود </w:t>
      </w:r>
      <w:r>
        <w:rPr>
          <w:rStyle w:val="FootnoteAnchor"/>
          <w:rtl w:val="true"/>
        </w:rPr>
        <w:footnoteReference w:id="90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السلم فی الأحجار المتّخذة للبناء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یذکر نوعها و لونها و یصف عِظَمها،فیقول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یحمل البعیر منها اثنتین أو ثلاثاً أو أربعاً علی سبیل التقریب دون التحقیق،لتعذّر التحقیق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ما یعتبر فی السلَم فی حدّ ذاته مع قطع النظر عن العذر الموجب للمسامحة فی بعض أفراد السلَم،و إن کان یمکن أن یورد علی مسامحتهم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الاستقصاء فی الأوصاف شرطٌ فی السلم غیر مقیّدٍ بحال التمکّن،فتعذّره یوجب فساد السلَم لا الحکم بعدم اشتراطه،کما حکموا بعدم جواز السلم فیما لا یمکن ضبط أوصافه، و تمام الکلام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الأوصاف التی یختلف الثمن من أجلها غیر محصورةٍ، خصوصاً فی العبید و الإماء؛فإنّ مراتبهم الکمالیّة التی تختلف بها أثمانهم غیر محصورة جدّاً،و الاقتصار علی ما یرفع به معظم الغرر إحالةٌ علی مجهول،بل یوجب الاکتفاء علی ما دون صفات السلم؛ لانتفاء الغرر عرفاً بذلک،مع أنّا علمنا أنّ الغرر العرفی أخصّ من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کان،فالمسألة لا تخلو عن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أشکل من ذلک أنّ الظاهر أنّ الوصف یقوم مقام الرؤیة المتحقّقة فی بیع العین الحاضرة، و علی هذا فیجب أن یعتبر فی الرؤیة أن یحصل بها الاطّلاع علی جمیع الصفات المعتبرة فی العین الغائبة ممّا یختلف الثمن باختلافه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رؤیة ما هو مقصودٌ بالبیع کداخل</w:t>
      </w:r>
    </w:p>
    <w:p>
      <w:pPr>
        <w:pStyle w:val="BookText"/>
        <w:rPr/>
      </w:pPr>
      <w:r>
        <w:rPr>
          <w:rFonts w:ascii="IRNazanin" w:hAnsi="IRNazanin" w:eastAsia="IRNazanin"/>
          <w:color w:val="111111"/>
          <w:sz w:val="28"/>
          <w:sz w:val="28"/>
          <w:szCs w:val="28"/>
          <w:rtl w:val="true"/>
          <w:lang w:bidi="fa-IR"/>
        </w:rPr>
        <w:t xml:space="preserve">الثوب،فلو باع ثوباً مطویّاً أو عیناً حاضرةً لا یشاهد منها ما یختلف الثمن لأجله کان کبیع الغائب،یبطل إن لم یوصف وصفاً یرفع الجهالة </w:t>
      </w:r>
      <w:r>
        <w:rPr>
          <w:rStyle w:val="FootnoteAnchor"/>
          <w:rtl w:val="true"/>
        </w:rPr>
        <w:footnoteReference w:id="908"/>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هذا الکلام اعتبار وقوع المشاهدة علی ما یعتبر فی صحّة السلم و بیع الغائب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من السیرة عدم اعتبار الاطّلاع بالرؤیة علی جمیع الصفات المعتبرة فی السلَم و بیع العین الغائبة،فإنّه قد لا یحصل الاطّلاع بالمشاهدة علی سنّ الجاریة،بل و لا علی نوعها و لا غیرها من الأُمور التی لا یعرفها إلّا أهل المعرفة بها،فضلاً عن مرتبة کمالها الإنسانی المطلوبة فی الجواری المبذول بإزائها الأموال، و یبعد کلّ البعد التزام ذلک أو ما دون ذلک فی المشاهدة،بل یلزم من ذلک عدم صحّة شراء غیر العارف بأوصاف المبیع الراجعة إلی نوعه أو صنفه أو شخصه،بل هو بالنسبة إلی الأوصاف التی اعتبروها کالأعمی، لا بدّ من مراجعته لبصیرٍ عارفٍ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أجد فی المسألة أوثق من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المعتبر هو الغرر العرفی فی العین الحاضرة و الغائبة الموصوفة،فإن دلّ علی اعتبار أزید من ذلک حجّةٌ معتبرةٌ أُخذ به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فیما ادّعاه العلّامة فی التذکرة من الإجماع حجّةٌ،مع استناده فی ذلک إلی کونه غرراً عرفاً،حیث قال فی أوّل مسألة اشتراط العلم بالعوضین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أجمع علماؤنا علی اشتراط العلم بالعوضین لیعرف ما الذی مَلِکَ بإزاء ما بذل فینتفی الغرر،فلا یصحّ بیع العین الغائبة ما لم یتقدّم</w:t>
      </w:r>
    </w:p>
    <w:p>
      <w:pPr>
        <w:pStyle w:val="BookText"/>
        <w:rPr/>
      </w:pPr>
      <w:r>
        <w:rPr>
          <w:rFonts w:ascii="IRNazanin" w:hAnsi="IRNazanin" w:eastAsia="IRNazanin"/>
          <w:color w:val="111111"/>
          <w:sz w:val="28"/>
          <w:sz w:val="28"/>
          <w:szCs w:val="28"/>
          <w:rtl w:val="true"/>
          <w:lang w:bidi="fa-IR"/>
        </w:rPr>
        <w:t xml:space="preserve">رؤیةٌ أو یوصف وصفاً یرفع الجهالة </w:t>
      </w:r>
      <w:r>
        <w:rPr>
          <w:rStyle w:val="FootnoteAnchor"/>
          <w:rtl w:val="true"/>
        </w:rPr>
        <w:footnoteReference w:id="90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أنّ المراد بمعرفة ما مَلِک معرفته علی وجهٍ وسطٍ بین طرفی الإجمال و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یمکن الاستشکال فی صحّة هذا العقد بأنّ ذکر الأوصاف لا یخرج البیع عن کونه غرراً؛لأنّ الغرر بدون أخذ الصفات من حیث الجهل بصفات المبیع،فإذا أُخذت فیه مقیّداً بها صار مشکوک الوجود؛ لأنّ العبد المتّصف بتلک الصفات مثلاً لا یعلم وجوده فی الخارج و الغرر فیه 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أخذ الأوصاف فی معنی الاشتراط لا التقیید، فیبیع العبد مثلاً ملتزماً بکونه کذا و کذا،و لا غرر فیه حینئذٍ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صرّح فی النهایة و المسالک فی مسألة ما لو رأی المبیع ثمّ تغیّر عمّا رآه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الرؤیة بمنزلة الاشتراط </w:t>
      </w:r>
      <w:r>
        <w:rPr>
          <w:rStyle w:val="FootnoteAnchor"/>
          <w:rtl w:val="true"/>
        </w:rPr>
        <w:footnoteReference w:id="9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لازمه کون الوصف القائم مقام الرؤیة اشتراطاً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أن یقال ببناء هذا البیع علی تصدیق البائع أو غیره فی إخباره باتّصاف المبیع بالصفات المذکورة،کما یجوز الاعتماد علیه فی الکیل و الوزن؛و لذا ذکروا أنّه یجوز مع جهل المتبایعین بصفة العین الغائبة المبایعة بوصفٍ ثالثٍ لهما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کیف کان،فلا غرر عرفاً فی بیع العین الغائبة مع اعتبار الصفات الرافعة للجهالة،و لا دلیل شرعاً أیضاً علی المنع من حیث عدم العلم بوجود تلک الصفات،فیتعیّن الحکم بجوازه؛مضافاً إلی الإجماع علیه ممّن عدا بعض العامّة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الخیار بین الردّ و الإمساک مجّاناً هو المشهور بین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صریح 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تخییره بین الردّ و الإمساک بالأرش و أنّه لا یجبر علی أحدهما </w:t>
      </w:r>
      <w:r>
        <w:rPr>
          <w:rStyle w:val="FootnoteAnchor"/>
          <w:rtl w:val="true"/>
        </w:rPr>
        <w:footnoteReference w:id="9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یضعّف بأنّه لا دلیل علی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للوصف المفقود دخلٌ فی الصحّة توجّه أخذ الأرش، لکن بخیار العیب،لا خیار رؤیة المبیع علی خلاف ما وصفه؛إذ لو لا الوصف ثبت خیار العیب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سیجیء عدم اشتراط ذکر الأوصاف الراجعة إلی وصف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أضعف من هذا ما ینسب إلی ظاهر المقنعة و النهایة و المراسم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بطلان البیع إذا وجد علی خلاف ما 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الموجود فی المقنعة و النهایة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یکن علی الوصف کان البیع مردوداً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یبعد کون المراد بالمردود القابل للردّ،لا الباطل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عبّر فی النهایة عن خیار الغبن بذلک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بأن یبیع الإنسان متاعاً بأکثر</w:t>
      </w:r>
    </w:p>
    <w:p>
      <w:pPr>
        <w:pStyle w:val="BookText"/>
        <w:rPr/>
      </w:pPr>
      <w:r>
        <w:rPr>
          <w:rFonts w:ascii="IRNazanin" w:hAnsi="IRNazanin" w:eastAsia="IRNazanin"/>
          <w:color w:val="111111"/>
          <w:sz w:val="28"/>
          <w:sz w:val="28"/>
          <w:szCs w:val="28"/>
          <w:rtl w:val="true"/>
          <w:lang w:bidi="fa-IR"/>
        </w:rPr>
        <w:t xml:space="preserve">ممّا یسوی إذا کان المبتاع من أهل المعرفة،فإن لم یکن کذلک کان البیع مردوداً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تقدیر وجود القول بالبطلان،فلا یخفی ضعفه؛لعدم الدلیل علی البطلان بعد انعقاده صحیحاً،عدا ما فی مجمع البرهان،و 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وقوع العقد علی شیءٍ مغایرٍ للموجود،فالمعقود علیه غیر موجودٍ و الموجود غیر معقودٍ علیه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محلّ الکلام فی تخلّف الأوصاف التی لا توجب مغایرة الموصوف للموجود عرفاً،بأن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المبیع فاقدٌ للأوصاف المأخوذة فیه،لا أنّه مغایرٌ للموجود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کان ظهور الخلاف فیما له دخلٌ فی حقیقة المبیع عرفاً،فالظاهر عدم الخلاف فی البطلان و لو أُخذ فی عبارة العقد علی وجه الاشتراط کأن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ما فی البیت علی أنّه عبدٌ حبشیٌّ فبان حماراً وحشیّاً</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الموجود و إن لم یُعدّ مغایراً للمعقود علیه عرفاً، إلّا أنّ اشتراط اتّصافه بالأوصاف فی معنی کون القصد إلی بیعه بانیاً علی تلک الأوصاف،فإذا فُقد ما بُنی علیه العقد،فالمقصود غیر حاصلٍ،فینبغی بطلان البیع؛و لذا التزم أکثر المتأخّرین بفساد العقد بفساد شرطه </w:t>
      </w:r>
      <w:r>
        <w:rPr>
          <w:rStyle w:val="FootnoteAnchor"/>
          <w:rtl w:val="true"/>
        </w:rPr>
        <w:footnoteReference w:id="918"/>
      </w:r>
      <w:r>
        <w:rPr>
          <w:rFonts w:ascii="IRNazanin" w:hAnsi="IRNazanin" w:eastAsia="IRNazanin"/>
          <w:color w:val="111111"/>
          <w:sz w:val="28"/>
          <w:sz w:val="28"/>
          <w:szCs w:val="28"/>
          <w:rtl w:val="true"/>
          <w:lang w:bidi="fa-IR"/>
        </w:rPr>
        <w:t>،فإنّ قصد الشرط إن کان مؤثّراً فی المعقود علیه</w:t>
      </w:r>
    </w:p>
    <w:p>
      <w:pPr>
        <w:pStyle w:val="BookText"/>
        <w:rPr/>
      </w:pPr>
      <w:r>
        <w:rPr>
          <w:rFonts w:ascii="IRNazanin" w:hAnsi="IRNazanin" w:eastAsia="IRNazanin"/>
          <w:color w:val="111111"/>
          <w:sz w:val="28"/>
          <w:sz w:val="28"/>
          <w:szCs w:val="28"/>
          <w:rtl w:val="true"/>
          <w:lang w:bidi="fa-IR"/>
        </w:rPr>
        <w:t>فالواجب کون تخلّفه موجباً لبطلان العقد،و إلّا لم یوجب فساده فساد العقد،بل غایة الأمر ثبوت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دفع ما ذکر </w:t>
      </w:r>
      <w:r>
        <w:rPr>
          <w:rStyle w:val="FootnoteAnchor"/>
          <w:rtl w:val="true"/>
        </w:rPr>
        <w:footnoteReference w:id="919"/>
      </w:r>
      <w:r>
        <w:rPr>
          <w:rFonts w:ascii="IRNazanin" w:hAnsi="IRNazanin" w:eastAsia="IRNazanin"/>
          <w:color w:val="111111"/>
          <w:sz w:val="28"/>
          <w:sz w:val="28"/>
          <w:szCs w:val="28"/>
          <w:rtl w:val="true"/>
          <w:lang w:bidi="fa-IR"/>
        </w:rPr>
        <w:t>فی وجه البطلان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جعله المحقّق الأردبیلی موافقاً للقاعدة </w:t>
      </w:r>
      <w:r>
        <w:rPr>
          <w:rStyle w:val="FootnoteAnchor"/>
          <w:rtl w:val="true"/>
        </w:rPr>
        <w:footnoteReference w:id="920"/>
      </w:r>
      <w:r>
        <w:rPr>
          <w:rFonts w:ascii="IRNazanin" w:hAnsi="IRNazanin" w:eastAsia="IRNazanin"/>
          <w:color w:val="111111"/>
          <w:sz w:val="28"/>
          <w:sz w:val="28"/>
          <w:szCs w:val="28"/>
          <w:rtl w:val="true"/>
          <w:lang w:bidi="fa-IR"/>
        </w:rPr>
        <w:t xml:space="preserve">،و احتمله العلّامة رحمه اللّٰه فی النهایة </w:t>
      </w:r>
      <w:r>
        <w:rPr>
          <w:rStyle w:val="FootnoteAnchor"/>
          <w:rtl w:val="true"/>
        </w:rPr>
        <w:footnoteReference w:id="921"/>
      </w:r>
      <w:r>
        <w:rPr>
          <w:rFonts w:ascii="IRNazanin" w:hAnsi="IRNazanin" w:eastAsia="IRNazanin"/>
          <w:color w:val="111111"/>
          <w:sz w:val="28"/>
          <w:sz w:val="28"/>
          <w:szCs w:val="28"/>
          <w:rtl w:val="true"/>
          <w:lang w:bidi="fa-IR"/>
        </w:rPr>
        <w:t xml:space="preserve">فیما إذا ظهر ما رآه سابقاً علی خلاف ما رآه،بأنّه اشتباه ناشئٌ عن عدم الفرق بین الوصف المعیِّن للکلّیات و الوصف المعیِّن فی </w:t>
      </w:r>
      <w:r>
        <w:rPr>
          <w:rStyle w:val="FootnoteAnchor"/>
          <w:rtl w:val="true"/>
        </w:rPr>
        <w:footnoteReference w:id="922"/>
      </w:r>
      <w:r>
        <w:rPr>
          <w:rFonts w:ascii="IRNazanin" w:hAnsi="IRNazanin" w:eastAsia="IRNazanin"/>
          <w:color w:val="111111"/>
          <w:sz w:val="28"/>
          <w:sz w:val="28"/>
          <w:szCs w:val="28"/>
          <w:rtl w:val="true"/>
          <w:lang w:bidi="fa-IR"/>
        </w:rPr>
        <w:t>الشخصیات و بین الوصف الذاتی و العرضی،و أنّ أقصی ما هناک کونه من باب تعارض الإشارة و الوصف و الإشارة أقوی مجازفةٌ لا محصّل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 الإشارة أقوی من الوصف عند التعارض،فلو جری فیما نحن فیه لم یکن اعتبارٌ بالوصف،فینبغی لزوم العقد و إثبات الخیار من جهة کونه وصفاً لشخصٍ لا مشخّصاً لکلّیٍّ حتّی یتقوّم به،و کونه عرضیّاً لا ذاتیّاً إعادةٌ للکلام السابق</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المستفاد من النصوص و الإجماعات فی الموارد</w:t>
      </w:r>
    </w:p>
    <w:p>
      <w:pPr>
        <w:pStyle w:val="BookText"/>
        <w:rPr/>
      </w:pPr>
      <w:r>
        <w:rPr>
          <w:rFonts w:ascii="IRNazanin" w:hAnsi="IRNazanin" w:eastAsia="IRNazanin"/>
          <w:color w:val="111111"/>
          <w:sz w:val="28"/>
          <w:sz w:val="28"/>
          <w:szCs w:val="28"/>
          <w:rtl w:val="true"/>
          <w:lang w:bidi="fa-IR"/>
        </w:rPr>
        <w:t>المتفرّقة عدم بطلان البیع بمخالفة الصفة المقصودة الغیر المقوّمة للمبیع، سواءً علم القصد إلیها من الخارج أم اشترطت فی العقد،کالحکم بمضیّ العقد علی المعیب مع عدم القصد إلّا إلی الصحیح،و منه المصرّاة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کالحکم فی النصّ و الفتوی بتبعّض </w:t>
      </w:r>
      <w:r>
        <w:rPr>
          <w:rStyle w:val="FootnoteAnchor"/>
          <w:rtl w:val="true"/>
        </w:rPr>
        <w:footnoteReference w:id="923"/>
      </w:r>
      <w:r>
        <w:rPr>
          <w:rFonts w:ascii="IRNazanin" w:hAnsi="IRNazanin" w:eastAsia="IRNazanin"/>
          <w:color w:val="111111"/>
          <w:sz w:val="28"/>
          <w:sz w:val="28"/>
          <w:szCs w:val="28"/>
          <w:rtl w:val="true"/>
          <w:lang w:bidi="fa-IR"/>
        </w:rPr>
        <w:t xml:space="preserve">الصفقة إذا باع ما یملک و ما لم یملک و غیر ذلک،فتأمّل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هنا إشکالٌ آخر من جهة تشخیص الوصف الداخل فی الحقیقة عرفاً الموجب ظهور خلافه لبطلان البیع،و الخارج عنها الموجب ظهور خلافه للخیار،فإنّ الظاهر دخول الذکورة و الأُنوثة فی الممالیک فی حقیقة المبیع لا فی مثل الغنم،و کذا الرومی و الزنجی حقیقتان عرفاً، و ربما یتغایر الحقیقتان مع کونه فیما نحن فیه من قبیل الأوصاف،کما إذا باعه الدهن أو الجبن أو اللبن علی أنّه من الغنم فبان من الجاموس، و کذا لو باعه خلّ الزبیب فبان من التمر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إحالة اتّحاد الجنس و مغایرته علی العرف و إن خالف ضابطة التغایر المذکورة فی باب الربا، فتأمّل</w:t>
      </w:r>
      <w:r>
        <w:rPr>
          <w:rFonts w:eastAsia="IRNazanin" w:cs="IRNazanin"/>
          <w:color w:val="111111"/>
          <w:sz w:val="28"/>
          <w:szCs w:val="28"/>
          <w:rtl w:val="true"/>
          <w:lang w:bidi="fa-IR"/>
        </w:rPr>
        <w:t>.</w:t>
      </w:r>
      <w:bookmarkStart w:id="448" w:name="pg19864_220883"/>
    </w:p>
    <w:p>
      <w:pPr>
        <w:pStyle w:val="Heading5"/>
        <w:numPr>
          <w:ilvl w:val="4"/>
          <w:numId w:val="1"/>
        </w:numPr>
        <w:rPr/>
      </w:pPr>
      <w:bookmarkStart w:id="449" w:name="__RefHeading___Toc5148850_2314609296"/>
      <w:bookmarkStart w:id="450" w:name="_Toc170"/>
      <w:bookmarkEnd w:id="448"/>
      <w:bookmarkEnd w:id="449"/>
      <w:r>
        <w:rPr>
          <w:rtl w:val="true"/>
        </w:rPr>
        <w:t>مسألة الأکثر علی أنّ الخیار عند الرؤیة فوریٌّ،</w:t>
      </w:r>
      <w:bookmarkEnd w:id="450"/>
    </w:p>
    <w:p>
      <w:pPr>
        <w:pStyle w:val="BookText"/>
        <w:rPr/>
      </w:pPr>
      <w:r>
        <w:rPr>
          <w:rFonts w:ascii="IRNazanin" w:hAnsi="IRNazanin" w:eastAsia="IRNazanin"/>
          <w:color w:val="111111"/>
          <w:sz w:val="28"/>
          <w:sz w:val="28"/>
          <w:szCs w:val="28"/>
          <w:rtl w:val="true"/>
          <w:lang w:bidi="fa-IR"/>
        </w:rPr>
        <w:t xml:space="preserve">بل نسب إلی ظاهر الأصحاب </w:t>
      </w:r>
      <w:r>
        <w:rPr>
          <w:rStyle w:val="FootnoteAnchor"/>
          <w:rtl w:val="true"/>
        </w:rPr>
        <w:footnoteReference w:id="925"/>
      </w:r>
      <w:r>
        <w:rPr>
          <w:rFonts w:ascii="IRNazanin" w:hAnsi="IRNazanin" w:eastAsia="IRNazanin"/>
          <w:color w:val="111111"/>
          <w:sz w:val="28"/>
          <w:sz w:val="28"/>
          <w:szCs w:val="28"/>
          <w:rtl w:val="true"/>
          <w:lang w:bidi="fa-IR"/>
        </w:rPr>
        <w:t xml:space="preserve">، بل ظاهر التذکرة عدم الخلاف بین المسلمین إلّا من أحمد،حیث جعله ممتدّاً بامتداد المجلس الذی وقعت فیه الرؤیة </w:t>
      </w:r>
      <w:r>
        <w:rPr>
          <w:rStyle w:val="FootnoteAnchor"/>
          <w:rtl w:val="true"/>
        </w:rPr>
        <w:footnoteReference w:id="926"/>
      </w:r>
      <w:r>
        <w:rPr>
          <w:rFonts w:ascii="IRNazanin" w:hAnsi="IRNazanin" w:eastAsia="IRNazanin"/>
          <w:color w:val="111111"/>
          <w:sz w:val="28"/>
          <w:sz w:val="28"/>
          <w:szCs w:val="28"/>
          <w:rtl w:val="true"/>
          <w:lang w:bidi="fa-IR"/>
        </w:rPr>
        <w:t xml:space="preserve">،و احتمله فی نهایة الإحکام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لم أجد لهم دلیلاً صالحاً علی ذلک،إلّا وجوب الاقتصار فی مخالفة لزوم العقد علی المتیقّن،و یبقی علی القائلین بالتراخی فی مثل خیار الغبن و العیب سؤال الفرق بین المقامین،مع أنّ صحیحة جمیل المتقدّمة فی صدر المسألة </w:t>
      </w:r>
      <w:r>
        <w:rPr>
          <w:rStyle w:val="FootnoteAnchor"/>
          <w:rtl w:val="true"/>
        </w:rPr>
        <w:footnoteReference w:id="928"/>
      </w:r>
      <w:r>
        <w:rPr>
          <w:rFonts w:ascii="IRNazanin" w:hAnsi="IRNazanin" w:eastAsia="IRNazanin"/>
          <w:color w:val="111111"/>
          <w:sz w:val="28"/>
          <w:sz w:val="28"/>
          <w:szCs w:val="28"/>
          <w:rtl w:val="true"/>
          <w:lang w:bidi="fa-IR"/>
        </w:rPr>
        <w:t>مطلقةٌ یمکن التمسّک بعدم بیان مدّة الخیار فیها علی عدم الفوریّة و إن کان خلاف التحقیق،کما نبّهنا علیه فی بعض الخیارات المستندة إلی النصّ</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بیّنا سابقاً </w:t>
      </w:r>
      <w:r>
        <w:rPr>
          <w:rStyle w:val="FootnoteAnchor"/>
          <w:rtl w:val="true"/>
        </w:rPr>
        <w:footnoteReference w:id="929"/>
      </w:r>
      <w:r>
        <w:rPr>
          <w:rFonts w:ascii="IRNazanin" w:hAnsi="IRNazanin" w:eastAsia="IRNazanin"/>
          <w:color w:val="111111"/>
          <w:sz w:val="28"/>
          <w:sz w:val="28"/>
          <w:szCs w:val="28"/>
          <w:rtl w:val="true"/>
          <w:lang w:bidi="fa-IR"/>
        </w:rPr>
        <w:t>ضعف التمسّک بالاستصحاب فی إثبات التراخی و إن استندوا إلیه فی بعض الخیارات السابقة</w:t>
      </w:r>
      <w:r>
        <w:rPr>
          <w:rFonts w:eastAsia="IRNazanin" w:cs="IRNazanin"/>
          <w:color w:val="111111"/>
          <w:sz w:val="28"/>
          <w:szCs w:val="28"/>
          <w:rtl w:val="true"/>
          <w:lang w:bidi="fa-IR"/>
        </w:rPr>
        <w:t>.</w:t>
      </w:r>
      <w:bookmarkStart w:id="451" w:name="pg19864_220884"/>
    </w:p>
    <w:p>
      <w:pPr>
        <w:pStyle w:val="Heading5"/>
        <w:numPr>
          <w:ilvl w:val="4"/>
          <w:numId w:val="1"/>
        </w:numPr>
        <w:rPr/>
      </w:pPr>
      <w:bookmarkStart w:id="452" w:name="__RefHeading___Toc5148852_2314609296"/>
      <w:bookmarkStart w:id="453" w:name="_Toc171"/>
      <w:bookmarkEnd w:id="451"/>
      <w:bookmarkEnd w:id="452"/>
      <w:r>
        <w:rPr>
          <w:rtl w:val="true"/>
        </w:rPr>
        <w:t>مسألة یسقط هذا الخیار بترک المبادرة عرفاً</w:t>
      </w:r>
      <w:bookmarkEnd w:id="453"/>
    </w:p>
    <w:p>
      <w:pPr>
        <w:pStyle w:val="BookText"/>
        <w:rPr/>
      </w:pPr>
      <w:r>
        <w:rPr>
          <w:rFonts w:ascii="IRNazanin" w:hAnsi="IRNazanin" w:eastAsia="IRNazanin"/>
          <w:color w:val="111111"/>
          <w:sz w:val="28"/>
          <w:sz w:val="28"/>
          <w:szCs w:val="28"/>
          <w:rtl w:val="true"/>
          <w:lang w:bidi="fa-IR"/>
        </w:rPr>
        <w:t xml:space="preserve">علی الوجه المتقدّم فی خیار الغبن </w:t>
      </w:r>
      <w:r>
        <w:rPr>
          <w:rStyle w:val="FootnoteAnchor"/>
          <w:rtl w:val="true"/>
        </w:rPr>
        <w:footnoteReference w:id="930"/>
      </w:r>
      <w:r>
        <w:rPr>
          <w:rFonts w:ascii="IRNazanin" w:hAnsi="IRNazanin" w:eastAsia="IRNazanin"/>
          <w:color w:val="111111"/>
          <w:sz w:val="28"/>
          <w:sz w:val="28"/>
          <w:szCs w:val="28"/>
          <w:rtl w:val="true"/>
          <w:lang w:bidi="fa-IR"/>
        </w:rPr>
        <w:t>،و بإسقاطه بعد الرؤیة،و بالتصرّف بعدها،و لو تصرّف قبلها ففی سقوط الخیار وجوهٌ،ثالثها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ابتناء ذلک علی جواز إسقاط الخیار قولاً قبل الرؤیة،بناءً علی أنّ التصرّف إسقاطٌ 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جواز إسقاطه قبل الرؤیة وجهان مبنیّان علی أنّ الرؤیة سبب أو کاشف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اختار إمضاء العقد قبل الرؤیة لم یلزم؛لتعلّق الخیار بالرؤیة </w:t>
      </w:r>
      <w:r>
        <w:rPr>
          <w:rStyle w:val="FootnoteAnchor"/>
          <w:rtl w:val="true"/>
        </w:rPr>
        <w:footnoteReference w:id="93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حکی ذلک عن غیرها أیضاً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الخیار یحدث بالرؤیة،لا أنّه یظهر بها،و لو جعلت الرؤیة شرطاً لا سبباً أمکن جواز الإسقاط بمجرّد تحقّق السبب و هو</w:t>
      </w:r>
    </w:p>
    <w:p>
      <w:pPr>
        <w:pStyle w:val="BookText"/>
        <w:rPr/>
      </w:pPr>
      <w:r>
        <w:rPr>
          <w:rFonts w:ascii="IRNazanin" w:hAnsi="IRNazanin" w:eastAsia="IRNazanin"/>
          <w:color w:val="111111"/>
          <w:sz w:val="28"/>
          <w:sz w:val="28"/>
          <w:szCs w:val="28"/>
          <w:rtl w:val="true"/>
          <w:lang w:bidi="fa-IR"/>
        </w:rPr>
        <w:t>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یخلو عن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شرط سقوط هذا الخیار،ففی فساده و إفساده للعقد،کما عن العلّامة </w:t>
      </w:r>
      <w:r>
        <w:rPr>
          <w:rStyle w:val="FootnoteAnchor"/>
          <w:rtl w:val="true"/>
        </w:rPr>
        <w:footnoteReference w:id="933"/>
      </w:r>
      <w:r>
        <w:rPr>
          <w:rFonts w:ascii="Amiri" w:hAnsi="Amiri" w:eastAsia="Amiri" w:cs="Amiri"/>
          <w:color w:val="111111"/>
          <w:sz w:val="28"/>
          <w:sz w:val="28"/>
          <w:szCs w:val="28"/>
          <w:rtl w:val="true"/>
          <w:lang w:bidi="ar-SA"/>
        </w:rPr>
        <w:t xml:space="preserve">و جماعةٍ </w:t>
      </w:r>
      <w:r>
        <w:rPr>
          <w:rStyle w:val="FootnoteAnchor"/>
          <w:rtl w:val="true"/>
        </w:rPr>
        <w:footnoteReference w:id="934"/>
      </w:r>
      <w:r>
        <w:rPr>
          <w:rFonts w:ascii="IRNazanin" w:hAnsi="IRNazanin" w:eastAsia="IRNazanin"/>
          <w:color w:val="111111"/>
          <w:sz w:val="28"/>
          <w:sz w:val="28"/>
          <w:szCs w:val="28"/>
          <w:rtl w:val="true"/>
          <w:lang w:bidi="fa-IR"/>
        </w:rPr>
        <w:t xml:space="preserve">،أو عدمهما،کما عن النهایة </w:t>
      </w:r>
      <w:r>
        <w:rPr>
          <w:rStyle w:val="FootnoteAnchor"/>
          <w:rtl w:val="true"/>
        </w:rPr>
        <w:footnoteReference w:id="935"/>
      </w:r>
      <w:r>
        <w:rPr>
          <w:rFonts w:ascii="Amiri" w:hAnsi="Amiri" w:eastAsia="Amiri" w:cs="Amiri"/>
          <w:color w:val="111111"/>
          <w:sz w:val="28"/>
          <w:sz w:val="28"/>
          <w:szCs w:val="28"/>
          <w:rtl w:val="true"/>
          <w:lang w:bidi="ar-SA"/>
        </w:rPr>
        <w:t xml:space="preserve">و بعضٍ </w:t>
      </w:r>
      <w:r>
        <w:rPr>
          <w:rStyle w:val="FootnoteAnchor"/>
          <w:rtl w:val="true"/>
        </w:rPr>
        <w:footnoteReference w:id="936"/>
      </w:r>
      <w:r>
        <w:rPr>
          <w:rFonts w:ascii="IRNazanin" w:hAnsi="IRNazanin" w:eastAsia="IRNazanin"/>
          <w:color w:val="111111"/>
          <w:sz w:val="28"/>
          <w:sz w:val="28"/>
          <w:szCs w:val="28"/>
          <w:rtl w:val="true"/>
          <w:lang w:bidi="fa-IR"/>
        </w:rPr>
        <w:t xml:space="preserve">،أو الفساد دون الإفساد </w:t>
      </w:r>
      <w:r>
        <w:rPr>
          <w:rStyle w:val="FootnoteAnchor"/>
          <w:rtl w:val="true"/>
        </w:rPr>
        <w:footnoteReference w:id="937"/>
      </w:r>
      <w:r>
        <w:rPr>
          <w:rFonts w:ascii="Amiri" w:hAnsi="Amiri" w:eastAsia="Amiri" w:cs="Amiri"/>
          <w:color w:val="111111"/>
          <w:sz w:val="28"/>
          <w:sz w:val="28"/>
          <w:szCs w:val="28"/>
          <w:rtl w:val="true"/>
          <w:lang w:bidi="ar-SA"/>
        </w:rPr>
        <w:t>،وجوهٌ،بل أقوالٌ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کونه موجباً لکون العقد غرراً،کما فی 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الوصف قام مقام الرؤیة،فإذا شرط عدم الاعتداد به کان المبیع غیر مرئیٍّ و لا موصوف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أنّ دفع الغرر عن هذا البیع لیس بالخیار حتّی یثبت بارتفاعه،فإنّ الخیار حکمٌ شرعیٌّ لو أثّر فی دفع الغرر جاز بیع کلّ مجهولٍ متزلزلاً،و العلم بالمبیع لا یرتفع بالتزام عدم الفسخ عند تبیّن المخالفة،فإنّ الغرر هو الإقدام علی شراء العین الغائبة علی أیّ صفةٍ کانت،و لو کان الالتزام المذکور مؤدّیاً إلی الغرر لکان اشتراط البراءة من العیوب أیضاً مؤدّیاً إلیه؛لأنّه بمنزلة بیع الشیء</w:t>
      </w:r>
    </w:p>
    <w:p>
      <w:pPr>
        <w:pStyle w:val="BookText"/>
        <w:rPr/>
      </w:pPr>
      <w:r>
        <w:rPr>
          <w:rFonts w:ascii="IRNazanin" w:hAnsi="IRNazanin" w:eastAsia="IRNazanin"/>
          <w:color w:val="111111"/>
          <w:sz w:val="28"/>
          <w:sz w:val="28"/>
          <w:szCs w:val="28"/>
          <w:rtl w:val="true"/>
          <w:lang w:bidi="fa-IR"/>
        </w:rPr>
        <w:t>صحیحاً أو معیباً بأیّ عیبٍ کان،و لا شکّ أنّه غررٌ،و إنّما جاز بیع الشیء غیر مشروطٍ بالصحّة اعتماداً علی أصالة الصحّة،لا من جهة عدم اشتراط ملاحظة الصحّة و العیب فی المبیع؛لأنّ تخالف أفراد الصحیح و المعیب أفحش من تخالف أفراد الصحیح،و اقتصارهم فی بیان الأوصاف المعتبرة فی بیع العین الغائبة علی ما عدا الصفات الراجعة إلی العیب إنّما هو للاستغناء عن تلک الأوصاف بأصالة الصحّة،لا لجواز إهمالها عند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فحینئذٍ،فإذا شرط البراءة من العیوب،کان ذلک راجعاً إلی عدم الاعتداد بوجود تلک الأوصاف و عدمها،فیلزم الغرر،خصوصاً علی ما حکاه فی الدروس عن ظاهر الشیخ و أتباعه </w:t>
      </w:r>
      <w:r>
        <w:rPr>
          <w:rStyle w:val="FootnoteAnchor"/>
          <w:rtl w:val="true"/>
        </w:rPr>
        <w:footnoteReference w:id="9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جواز اشتراط البراءة من العیوب فیما لا قیمة لمکسوره کالبیض و الجوز الفاسدین کذلک،حیث إنّ مرجعه علی ما ذکروه هنا فی اشتراط سقوط خیار الرؤیة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اشتراط عدم الاعتداد بمالیّة المبیع؛و لذا اعترض علیهم الشهید و أتباعه بفساد البیع مع هذا الشرط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مقتضی اعتراضهم فساد اشتراط البراءة من سائر العیوب و لو کان للمعیب قیمة؛لأنّ مرجعه إلی عدم الاعتداد بکون المبیع صحیحاً أو معیباً بأیّ عیبٍ،و الغرر فیه أفحش من البیع مع عدم الاعتداد بکون المبیع الغائب متّصفاً بأیّ وصفٍ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یثبت فساد هذا الشرط لا من جهة لزوم الغرر فی البیع حتّی یلزم فساد البیع و لو علی القول بعدم استلزام فساد الشرط لفساد العقد،بل من جهة أنّه إسقاطٌ لما لم یتحقّق،بناءً علی 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الخیار إنّما یتحقّق بالرؤیة،فلا یجوز إسقاطه قبلها، فاشتراط الإسقاط لغوٌ،و فساده من هذه الجهة لا یؤثّر فی فساد العقد، فیتعیّن المصیر إلی ثالث الأقوال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وجه 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أقوی الأقوال أوّلها؛لأنّ دفع الغرر عن هذه المعاملة و إن لم یکن لثبوت </w:t>
      </w:r>
      <w:r>
        <w:rPr>
          <w:rStyle w:val="FootnoteAnchor"/>
          <w:rtl w:val="true"/>
        </w:rPr>
        <w:footnoteReference w:id="941"/>
      </w:r>
      <w:r>
        <w:rPr>
          <w:rFonts w:ascii="IRNazanin" w:hAnsi="IRNazanin" w:eastAsia="IRNazanin"/>
          <w:color w:val="111111"/>
          <w:sz w:val="28"/>
          <w:sz w:val="28"/>
          <w:szCs w:val="28"/>
          <w:rtl w:val="true"/>
          <w:lang w:bidi="fa-IR"/>
        </w:rPr>
        <w:t>الخیار،لأنّ الخیار حکمٌ شرعیٌّ لا دخل له فی الغرر العرفی المتحقّق فی البیع،إلّا أنّه لأجل سبب الخیار،و هو اشتراط تلک الأوصاف المنحلّ إلی ارتباط الالتزام العقدی بوجود هذه الصفات، لأنّها إمّا شروطٌ للبیع و إمّا قیودٌ للمبیع کما تقدّم سابقاً و اشتراط سقوط الخیار راجعٌ إلی الالتزام بالعقد علی تقدیری وجود تلک الصفات و عدمها،و التنافی بین الأمرین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قیاس هذا الاشتراط باشتراط البراءة،فیدفعه الفرق بینهما</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نفی العیوب لیس مأخوذاً فی البیع علی وجه الاشتراط أو التقیید، و إنّما اعتمد المشتری فیهما علی أصالة الصحّة،لا علی تعهّد البائع لانتفائها حتّی ینافی ذلک اشتراط براءة البائع عن عهدة انتفائها،بخلاف الصفات فیما نحن فیه،فإنّ البائع یتعهّد لوجودها فی المبیع و المشتری یعتمد علی هذا التعهّد،فاشتراط البائع علی المشتری عدم تعهّده لها</w:t>
      </w:r>
    </w:p>
    <w:p>
      <w:pPr>
        <w:pStyle w:val="BookText"/>
        <w:rPr/>
      </w:pPr>
      <w:r>
        <w:rPr>
          <w:rFonts w:ascii="IRNazanin" w:hAnsi="IRNazanin" w:eastAsia="IRNazanin"/>
          <w:color w:val="111111"/>
          <w:sz w:val="28"/>
          <w:sz w:val="28"/>
          <w:szCs w:val="28"/>
          <w:rtl w:val="true"/>
          <w:lang w:bidi="fa-IR"/>
        </w:rPr>
        <w:t>و التزام العقد علیه بدونها ظاهر المنافاة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شاهده المشتری و اشتراه معتمِداً علی أصالة بقاء تلک الصفات فاشترط البائع لزوم العقد علیه و عدم الفسخ لو ظهرت المخالفة، کان نظیر اشتراط البراءة من العیوب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انّه لو أخبر بکیله أو وزنه فصدّقه المشتری فاشترط عدم الخیار لو ظهر النقص،کان مثل ما نحن فیه،کما یظهر من التحریر فی بعض فروع الإخبار بالکیل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الضابط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وصفٍ تعهّده البائع و کان رفع الغرر بذلک لم یجز اشتراط سقوط خیار فقده،و کلّ وصفٍ اعتمد المشتری فی رفع الغرر علی أمارةٍ أُخری جاز اشتراط سقوط خیار فقده،کالأصل أو غلبة مساواة باطن الصبرة لظاهرها أو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ذکرنا ظهر وجه فرق الشهید </w:t>
      </w:r>
      <w:r>
        <w:rPr>
          <w:rStyle w:val="FootnoteAnchor"/>
          <w:rtl w:val="true"/>
        </w:rPr>
        <w:footnoteReference w:id="943"/>
      </w:r>
      <w:r>
        <w:rPr>
          <w:rFonts w:ascii="IRNazanin" w:hAnsi="IRNazanin" w:eastAsia="IRNazanin"/>
          <w:color w:val="111111"/>
          <w:sz w:val="28"/>
          <w:sz w:val="28"/>
          <w:szCs w:val="28"/>
          <w:rtl w:val="true"/>
          <w:lang w:bidi="fa-IR"/>
        </w:rPr>
        <w:t xml:space="preserve">و غیره </w:t>
      </w:r>
      <w:r>
        <w:rPr>
          <w:rStyle w:val="FootnoteAnchor"/>
          <w:rtl w:val="true"/>
        </w:rPr>
        <w:footnoteReference w:id="944"/>
      </w:r>
      <w:r>
        <w:rPr>
          <w:rFonts w:ascii="IRNazanin" w:hAnsi="IRNazanin" w:eastAsia="IRNazanin"/>
          <w:color w:val="111111"/>
          <w:sz w:val="28"/>
          <w:sz w:val="28"/>
          <w:szCs w:val="28"/>
          <w:rtl w:val="true"/>
          <w:lang w:bidi="fa-IR"/>
        </w:rPr>
        <w:t xml:space="preserve">فی المنع و الجواز بین اشتراط البراءة من الصفات المأخوذة فی بیع العین الغائبة و بین اشتراط البراءة من العیوب فی العین المشکوک فی صحّته و فساده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ظهر أیضاً أنّه لو تیقّن المشتری بوجود الصفات المذکورة فی العقد فی المبیع،فالظاهر جواز اشتراط عدم الخیار علی تقدیر فقدها؛</w:t>
      </w:r>
    </w:p>
    <w:p>
      <w:pPr>
        <w:pStyle w:val="BookText"/>
        <w:rPr/>
      </w:pPr>
      <w:r>
        <w:rPr>
          <w:rFonts w:ascii="Amiri" w:hAnsi="Amiri" w:eastAsia="Amiri" w:cs="Amiri"/>
          <w:color w:val="111111"/>
          <w:sz w:val="28"/>
          <w:sz w:val="28"/>
          <w:szCs w:val="28"/>
          <w:rtl w:val="true"/>
          <w:lang w:bidi="ar-SA"/>
        </w:rPr>
        <w:t xml:space="preserve">لأنّ دفع </w:t>
      </w:r>
      <w:r>
        <w:rPr>
          <w:rStyle w:val="FootnoteAnchor"/>
          <w:rtl w:val="true"/>
        </w:rPr>
        <w:footnoteReference w:id="946"/>
      </w:r>
      <w:r>
        <w:rPr>
          <w:rFonts w:ascii="IRNazanin" w:hAnsi="IRNazanin" w:eastAsia="IRNazanin"/>
          <w:color w:val="111111"/>
          <w:sz w:val="28"/>
          <w:sz w:val="28"/>
          <w:szCs w:val="28"/>
          <w:rtl w:val="true"/>
          <w:lang w:bidi="fa-IR"/>
        </w:rPr>
        <w:t>الغرر لیس بالتزام تلک الصفات،بل لعلمه بها،و کذا لو اطمأنّ بوجودها و لم یتیقّن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الضابط کون اندفاع الغرر باشتراط الصفات و تعهّدها من البائع و عدمه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ظهر أیضاً ضعف 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الأقوی فی محلّ الکلام الصحّة،لصدق تعلّق البیع بمعلومٍ غیر مجهولٍ،و لو أنّ الغرر ثابتٌ فی البیع نفسه لم یُجدِ فی الصحّة ثبوت الخیار،و إلّا لصحّ ما فیه الغرر من البیع مع اشتراط الخیار،و هو معلوم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إقدامه </w:t>
      </w:r>
      <w:r>
        <w:rPr>
          <w:rStyle w:val="FootnoteAnchor"/>
          <w:rtl w:val="true"/>
        </w:rPr>
        <w:footnoteReference w:id="948"/>
      </w:r>
      <w:r>
        <w:rPr>
          <w:rFonts w:ascii="IRNazanin" w:hAnsi="IRNazanin" w:eastAsia="IRNazanin"/>
          <w:color w:val="111111"/>
          <w:sz w:val="28"/>
          <w:sz w:val="28"/>
          <w:szCs w:val="28"/>
          <w:rtl w:val="true"/>
          <w:lang w:bidi="fa-IR"/>
        </w:rPr>
        <w:t xml:space="preserve">بالبیع المشترط فیه السقوط مع عدم الاطمئنان بالوصف إدخال الغرر علیه من قبل نفسه </w:t>
      </w:r>
      <w:r>
        <w:rPr>
          <w:rStyle w:val="FootnoteAnchor"/>
          <w:rtl w:val="true"/>
        </w:rPr>
        <w:footnoteReference w:id="94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الضعف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المجدی فی الصحّة ما هو سبب الخیار،و هو التزام البائع وجود الوصف لا نفس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کون الإقدام من قبل نفسه فلا یوجب الرخصة فی البیع الغرری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المسألة موضع إشکال</w:t>
      </w:r>
      <w:r>
        <w:rPr>
          <w:rFonts w:eastAsia="IRNazanin" w:cs="IRNazanin"/>
          <w:color w:val="111111"/>
          <w:sz w:val="28"/>
          <w:szCs w:val="28"/>
          <w:rtl w:val="true"/>
          <w:lang w:bidi="fa-IR"/>
        </w:rPr>
        <w:t>.</w:t>
      </w:r>
      <w:bookmarkStart w:id="454" w:name="pg19864_220890"/>
    </w:p>
    <w:p>
      <w:pPr>
        <w:pStyle w:val="Heading5"/>
        <w:numPr>
          <w:ilvl w:val="4"/>
          <w:numId w:val="1"/>
        </w:numPr>
        <w:rPr/>
      </w:pPr>
      <w:bookmarkStart w:id="455" w:name="__RefHeading___Toc5148854_2314609296"/>
      <w:bookmarkStart w:id="456" w:name="_Toc172"/>
      <w:bookmarkEnd w:id="454"/>
      <w:bookmarkEnd w:id="455"/>
      <w:r>
        <w:rPr>
          <w:rtl w:val="true"/>
        </w:rPr>
        <w:t>مسألة لا یسقط هذا الخیار ببذل التفاوت و لا بإبدال العین؛</w:t>
      </w:r>
      <w:bookmarkEnd w:id="456"/>
    </w:p>
    <w:p>
      <w:pPr>
        <w:pStyle w:val="BookText"/>
        <w:rPr/>
      </w:pPr>
      <w:r>
        <w:rPr>
          <w:rFonts w:ascii="IRNazanin" w:hAnsi="IRNazanin" w:eastAsia="IRNazanin"/>
          <w:color w:val="111111"/>
          <w:sz w:val="28"/>
          <w:sz w:val="28"/>
          <w:szCs w:val="28"/>
          <w:rtl w:val="true"/>
          <w:lang w:bidi="fa-IR"/>
        </w:rPr>
        <w:t>لأنّ العقد إنّما وقع علی الشخصی،فتملّک غیره یحتاج إلی معاوضةٍ 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شرط فی متن العقد الإبدال لو ظهر علی خلاف الوصف،ففی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الأقرب الفساد </w:t>
      </w:r>
      <w:r>
        <w:rPr>
          <w:rStyle w:val="FootnoteAnchor"/>
          <w:rtl w:val="true"/>
        </w:rPr>
        <w:footnoteReference w:id="9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لأنّ البدل المستحقّ علیه بمقتضی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کان بإزاء الثمن فمرجعه إلی معاوضةٍ جدیدةٍ علی تقدیر ظهور المخالفة،بأن ینفسخ البیع بنفسه عند المخالفة،و ینعقد بیعٌ آخر،فیحصل بالشرط انفساخ عقدٍ و انعقاد عقدٍ آخر،کلٌّ منهما معلَّقٌ علی ظهور المخالفة،و من المعلوم عدم نهوض الشرط لإثبات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بإزاء المبیع الذی ظهر علی خلاف الوصف،فمرجعه أیضاً إلی انعقاد معاوضةٍ تعلیقیّةٍ غرریّة؛لأنّ المفروض جهالة المبدل</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أیّ تقدیرٍ،فالظاهر عدم مشروعیّة الشرط المذکور،فیَفسد و یُفسد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ظهر ضعف ما فی 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الاعتراض علی الشهید قدّس سرّه، حیث قال بعد نقل عبارة الدروس و حکمه بالفساد ما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ظاهر کلامه أنّ الحکم بالفساد أعمّ من أن یظهر علی الوصف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موجب للفساد مع ظهوره علی الوصف المشروط، و مجرّد شرط البائع الإبدال مع عدم ظهور </w:t>
      </w:r>
      <w:r>
        <w:rPr>
          <w:rStyle w:val="FootnoteAnchor"/>
          <w:rtl w:val="true"/>
        </w:rPr>
        <w:footnoteReference w:id="951"/>
      </w:r>
      <w:r>
        <w:rPr>
          <w:rFonts w:ascii="IRNazanin" w:hAnsi="IRNazanin" w:eastAsia="IRNazanin"/>
          <w:color w:val="111111"/>
          <w:sz w:val="28"/>
          <w:sz w:val="28"/>
          <w:szCs w:val="28"/>
          <w:rtl w:val="true"/>
          <w:lang w:bidi="fa-IR"/>
        </w:rPr>
        <w:t>الوصف لا یصلح سبباً للفساد؛لعموم الأخبار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ظهر مخالفاً فإنّه یکون فاسداً من حیث المخالفة،و لا یجبره هذا الشرط،لإطلاق الأخبار فی الخیار</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الأظهر رجوع الحکم بالفساد فی العبارة إلی الشرط المذکور حیث لا تأثیر له مع الظهور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بالجملة،فإنّی لا أعرف للحکم بفساد العقد فی الصورة المذکورة علی الإطلاق وجهاً یحمل علیه </w:t>
      </w:r>
      <w:r>
        <w:rPr>
          <w:rStyle w:val="FootnoteAnchor"/>
          <w:rtl w:val="true"/>
        </w:rPr>
        <w:footnoteReference w:id="952"/>
      </w:r>
      <w:r>
        <w:rPr>
          <w:rFonts w:ascii="IRNazanin" w:hAnsi="IRNazanin" w:eastAsia="IRNazanin"/>
          <w:color w:val="111111"/>
          <w:sz w:val="28"/>
          <w:sz w:val="28"/>
          <w:szCs w:val="28"/>
          <w:rtl w:val="true"/>
          <w:lang w:bidi="fa-IR"/>
        </w:rPr>
        <w:t xml:space="preserve">،انتهی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bookmarkStart w:id="457" w:name="pg19864_220892"/>
    </w:p>
    <w:p>
      <w:pPr>
        <w:pStyle w:val="Heading5"/>
        <w:numPr>
          <w:ilvl w:val="4"/>
          <w:numId w:val="1"/>
        </w:numPr>
        <w:rPr/>
      </w:pPr>
      <w:bookmarkStart w:id="458" w:name="__RefHeading___Toc5148856_2314609296"/>
      <w:bookmarkStart w:id="459" w:name="_Toc173"/>
      <w:bookmarkEnd w:id="457"/>
      <w:bookmarkEnd w:id="458"/>
      <w:r>
        <w:rPr>
          <w:rtl w:val="true"/>
        </w:rPr>
        <w:t>مسألة الظاهر ثبوت خیار الرؤیة فی کلّ عقدٍ واقعٍ علی عینٍ شخصیّةٍ موصوفةٍ کالصلح و الإجارة؛</w:t>
      </w:r>
      <w:bookmarkEnd w:id="459"/>
    </w:p>
    <w:p>
      <w:pPr>
        <w:pStyle w:val="BookText"/>
        <w:rPr/>
      </w:pPr>
      <w:r>
        <w:rPr>
          <w:rFonts w:ascii="IRNazanin" w:hAnsi="IRNazanin" w:eastAsia="IRNazanin"/>
          <w:color w:val="111111"/>
          <w:sz w:val="28"/>
          <w:sz w:val="28"/>
          <w:szCs w:val="28"/>
          <w:rtl w:val="true"/>
          <w:lang w:bidi="fa-IR"/>
        </w:rPr>
        <w:t xml:space="preserve">لأنّه لو لم یحکم بالخیار مع تبیّن المخالفة، فإمّا أن یحکم ببطلان العقد؛لما تقدّم </w:t>
      </w:r>
      <w:r>
        <w:rPr>
          <w:rStyle w:val="FootnoteAnchor"/>
          <w:rtl w:val="true"/>
        </w:rPr>
        <w:footnoteReference w:id="954"/>
      </w:r>
      <w:r>
        <w:rPr>
          <w:rFonts w:ascii="IRNazanin" w:hAnsi="IRNazanin" w:eastAsia="IRNazanin"/>
          <w:color w:val="111111"/>
          <w:sz w:val="28"/>
          <w:sz w:val="28"/>
          <w:szCs w:val="28"/>
          <w:rtl w:val="true"/>
          <w:lang w:bidi="fa-IR"/>
        </w:rPr>
        <w:t>عن الأردبیلی فی بطلان بیع العین الغائبة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أن یحکم بلزومه من دون 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مخالفٌ لطریقة الفقهاء فی تخلّف الأوصاف المشروطة فی المعقود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فاسدٌ من جهة أنّ دلیل اللزوم هو وجوب الوفاء بالعقد و حرمة النقض،و معلومٌ أنّ عدم الالتزام بترتّب آثار العقد علی العین الفاقدة للصفات المشترطة فیها لیس نقضاً للعقد،بل قد تقدّم عن بعضٍ أنّ ترتیب آثار العقد علیها لیس وفاءً و عملاً بالعقد حتّی یجوز،بل هو تصرّفٌ لم یدلّ علیه العقد،فیبطل</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فی ذلک دائرٌ بین فساد العقد و ثبوته مع الخیار،و الأوّل منافٍ لطریقة الأصحاب فی غیر باب،فتعیّن الثانی</w:t>
      </w:r>
      <w:r>
        <w:rPr>
          <w:rFonts w:eastAsia="IRNazanin" w:cs="IRNazanin"/>
          <w:color w:val="111111"/>
          <w:sz w:val="28"/>
          <w:szCs w:val="28"/>
          <w:rtl w:val="true"/>
          <w:lang w:bidi="fa-IR"/>
        </w:rPr>
        <w:t>.</w:t>
      </w:r>
      <w:bookmarkStart w:id="460" w:name="pg19864_220893"/>
    </w:p>
    <w:p>
      <w:pPr>
        <w:pStyle w:val="Heading5"/>
        <w:numPr>
          <w:ilvl w:val="4"/>
          <w:numId w:val="1"/>
        </w:numPr>
        <w:rPr/>
      </w:pPr>
      <w:bookmarkStart w:id="461" w:name="__RefHeading___Toc5148858_2314609296"/>
      <w:bookmarkStart w:id="462" w:name="_Toc174"/>
      <w:bookmarkEnd w:id="460"/>
      <w:bookmarkEnd w:id="461"/>
      <w:r>
        <w:rPr>
          <w:rtl w:val="true"/>
        </w:rPr>
        <w:t>مسألة لو اختلفا،فقال البائع</w:t>
      </w:r>
      <w:r>
        <w:rPr>
          <w:rtl w:val="true"/>
        </w:rPr>
        <w:t>:</w:t>
      </w:r>
      <w:r>
        <w:rPr>
          <w:rtl w:val="true"/>
        </w:rPr>
        <w:t>لم یختلف صفته</w:t>
      </w:r>
      <w:bookmarkEnd w:id="462"/>
    </w:p>
    <w:p>
      <w:pPr>
        <w:pStyle w:val="BookText"/>
        <w:rPr/>
      </w:pPr>
      <w:r>
        <w:rPr>
          <w:rFonts w:ascii="IRNazanin" w:hAnsi="IRNazanin" w:eastAsia="IRNazanin"/>
          <w:color w:val="111111"/>
          <w:sz w:val="28"/>
          <w:sz w:val="28"/>
          <w:szCs w:val="28"/>
          <w:rtl w:val="true"/>
          <w:lang w:bidi="fa-IR"/>
        </w:rPr>
        <w:t>مسألة لو اختلفا،فقال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یختلف صفته </w:t>
      </w:r>
      <w:r>
        <w:rPr>
          <w:rStyle w:val="FootnoteAnchor"/>
          <w:rtl w:val="true"/>
        </w:rPr>
        <w:footnoteReference w:id="955"/>
      </w:r>
      <w:r>
        <w:rPr>
          <w:rFonts w:ascii="IRNazanin" w:hAnsi="IRNazanin" w:eastAsia="IRNazanin"/>
          <w:color w:val="111111"/>
          <w:sz w:val="28"/>
          <w:sz w:val="28"/>
          <w:szCs w:val="28"/>
          <w:rtl w:val="true"/>
          <w:lang w:bidi="fa-IR"/>
        </w:rPr>
        <w:t>،و قال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اختلفت،</w:t>
      </w:r>
    </w:p>
    <w:p>
      <w:pPr>
        <w:pStyle w:val="BookText"/>
        <w:rPr/>
      </w:pPr>
      <w:r>
        <w:rPr>
          <w:rFonts w:ascii="IRNazanin" w:hAnsi="IRNazanin" w:eastAsia="IRNazanin"/>
          <w:color w:val="111111"/>
          <w:sz w:val="28"/>
          <w:sz w:val="28"/>
          <w:szCs w:val="28"/>
          <w:rtl w:val="true"/>
          <w:lang w:bidi="fa-IR"/>
        </w:rPr>
        <w:t>ففی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 قول المشتری؛لأصالة براءة ذمّته من الثمن، فلا یلزمه ما لم یقرّ به أو یثبت بالبیّنة </w:t>
      </w:r>
      <w:r>
        <w:rPr>
          <w:rStyle w:val="FootnoteAnchor"/>
          <w:rtl w:val="true"/>
        </w:rPr>
        <w:footnoteReference w:id="9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ردّه فی المختلف فی نظیر المسألة بأنّ إقراره بالشراء إقرارٌ بالاشتغال بالثمن </w:t>
      </w:r>
      <w:r>
        <w:rPr>
          <w:rStyle w:val="FootnoteAnchor"/>
          <w:rtl w:val="true"/>
        </w:rPr>
        <w:footnoteReference w:id="9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یکون مراده ببراءة الذمّة عدم وجوب تسلیمه إلی البائع؛بناءً علی ما ذکره فی أحکام الخیار من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عدم وجوب تسلیم الثمن و لا المثمن فی مدّة الخیار و إن تسلّم الآخر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کان،فیمکن أن یخدش بأنّ المشتری قد أقرّ باشتغال ذمّته بالثمن سواءً اختلف صفة المبیع أم لم یختلف،غایة الأمر سلطنته علی الفسخ لو ثبت أنّ البائع التزم علی نفسه اتّصاف البیع </w:t>
      </w:r>
      <w:r>
        <w:rPr>
          <w:rStyle w:val="FootnoteAnchor"/>
          <w:rtl w:val="true"/>
        </w:rPr>
        <w:footnoteReference w:id="959"/>
      </w:r>
      <w:r>
        <w:rPr>
          <w:rFonts w:ascii="Amiri" w:hAnsi="Amiri" w:eastAsia="Amiri" w:cs="Amiri"/>
          <w:color w:val="111111"/>
          <w:sz w:val="28"/>
          <w:sz w:val="28"/>
          <w:szCs w:val="28"/>
          <w:rtl w:val="true"/>
          <w:lang w:bidi="ar-SA"/>
        </w:rPr>
        <w:t>بأوصافٍ</w:t>
      </w:r>
    </w:p>
    <w:p>
      <w:pPr>
        <w:pStyle w:val="BookText"/>
        <w:rPr/>
      </w:pPr>
      <w:r>
        <w:rPr>
          <w:rFonts w:ascii="IRNazanin" w:hAnsi="IRNazanin" w:eastAsia="IRNazanin"/>
          <w:color w:val="111111"/>
          <w:sz w:val="28"/>
          <w:sz w:val="28"/>
          <w:szCs w:val="28"/>
          <w:rtl w:val="true"/>
          <w:lang w:bidi="fa-IR"/>
        </w:rPr>
        <w:t>مفقودة،کما لو اختلفا فی اشتراط کون العبد کاتباً،و حیث لم یثبت ذلک فالأصل عدمه،فیبقی الاشتغال لازماً غیر قابلٍ للإزالة بفسخ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هذا،و یمکن دفع ذلک بأنّ أخذ الصفات فی المبیع و إن کان فی معنی الاشتراط،إلّا أنّه بعنوان التقیید،فمرجع الاختلاف إلی الشکّ فی تعلّق البیع بالعین الملحوظ فیها صفاتٌ مفقودة،أو تعلّقه بعینٍ لوحظ فیها الصفات الموجودة أو ما یعمّها </w:t>
      </w:r>
      <w:r>
        <w:rPr>
          <w:rStyle w:val="FootnoteAnchor"/>
          <w:rtl w:val="true"/>
        </w:rPr>
        <w:footnoteReference w:id="960"/>
      </w:r>
      <w:r>
        <w:rPr>
          <w:rFonts w:ascii="IRNazanin" w:hAnsi="IRNazanin" w:eastAsia="IRNazanin"/>
          <w:color w:val="111111"/>
          <w:sz w:val="28"/>
          <w:sz w:val="28"/>
          <w:szCs w:val="28"/>
          <w:rtl w:val="true"/>
          <w:lang w:bidi="fa-IR"/>
        </w:rPr>
        <w:t>،و اللزوم من أحکام البیع المتعلّق بالعین علی الوجه الثانی،و الأصل عدمه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 یظهر الفرق بین ما نحن فیه و بین الاختلاف فی اشتراط کتابة العبد،و قد تقدّم توضیح ذلک و بیان ما قیل أو یمکن أن یقال فی هذا المجال فی مسألة ما إذا اختلفا فی تغیّر </w:t>
      </w:r>
      <w:r>
        <w:rPr>
          <w:rStyle w:val="FootnoteAnchor"/>
          <w:rtl w:val="true"/>
        </w:rPr>
        <w:footnoteReference w:id="961"/>
      </w:r>
      <w:r>
        <w:rPr>
          <w:rFonts w:ascii="IRNazanin" w:hAnsi="IRNazanin" w:eastAsia="IRNazanin"/>
          <w:color w:val="111111"/>
          <w:sz w:val="28"/>
          <w:sz w:val="28"/>
          <w:szCs w:val="28"/>
          <w:rtl w:val="true"/>
          <w:lang w:bidi="fa-IR"/>
        </w:rPr>
        <w:t>ما شاهداه قبل البیع</w:t>
      </w:r>
      <w:r>
        <w:rPr>
          <w:rFonts w:eastAsia="IRNazanin" w:cs="IRNazanin"/>
          <w:color w:val="111111"/>
          <w:sz w:val="28"/>
          <w:szCs w:val="28"/>
          <w:rtl w:val="true"/>
          <w:lang w:bidi="fa-IR"/>
        </w:rPr>
        <w:t>.</w:t>
      </w:r>
      <w:bookmarkStart w:id="463" w:name="pg19864_220895"/>
    </w:p>
    <w:p>
      <w:pPr>
        <w:pStyle w:val="Heading5"/>
        <w:numPr>
          <w:ilvl w:val="4"/>
          <w:numId w:val="1"/>
        </w:numPr>
        <w:rPr/>
      </w:pPr>
      <w:bookmarkStart w:id="464" w:name="__RefHeading___Toc5148860_2314609296"/>
      <w:bookmarkStart w:id="465" w:name="_Toc175"/>
      <w:bookmarkEnd w:id="463"/>
      <w:bookmarkEnd w:id="464"/>
      <w:r>
        <w:rPr>
          <w:rtl w:val="true"/>
        </w:rPr>
        <w:t>مسألة لو نسج بعض الثوب،فاشتراه علی أن ینسج الباقی کالأوّل بطل،</w:t>
      </w:r>
      <w:bookmarkEnd w:id="465"/>
    </w:p>
    <w:p>
      <w:pPr>
        <w:pStyle w:val="BookText"/>
        <w:rPr/>
      </w:pPr>
      <w:r>
        <w:rPr>
          <w:rFonts w:ascii="IRNazanin" w:hAnsi="IRNazanin" w:eastAsia="IRNazanin"/>
          <w:color w:val="111111"/>
          <w:sz w:val="28"/>
          <w:sz w:val="28"/>
          <w:szCs w:val="28"/>
          <w:rtl w:val="true"/>
          <w:lang w:bidi="fa-IR"/>
        </w:rPr>
        <w:t xml:space="preserve">کما عن المبسوط </w:t>
      </w:r>
      <w:r>
        <w:rPr>
          <w:rStyle w:val="FootnoteAnchor"/>
          <w:rtl w:val="true"/>
        </w:rPr>
        <w:footnoteReference w:id="962"/>
      </w:r>
      <w:r>
        <w:rPr>
          <w:rFonts w:ascii="IRNazanin" w:hAnsi="IRNazanin" w:eastAsia="IRNazanin"/>
          <w:color w:val="111111"/>
          <w:sz w:val="28"/>
          <w:sz w:val="28"/>
          <w:szCs w:val="28"/>
          <w:rtl w:val="true"/>
          <w:lang w:bidi="fa-IR"/>
        </w:rPr>
        <w:t xml:space="preserve">و القاضی </w:t>
      </w:r>
      <w:r>
        <w:rPr>
          <w:rStyle w:val="FootnoteAnchor"/>
          <w:rtl w:val="true"/>
        </w:rPr>
        <w:footnoteReference w:id="963"/>
      </w:r>
      <w:r>
        <w:rPr>
          <w:rFonts w:ascii="IRNazanin" w:hAnsi="IRNazanin" w:eastAsia="IRNazanin"/>
          <w:color w:val="111111"/>
          <w:sz w:val="28"/>
          <w:sz w:val="28"/>
          <w:szCs w:val="28"/>
          <w:rtl w:val="true"/>
          <w:lang w:bidi="fa-IR"/>
        </w:rPr>
        <w:t xml:space="preserve">و ابن سعید </w:t>
      </w:r>
      <w:r>
        <w:rPr>
          <w:rStyle w:val="FootnoteAnchor"/>
          <w:rtl w:val="true"/>
        </w:rPr>
        <w:footnoteReference w:id="964"/>
      </w:r>
      <w:r>
        <w:rPr>
          <w:rFonts w:ascii="Amiri" w:hAnsi="Amiri" w:eastAsia="Amiri" w:cs="Amiri"/>
          <w:color w:val="111111"/>
          <w:sz w:val="28"/>
          <w:sz w:val="28"/>
          <w:szCs w:val="28"/>
          <w:rtl w:val="true"/>
          <w:lang w:bidi="ar-SA"/>
        </w:rPr>
        <w:t xml:space="preserve">قدّس سرّهما و العلّامة فی کتبه </w:t>
      </w:r>
      <w:r>
        <w:rPr>
          <w:rStyle w:val="FootnoteAnchor"/>
          <w:rtl w:val="true"/>
        </w:rPr>
        <w:footnoteReference w:id="965"/>
      </w:r>
      <w:r>
        <w:rPr>
          <w:rFonts w:ascii="IRNazanin" w:hAnsi="IRNazanin" w:eastAsia="IRNazanin"/>
          <w:color w:val="111111"/>
          <w:sz w:val="28"/>
          <w:sz w:val="28"/>
          <w:szCs w:val="28"/>
          <w:rtl w:val="true"/>
          <w:lang w:bidi="fa-IR"/>
        </w:rPr>
        <w:t xml:space="preserve">و جامع المقاصد </w:t>
      </w:r>
      <w:r>
        <w:rPr>
          <w:rStyle w:val="FootnoteAnchor"/>
          <w:rtl w:val="true"/>
        </w:rPr>
        <w:footnoteReference w:id="9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استدلّ علیه فی التذکرة و 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بعضه عینٌ حاضرةٌ و بعضه فی الذمّة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صحّته </w:t>
      </w:r>
      <w:r>
        <w:rPr>
          <w:rStyle w:val="FootnoteAnchor"/>
          <w:rtl w:val="true"/>
        </w:rPr>
        <w:footnoteReference w:id="9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یحضرنی الآن حتّی أتأمّل فی دلیله، و الذی ذُکر للمنع لا ینهض مانعاً</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فالذی یقوی فی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باع البعض المنسوج المنضمّ إلی غزلٍ معیّن علی أن ینسجه علی ذلک المنوال فلا مانع منه،و کذا إذا ضمّ</w:t>
      </w:r>
    </w:p>
    <w:p>
      <w:pPr>
        <w:pStyle w:val="BookText"/>
        <w:rPr/>
      </w:pPr>
      <w:r>
        <w:rPr>
          <w:rFonts w:ascii="IRNazanin" w:hAnsi="IRNazanin" w:eastAsia="IRNazanin"/>
          <w:color w:val="111111"/>
          <w:sz w:val="28"/>
          <w:sz w:val="28"/>
          <w:szCs w:val="28"/>
          <w:rtl w:val="true"/>
          <w:lang w:bidi="fa-IR"/>
        </w:rPr>
        <w:t>معه مقداراً معیّناً کلّیاً من الغزل الموصوف علی أن ینسجه کذلک؛إذ لا مانع من ضمّ الکلّی إلی الشخصی،و إلیه ینظر بعض کلمات المختلف فی هذا المقام،حیث جعل اشتراط نسج الباقی کاشتراط الخیاطة و الصبغ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إذا باعه أذرعاً معلومةً منسوجةً مع هذا المنسوج بهذا المنوال</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لم ینسجه فی الصورتین الأُولیین علی ذلک المنوال ثبت الخیار،لتخلّف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ینسجه کذلک فی الصورة الأخیرة لم یلزم القبول،و بقی علی مال البائع،و کان للمشتری الخیار فی المنسوج؛ لتبعّض الصفقة علیه،و اللّٰه العالم</w:t>
      </w:r>
      <w:r>
        <w:rPr>
          <w:rFonts w:eastAsia="IRNazanin" w:cs="IRNazanin"/>
          <w:color w:val="111111"/>
          <w:sz w:val="28"/>
          <w:szCs w:val="28"/>
          <w:rtl w:val="true"/>
          <w:lang w:bidi="fa-IR"/>
        </w:rPr>
        <w:t>.</w:t>
      </w:r>
      <w:bookmarkStart w:id="466" w:name="pg19864_220897"/>
    </w:p>
    <w:p>
      <w:pPr>
        <w:pStyle w:val="BookText"/>
        <w:rPr/>
      </w:pPr>
      <w:bookmarkEnd w:id="466"/>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7" w:name="__RefHeading___Toc5148862_2314609296"/>
      <w:bookmarkStart w:id="468" w:name="_Toc176"/>
      <w:bookmarkEnd w:id="467"/>
      <w:r>
        <w:rPr>
          <w:rtl w:val="true"/>
        </w:rPr>
        <w:t>السابع</w:t>
      </w:r>
      <w:bookmarkEnd w:id="468"/>
    </w:p>
    <w:p>
      <w:pPr>
        <w:pStyle w:val="Heading5"/>
        <w:numPr>
          <w:ilvl w:val="4"/>
          <w:numId w:val="1"/>
        </w:numPr>
        <w:rPr/>
      </w:pPr>
      <w:bookmarkStart w:id="469" w:name="__RefHeading___Toc5148864_2314609296"/>
      <w:bookmarkStart w:id="470" w:name="_Toc177"/>
      <w:bookmarkEnd w:id="469"/>
      <w:r>
        <w:rPr>
          <w:rtl w:val="true"/>
        </w:rPr>
        <w:t>اشاره</w:t>
      </w:r>
      <w:bookmarkEnd w:id="470"/>
    </w:p>
    <w:p>
      <w:pPr>
        <w:pStyle w:val="BookText"/>
        <w:rPr/>
      </w:pPr>
      <w:r>
        <w:rPr>
          <w:rFonts w:ascii="IRNazanin" w:hAnsi="IRNazanin" w:eastAsia="IRNazanin"/>
          <w:color w:val="111111"/>
          <w:sz w:val="28"/>
          <w:sz w:val="28"/>
          <w:szCs w:val="28"/>
          <w:rtl w:val="true"/>
          <w:lang w:bidi="fa-IR"/>
        </w:rPr>
        <w:t xml:space="preserve">السابع </w:t>
      </w:r>
      <w:r>
        <w:rPr>
          <w:rStyle w:val="FootnoteAnchor"/>
          <w:rtl w:val="true"/>
        </w:rPr>
        <w:footnoteReference w:id="9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خیار العیب</w:t>
      </w:r>
    </w:p>
    <w:p>
      <w:pPr>
        <w:pStyle w:val="BookText"/>
        <w:rPr/>
      </w:pPr>
      <w:r>
        <w:rPr>
          <w:rFonts w:ascii="IRNazanin" w:hAnsi="IRNazanin" w:eastAsia="IRNazanin"/>
          <w:color w:val="111111"/>
          <w:sz w:val="28"/>
          <w:sz w:val="28"/>
          <w:szCs w:val="28"/>
          <w:rtl w:val="true"/>
          <w:lang w:bidi="fa-IR"/>
        </w:rPr>
        <w:t>إطلاق العقد یقتضی وقوعه مبنیّاً علی سلامة العین من العیب، و إنّما تُرک اشتراطه صریحاً اعتماداً علی أصالة السلامة،و إلّا لم یصحّ العقد من جهة الجهل بصفة العین الغائبة،و هی صحّتها التی هی من أهمّ ما یتعلّق به الأغراض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اتّفقوا فی بیع العین الغائبة علی اشتراط ذکر الصفات التی یختلف الثمن باختلافها،و لم یذکروا اشتراط صفة الصحّة،فلیس ذلک إلّا من حیث الاعتماد فی وجودها علی الأصل،فإنّ من یشتری عبداً لا یعلم أنّه صحیحٌ سویّ أم فالجٌ مُقعد،لا یعتمد فی صحّته إلّا علی أصالة السلامة،کما یعتمد من شاهد المبیع سابقاً علی بقائه علی ما شاهده، فلا یحتاج إلی ذکر تلک الصفات فی العقد،و کما یعتمد علی إخبار البائع بالوزن</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فی المبیع من الأعیان و الأشخاص السلامة من العیوب و الصحّة،فإذا أقدم المشتری علی بذل ماله فی</w:t>
      </w:r>
    </w:p>
    <w:p>
      <w:pPr>
        <w:pStyle w:val="BookText"/>
        <w:rPr/>
      </w:pPr>
      <w:r>
        <w:rPr>
          <w:rFonts w:ascii="IRNazanin" w:hAnsi="IRNazanin" w:eastAsia="IRNazanin"/>
          <w:color w:val="111111"/>
          <w:sz w:val="28"/>
          <w:sz w:val="28"/>
          <w:szCs w:val="28"/>
          <w:rtl w:val="true"/>
          <w:lang w:bidi="fa-IR"/>
        </w:rPr>
        <w:t xml:space="preserve">مقابلة تلک العین،فإنّما بنی إقدامه علی غالب ظنّه المستند إلی أصالة السلامة </w:t>
      </w:r>
      <w:r>
        <w:rPr>
          <w:rStyle w:val="FootnoteAnchor"/>
          <w:rtl w:val="true"/>
        </w:rPr>
        <w:footnoteReference w:id="96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موضعٍ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 العقد و اشتراط السلامة یقتضیان السلامة علی 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القضاء العرفی یقتضی </w:t>
      </w:r>
      <w:r>
        <w:rPr>
          <w:rStyle w:val="FootnoteAnchor"/>
          <w:rtl w:val="true"/>
        </w:rPr>
        <w:footnoteReference w:id="970"/>
      </w:r>
      <w:r>
        <w:rPr>
          <w:rFonts w:ascii="IRNazanin" w:hAnsi="IRNazanin" w:eastAsia="IRNazanin"/>
          <w:color w:val="111111"/>
          <w:sz w:val="28"/>
          <w:sz w:val="28"/>
          <w:szCs w:val="28"/>
          <w:rtl w:val="true"/>
          <w:lang w:bidi="fa-IR"/>
        </w:rPr>
        <w:t xml:space="preserve">أنّ المشتری إنّما بذل ماله بناءً علی أصالة السلامة،فکأنها مشترطةٌ فی نفس العقد </w:t>
      </w:r>
      <w:r>
        <w:rPr>
          <w:rStyle w:val="FootnoteAnchor"/>
          <w:rtl w:val="true"/>
        </w:rPr>
        <w:footnoteReference w:id="971"/>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الانصراف لیس من باب انصراف المطلق إلی الفرد الصحیح لیرد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الانصراف؛و لذا لا یجری فی الأیمان و النذور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جریانه فیما نحن فیه؛لعدم کون المبیع مطلقاً،بل هو جزئیٌّ حقیقیٌّ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مقتضاه عدم وقوع العقد رأساً علی المعیب،فلا معنی لإمضاء العقد الواقع علیه أو فسخه حتّی یثبت التخییر بینهما</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دفع جمیع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وصف الصحّة قد أُخذ شرطاً فی العین الخارجیّة نظیر معرفة الکتابة أو غیرها من الصفات المشروطة فی العین الخارجیّة،و إنّما استغنی عن ذکر وصف الصحّة لاعتماد المشتری فی وجودها علی الأصل،کالعین المرئیّة سابقاً حیث یعتمد فی وجود أصلها و صفاتها علی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أجاد فی الکفایة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المعروف بین الأصحاب أنّ إطلاق العقد یقتضی لزوم السلامة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باع کلّیاً حالاّ أو سَلَماً کان الانصراف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الصحیح </w:t>
      </w:r>
      <w:r>
        <w:rPr>
          <w:rStyle w:val="FootnoteAnchor"/>
          <w:rtl w:val="true"/>
        </w:rPr>
        <w:footnoteReference w:id="9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جهة ظاهر الإقدام أیضاً </w:t>
      </w:r>
      <w:r>
        <w:rPr>
          <w:rStyle w:val="FootnoteAnchor"/>
          <w:rtl w:val="true"/>
        </w:rPr>
        <w:footnoteReference w:id="9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کونه </w:t>
      </w:r>
      <w:r>
        <w:rPr>
          <w:rStyle w:val="FootnoteAnchor"/>
          <w:rtl w:val="true"/>
        </w:rPr>
        <w:footnoteReference w:id="9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جهة الإطلاق المنصرف إلی الصحیح فی مقام الاشتراء،و إن لم ینصرف إلیه فی غیر هذا المقام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المصرَّح به فی کلمات جماعةٍ </w:t>
      </w:r>
      <w:r>
        <w:rPr>
          <w:rStyle w:val="FootnoteAnchor"/>
          <w:rtl w:val="true"/>
        </w:rPr>
        <w:footnoteReference w:id="9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اشتراط الصحّة فی متن العقد یفید التأکید؛لأنّه تصریحٌ بما یکون الإطلاق منزّلاً علیه،و إنّما ترک لاعتماد المشتری علی أصالة السلامة،فلا یحصل من أجل هذا الاشتراط خیارٌ آخر غیر خیار العیب،کما لو اشترط کون الصبرة کذا و کذا صاعاً،فإنّه لا یزید علی ما إذا ترک الاشتراط و اعتمد علی إخبار البائع بالکیل،أو اشترط بقاء الشیء علی الصفة السابقة المرئیّة فإنّه فی حکم ما لو ترک ذلک اعتماداً علی أصالة بقائها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بالجملة،فالخیار خیار العیب اشترط الصحّة أم لم یشترط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ما ورد من روایة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اشتری جاریةً علی أنّها عذراء فلم یجدها عذراء؟قال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علیه فضل القیمة</w:t>
      </w:r>
      <w:r>
        <w:rPr>
          <w:rFonts w:eastAsia="IRNazanin" w:cs="IRNazanin"/>
          <w:color w:val="111111"/>
          <w:sz w:val="28"/>
          <w:szCs w:val="28"/>
          <w:rtl w:val="true"/>
          <w:lang w:bidi="fa-IR"/>
        </w:rPr>
        <w:t xml:space="preserve">» </w:t>
      </w:r>
      <w:r>
        <w:rPr>
          <w:rStyle w:val="FootnoteAnchor"/>
          <w:rtl w:val="true"/>
        </w:rPr>
        <w:footnoteReference w:id="978"/>
      </w:r>
      <w:r>
        <w:rPr>
          <w:rFonts w:ascii="IRNazanin" w:hAnsi="IRNazanin" w:eastAsia="IRNazanin"/>
          <w:color w:val="111111"/>
          <w:sz w:val="28"/>
          <w:sz w:val="28"/>
          <w:szCs w:val="28"/>
          <w:rtl w:val="true"/>
          <w:lang w:bidi="fa-IR"/>
        </w:rPr>
        <w:t>فإنّ اقتصاره علیه السلام علی أخذ الأرش الظاهر فی عدم جواز الردّ یدلّ علی أنّ الخیار خیار العیب،و لو کان هنا خیار تخلّف الاشتراط لم یسقط الردّ بالتصرّف فی الجاریة بالوطء أو مقدّماته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یظهر ضعف ما حکاه فی المسالک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ثبوت خیار الاشتراط هنا،فلا یسقط الردّ بالتصرّف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دلالة الروایة علی التصرّف أو عدم دلالته علی اشتراط البکارة فی متن العقد،ممنوعةٌ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bookmarkStart w:id="471" w:name="pg19864_220901"/>
    </w:p>
    <w:p>
      <w:pPr>
        <w:pStyle w:val="Heading5"/>
        <w:numPr>
          <w:ilvl w:val="4"/>
          <w:numId w:val="1"/>
        </w:numPr>
        <w:rPr/>
      </w:pPr>
      <w:bookmarkStart w:id="472" w:name="__RefHeading___Toc5148866_2314609296"/>
      <w:bookmarkStart w:id="473" w:name="_Toc178"/>
      <w:bookmarkEnd w:id="471"/>
      <w:bookmarkEnd w:id="472"/>
      <w:r>
        <w:rPr>
          <w:rtl w:val="true"/>
        </w:rPr>
        <w:t>مسألة ظهور العیب فی المبیع یوجب تسلّط المشتری علی الردّ و أخذ الأرش بلا خلافٍ،</w:t>
      </w:r>
      <w:bookmarkEnd w:id="473"/>
    </w:p>
    <w:p>
      <w:pPr>
        <w:pStyle w:val="BookText"/>
        <w:rPr/>
      </w:pPr>
      <w:r>
        <w:rPr>
          <w:rFonts w:ascii="IRNazanin" w:hAnsi="IRNazanin" w:eastAsia="IRNazanin"/>
          <w:color w:val="111111"/>
          <w:sz w:val="28"/>
          <w:sz w:val="28"/>
          <w:szCs w:val="28"/>
          <w:rtl w:val="true"/>
          <w:lang w:bidi="fa-IR"/>
        </w:rPr>
        <w:t xml:space="preserve">و یدلّ علی الردّ الأخبار المستفیضة الآتیة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الأرش فلم یوجد فی الأخبار ما یدلّ علی التخییر بینه و بین الردّ،بل ما دلّ علی الأرش یختصّ بصورة التصرّف المانع من الردّ </w:t>
      </w:r>
      <w:r>
        <w:rPr>
          <w:rStyle w:val="FootnoteAnchor"/>
          <w:rtl w:val="true"/>
        </w:rPr>
        <w:footnoteReference w:id="982"/>
      </w:r>
      <w:r>
        <w:rPr>
          <w:rFonts w:ascii="IRNazanin" w:hAnsi="IRNazanin" w:eastAsia="IRNazanin"/>
          <w:color w:val="111111"/>
          <w:sz w:val="28"/>
          <w:sz w:val="28"/>
          <w:szCs w:val="28"/>
          <w:rtl w:val="true"/>
          <w:lang w:bidi="fa-IR"/>
        </w:rPr>
        <w:t>،فیجوز أن یکون الأرش فی هذه الصورة لتدارک ضرر المشتری، لا لتعیین أحد طرفی التخییر بتعذّر الآخر</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نعم،فی الفقه الرضوی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خرج السلعة معیباً </w:t>
      </w:r>
      <w:r>
        <w:rPr>
          <w:rStyle w:val="FootnoteAnchor"/>
          <w:rtl w:val="true"/>
        </w:rPr>
        <w:footnoteReference w:id="983"/>
      </w:r>
      <w:r>
        <w:rPr>
          <w:rFonts w:ascii="IRNazanin" w:hAnsi="IRNazanin" w:eastAsia="IRNazanin"/>
          <w:color w:val="111111"/>
          <w:sz w:val="28"/>
          <w:sz w:val="28"/>
          <w:szCs w:val="28"/>
          <w:rtl w:val="true"/>
          <w:lang w:bidi="fa-IR"/>
        </w:rPr>
        <w:t>و علم المشتری، فالخیار إلیه إن شاء ردّه و إن شاء أخذه أو ردّ علیه بالقیمة أرش العیب</w:t>
      </w:r>
      <w:r>
        <w:rPr>
          <w:rFonts w:eastAsia="IRNazanin" w:cs="IRNazanin"/>
          <w:color w:val="111111"/>
          <w:sz w:val="28"/>
          <w:szCs w:val="28"/>
          <w:rtl w:val="true"/>
          <w:lang w:bidi="fa-IR"/>
        </w:rPr>
        <w:t xml:space="preserve">» </w:t>
      </w:r>
      <w:r>
        <w:rPr>
          <w:rStyle w:val="FootnoteAnchor"/>
          <w:rtl w:val="true"/>
        </w:rPr>
        <w:footnoteReference w:id="984"/>
      </w:r>
      <w:r>
        <w:rPr>
          <w:rFonts w:ascii="IRNazanin" w:hAnsi="IRNazanin" w:eastAsia="IRNazanin"/>
          <w:color w:val="111111"/>
          <w:sz w:val="28"/>
          <w:sz w:val="28"/>
          <w:szCs w:val="28"/>
          <w:rtl w:val="true"/>
          <w:lang w:bidi="fa-IR"/>
        </w:rPr>
        <w:t xml:space="preserve">،و ظاهره کما فی الحدائق </w:t>
      </w:r>
      <w:r>
        <w:rPr>
          <w:rStyle w:val="FootnoteAnchor"/>
          <w:rtl w:val="true"/>
        </w:rPr>
        <w:footnoteReference w:id="985"/>
      </w:r>
      <w:r>
        <w:rPr>
          <w:rFonts w:ascii="IRNazanin" w:hAnsi="IRNazanin" w:eastAsia="IRNazanin"/>
          <w:color w:val="111111"/>
          <w:sz w:val="28"/>
          <w:sz w:val="28"/>
          <w:szCs w:val="28"/>
          <w:rtl w:val="true"/>
          <w:lang w:bidi="fa-IR"/>
        </w:rPr>
        <w:t>التخییر بین الردّ و أخذه بتمام</w:t>
      </w:r>
    </w:p>
    <w:p>
      <w:pPr>
        <w:pStyle w:val="BookText"/>
        <w:rPr/>
      </w:pPr>
      <w:r>
        <w:rPr>
          <w:rFonts w:ascii="IRNazanin" w:hAnsi="IRNazanin" w:eastAsia="IRNazanin"/>
          <w:color w:val="111111"/>
          <w:sz w:val="28"/>
          <w:sz w:val="28"/>
          <w:szCs w:val="28"/>
          <w:rtl w:val="true"/>
          <w:lang w:bidi="fa-IR"/>
        </w:rPr>
        <w:t>الثمن و أخذ الأرش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زیادة الهمزة فی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العطف،فیدلّ علی التخییر بین الردّ و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یتکلّف لاستنباط هذا الحکم من سائر الأخبار،و هو صعبٌ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أصعب منه جعله مقتضی القاعدة،بناءً علی أنّ الصحّة و إن کانت وصفاً،فهی بمنزلة الجزء،فیتدارک فائته باسترداد ما قابلة من الثمن،و یکون الخیار حینئذٍ لتبعّض الصفقة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 المنزلة عرفاً و لا </w:t>
      </w:r>
      <w:r>
        <w:rPr>
          <w:rStyle w:val="FootnoteAnchor"/>
          <w:rtl w:val="true"/>
        </w:rPr>
        <w:footnoteReference w:id="986"/>
      </w:r>
      <w:r>
        <w:rPr>
          <w:rFonts w:ascii="IRNazanin" w:hAnsi="IRNazanin" w:eastAsia="IRNazanin"/>
          <w:color w:val="111111"/>
          <w:sz w:val="28"/>
          <w:sz w:val="28"/>
          <w:szCs w:val="28"/>
          <w:rtl w:val="true"/>
          <w:lang w:bidi="fa-IR"/>
        </w:rPr>
        <w:t xml:space="preserve">شرعاً،و لذا لم یبطل البیع فیما قابلة من الثمن،بل کان الثابت بفواته مجرّد استحقاق المطالبة،بل لا یستحقّ المطالبة بعین ما قابلة علی ما صرّح به العلّامة </w:t>
      </w:r>
      <w:r>
        <w:rPr>
          <w:rStyle w:val="FootnoteAnchor"/>
          <w:rtl w:val="true"/>
        </w:rPr>
        <w:footnoteReference w:id="987"/>
      </w:r>
      <w:r>
        <w:rPr>
          <w:rFonts w:ascii="IRNazanin" w:hAnsi="IRNazanin" w:eastAsia="IRNazanin"/>
          <w:color w:val="111111"/>
          <w:sz w:val="28"/>
          <w:sz w:val="28"/>
          <w:szCs w:val="28"/>
          <w:rtl w:val="true"/>
          <w:lang w:bidi="fa-IR"/>
        </w:rPr>
        <w:t xml:space="preserve">و غیره </w:t>
      </w:r>
      <w:r>
        <w:rPr>
          <w:rStyle w:val="FootnoteAnchor"/>
          <w:rtl w:val="true"/>
        </w:rPr>
        <w:footnoteReference w:id="9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منع کون الجزء الفائت یقابل بجزءٍ من الثمن إذا أُخذ وجوده فی المبیع الشخصی علی وجه الشرطیّة،کما فی بیع الأرض علی أنّها جربانٌ معیّنة، و ما نحن فیه من هذا القبیل</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بالجملة،فالظاهر عدم الخلاف فی المسألة بل الإجماع علی التخییر بین الردّ و الأرش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نعم،یظهر من الشیخ فی غیر موضعٍ من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أخذ الأرش مشروطٌ بالیأس عن الردّ </w:t>
      </w:r>
      <w:r>
        <w:rPr>
          <w:rStyle w:val="FootnoteAnchor"/>
          <w:rtl w:val="true"/>
        </w:rPr>
        <w:footnoteReference w:id="989"/>
      </w:r>
      <w:r>
        <w:rPr>
          <w:rFonts w:ascii="IRNazanin" w:hAnsi="IRNazanin" w:eastAsia="IRNazanin"/>
          <w:color w:val="111111"/>
          <w:sz w:val="28"/>
          <w:sz w:val="28"/>
          <w:szCs w:val="28"/>
          <w:rtl w:val="true"/>
          <w:lang w:bidi="fa-IR"/>
        </w:rPr>
        <w:t>،لکنّه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مخالفته لظاهر کلامه فی النهایة </w:t>
      </w:r>
      <w:r>
        <w:rPr>
          <w:rStyle w:val="FootnoteAnchor"/>
          <w:rtl w:val="true"/>
        </w:rPr>
        <w:footnoteReference w:id="990"/>
      </w:r>
      <w:r>
        <w:rPr>
          <w:rFonts w:ascii="IRNazanin" w:hAnsi="IRNazanin" w:eastAsia="IRNazanin"/>
          <w:color w:val="111111"/>
          <w:sz w:val="28"/>
          <w:sz w:val="28"/>
          <w:szCs w:val="28"/>
          <w:rtl w:val="true"/>
          <w:lang w:bidi="fa-IR"/>
        </w:rPr>
        <w:t xml:space="preserve">و بعض مواضع المبسوط </w:t>
      </w:r>
      <w:r>
        <w:rPr>
          <w:rStyle w:val="FootnoteAnchor"/>
          <w:rtl w:val="true"/>
        </w:rPr>
        <w:footnoteReference w:id="9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ینافیه</w:t>
      </w:r>
    </w:p>
    <w:p>
      <w:pPr>
        <w:pStyle w:val="BookText"/>
        <w:rPr/>
      </w:pPr>
      <w:r>
        <w:rPr>
          <w:rFonts w:ascii="IRNazanin" w:hAnsi="IRNazanin" w:eastAsia="IRNazanin"/>
          <w:color w:val="111111"/>
          <w:sz w:val="28"/>
          <w:sz w:val="28"/>
          <w:szCs w:val="28"/>
          <w:rtl w:val="true"/>
          <w:lang w:bidi="fa-IR"/>
        </w:rPr>
        <w:t xml:space="preserve">إطلاق الأخبار بجواز أخذ الأرش </w:t>
      </w:r>
      <w:r>
        <w:rPr>
          <w:rStyle w:val="FootnoteAnchor"/>
          <w:rtl w:val="true"/>
        </w:rPr>
        <w:footnoteReference w:id="992"/>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فی کون ظهور العیب مثبِتاً للخیار أو کاشفاً عنه ما تقدّم فی خیار الغبن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أنّ الأظهر ثبوت الخیار بمجرّد العیب و الغبن واقعاً،و إن کان ظاهر کثیرٍ من کلماتهم یوهم حدوثه بظهور العیب، خصوصاً بعد کون ظهور العیب بمنزلة رؤیة المبیع علی خلاف ما اشترط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صرّح العلّامة بعدم جواز إسقاط خیار الرؤیة قبلها،معلّلاً بأنّ الخیار إنّما یثبت بالرؤیة </w:t>
      </w:r>
      <w:r>
        <w:rPr>
          <w:rStyle w:val="FootnoteAnchor"/>
          <w:rtl w:val="true"/>
        </w:rPr>
        <w:footnoteReference w:id="9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المتّفق علیه هنا نصّاً و فتوی جواز التبرّی و إسقاط خیار العیب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ثبوت الخیار هنا بنفس العیب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استحقاق المطالبة بالأرش الذی هو أحد طرفی الخیار لا معنی لثبوته بظهور العیب،بل هو ثابتٌ بنفس انتفاء وصف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هذا،مضافاً إلی أنّ الظاهر من بعض أخبار المسألة أنّ السبب هو نفس العیب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لکنّها لا تدلّ علی العلّیة التامّة،فلعلّ الظهور شرطٌ</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کان،فالتحقیق ما ذکرنا فی خیار الغبن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وجوب الرجوع فی کلّ حکمٍ من أحکام هذا الخیار إلی دلیله و أنّه یفید ثبوته بمجرّد العیب أو بظهوره،و المرجع فیما لا یستفاد من دلیله أحد الأمرین</w:t>
      </w:r>
    </w:p>
    <w:p>
      <w:pPr>
        <w:pStyle w:val="BookText"/>
        <w:rPr/>
      </w:pPr>
      <w:r>
        <w:rPr>
          <w:rFonts w:ascii="IRNazanin" w:hAnsi="IRNazanin" w:eastAsia="IRNazanin"/>
          <w:color w:val="111111"/>
          <w:sz w:val="28"/>
          <w:sz w:val="28"/>
          <w:szCs w:val="28"/>
          <w:rtl w:val="true"/>
          <w:lang w:bidi="fa-IR"/>
        </w:rPr>
        <w:t>هی القواعد،فافهم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لا فرق فی هذا الخیار بین الثمن و المثمن،کما صرّح به العلّامة </w:t>
      </w:r>
      <w:r>
        <w:rPr>
          <w:rStyle w:val="FootnoteAnchor"/>
          <w:rtl w:val="true"/>
        </w:rPr>
        <w:footnoteReference w:id="994"/>
      </w:r>
      <w:r>
        <w:rPr>
          <w:rFonts w:ascii="IRNazanin" w:hAnsi="IRNazanin" w:eastAsia="IRNazanin"/>
          <w:color w:val="111111"/>
          <w:sz w:val="28"/>
          <w:sz w:val="28"/>
          <w:szCs w:val="28"/>
          <w:rtl w:val="true"/>
          <w:lang w:bidi="fa-IR"/>
        </w:rPr>
        <w:t xml:space="preserve">و غیره </w:t>
      </w:r>
      <w:r>
        <w:rPr>
          <w:rStyle w:val="FootnoteAnchor"/>
          <w:rtl w:val="true"/>
        </w:rPr>
        <w:footnoteReference w:id="995"/>
      </w:r>
      <w:r>
        <w:rPr>
          <w:rFonts w:ascii="IRNazanin" w:hAnsi="IRNazanin" w:eastAsia="IRNazanin"/>
          <w:color w:val="111111"/>
          <w:sz w:val="28"/>
          <w:sz w:val="28"/>
          <w:szCs w:val="28"/>
          <w:rtl w:val="true"/>
          <w:lang w:bidi="fa-IR"/>
        </w:rPr>
        <w:t xml:space="preserve">،هنا و فی باب الصرف فیما إذا ظهر أحد عوضی الصرف معیباً </w:t>
      </w:r>
      <w:r>
        <w:rPr>
          <w:rStyle w:val="FootnoteAnchor"/>
          <w:rtl w:val="true"/>
        </w:rPr>
        <w:footnoteReference w:id="9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أنّه ممّا لا خلاف فیه و إن کان مورد الأخبار ظهور العیب فی المبیع،لأنّ الغالب کون الثمن نقداً غالباً و المثمن متاعاً فیکثر فیه العیب،بخلاف النقد</w:t>
      </w:r>
      <w:r>
        <w:rPr>
          <w:rFonts w:eastAsia="IRNazanin" w:cs="IRNazanin"/>
          <w:color w:val="111111"/>
          <w:sz w:val="28"/>
          <w:szCs w:val="28"/>
          <w:rtl w:val="true"/>
          <w:lang w:bidi="fa-IR"/>
        </w:rPr>
        <w:t>.</w:t>
      </w:r>
      <w:bookmarkStart w:id="474" w:name="pg19864_220905"/>
    </w:p>
    <w:p>
      <w:pPr>
        <w:pStyle w:val="Heading5"/>
        <w:numPr>
          <w:ilvl w:val="4"/>
          <w:numId w:val="1"/>
        </w:numPr>
        <w:rPr/>
      </w:pPr>
      <w:bookmarkStart w:id="475" w:name="__RefHeading___Toc5148868_2314609296"/>
      <w:bookmarkStart w:id="476" w:name="_Toc179"/>
      <w:bookmarkEnd w:id="474"/>
      <w:bookmarkEnd w:id="475"/>
      <w:r>
        <w:rPr>
          <w:rtl w:val="true"/>
        </w:rPr>
        <w:t>القول فی مسقطات هذا الخیار</w:t>
      </w:r>
      <w:bookmarkEnd w:id="476"/>
    </w:p>
    <w:p>
      <w:pPr>
        <w:pStyle w:val="Heading6"/>
        <w:numPr>
          <w:ilvl w:val="5"/>
          <w:numId w:val="1"/>
        </w:numPr>
        <w:rPr/>
      </w:pPr>
      <w:bookmarkStart w:id="477" w:name="__RefHeading___Toc5148870_2314609296"/>
      <w:bookmarkStart w:id="478" w:name="_Toc180"/>
      <w:bookmarkEnd w:id="477"/>
      <w:r>
        <w:rPr>
          <w:rtl w:val="true"/>
        </w:rPr>
        <w:t>اشاره</w:t>
      </w:r>
      <w:bookmarkEnd w:id="478"/>
    </w:p>
    <w:p>
      <w:pPr>
        <w:pStyle w:val="BookText"/>
        <w:rPr/>
      </w:pPr>
      <w:r>
        <w:rPr>
          <w:rFonts w:ascii="IRNazanin" w:hAnsi="IRNazanin" w:eastAsia="IRNazanin"/>
          <w:color w:val="111111"/>
          <w:sz w:val="28"/>
          <w:sz w:val="28"/>
          <w:szCs w:val="28"/>
          <w:rtl w:val="true"/>
          <w:lang w:bidi="fa-IR"/>
        </w:rPr>
        <w:t>بطرفیه أو أحدهما</w:t>
      </w:r>
      <w:r>
        <w:rPr>
          <w:rFonts w:eastAsia="IRNazanin" w:cs="IRNazanin"/>
          <w:color w:val="111111"/>
          <w:sz w:val="28"/>
          <w:szCs w:val="28"/>
          <w:rtl w:val="true"/>
          <w:lang w:bidi="fa-IR"/>
        </w:rPr>
        <w:t>.</w:t>
      </w:r>
    </w:p>
    <w:p>
      <w:pPr>
        <w:pStyle w:val="Heading6"/>
        <w:numPr>
          <w:ilvl w:val="5"/>
          <w:numId w:val="1"/>
        </w:numPr>
        <w:rPr/>
      </w:pPr>
      <w:bookmarkStart w:id="479" w:name="__RefHeading___Toc5148872_2314609296"/>
      <w:bookmarkStart w:id="480" w:name="_Toc181"/>
      <w:bookmarkEnd w:id="479"/>
      <w:r>
        <w:rPr>
          <w:rtl w:val="true"/>
        </w:rPr>
        <w:t>مسألة یسقط الردّ خاصّةً بأُمور</w:t>
      </w:r>
      <w:r>
        <w:rPr>
          <w:rtl w:val="true"/>
        </w:rPr>
        <w:t>:</w:t>
      </w:r>
      <w:bookmarkEnd w:id="480"/>
    </w:p>
    <w:p>
      <w:pPr>
        <w:pStyle w:val="Heading6"/>
        <w:numPr>
          <w:ilvl w:val="5"/>
          <w:numId w:val="1"/>
        </w:numPr>
        <w:rPr/>
      </w:pPr>
      <w:bookmarkStart w:id="481" w:name="__RefHeading___Toc5148874_2314609296"/>
      <w:bookmarkStart w:id="482" w:name="_Toc182"/>
      <w:bookmarkEnd w:id="481"/>
      <w:r>
        <w:rPr>
          <w:rtl w:val="true"/>
        </w:rPr>
        <w:t>أحدها</w:t>
      </w:r>
      <w:r>
        <w:rPr>
          <w:rtl w:val="true"/>
        </w:rPr>
        <w:t xml:space="preserve">: </w:t>
      </w:r>
      <w:r>
        <w:rPr>
          <w:rtl w:val="true"/>
        </w:rPr>
        <w:t>التصریح بالتزام العقد و إسقاط الردّ و اختیار الأرش،</w:t>
      </w:r>
      <w:bookmarkEnd w:id="482"/>
    </w:p>
    <w:p>
      <w:pPr>
        <w:pStyle w:val="BookText"/>
        <w:rPr/>
      </w:pPr>
      <w:r>
        <w:rPr>
          <w:rFonts w:ascii="IRNazanin" w:hAnsi="IRNazanin" w:eastAsia="IRNazanin"/>
          <w:color w:val="111111"/>
          <w:sz w:val="28"/>
          <w:sz w:val="28"/>
          <w:szCs w:val="28"/>
          <w:rtl w:val="true"/>
          <w:lang w:bidi="fa-IR"/>
        </w:rPr>
        <w:t>و لو أطلق الالتزام بالعقد فالظاهر عدم سقوط الأرش،و لو أسقط الخیار فلا یبعد سقوطه</w:t>
      </w:r>
      <w:r>
        <w:rPr>
          <w:rFonts w:eastAsia="IRNazanin" w:cs="IRNazanin"/>
          <w:color w:val="111111"/>
          <w:sz w:val="28"/>
          <w:szCs w:val="28"/>
          <w:rtl w:val="true"/>
          <w:lang w:bidi="fa-IR"/>
        </w:rPr>
        <w:t>.</w:t>
      </w:r>
    </w:p>
    <w:p>
      <w:pPr>
        <w:pStyle w:val="Heading6"/>
        <w:numPr>
          <w:ilvl w:val="5"/>
          <w:numId w:val="1"/>
        </w:numPr>
        <w:rPr/>
      </w:pPr>
      <w:bookmarkStart w:id="483" w:name="__RefHeading___Toc5148876_2314609296"/>
      <w:bookmarkStart w:id="484" w:name="_Toc183"/>
      <w:bookmarkEnd w:id="483"/>
      <w:r>
        <w:rPr>
          <w:rtl w:val="true"/>
        </w:rPr>
        <w:t>الثانی</w:t>
      </w:r>
      <w:r>
        <w:rPr>
          <w:rtl w:val="true"/>
        </w:rPr>
        <w:t xml:space="preserve">: </w:t>
      </w:r>
      <w:r>
        <w:rPr>
          <w:rtl w:val="true"/>
        </w:rPr>
        <w:t>التصرّف فی المعیب عند علمائنا</w:t>
      </w:r>
      <w:bookmarkEnd w:id="484"/>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التذکرة </w:t>
      </w:r>
      <w:r>
        <w:rPr>
          <w:rStyle w:val="FootnoteAnchor"/>
          <w:rtl w:val="true"/>
        </w:rPr>
        <w:footnoteReference w:id="997"/>
      </w:r>
      <w:r>
        <w:rPr>
          <w:rFonts w:ascii="IRNazanin" w:hAnsi="IRNazanin" w:eastAsia="IRNazanin"/>
          <w:color w:val="111111"/>
          <w:sz w:val="28"/>
          <w:sz w:val="28"/>
          <w:szCs w:val="28"/>
          <w:rtl w:val="true"/>
          <w:lang w:bidi="fa-IR"/>
        </w:rPr>
        <w:t>،و فی 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الإجماع علی أنّ التصرّف یُسقط الردّ بغیر خلافٍ منهم </w:t>
      </w:r>
      <w:r>
        <w:rPr>
          <w:rStyle w:val="FootnoteAnchor"/>
          <w:rtl w:val="true"/>
        </w:rPr>
        <w:footnoteReference w:id="998"/>
      </w:r>
      <w:r>
        <w:rPr>
          <w:rFonts w:ascii="IRNazanin" w:hAnsi="IRNazanin" w:eastAsia="IRNazanin"/>
          <w:color w:val="111111"/>
          <w:sz w:val="28"/>
          <w:sz w:val="28"/>
          <w:szCs w:val="28"/>
          <w:rtl w:val="true"/>
          <w:lang w:bidi="fa-IR"/>
        </w:rPr>
        <w:t xml:space="preserve">، و نحوه المسالک </w:t>
      </w:r>
      <w:r>
        <w:rPr>
          <w:rStyle w:val="FootnoteAnchor"/>
          <w:rtl w:val="true"/>
        </w:rPr>
        <w:footnoteReference w:id="999"/>
      </w:r>
      <w:r>
        <w:rPr>
          <w:rFonts w:ascii="IRNazanin" w:hAnsi="IRNazanin" w:eastAsia="IRNazanin"/>
          <w:color w:val="111111"/>
          <w:sz w:val="28"/>
          <w:sz w:val="28"/>
          <w:szCs w:val="28"/>
          <w:rtl w:val="true"/>
          <w:lang w:bidi="fa-IR"/>
        </w:rPr>
        <w:t>،و سیأتی الخلاف فی الجملة من الإسکافی و الشیخین</w:t>
      </w:r>
    </w:p>
    <w:p>
      <w:pPr>
        <w:pStyle w:val="BookText"/>
        <w:rPr/>
      </w:pPr>
      <w:r>
        <w:rPr>
          <w:rFonts w:ascii="IRNazanin" w:hAnsi="IRNazanin" w:eastAsia="IRNazanin"/>
          <w:color w:val="111111"/>
          <w:sz w:val="28"/>
          <w:sz w:val="28"/>
          <w:szCs w:val="28"/>
          <w:rtl w:val="true"/>
          <w:lang w:bidi="fa-IR"/>
        </w:rPr>
        <w:t xml:space="preserve">و ابن زهرة و ظاهر المحقّق،بل المحقّق الثانی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Style w:val="FootnoteAnchor"/>
          <w:rtl w:val="true"/>
        </w:rPr>
        <w:footnoteReference w:id="10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التذکرة أیضاً تبعاً للغنیة </w:t>
      </w:r>
      <w:r>
        <w:rPr>
          <w:rStyle w:val="FootnoteAnchor"/>
          <w:rtl w:val="true"/>
        </w:rPr>
        <w:footnoteReference w:id="10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تصرّفه فیه رضاً منه به علی الإطلاق،و لو لا ذلک کان ینبغی له الصبر و الثبات حتّی یعلم حال صحّته و عدمها،و بقول أبی جعفر علیه السلام فی الصحیح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أیّما رجلٍ اشتری شیئاً و به عیبٌ أو عوارٌ و لم یتبرّأ إلیه و لم یبیّنه </w:t>
      </w:r>
      <w:r>
        <w:rPr>
          <w:rStyle w:val="FootnoteAnchor"/>
          <w:rtl w:val="true"/>
        </w:rPr>
        <w:footnoteReference w:id="1003"/>
      </w:r>
      <w:r>
        <w:rPr>
          <w:rFonts w:ascii="IRNazanin" w:hAnsi="IRNazanin" w:eastAsia="IRNazanin"/>
          <w:color w:val="111111"/>
          <w:sz w:val="28"/>
          <w:sz w:val="28"/>
          <w:szCs w:val="28"/>
          <w:rtl w:val="true"/>
          <w:lang w:bidi="fa-IR"/>
        </w:rPr>
        <w:t xml:space="preserve">فأحدث فیه بعد ما قبضه شیئاً و </w:t>
      </w:r>
      <w:r>
        <w:rPr>
          <w:rStyle w:val="FootnoteAnchor"/>
          <w:rtl w:val="true"/>
        </w:rPr>
        <w:footnoteReference w:id="1004"/>
      </w:r>
      <w:r>
        <w:rPr>
          <w:rFonts w:ascii="IRNazanin" w:hAnsi="IRNazanin" w:eastAsia="IRNazanin"/>
          <w:color w:val="111111"/>
          <w:sz w:val="28"/>
          <w:sz w:val="28"/>
          <w:szCs w:val="28"/>
          <w:rtl w:val="true"/>
          <w:lang w:bidi="fa-IR"/>
        </w:rPr>
        <w:t>علم بذلک العوار و بذلک العیب،فإنّه یمضی علیه البیع،و یردّ علیه بقدر ما ینقص من ذلک الداء و العیب من ثمن ذلک لو لم یکن به</w:t>
      </w:r>
      <w:r>
        <w:rPr>
          <w:rFonts w:eastAsia="IRNazanin" w:cs="IRNazanin"/>
          <w:color w:val="111111"/>
          <w:sz w:val="28"/>
          <w:szCs w:val="28"/>
          <w:rtl w:val="true"/>
          <w:lang w:bidi="fa-IR"/>
        </w:rPr>
        <w:t xml:space="preserve">»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علیه مرسلة جمیل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یشتری الثوب أو المتاع فیجد به عیباً؟قال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الثوب قائماً بعینه ردّه علی صاحبه و أخذ الثمن،و إن کان الثوب قد قطع أو خیط أو صبغ رجع بنقصان العیب</w:t>
      </w:r>
      <w:r>
        <w:rPr>
          <w:rFonts w:eastAsia="IRNazanin" w:cs="IRNazanin"/>
          <w:color w:val="111111"/>
          <w:sz w:val="28"/>
          <w:szCs w:val="28"/>
          <w:rtl w:val="true"/>
          <w:lang w:bidi="fa-IR"/>
        </w:rPr>
        <w:t xml:space="preserve">»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هذا،و لکنّ الحکم بسقوط الردّ بمطلق التصرّف،حتّی مثل قول</w:t>
      </w:r>
    </w:p>
    <w:p>
      <w:pPr>
        <w:pStyle w:val="BookText"/>
        <w:rPr/>
      </w:pPr>
      <w:r>
        <w:rPr>
          <w:rFonts w:ascii="IRNazanin" w:hAnsi="IRNazanin" w:eastAsia="IRNazanin"/>
          <w:color w:val="111111"/>
          <w:sz w:val="28"/>
          <w:sz w:val="28"/>
          <w:szCs w:val="28"/>
          <w:rtl w:val="true"/>
          <w:lang w:bidi="fa-IR"/>
        </w:rPr>
        <w:t>المشتری للعبد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ناولنی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أغلق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صرّح به العلّامة فی التذکرة </w:t>
      </w:r>
      <w:r>
        <w:rPr>
          <w:rStyle w:val="FootnoteAnchor"/>
          <w:rtl w:val="true"/>
        </w:rPr>
        <w:footnoteReference w:id="1007"/>
      </w:r>
      <w:r>
        <w:rPr>
          <w:rFonts w:ascii="IRNazanin" w:hAnsi="IRNazanin" w:eastAsia="IRNazanin"/>
          <w:color w:val="111111"/>
          <w:sz w:val="28"/>
          <w:sz w:val="28"/>
          <w:szCs w:val="28"/>
          <w:rtl w:val="true"/>
          <w:lang w:bidi="fa-IR"/>
        </w:rPr>
        <w:t>فی غایة الإشکال؛لإطلاق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الثوب قائماً بعینه 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المعتضد بإطلاق الأخبار فی الردّ خصوصاً ما ورد فی ردّ الجاریة بعد ما لم تحض ستّة أشهرٍ عند المشتری </w:t>
      </w:r>
      <w:r>
        <w:rPr>
          <w:rStyle w:val="FootnoteAnchor"/>
          <w:rtl w:val="true"/>
        </w:rPr>
        <w:footnoteReference w:id="1008"/>
      </w:r>
      <w:r>
        <w:rPr>
          <w:rStyle w:val="FootnoteAnchor"/>
          <w:rtl w:val="true"/>
        </w:rPr>
        <w:footnoteReference w:id="1009"/>
      </w:r>
      <w:r>
        <w:rPr>
          <w:rFonts w:ascii="IRNazanin" w:hAnsi="IRNazanin" w:eastAsia="IRNazanin"/>
          <w:color w:val="111111"/>
          <w:sz w:val="28"/>
          <w:sz w:val="28"/>
          <w:szCs w:val="28"/>
          <w:rtl w:val="true"/>
          <w:lang w:bidi="fa-IR"/>
        </w:rPr>
        <w:t>و نحو ذلک ممّا یبعد التزام التقیید فیه بصورة عدم التصرّف فیه بمثل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أغلق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نحوه و عدم </w:t>
      </w:r>
      <w:r>
        <w:rPr>
          <w:rStyle w:val="FootnoteAnchor"/>
          <w:rtl w:val="true"/>
        </w:rPr>
        <w:footnoteReference w:id="1010"/>
      </w:r>
      <w:r>
        <w:rPr>
          <w:rFonts w:ascii="IRNazanin" w:hAnsi="IRNazanin" w:eastAsia="IRNazanin"/>
          <w:color w:val="111111"/>
          <w:sz w:val="28"/>
          <w:sz w:val="28"/>
          <w:szCs w:val="28"/>
          <w:rtl w:val="true"/>
          <w:lang w:bidi="fa-IR"/>
        </w:rPr>
        <w:t>ما یصلح للتقیید ممّا استدلّ به للسقوط،فإنّ مطلق التصرّف لا یدلّ علی الرضا،خصوصاً مع الجهل بالعیب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المرسلة </w:t>
      </w:r>
      <w:r>
        <w:rPr>
          <w:rStyle w:val="FootnoteAnchor"/>
          <w:rtl w:val="true"/>
        </w:rPr>
        <w:footnoteReference w:id="1011"/>
      </w:r>
      <w:r>
        <w:rPr>
          <w:rFonts w:ascii="IRNazanin" w:hAnsi="IRNazanin" w:eastAsia="IRNazanin"/>
          <w:color w:val="111111"/>
          <w:sz w:val="28"/>
          <w:sz w:val="28"/>
          <w:szCs w:val="28"/>
          <w:rtl w:val="true"/>
          <w:lang w:bidi="fa-IR"/>
        </w:rPr>
        <w:t>فقد عرفت إطلاقها لما یشمل لبس الثوب و استخدام العبد،بل وطء الجاریة لولا النصّ المسقط للخیار به</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الصحیحة </w:t>
      </w:r>
      <w:r>
        <w:rPr>
          <w:rStyle w:val="FootnoteAnchor"/>
          <w:rtl w:val="true"/>
        </w:rPr>
        <w:footnoteReference w:id="1012"/>
      </w:r>
      <w:r>
        <w:rPr>
          <w:rFonts w:ascii="IRNazanin" w:hAnsi="IRNazanin" w:eastAsia="IRNazanin"/>
          <w:color w:val="111111"/>
          <w:sz w:val="28"/>
          <w:sz w:val="28"/>
          <w:szCs w:val="28"/>
          <w:rtl w:val="true"/>
          <w:lang w:bidi="fa-IR"/>
        </w:rPr>
        <w:t>فلا یُعلم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إحداث شیءٍ فی المبیع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الظاهر بل المقطوع عدم شموله لغةً و لا عرفاً لمثل استخدام العبد و شبهه ممّا مرّ من الأمثلة،فلا یدلّ علی أزید ممّا دلّ علیه ذیل المرسلة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العبرة بتغیّر العین و عدم قیامها بعینها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إلّا أن</w:t>
      </w:r>
    </w:p>
    <w:p>
      <w:pPr>
        <w:pStyle w:val="BookText"/>
        <w:rPr/>
      </w:pPr>
      <w:r>
        <w:rPr>
          <w:rFonts w:ascii="IRNazanin" w:hAnsi="IRNazanin" w:eastAsia="IRNazanin"/>
          <w:color w:val="111111"/>
          <w:sz w:val="28"/>
          <w:sz w:val="28"/>
          <w:szCs w:val="28"/>
          <w:rtl w:val="true"/>
          <w:lang w:bidi="fa-IR"/>
        </w:rPr>
        <w:t>یستظهر بمعونة ما تقدّم فی خیار 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النصّ الدالّ علی أنّ المراد بإحداث الحدث فی المبیع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ینظر إلی ما حرم النظر إلیه قبل الشراء </w:t>
      </w:r>
      <w:r>
        <w:rPr>
          <w:rStyle w:val="FootnoteAnchor"/>
          <w:rtl w:val="true"/>
        </w:rPr>
        <w:footnoteReference w:id="1013"/>
      </w:r>
      <w:r>
        <w:rPr>
          <w:rFonts w:ascii="IRNazanin" w:hAnsi="IRNazanin" w:eastAsia="IRNazanin"/>
          <w:color w:val="111111"/>
          <w:sz w:val="28"/>
          <w:sz w:val="28"/>
          <w:szCs w:val="28"/>
          <w:rtl w:val="true"/>
          <w:lang w:bidi="fa-IR"/>
        </w:rPr>
        <w:t xml:space="preserve">،فإذا کان مجرّد النظر المختصّ بالمالک حدثاً دلّ علی سقوط الخیار هنا و فی الحیوان </w:t>
      </w:r>
      <w:r>
        <w:rPr>
          <w:rStyle w:val="FootnoteAnchor"/>
          <w:rtl w:val="true"/>
        </w:rPr>
        <w:footnoteReference w:id="1014"/>
      </w:r>
      <w:r>
        <w:rPr>
          <w:rFonts w:ascii="IRNazanin" w:hAnsi="IRNazanin" w:eastAsia="IRNazanin"/>
          <w:color w:val="111111"/>
          <w:sz w:val="28"/>
          <w:sz w:val="28"/>
          <w:szCs w:val="28"/>
          <w:rtl w:val="true"/>
          <w:lang w:bidi="fa-IR"/>
        </w:rPr>
        <w:t>بکلّ تصرّفٍ،فیکون ذلک النصّ دلیلاً علی المراد بالحدث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حسنٌ،لکن إقامة البیّنة علی اتّحاد معنی الحدث فی المقامین مع عدم مساعدة العرف علی ظهور الحدث فی هذا المعنی مشکلةٌ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إذا قلنا بعموم الحدث فی هذا المقام لمطلق التصرّف، فلا دلیل علی کونه من حیث الرضا بالعقد </w:t>
      </w:r>
      <w:r>
        <w:rPr>
          <w:rStyle w:val="FootnoteAnchor"/>
          <w:rtl w:val="true"/>
        </w:rPr>
        <w:footnoteReference w:id="1016"/>
      </w:r>
      <w:r>
        <w:rPr>
          <w:rFonts w:ascii="IRNazanin" w:hAnsi="IRNazanin" w:eastAsia="IRNazanin"/>
          <w:color w:val="111111"/>
          <w:sz w:val="28"/>
          <w:sz w:val="28"/>
          <w:szCs w:val="28"/>
          <w:rtl w:val="true"/>
          <w:lang w:bidi="fa-IR"/>
        </w:rPr>
        <w:t xml:space="preserve">و إن کان النصّ فی خیار الحیوان دالاّ علی ذلک،بقرینة التعلیل المذکور فیه علی الوجوه المتقدّمة </w:t>
      </w:r>
      <w:r>
        <w:rPr>
          <w:rStyle w:val="FootnoteAnchor"/>
          <w:rtl w:val="true"/>
        </w:rPr>
        <w:footnoteReference w:id="1017"/>
      </w:r>
      <w:r>
        <w:rPr>
          <w:rFonts w:ascii="IRNazanin" w:hAnsi="IRNazanin" w:eastAsia="IRNazanin"/>
          <w:color w:val="111111"/>
          <w:sz w:val="28"/>
          <w:sz w:val="28"/>
          <w:szCs w:val="28"/>
          <w:rtl w:val="true"/>
          <w:lang w:bidi="fa-IR"/>
        </w:rPr>
        <w:t xml:space="preserve">فی المراد من التعلیل </w:t>
      </w:r>
      <w:r>
        <w:rPr>
          <w:rStyle w:val="FootnoteAnchor"/>
          <w:rtl w:val="true"/>
        </w:rPr>
        <w:footnoteReference w:id="10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کلمات کثیرٍ منهم فی هذا المقام أیضاً تدلّ علی سقوط هذا الخیار بالتصرّف من حیث الرضا،بل عرفت من التذکرة و الغنیة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علّة السقوط دلالة التصرّف نوعاً علی الرضا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نحوه فی الدلالة علی کون السقوط بالتصرّف من حیث دلالته علی الرضا کلماتُ جماعةٍ ممّن تقدّم علیه و من تأخّر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المقنعة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لم یعلم المبتاع بالعیب حتّی أحدث فیه حدثاً لم یکن له الردّ،و کان له أرش العیب خاصّةً،و کذلک حکمه إذا أحدث فیه حدثاً بعد العلم،و لا یکون إحداثه الحدث بعد المعرفة بالعیب رضاً به منه </w:t>
      </w:r>
      <w:r>
        <w:rPr>
          <w:rStyle w:val="FootnoteAnchor"/>
          <w:rtl w:val="true"/>
        </w:rPr>
        <w:footnoteReference w:id="102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تعلیله عدمَ سقوط الأرش بعدم دلالة الإحداث علی الرضا بالعیب ظاهرٌ خصوصاً بملاحظة ما یأتی من کلام غیره فی أنّ سقوط الردّ بالحدث لدلالته علی الرضا بأصل البیع،و مثلها عبارة النهایة من غیر تفاوتٍ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المبیع بهیمةً فأصاب بها عیباً کان له ردّها،فإذا کان فی طریق الردّ جاز له رکوبها و علفها و سقیها و حلبها و أخذ لبنها،و إن نتجت کان له نتاجها؛کلّ هذا لأنّه ملکه و له فائدته و علیه مئونته،و الردّ لا یسقط،لأنّه إنّما یسقط الردّ بالرضا بالمعیب أو ترک الردّ بعد العلم به أو بأن یحدث فیه عیبٌ عنده،و لیس هنا شیءٌ من ذلک </w:t>
      </w:r>
      <w:r>
        <w:rPr>
          <w:rStyle w:val="FootnoteAnchor"/>
          <w:rtl w:val="true"/>
        </w:rPr>
        <w:footnoteReference w:id="102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الغنیة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یسقط بالتصرّف بعد العلم بالعیب حقُّ المطالبة بالأرش؛لأنّ التصرّف دلالة الرضا بالبیع لا بالعیب </w:t>
      </w:r>
      <w:r>
        <w:rPr>
          <w:rStyle w:val="FootnoteAnchor"/>
          <w:rtl w:val="true"/>
        </w:rPr>
        <w:footnoteReference w:id="102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السرائر،قال فی حکم من ظهر علی عیبٍ فیما اشتراه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یجبر علی أحد الأمرین یعنی الردّ و الأرش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إذا لم یتصرّف فیه تصرّفاً یؤذن بالرضا فی العادة،أو ینقص قیمته بتصرّفه </w:t>
      </w:r>
      <w:r>
        <w:rPr>
          <w:rStyle w:val="FootnoteAnchor"/>
          <w:rtl w:val="true"/>
        </w:rPr>
        <w:footnoteReference w:id="1024"/>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الوسیلة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یسقط الردّ بأحد ثلاثة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بالرضا،و بترک الردّ بعد العلم به و المعرفة </w:t>
      </w:r>
      <w:r>
        <w:rPr>
          <w:rStyle w:val="FootnoteAnchor"/>
          <w:rtl w:val="true"/>
        </w:rPr>
        <w:footnoteReference w:id="1025"/>
      </w:r>
      <w:r>
        <w:rPr>
          <w:rFonts w:ascii="IRNazanin" w:hAnsi="IRNazanin" w:eastAsia="IRNazanin"/>
          <w:color w:val="111111"/>
          <w:sz w:val="28"/>
          <w:sz w:val="28"/>
          <w:szCs w:val="28"/>
          <w:rtl w:val="true"/>
          <w:lang w:bidi="fa-IR"/>
        </w:rPr>
        <w:t xml:space="preserve">إذا عرف أنّ له الخیار </w:t>
      </w:r>
      <w:r>
        <w:rPr>
          <w:rStyle w:val="FootnoteAnchor"/>
          <w:rtl w:val="true"/>
        </w:rPr>
        <w:footnoteReference w:id="1026"/>
      </w:r>
      <w:r>
        <w:rPr>
          <w:rFonts w:ascii="IRNazanin" w:hAnsi="IRNazanin" w:eastAsia="IRNazanin"/>
          <w:color w:val="111111"/>
          <w:sz w:val="28"/>
          <w:sz w:val="28"/>
          <w:szCs w:val="28"/>
          <w:rtl w:val="true"/>
          <w:lang w:bidi="fa-IR"/>
        </w:rPr>
        <w:t xml:space="preserve">،و بحدوث عیبٍ آخر عنده </w:t>
      </w:r>
      <w:r>
        <w:rPr>
          <w:rStyle w:val="FootnoteAnchor"/>
          <w:rtl w:val="true"/>
        </w:rPr>
        <w:footnoteReference w:id="102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بعینه کعبارة المبسوط المتقدّمة ظاهرةٌ فی أنّ التصرّف لیس بنفسه مسقطاً إلّا إذا دلّ علی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رکبها لیسقیها ثمّ یردّها لم یکن ذلک رضاً منه بإمساکها،و لو حلبها فی طریق الردّ فالأقوی أنّه تصرّفٌ یؤذن بالرضا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 الشافعیّة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یکون رضاً بإمساکه؛لأنّ اللبن مالُه قد استوفاه فی حال الردّ </w:t>
      </w:r>
      <w:r>
        <w:rPr>
          <w:rStyle w:val="FootnoteAnchor"/>
          <w:rtl w:val="true"/>
        </w:rPr>
        <w:footnoteReference w:id="102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جامع المقاصد و المسالک فی ردّ ابن حمزة القائل بأنّ التصرّف بعد العلم یسقط الأرش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التصرّف لا یدلّ علی إسقاط الأرش،نعم یدلّ علی الالتزام بالعقد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التحریر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نقل المبیع أو عرضه للبیع أو تصرّف فیه بما یدلّ علی الرضا قبل علمه بالعیب و بعده سقط الردّ </w:t>
      </w:r>
      <w:r>
        <w:rPr>
          <w:rStyle w:val="FootnoteAnchor"/>
          <w:rtl w:val="true"/>
        </w:rPr>
        <w:footnoteReference w:id="103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من جمیع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التصرّف من حیث هو لیس مسقطاً،و إنّما هو التزامٌ و رضاً بالعقد فعلاً،فکلّ تصرّفٍ یدلّ علی ذلک عادةً فهو مسقطٌ،و ما لیس کذلک فلا دلیل علی الإسقاط به،کما لو وقع نسیاناً أو للاختبار،و مقتضی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لو وقع التصرّف قبل العلم بالعیب لم یسقط،خصوصاً إذا کان ممّا یتوقّف العلم بالعیب علیه و حصل بقصد الاختبار،إلّا أنّ المعروف خصوصاً بین العلّامة و من تأخّر عنه </w:t>
      </w:r>
      <w:r>
        <w:rPr>
          <w:rStyle w:val="FootnoteAnchor"/>
          <w:rtl w:val="true"/>
        </w:rPr>
        <w:footnoteReference w:id="10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الفرق فی السقوط بالتصرّف بین وقوعه قبل العلم بالعیب أو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ینبغی أن یقال و إن کان ظاهر المشهور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التصرّف بعد العلم مسقطٌ للردّ إذا کان دالاّ بنوعه علی الرضا کدلالة اللفظ علی معناه،لا مطلق التصرّف،و الدلیل علی إسقاطه مضافاً إلی أنّه التزامٌ فعلیٌّ فیدلّ علیه ما یدلّ علی اعتبار الالتزام إذا دلّ علیه باللفظ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تقدّم فی خیار الحیوان </w:t>
      </w:r>
      <w:r>
        <w:rPr>
          <w:rStyle w:val="FootnoteAnchor"/>
          <w:rtl w:val="true"/>
        </w:rPr>
        <w:footnoteReference w:id="1032"/>
      </w:r>
      <w:r>
        <w:rPr>
          <w:rFonts w:ascii="IRNazanin" w:hAnsi="IRNazanin" w:eastAsia="IRNazanin"/>
          <w:color w:val="111111"/>
          <w:sz w:val="28"/>
          <w:sz w:val="28"/>
          <w:szCs w:val="28"/>
          <w:rtl w:val="true"/>
          <w:lang w:bidi="fa-IR"/>
        </w:rPr>
        <w:t>من تعلیل السقوط بالحدث بکونه رضاً بالبیع،و لذا تعدّینا إلی خیار المجلس و الشرط و حکمنا بسقوطهما بالتصرّف،فکذلک خیار العیب</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التصرّف قبل العلم بالعیب،فإن کان مغیِّراً للعین بزیادةٍ أو</w:t>
      </w:r>
    </w:p>
    <w:p>
      <w:pPr>
        <w:pStyle w:val="BookText"/>
        <w:rPr/>
      </w:pPr>
      <w:r>
        <w:rPr>
          <w:rFonts w:ascii="IRNazanin" w:hAnsi="IRNazanin" w:eastAsia="IRNazanin"/>
          <w:color w:val="111111"/>
          <w:sz w:val="28"/>
          <w:sz w:val="28"/>
          <w:szCs w:val="28"/>
          <w:rtl w:val="true"/>
          <w:lang w:bidi="fa-IR"/>
        </w:rPr>
        <w:t xml:space="preserve">نقیصةٍ أو تغیّر هیئةٍ أو ناقلاً لها بنقلٍ لازمٍ أو جائزٍ و بالجملة صار بحیث لا یصدق معه قیام الشیء بعینه فهو مسقطٌ أیضاً؛لمرسلة جمیل المتقدّمة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یلحق بذلک تعذّر الردّ بموتٍ أو عتقٍ أو إجارةٍ أو شبه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ظاهر المحقّق فی الشرائع الاقتصار علی ذلک،حیث قال فی أوّل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یسقط الردّ بإحداثه فیه حدثاً کالعتق و قطع الثوب سواءً کان قبل العلم بالعیب أو بعده </w:t>
      </w:r>
      <w:r>
        <w:rPr>
          <w:rStyle w:val="FootnoteAnchor"/>
          <w:rtl w:val="true"/>
        </w:rPr>
        <w:footnoteReference w:id="10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مسألة ردّ المملوک من أحداث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أحدث ما یغیّر عینه أو صفته ثبت الأرش </w:t>
      </w:r>
      <w:r>
        <w:rPr>
          <w:rStyle w:val="FootnoteAnchor"/>
          <w:rtl w:val="true"/>
        </w:rPr>
        <w:footnoteReference w:id="103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الظاهر من المحکیّ عن الإسکافی،حیث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وجد بالسلعة عیباً و قد أحدث فیه ما لا یمکن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معه </w:t>
      </w:r>
      <w:r>
        <w:rPr>
          <w:rStyle w:val="FootnoteAnchor"/>
          <w:rtl w:val="true"/>
        </w:rPr>
        <w:footnoteReference w:id="10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ردّها إلی ما کانت علیه قبله،کالوطء للأمة و القطع للثوب أو تعذّر الردّ بموتٍ أو نحوه، کان له فضل ما بین الصحّة و العیب </w:t>
      </w:r>
      <w:r>
        <w:rPr>
          <w:rStyle w:val="FootnoteAnchor"/>
          <w:rtl w:val="true"/>
        </w:rPr>
        <w:footnoteReference w:id="103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هو الذی ینبغی أن یقتصر علیه من التصرّف قبل العلم، و أمّا ما عدا ذلک من التصرّف قبل العلم کحلب الدابّة و رکوبها و شبه ذلک فلا دلیل علی السقوط به بحیث تطمئنّ به النفس،أقصی </w:t>
      </w:r>
      <w:r>
        <w:rPr>
          <w:rStyle w:val="FootnoteAnchor"/>
          <w:rtl w:val="true"/>
        </w:rPr>
        <w:footnoteReference w:id="1038"/>
      </w:r>
    </w:p>
    <w:p>
      <w:pPr>
        <w:pStyle w:val="BookText"/>
        <w:rPr/>
      </w:pPr>
      <w:r>
        <w:rPr>
          <w:rFonts w:ascii="IRNazanin" w:hAnsi="IRNazanin" w:eastAsia="IRNazanin"/>
          <w:color w:val="111111"/>
          <w:sz w:val="28"/>
          <w:sz w:val="28"/>
          <w:szCs w:val="28"/>
          <w:rtl w:val="true"/>
          <w:lang w:bidi="fa-IR"/>
        </w:rPr>
        <w:t xml:space="preserve">ما یوجد لذلک صحیحة زرارة المتقدّمة </w:t>
      </w:r>
      <w:r>
        <w:rPr>
          <w:rStyle w:val="FootnoteAnchor"/>
          <w:rtl w:val="true"/>
        </w:rPr>
        <w:footnoteReference w:id="1039"/>
      </w:r>
      <w:r>
        <w:rPr>
          <w:rFonts w:ascii="IRNazanin" w:hAnsi="IRNazanin" w:eastAsia="IRNazanin"/>
          <w:color w:val="111111"/>
          <w:sz w:val="28"/>
          <w:sz w:val="28"/>
          <w:szCs w:val="28"/>
          <w:rtl w:val="true"/>
          <w:lang w:bidi="fa-IR"/>
        </w:rPr>
        <w:t xml:space="preserve">بضمیمة ما تقدّم </w:t>
      </w:r>
      <w:r>
        <w:rPr>
          <w:rStyle w:val="FootnoteAnchor"/>
          <w:rtl w:val="true"/>
        </w:rPr>
        <w:footnoteReference w:id="1040"/>
      </w:r>
      <w:r>
        <w:rPr>
          <w:rFonts w:ascii="IRNazanin" w:hAnsi="IRNazanin" w:eastAsia="IRNazanin"/>
          <w:color w:val="111111"/>
          <w:sz w:val="28"/>
          <w:sz w:val="28"/>
          <w:szCs w:val="28"/>
          <w:rtl w:val="true"/>
          <w:lang w:bidi="fa-IR"/>
        </w:rPr>
        <w:t xml:space="preserve">فی خیار الحیوان من التمثیل للحدث بالنظر و اللمس،و قیام النصّ </w:t>
      </w:r>
      <w:r>
        <w:rPr>
          <w:rStyle w:val="FootnoteAnchor"/>
          <w:rtl w:val="true"/>
        </w:rPr>
        <w:footnoteReference w:id="1041"/>
      </w:r>
      <w:r>
        <w:rPr>
          <w:rFonts w:ascii="IRNazanin" w:hAnsi="IRNazanin" w:eastAsia="IRNazanin"/>
          <w:color w:val="111111"/>
          <w:sz w:val="28"/>
          <w:sz w:val="28"/>
          <w:szCs w:val="28"/>
          <w:rtl w:val="true"/>
          <w:lang w:bidi="fa-IR"/>
        </w:rPr>
        <w:t xml:space="preserve">و الإجماع علی سقوط ردّ الجاریة بوطئها قبل العلم،مع عدم دلالته علی الالتزام بالبیع و عدم تغییره للعین،و إطلاق معقد الإجماع المدّعی فی کثیرٍ من العبائر، کالتذکرة و السرائر و الغنیة و غیرها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نهوض ذلک کلّه لتقیید إطلاق أخبار الردّ خصوصاً ما کان هذا التقیید فیه فی غایة البعد،کالنصّ بردّ الجاریة بعد ستّة أشهر </w:t>
      </w:r>
      <w:r>
        <w:rPr>
          <w:rStyle w:val="FootnoteAnchor"/>
          <w:rtl w:val="true"/>
        </w:rPr>
        <w:footnoteReference w:id="1043"/>
      </w:r>
      <w:r>
        <w:rPr>
          <w:rFonts w:ascii="IRNazanin" w:hAnsi="IRNazanin" w:eastAsia="IRNazanin"/>
          <w:color w:val="111111"/>
          <w:sz w:val="28"/>
          <w:sz w:val="28"/>
          <w:szCs w:val="28"/>
          <w:rtl w:val="true"/>
          <w:lang w:bidi="fa-IR"/>
        </w:rPr>
        <w:t xml:space="preserve">، و ردّ الجاریة إذا لم یطأها </w:t>
      </w:r>
      <w:r>
        <w:rPr>
          <w:rStyle w:val="FootnoteAnchor"/>
          <w:rtl w:val="true"/>
        </w:rPr>
        <w:footnoteReference w:id="1044"/>
      </w:r>
      <w:r>
        <w:rPr>
          <w:rFonts w:ascii="IRNazanin" w:hAnsi="IRNazanin" w:eastAsia="IRNazanin"/>
          <w:color w:val="111111"/>
          <w:sz w:val="28"/>
          <w:sz w:val="28"/>
          <w:szCs w:val="28"/>
          <w:rtl w:val="true"/>
          <w:lang w:bidi="fa-IR"/>
        </w:rPr>
        <w:t xml:space="preserve">و ردّ المملوک من أحداث السنة </w:t>
      </w:r>
      <w:r>
        <w:rPr>
          <w:rStyle w:val="FootnoteAnchor"/>
          <w:rtl w:val="true"/>
        </w:rPr>
        <w:footnoteReference w:id="1045"/>
      </w:r>
      <w:r>
        <w:rPr>
          <w:rFonts w:ascii="IRNazanin" w:hAnsi="IRNazanin" w:eastAsia="IRNazanin"/>
          <w:color w:val="111111"/>
          <w:sz w:val="28"/>
          <w:sz w:val="28"/>
          <w:szCs w:val="28"/>
          <w:rtl w:val="true"/>
          <w:lang w:bidi="fa-IR"/>
        </w:rPr>
        <w:t>نظرٌ،بل منعٌ،خصوصاً معاقد الإجماع؛فإنّ نَقَلَة الإجماع کالعلّامة و الحلّی و ابن زهرة قد صرّحوا فی کلماتهم المتقدّمة بأنّ العبرة بالرضا بالعقد، فکأنّ دعوی الإجماع وقعت من هؤلاء علی السقوط بما یدلّ علی الرضا من التصرّف،خصوصاً ابن زهرة فی الغنیة حیث إنّه اختار</w:t>
      </w:r>
    </w:p>
    <w:p>
      <w:pPr>
        <w:pStyle w:val="BookText"/>
        <w:rPr/>
      </w:pPr>
      <w:r>
        <w:rPr>
          <w:rFonts w:ascii="IRNazanin" w:hAnsi="IRNazanin" w:eastAsia="IRNazanin"/>
          <w:color w:val="111111"/>
          <w:sz w:val="28"/>
          <w:sz w:val="28"/>
          <w:szCs w:val="28"/>
          <w:rtl w:val="true"/>
          <w:lang w:bidi="fa-IR"/>
        </w:rPr>
        <w:t xml:space="preserve">ما قوّیناه من التفصیل بین صورتی العلم و الجهل و المغیّر و غیره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خامسها یعنی مسقطات الردّ التصرّف فی المبیع الذی لا یجوز مثله إلّا بملکه أو الإذن الحاصل له بعد العلم بالعیب، فإنّه یمنع من الردّ لشیءٍ من العیوب،و لا یسقط حقّ المطالبة بالأرش، لأنّ التصرّف دلالة الرضا بالبیع لا بالعیب،و کذا حکمه لو </w:t>
      </w:r>
      <w:r>
        <w:rPr>
          <w:rStyle w:val="FootnoteAnchor"/>
          <w:rtl w:val="true"/>
        </w:rPr>
        <w:footnoteReference w:id="1047"/>
      </w:r>
      <w:r>
        <w:rPr>
          <w:rFonts w:ascii="IRNazanin" w:hAnsi="IRNazanin" w:eastAsia="IRNazanin"/>
          <w:color w:val="111111"/>
          <w:sz w:val="28"/>
          <w:sz w:val="28"/>
          <w:szCs w:val="28"/>
          <w:rtl w:val="true"/>
          <w:lang w:bidi="fa-IR"/>
        </w:rPr>
        <w:t xml:space="preserve">کان قبل العلم بالعیب و کان مغیّراً للعین بزیادةٍ فیه مثل الصبغ للثوب أو نقصانٍ فیه کالقطع </w:t>
      </w:r>
      <w:r>
        <w:rPr>
          <w:rStyle w:val="FootnoteAnchor"/>
          <w:rtl w:val="true"/>
        </w:rPr>
        <w:footnoteReference w:id="10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لم یکن کذلک فله الردّ بالعیب إذا علم ما لم یکن أمةً فیطأها </w:t>
      </w:r>
      <w:r>
        <w:rPr>
          <w:rStyle w:val="FootnoteAnchor"/>
          <w:rtl w:val="true"/>
        </w:rPr>
        <w:footnoteReference w:id="1049"/>
      </w:r>
      <w:r>
        <w:rPr>
          <w:rFonts w:ascii="Amiri" w:hAnsi="Amiri" w:eastAsia="Amiri" w:cs="Amiri"/>
          <w:color w:val="111111"/>
          <w:sz w:val="28"/>
          <w:sz w:val="28"/>
          <w:szCs w:val="28"/>
          <w:rtl w:val="true"/>
          <w:lang w:bidi="ar-SA"/>
        </w:rPr>
        <w:t xml:space="preserve">فإنّه یمنع من ردّها لشیءٍ من العیوب إلّا الحَبَل </w:t>
      </w:r>
      <w:r>
        <w:rPr>
          <w:rStyle w:val="FootnoteAnchor"/>
          <w:rtl w:val="true"/>
        </w:rPr>
        <w:footnoteReference w:id="1050"/>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أجاد قدّس سرّه فیما استفاده من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من المبسوط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التصرّف قبل العلم لا یسقط به الخیار </w:t>
      </w:r>
      <w:r>
        <w:rPr>
          <w:rStyle w:val="FootnoteAnchor"/>
          <w:rtl w:val="true"/>
        </w:rPr>
        <w:footnoteReference w:id="10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صرّح بأنّ الصبغ و قطع الثوب یمنع من الردّ </w:t>
      </w:r>
      <w:r>
        <w:rPr>
          <w:rStyle w:val="FootnoteAnchor"/>
          <w:rtl w:val="true"/>
        </w:rPr>
        <w:footnoteReference w:id="10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فإطلاق التصرّف قبل العلم محمولٌ علی غیر المغیّر</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 المقنعة و المبسوط </w:t>
      </w:r>
      <w:r>
        <w:rPr>
          <w:rStyle w:val="FootnoteAnchor"/>
          <w:rtl w:val="true"/>
        </w:rPr>
        <w:footnoteReference w:id="10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وجد العیب بعد عتق العبد</w:t>
      </w:r>
      <w:bookmarkStart w:id="485" w:name="pg19864_220915"/>
    </w:p>
    <w:p>
      <w:pPr>
        <w:pStyle w:val="BookText"/>
        <w:rPr/>
      </w:pPr>
      <w:bookmarkEnd w:id="485"/>
      <w:r>
        <w:rPr>
          <w:rFonts w:ascii="IRNazanin" w:hAnsi="IRNazanin" w:eastAsia="IRNazanin"/>
          <w:color w:val="111111"/>
          <w:sz w:val="28"/>
          <w:sz w:val="28"/>
          <w:szCs w:val="28"/>
          <w:rtl w:val="true"/>
          <w:lang w:bidi="fa-IR"/>
        </w:rPr>
        <w:t xml:space="preserve">و الأمة لم یکن له ردّهما،و إذا وجده بعد تدبیرهما أو هبتهما کان مخیّراً بین الردّ و </w:t>
      </w:r>
      <w:r>
        <w:rPr>
          <w:rStyle w:val="FootnoteAnchor"/>
          <w:rtl w:val="true"/>
        </w:rPr>
        <w:footnoteReference w:id="1054"/>
      </w:r>
      <w:r>
        <w:rPr>
          <w:rFonts w:ascii="IRNazanin" w:hAnsi="IRNazanin" w:eastAsia="IRNazanin"/>
          <w:color w:val="111111"/>
          <w:sz w:val="28"/>
          <w:sz w:val="28"/>
          <w:szCs w:val="28"/>
          <w:rtl w:val="true"/>
          <w:lang w:bidi="fa-IR"/>
        </w:rPr>
        <w:t>أرش العیب،و فرّقا بینهما و بین العتق بجواز الرجوع فیهما دون 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یردّه مع أنّ مثلهما تصرّفٌ یؤذن بالرضا مرسلة جمیل </w:t>
      </w:r>
      <w:r>
        <w:rPr>
          <w:rStyle w:val="FootnoteAnchor"/>
          <w:rtl w:val="true"/>
        </w:rPr>
        <w:footnoteReference w:id="1055"/>
      </w:r>
      <w:r>
        <w:rPr>
          <w:rFonts w:ascii="IRNazanin" w:hAnsi="IRNazanin" w:eastAsia="IRNazanin"/>
          <w:color w:val="111111"/>
          <w:sz w:val="28"/>
          <w:sz w:val="28"/>
          <w:szCs w:val="28"/>
          <w:rtl w:val="true"/>
          <w:lang w:bidi="fa-IR"/>
        </w:rPr>
        <w:t xml:space="preserve">فإنّ العین مع الهبة و التدبیر غیر قائمةٍ،و جواز الرجوع و عدمه لا دخل له فی ذلک؛و لذا اعترض علیهما الحلّی بالنقض بما لو باعه بخیارٍ مع أنّه لم یقل أحدٌ من الأُمّة بجواز الردّ حینئذٍ </w:t>
      </w:r>
      <w:r>
        <w:rPr>
          <w:rStyle w:val="FootnoteAnchor"/>
          <w:rtl w:val="true"/>
        </w:rPr>
        <w:footnoteReference w:id="1056"/>
      </w:r>
      <w:r>
        <w:rPr>
          <w:rFonts w:ascii="IRNazanin" w:hAnsi="IRNazanin" w:eastAsia="IRNazanin"/>
          <w:color w:val="111111"/>
          <w:sz w:val="28"/>
          <w:sz w:val="28"/>
          <w:szCs w:val="28"/>
          <w:rtl w:val="true"/>
          <w:lang w:bidi="fa-IR"/>
        </w:rPr>
        <w:t>بعد 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الذی یقتضیه أُصول المذهب أنّ المشتری إذا تصرّف فی المبیع فإنّه لا یجوز له ردّه، و لا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Style w:val="FootnoteAnchor"/>
          <w:rtl w:val="true"/>
        </w:rPr>
        <w:footnoteReference w:id="10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الهبة و التدبیر تصرّف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بالجملة،فتعمیم الأکثر لأفراد التصرّف مع التعمیم لما بعد العلم و ما قبله مشکلٌ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العجب من المحقّق الثانی أنّه تنظّر فی سقوط الخیار بالهبة الجائزة،مع تصریحه فی مقامٍ آخر بما علیه الأکثر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86" w:name="__RefHeading___Toc5148878_2314609296"/>
      <w:bookmarkStart w:id="487" w:name="_Toc184"/>
      <w:bookmarkEnd w:id="486"/>
      <w:r>
        <w:rPr>
          <w:rtl w:val="true"/>
        </w:rPr>
        <w:t>الثالث</w:t>
      </w:r>
      <w:r>
        <w:rPr>
          <w:rtl w:val="true"/>
        </w:rPr>
        <w:t xml:space="preserve">: </w:t>
      </w:r>
      <w:r>
        <w:rPr>
          <w:rtl w:val="true"/>
        </w:rPr>
        <w:t>تلف العین أو صیرورته کالتالف،</w:t>
      </w:r>
      <w:bookmarkEnd w:id="487"/>
    </w:p>
    <w:p>
      <w:pPr>
        <w:pStyle w:val="BookText"/>
        <w:rPr/>
      </w:pPr>
      <w:r>
        <w:rPr>
          <w:rFonts w:ascii="IRNazanin" w:hAnsi="IRNazanin" w:eastAsia="IRNazanin"/>
          <w:color w:val="111111"/>
          <w:sz w:val="28"/>
          <w:sz w:val="28"/>
          <w:szCs w:val="28"/>
          <w:rtl w:val="true"/>
          <w:lang w:bidi="fa-IR"/>
        </w:rPr>
        <w:t>فإنّه یسقط الخیار هنا، بخلاف الخیارات المتقدّمة الغیر الساقطة بتلف العین</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المستند فیه بعد ظهور الإجماع إناطة الردّ فی المرسلة السابقة </w:t>
      </w:r>
      <w:r>
        <w:rPr>
          <w:rStyle w:val="FootnoteAnchor"/>
          <w:rtl w:val="true"/>
        </w:rPr>
        <w:footnoteReference w:id="1060"/>
      </w:r>
      <w:bookmarkStart w:id="488" w:name="pg19864_220916"/>
    </w:p>
    <w:p>
      <w:pPr>
        <w:pStyle w:val="BookText"/>
        <w:rPr/>
      </w:pPr>
      <w:bookmarkEnd w:id="488"/>
      <w:r>
        <w:rPr>
          <w:rFonts w:ascii="IRNazanin" w:hAnsi="IRNazanin" w:eastAsia="IRNazanin"/>
          <w:color w:val="111111"/>
          <w:sz w:val="28"/>
          <w:sz w:val="28"/>
          <w:szCs w:val="28"/>
          <w:rtl w:val="true"/>
          <w:lang w:bidi="fa-IR"/>
        </w:rPr>
        <w:t>بقیام العین،فإنّ الظاهر منه اعتبار بقائها فی ملکه،فلو تلف أو انتقل إلی ملک الغیر أو استُؤجر أو رُهن أو أبق العبد أو انعتق العبد علی المشتری،فلا 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ذکرنا ظهر أنّ عدّ انعتاق العبد علی المشتری مسقطاً برأسه کما فی الدروس </w:t>
      </w:r>
      <w:r>
        <w:rPr>
          <w:rStyle w:val="FootnoteAnchor"/>
          <w:rtl w:val="true"/>
        </w:rPr>
        <w:footnoteReference w:id="1061"/>
      </w:r>
      <w:r>
        <w:rPr>
          <w:rFonts w:ascii="IRNazanin" w:hAnsi="IRNazanin" w:eastAsia="IRNazanin"/>
          <w:color w:val="111111"/>
          <w:sz w:val="28"/>
          <w:sz w:val="28"/>
          <w:szCs w:val="28"/>
          <w:rtl w:val="true"/>
          <w:lang w:bidi="fa-IR"/>
        </w:rPr>
        <w:t>لا یخلو عن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نعم،ذکر أنّه یمکن إرجاع هذا الوجه إلی التصرّف،و هو أیضاً لا یخلو عن شیءٍ،و الأولی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لو عاد الملک إلی المشتری لم یجز ردّه؛للأصل،خلافاً للشیخ </w:t>
      </w:r>
      <w:r>
        <w:rPr>
          <w:rStyle w:val="FootnoteAnchor"/>
          <w:rtl w:val="true"/>
        </w:rPr>
        <w:footnoteReference w:id="1062"/>
      </w:r>
      <w:r>
        <w:rPr>
          <w:rFonts w:ascii="IRNazanin" w:hAnsi="IRNazanin" w:eastAsia="IRNazanin"/>
          <w:color w:val="111111"/>
          <w:sz w:val="28"/>
          <w:sz w:val="28"/>
          <w:szCs w:val="28"/>
          <w:rtl w:val="true"/>
          <w:lang w:bidi="fa-IR"/>
        </w:rPr>
        <w:t xml:space="preserve">،بل المفید </w:t>
      </w:r>
      <w:r>
        <w:rPr>
          <w:rStyle w:val="FootnoteAnchor"/>
          <w:rtl w:val="true"/>
        </w:rPr>
        <w:footnoteReference w:id="1063"/>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w:t>
      </w:r>
    </w:p>
    <w:p>
      <w:pPr>
        <w:pStyle w:val="Heading6"/>
        <w:numPr>
          <w:ilvl w:val="5"/>
          <w:numId w:val="1"/>
        </w:numPr>
        <w:rPr/>
      </w:pPr>
      <w:bookmarkStart w:id="489" w:name="__RefHeading___Toc5148880_2314609296"/>
      <w:bookmarkStart w:id="490" w:name="_Toc185"/>
      <w:bookmarkEnd w:id="489"/>
      <w:r>
        <w:rPr>
          <w:rtl w:val="true"/>
        </w:rPr>
        <w:t>«</w:t>
      </w:r>
      <w:r>
        <w:rPr>
          <w:rtl w:val="true"/>
        </w:rPr>
        <w:t>فرع</w:t>
      </w:r>
      <w:r>
        <w:rPr>
          <w:rtl w:val="true"/>
        </w:rPr>
        <w:t>»:</w:t>
      </w:r>
      <w:bookmarkEnd w:id="490"/>
    </w:p>
    <w:p>
      <w:pPr>
        <w:pStyle w:val="BookText"/>
        <w:rPr/>
      </w:pPr>
      <w:r>
        <w:rPr>
          <w:rFonts w:ascii="Amiri" w:hAnsi="Amiri" w:eastAsia="Amiri" w:cs="Amiri"/>
          <w:color w:val="111111"/>
          <w:sz w:val="28"/>
          <w:sz w:val="28"/>
          <w:szCs w:val="28"/>
          <w:rtl w:val="true"/>
          <w:lang w:bidi="ar-SA"/>
        </w:rPr>
        <w:t xml:space="preserve">لا خلاف نصّاً </w:t>
      </w:r>
      <w:r>
        <w:rPr>
          <w:rStyle w:val="FootnoteAnchor"/>
          <w:rtl w:val="true"/>
        </w:rPr>
        <w:footnoteReference w:id="1064"/>
      </w:r>
      <w:r>
        <w:rPr>
          <w:rFonts w:ascii="IRNazanin" w:hAnsi="IRNazanin" w:eastAsia="IRNazanin"/>
          <w:color w:val="111111"/>
          <w:sz w:val="28"/>
          <w:sz w:val="28"/>
          <w:szCs w:val="28"/>
          <w:rtl w:val="true"/>
          <w:lang w:bidi="fa-IR"/>
        </w:rPr>
        <w:t>و فتوی فی أنّ وطء الجاریة یمنع عن ردّها بالعیب،</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سواءً قلنا بأنّ مطلق التصرّف مانعٌ أم قلنا باختصاصه بالتصرّف الموجب لعدم کون الشیء قائماً بعینه،غایة الأمر کون الوطء علی هذا القول مستثنی عن التصرّف الغیر المغیّر للعین کما عرفت </w:t>
      </w:r>
      <w:r>
        <w:rPr>
          <w:rStyle w:val="FootnoteAnchor"/>
          <w:rtl w:val="true"/>
        </w:rPr>
        <w:footnoteReference w:id="1065"/>
      </w:r>
      <w:r>
        <w:rPr>
          <w:rFonts w:ascii="IRNazanin" w:hAnsi="IRNazanin" w:eastAsia="IRNazanin"/>
          <w:color w:val="111111"/>
          <w:sz w:val="28"/>
          <w:sz w:val="28"/>
          <w:szCs w:val="28"/>
          <w:rtl w:val="true"/>
          <w:lang w:bidi="fa-IR"/>
        </w:rPr>
        <w:t xml:space="preserve">من عبارة الغنیة مع أنّ العلّامة قدّس سرّه علّل المنع فی موضعٍ من التذکرة بأنّ الوطء جنایةٌ،و لهذا یوجب غرامة جزءٍ من القیمة کسائر جنایات المملوک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تقدّم </w:t>
      </w:r>
      <w:r>
        <w:rPr>
          <w:rStyle w:val="FootnoteAnchor"/>
          <w:rtl w:val="true"/>
        </w:rPr>
        <w:footnoteReference w:id="1067"/>
      </w:r>
      <w:r>
        <w:rPr>
          <w:rFonts w:ascii="IRNazanin" w:hAnsi="IRNazanin" w:eastAsia="IRNazanin"/>
          <w:color w:val="111111"/>
          <w:sz w:val="28"/>
          <w:sz w:val="28"/>
          <w:szCs w:val="28"/>
          <w:rtl w:val="true"/>
          <w:lang w:bidi="fa-IR"/>
        </w:rPr>
        <w:t>فی کلام الإسکافی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الوطء ممّا لا یمکن معه ردّ المبیع إلی ما کان علیه قبله،و یشیر إلیه ما سیجیء فی غیر واحدٍ من الروایات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 أن یجعل لها أجراً</w:t>
      </w:r>
      <w:r>
        <w:rPr>
          <w:rFonts w:eastAsia="IRNazanin" w:cs="IRNazanin"/>
          <w:color w:val="111111"/>
          <w:sz w:val="28"/>
          <w:szCs w:val="28"/>
          <w:rtl w:val="true"/>
          <w:lang w:bidi="fa-IR"/>
        </w:rPr>
        <w:t xml:space="preserve">!» </w:t>
      </w:r>
      <w:r>
        <w:rPr>
          <w:rStyle w:val="FootnoteAnchor"/>
          <w:rtl w:val="true"/>
        </w:rPr>
        <w:footnoteReference w:id="1068"/>
      </w:r>
      <w:r>
        <w:rPr>
          <w:rFonts w:ascii="IRNazanin" w:hAnsi="IRNazanin" w:eastAsia="IRNazanin"/>
          <w:color w:val="111111"/>
          <w:sz w:val="28"/>
          <w:sz w:val="28"/>
          <w:szCs w:val="28"/>
          <w:rtl w:val="true"/>
          <w:lang w:bidi="fa-IR"/>
        </w:rPr>
        <w:t xml:space="preserve">فإنّ فیه إشارةً إلی أنّه لو ردّها لا بدّ أن یردّ معها شیئاً تدارکاً للجنایة؛إذ لو کان الوطء مجرّد استیفاء منفعةٍ لم یتوقّف ردّها علی ردّ عوض المنفعة، فإطلاق الأجر علیه فی الروایة علی طبق ما یتراءی فی نظر العرف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کون هذه الغرامة کأنّها اجرةٌ للوطء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حاصل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حکمت بالردّ مع أرش جنایتها کان ذلک فی الأنظار بمنزلة الأُجرة و هی ممنوعةٌ شرعاً؛لأنّ إجارة الفروج غیر جائزة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إنّما وقع من أمیر المؤمنین علیه السلام مبنیّاً علی تقریر رعیّته علی ما فعله الثانی من تحریم العقد المنقطع،فلا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المتعة مشروعة،و قد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المنقطعات مستأجراتٌ</w:t>
      </w:r>
      <w:r>
        <w:rPr>
          <w:rFonts w:eastAsia="IRNazanin" w:cs="IRNazanin"/>
          <w:color w:val="111111"/>
          <w:sz w:val="28"/>
          <w:szCs w:val="28"/>
          <w:rtl w:val="true"/>
          <w:lang w:bidi="fa-IR"/>
        </w:rPr>
        <w:t xml:space="preserve">» </w:t>
      </w:r>
      <w:r>
        <w:rPr>
          <w:rStyle w:val="FootnoteAnchor"/>
          <w:rtl w:val="true"/>
        </w:rPr>
        <w:footnoteReference w:id="1070"/>
      </w:r>
      <w:r>
        <w:rPr>
          <w:rFonts w:ascii="IRNazanin" w:hAnsi="IRNazanin" w:eastAsia="IRNazanin"/>
          <w:color w:val="111111"/>
          <w:sz w:val="28"/>
          <w:sz w:val="28"/>
          <w:szCs w:val="28"/>
          <w:rtl w:val="true"/>
          <w:lang w:bidi="fa-IR"/>
        </w:rPr>
        <w:t>فلا وجه للاستعاذة باللّٰه من جعل الأُجرة للفروج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یخطر عاجلاً بالبال فی معنی هذه الفقرة،و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کان،ففی النصوص المستفیضة الواردة فی المسألة کفایةٌ</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صحیحة ابن حازم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اشتری جاریةً فوقع علیها؟قال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وجد فیها عیباً فلیس له أن</w:t>
      </w:r>
    </w:p>
    <w:p>
      <w:pPr>
        <w:pStyle w:val="BookText"/>
        <w:rPr/>
      </w:pPr>
      <w:r>
        <w:rPr>
          <w:rFonts w:ascii="IRNazanin" w:hAnsi="IRNazanin" w:eastAsia="IRNazanin"/>
          <w:color w:val="111111"/>
          <w:sz w:val="28"/>
          <w:sz w:val="28"/>
          <w:szCs w:val="28"/>
          <w:rtl w:val="true"/>
          <w:lang w:bidi="fa-IR"/>
        </w:rPr>
        <w:t>یردّها،و لکن یردّ علیه بقیمة ما نقَّصها العیب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قول أمیر المؤمنین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ابن مسلم عن أحدهما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سئل عن الرجل یبتاع الجاریة فیقع علیها،فیجد بها عیباً بعد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یردّها علی صاحبها،و لکن یقوّم ما بین العیب و الصحّة،و یردّ علی المبتاع، معاذ اللّٰه أن یجعل لها أجراً</w:t>
      </w:r>
      <w:r>
        <w:rPr>
          <w:rFonts w:eastAsia="IRNazanin" w:cs="IRNazanin"/>
          <w:color w:val="111111"/>
          <w:sz w:val="28"/>
          <w:szCs w:val="28"/>
          <w:rtl w:val="true"/>
          <w:lang w:bidi="fa-IR"/>
        </w:rPr>
        <w:t xml:space="preserve">!»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میسّر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لا یردّ الجاریة بعیبٍ إذا وطئت،و لکن یرجع بقیمة العیب،و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أجعل لها أجراً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طلحة بن زید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أمیر المؤمنین علیه السلام فی رجلٍ اشتری جاریةً فوطأها،ثمّ رأی فیها عیباً،قال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تُقوَّم و هی صحیحةٌ،و تُقوَّم و بها الداء،ثمّ یردّ البائع علی المبتاع فضل ما بین القیمتین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عن حمّاد فی الصحیح عن أبی عبد اللّٰه علیه السلام،یقول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بن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القضاء الأوّل فی الرجل إذا اشتری الأمة فوطأها،ثمّ ظهر علی 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البیع لازمٌ،و له أرش العیب</w:t>
      </w:r>
      <w:r>
        <w:rPr>
          <w:rFonts w:eastAsia="IRNazanin" w:cs="IRNazanin"/>
          <w:color w:val="111111"/>
          <w:sz w:val="28"/>
          <w:szCs w:val="28"/>
          <w:rtl w:val="true"/>
          <w:lang w:bidi="fa-IR"/>
        </w:rPr>
        <w:t xml:space="preserve">» </w:t>
      </w:r>
      <w:r>
        <w:rPr>
          <w:rStyle w:val="FootnoteAnchor"/>
          <w:rtl w:val="true"/>
        </w:rPr>
        <w:footnoteReference w:id="1076"/>
      </w:r>
      <w:r>
        <w:rPr>
          <w:rFonts w:ascii="IRNazanin" w:hAnsi="IRNazanin" w:eastAsia="IRNazanin"/>
          <w:color w:val="111111"/>
          <w:sz w:val="28"/>
          <w:sz w:val="28"/>
          <w:szCs w:val="28"/>
          <w:rtl w:val="true"/>
          <w:lang w:bidi="fa-IR"/>
        </w:rPr>
        <w:t>إلی</w:t>
      </w:r>
    </w:p>
    <w:p>
      <w:pPr>
        <w:pStyle w:val="BookText"/>
        <w:rPr/>
      </w:pPr>
      <w:r>
        <w:rPr>
          <w:rFonts w:ascii="IRNazanin" w:hAnsi="IRNazanin" w:eastAsia="IRNazanin"/>
          <w:color w:val="111111"/>
          <w:sz w:val="28"/>
          <w:sz w:val="28"/>
          <w:szCs w:val="28"/>
          <w:rtl w:val="true"/>
          <w:lang w:bidi="fa-IR"/>
        </w:rPr>
        <w:t>غیر ذلک ممّا سیجیء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المشهور استثنوا من عموم هذه الأخبار لجمیع أفراد العیب الحمل،فإنّه عیبٌ إجماعاً،کما فی المسالک </w:t>
      </w:r>
      <w:r>
        <w:rPr>
          <w:rStyle w:val="FootnoteAnchor"/>
          <w:rtl w:val="true"/>
        </w:rPr>
        <w:footnoteReference w:id="10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الوطء لا یمنع من الردّ به،بل یردّها و یردّ معها العُشر أو نصفه علی المشهور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استندوا فی ذلک إلی نصوصٍ مستفیضة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ابن سنان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اشتری جاریةً حُبلی و لم یعلم بحَبَلها،فوطأها؟قال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یردّها علی الذی ابتاعها منه،و یردّ علیها </w:t>
      </w:r>
      <w:r>
        <w:rPr>
          <w:rStyle w:val="FootnoteAnchor"/>
          <w:rtl w:val="true"/>
        </w:rPr>
        <w:footnoteReference w:id="1078"/>
      </w:r>
      <w:r>
        <w:rPr>
          <w:rFonts w:ascii="IRNazanin" w:hAnsi="IRNazanin" w:eastAsia="IRNazanin"/>
          <w:color w:val="111111"/>
          <w:sz w:val="28"/>
          <w:sz w:val="28"/>
          <w:szCs w:val="28"/>
          <w:rtl w:val="true"/>
          <w:lang w:bidi="fa-IR"/>
        </w:rPr>
        <w:t>نصف عشر قیمتها لنکاحه إیّاها،و قد 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تُردّ التی لیست بحُبلی إذا وطأها صاحبها،و یوضع عنه من ثمنها بقدر العیب إن کان فیها</w:t>
      </w:r>
      <w:r>
        <w:rPr>
          <w:rFonts w:eastAsia="IRNazanin" w:cs="IRNazanin"/>
          <w:color w:val="111111"/>
          <w:sz w:val="28"/>
          <w:szCs w:val="28"/>
          <w:rtl w:val="true"/>
          <w:lang w:bidi="fa-IR"/>
        </w:rPr>
        <w:t xml:space="preserve">»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عبد الملک بن عمرو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تردّ التی لیست بحُبلی إذا وطأها صاحبها و له أرش العیب،و تردّ الحُبلی و یردّ معها نصف عشر قیمتها</w:t>
      </w:r>
      <w:r>
        <w:rPr>
          <w:rFonts w:eastAsia="IRNazanin" w:cs="IRNazanin"/>
          <w:color w:val="111111"/>
          <w:sz w:val="28"/>
          <w:szCs w:val="28"/>
          <w:rtl w:val="true"/>
          <w:lang w:bidi="fa-IR"/>
        </w:rPr>
        <w:t xml:space="preserve">» </w:t>
      </w:r>
      <w:r>
        <w:rPr>
          <w:rStyle w:val="FootnoteAnchor"/>
          <w:rtl w:val="true"/>
        </w:rPr>
        <w:footnoteReference w:id="10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 فی الکافی،قال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اخری</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بکراً فعشر قیمتها،و إن کانت ثیّباً فنصف عشر قیمتها</w:t>
      </w:r>
      <w:r>
        <w:rPr>
          <w:rFonts w:eastAsia="IRNazanin" w:cs="IRNazanin"/>
          <w:color w:val="111111"/>
          <w:sz w:val="28"/>
          <w:szCs w:val="28"/>
          <w:rtl w:val="true"/>
          <w:lang w:bidi="fa-IR"/>
        </w:rPr>
        <w:t xml:space="preserve">»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مرسلة ابن أبی عمیر عن سعید بن یسار،قال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رجلٍ باع جاریةً حُبلی و هو لا یعلم فنکحها الذی اشتری؟قال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یردّها و یردّ نصف عشر قیمتها</w:t>
      </w:r>
      <w:r>
        <w:rPr>
          <w:rFonts w:eastAsia="IRNazanin" w:cs="IRNazanin"/>
          <w:color w:val="111111"/>
          <w:sz w:val="28"/>
          <w:szCs w:val="28"/>
          <w:rtl w:val="true"/>
          <w:lang w:bidi="fa-IR"/>
        </w:rPr>
        <w:t xml:space="preserve">»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عبد الرحمن بن أبی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الرجل یشتری الجاریة،فیقع علیها فیجدها حُبلی؟قال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 و یردّ معها شیئاً</w:t>
      </w:r>
      <w:r>
        <w:rPr>
          <w:rFonts w:eastAsia="IRNazanin" w:cs="IRNazanin"/>
          <w:color w:val="111111"/>
          <w:sz w:val="28"/>
          <w:szCs w:val="28"/>
          <w:rtl w:val="true"/>
          <w:lang w:bidi="fa-IR"/>
        </w:rPr>
        <w:t xml:space="preserve">»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ابن مسلم 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یشتری الجاریة الحُبلی فینکحها؟قال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یردّها و یکسوها</w:t>
      </w:r>
      <w:r>
        <w:rPr>
          <w:rFonts w:eastAsia="IRNazanin" w:cs="IRNazanin"/>
          <w:color w:val="111111"/>
          <w:sz w:val="28"/>
          <w:szCs w:val="28"/>
          <w:rtl w:val="true"/>
          <w:lang w:bidi="fa-IR"/>
        </w:rPr>
        <w:t xml:space="preserve">»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عبد الملک بن عمرو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یشتری الجاریة و هی حُبلی فیطأها؟قال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یردّها و یردّ عشر قیمتها</w:t>
      </w:r>
      <w:r>
        <w:rPr>
          <w:rFonts w:eastAsia="IRNazanin" w:cs="IRNazanin"/>
          <w:color w:val="111111"/>
          <w:sz w:val="28"/>
          <w:szCs w:val="28"/>
          <w:rtl w:val="true"/>
          <w:lang w:bidi="fa-IR"/>
        </w:rPr>
        <w:t xml:space="preserve">»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جملة ما وقفت علیها من الروایات،و قد عمل بها المشهور، بل ادّعی علی ظاهرها الإجماع فی الغنیة </w:t>
      </w:r>
      <w:r>
        <w:rPr>
          <w:rStyle w:val="FootnoteAnchor"/>
          <w:rtl w:val="true"/>
        </w:rPr>
        <w:footnoteReference w:id="1086"/>
      </w:r>
      <w:r>
        <w:rPr>
          <w:rFonts w:ascii="IRNazanin" w:hAnsi="IRNazanin" w:eastAsia="IRNazanin"/>
          <w:color w:val="111111"/>
          <w:sz w:val="28"/>
          <w:sz w:val="28"/>
          <w:szCs w:val="28"/>
          <w:rtl w:val="true"/>
          <w:lang w:bidi="fa-IR"/>
        </w:rPr>
        <w:t xml:space="preserve">کما عن الانتصار </w:t>
      </w:r>
      <w:r>
        <w:rPr>
          <w:rStyle w:val="FootnoteAnchor"/>
          <w:rtl w:val="true"/>
        </w:rPr>
        <w:footnoteReference w:id="1087"/>
      </w:r>
      <w:r>
        <w:rPr>
          <w:rFonts w:ascii="IRNazanin" w:hAnsi="IRNazanin" w:eastAsia="IRNazanin"/>
          <w:color w:val="111111"/>
          <w:sz w:val="28"/>
          <w:sz w:val="28"/>
          <w:szCs w:val="28"/>
          <w:rtl w:val="true"/>
          <w:lang w:bidi="fa-IR"/>
        </w:rPr>
        <w:t xml:space="preserve">،و عدم الخلاف فی السرائر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خلافاً للمحکیّ عن الإسکافی فحکم بالردّ مع کون الحمل من المولی؛لبطلان بیع أُمّ الولد،حیث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وجد فی السلعة عیباً کان عند البائع و قد أحدث المشتری فی السلعة ما لا یمکن ردّها إلی ما کانت علیه قبله کالوطء للأمة أو القطع للثوب أو تلف السلعة بموتٍ أو غیره کان للمشتری فضل ما بین الصحّة و العیب دون ردّها، فإن کان العیب ظهور حملٍ من البائع و قد وطأها المشتری من غیر علمٍ بذلک،کان علیه ردّها و نصف عشر قیمتها </w:t>
      </w:r>
      <w:r>
        <w:rPr>
          <w:rStyle w:val="FootnoteAnchor"/>
          <w:rtl w:val="true"/>
        </w:rPr>
        <w:footnoteReference w:id="108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اختاره فی المختلف </w:t>
      </w:r>
      <w:r>
        <w:rPr>
          <w:rStyle w:val="FootnoteAnchor"/>
          <w:rtl w:val="true"/>
        </w:rPr>
        <w:footnoteReference w:id="10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ظاهر الشیخ فی النهایة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وجد بها عیباً بعد أن وطأها لم یکن له ردّها و کان له أرش العیب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w:t>
      </w:r>
      <w:r>
        <w:rPr>
          <w:rStyle w:val="FootnoteAnchor"/>
          <w:rtl w:val="true"/>
        </w:rPr>
        <w:footnoteReference w:id="10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 یکون العیب من حَبَلٍ فیلزمه ردّها علی کلّ حالٍ وطأها أو لم یطأها و یردّ معها إذا وطأها نصف عشر قیمتها </w:t>
      </w:r>
      <w:r>
        <w:rPr>
          <w:rStyle w:val="FootnoteAnchor"/>
          <w:rtl w:val="true"/>
        </w:rPr>
        <w:footnoteReference w:id="109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استفادة هذا من إطلاق المبسوط القولَ بمنع الوطء من الردّ </w:t>
      </w:r>
      <w:r>
        <w:rPr>
          <w:rStyle w:val="FootnoteAnchor"/>
          <w:rtl w:val="true"/>
        </w:rPr>
        <w:footnoteReference w:id="1093"/>
      </w:r>
      <w:r>
        <w:rPr>
          <w:rFonts w:ascii="IRNazanin" w:hAnsi="IRNazanin" w:eastAsia="IRNazanin"/>
          <w:color w:val="111111"/>
          <w:sz w:val="28"/>
          <w:sz w:val="28"/>
          <w:szCs w:val="28"/>
          <w:rtl w:val="true"/>
          <w:lang w:bidi="fa-IR"/>
        </w:rPr>
        <w:t>فإنّ من البعید عدم استثناء وطء الحامل و عدم تعرّضه لحکمه مع اشتهار المسألة فی الروایات و ألسنة القدماء</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الوسیلة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وطأ الأمة ثمّ علم بها عیباً لم یکن له</w:t>
      </w:r>
    </w:p>
    <w:p>
      <w:pPr>
        <w:pStyle w:val="BookText"/>
        <w:rPr/>
      </w:pPr>
      <w:r>
        <w:rPr>
          <w:rFonts w:ascii="IRNazanin" w:hAnsi="IRNazanin" w:eastAsia="IRNazanin"/>
          <w:color w:val="111111"/>
          <w:sz w:val="28"/>
          <w:sz w:val="28"/>
          <w:szCs w:val="28"/>
          <w:rtl w:val="true"/>
          <w:lang w:bidi="fa-IR"/>
        </w:rPr>
        <w:t xml:space="preserve">ردّها،إلّا إذا کان العیب حملاً و کان حرّا،فإنّه وجب علیه ردّها و یردّ معها نصف عشر قیمتها،و إن کان الحمل مملوکاً لم یجب ذلک </w:t>
      </w:r>
      <w:r>
        <w:rPr>
          <w:rStyle w:val="FootnoteAnchor"/>
          <w:rtl w:val="true"/>
        </w:rPr>
        <w:footnoteReference w:id="109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الریاض </w:t>
      </w:r>
      <w:r>
        <w:rPr>
          <w:rStyle w:val="FootnoteAnchor"/>
          <w:rtl w:val="true"/>
        </w:rPr>
        <w:footnoteReference w:id="1095"/>
      </w:r>
      <w:r>
        <w:rPr>
          <w:rFonts w:ascii="IRNazanin" w:hAnsi="IRNazanin" w:eastAsia="IRNazanin"/>
          <w:color w:val="111111"/>
          <w:sz w:val="28"/>
          <w:sz w:val="28"/>
          <w:szCs w:val="28"/>
          <w:rtl w:val="true"/>
          <w:lang w:bidi="fa-IR"/>
        </w:rPr>
        <w:t xml:space="preserve">اختیار هذا القول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Style w:val="FootnoteAnchor"/>
          <w:rtl w:val="true"/>
        </w:rPr>
        <w:footnoteReference w:id="10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الأخبار المتقدّمة فی بادئ النظر و إن کان ما ذکره المشهور،إلّا أنّ العمل علی هذا الظهور یستلزم مخالفة الظاهر من وجوهٍ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مخالفة ظهورها فی وجوب ردّ الجاریة أو تقیید الحمل بکونه من غیر المولی،حتّی تکون الجملة الخبریّة واردةً فی مقام دفع توهّم الحظر الناشئ من الأخبار المتقدّمة المانعة من ردّ الجاریة بعد الوطء؛إذ لو بقی الحمل علی إطلاقه لم یستقم دعوی وقوع الجملة الخبریّة فی مقام دفع توهّم الحظر؛إذ لا منشأ لتوهّم حظر ردّ الحامل حتّی أُمّ الولد،فلا بدّ إمّا من التقیید،أو من مخالفة ظاهر الجملة الخبریّة</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مخالفة لزوم العُقر علی المشتری 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العُقْر فی وطء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الردّ بالعیب فسخاً من حینه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مخالفته لما دلّ علی کون التصرّف عموماً </w:t>
      </w:r>
      <w:r>
        <w:rPr>
          <w:rStyle w:val="FootnoteAnchor"/>
          <w:rtl w:val="true"/>
        </w:rPr>
        <w:footnoteReference w:id="1099"/>
      </w:r>
      <w:r>
        <w:rPr>
          <w:rFonts w:ascii="IRNazanin" w:hAnsi="IRNazanin" w:eastAsia="IRNazanin"/>
          <w:color w:val="111111"/>
          <w:sz w:val="28"/>
          <w:sz w:val="28"/>
          <w:szCs w:val="28"/>
          <w:rtl w:val="true"/>
          <w:lang w:bidi="fa-IR"/>
        </w:rPr>
        <w:t xml:space="preserve">و الوطء بالخصوص </w:t>
      </w:r>
      <w:r>
        <w:rPr>
          <w:rStyle w:val="FootnoteAnchor"/>
          <w:rtl w:val="true"/>
        </w:rPr>
        <w:footnoteReference w:id="1100"/>
      </w:r>
      <w:r>
        <w:rPr>
          <w:rFonts w:ascii="Amiri" w:hAnsi="Amiri" w:eastAsia="Amiri" w:cs="Amiri"/>
          <w:color w:val="111111"/>
          <w:sz w:val="28"/>
          <w:sz w:val="28"/>
          <w:szCs w:val="28"/>
          <w:rtl w:val="true"/>
          <w:lang w:bidi="ar-SA"/>
        </w:rPr>
        <w:t>مانعاً من الردّ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من قول السائل فی مرسلة ابن أبی عمیر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باع جاریةً حُبلی و هو لا یعلم</w:t>
      </w:r>
      <w:r>
        <w:rPr>
          <w:rFonts w:eastAsia="IRNazanin" w:cs="IRNazanin"/>
          <w:color w:val="111111"/>
          <w:sz w:val="28"/>
          <w:szCs w:val="28"/>
          <w:rtl w:val="true"/>
          <w:lang w:bidi="fa-IR"/>
        </w:rPr>
        <w:t xml:space="preserve">» </w:t>
      </w:r>
      <w:r>
        <w:rPr>
          <w:rStyle w:val="FootnoteAnchor"/>
          <w:rtl w:val="true"/>
        </w:rPr>
        <w:footnoteReference w:id="1101"/>
      </w:r>
      <w:r>
        <w:rPr>
          <w:rFonts w:ascii="IRNazanin" w:hAnsi="IRNazanin" w:eastAsia="IRNazanin"/>
          <w:color w:val="111111"/>
          <w:sz w:val="28"/>
          <w:sz w:val="28"/>
          <w:szCs w:val="28"/>
          <w:rtl w:val="true"/>
          <w:lang w:bidi="fa-IR"/>
        </w:rPr>
        <w:t>وقوع السؤال عن بیع أُمّ الولد،و إلّا لم یکن لذکر جهل البائع فی السؤال 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یشیر إلیه ما فی بعض الروایات المتقدّمة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یکسوها</w:t>
      </w:r>
      <w:r>
        <w:rPr>
          <w:rFonts w:eastAsia="IRNazanin" w:cs="IRNazanin"/>
          <w:color w:val="111111"/>
          <w:sz w:val="28"/>
          <w:szCs w:val="28"/>
          <w:rtl w:val="true"/>
          <w:lang w:bidi="fa-IR"/>
        </w:rPr>
        <w:t xml:space="preserve">» </w:t>
      </w:r>
      <w:r>
        <w:rPr>
          <w:rStyle w:val="FootnoteAnchor"/>
          <w:rtl w:val="true"/>
        </w:rPr>
        <w:footnoteReference w:id="1102"/>
      </w:r>
      <w:r>
        <w:rPr>
          <w:rFonts w:ascii="IRNazanin" w:hAnsi="IRNazanin" w:eastAsia="IRNazanin"/>
          <w:color w:val="111111"/>
          <w:sz w:val="28"/>
          <w:sz w:val="28"/>
          <w:szCs w:val="28"/>
          <w:rtl w:val="true"/>
          <w:lang w:bidi="fa-IR"/>
        </w:rPr>
        <w:t xml:space="preserve">،فإنّ فی ذلک إشارةً إلی تشبّثها بالحرّیة للاستیلاد،فنسب الکسوة إلیها تشبیهاً </w:t>
      </w:r>
      <w:r>
        <w:rPr>
          <w:rStyle w:val="FootnoteAnchor"/>
          <w:rtl w:val="true"/>
        </w:rPr>
        <w:footnoteReference w:id="1103"/>
      </w:r>
      <w:r>
        <w:rPr>
          <w:rFonts w:ascii="IRNazanin" w:hAnsi="IRNazanin" w:eastAsia="IRNazanin"/>
          <w:color w:val="111111"/>
          <w:sz w:val="28"/>
          <w:sz w:val="28"/>
          <w:szCs w:val="28"/>
          <w:rtl w:val="true"/>
          <w:lang w:bidi="fa-IR"/>
        </w:rPr>
        <w:t>بالحرائر،و لم یصرّح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جزءٌ من القیمة</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هذه الأخبار فی کون الردّ بعد تصرّف المشتری فی الجاریة بغیر الوطء من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اسقنی 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أغلق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غیرهما ممّا قلّ أن تنفکّ عنه الجاریة،و تقییدها بصورة عدم هذه التصرّفات تقییدٌ بالفرض النادر،و إنّما دعی إلی هذا التقیید فی غیر هذه الأخبار ممّا دلّ علی ردّ الجاریة بعد مدّةٍ طویلة </w:t>
      </w:r>
      <w:r>
        <w:rPr>
          <w:rStyle w:val="FootnoteAnchor"/>
          <w:rtl w:val="true"/>
        </w:rPr>
        <w:footnoteReference w:id="1104"/>
      </w:r>
      <w:r>
        <w:rPr>
          <w:rFonts w:ascii="IRNazanin" w:hAnsi="IRNazanin" w:eastAsia="IRNazanin"/>
          <w:color w:val="111111"/>
          <w:sz w:val="28"/>
          <w:sz w:val="28"/>
          <w:szCs w:val="28"/>
          <w:rtl w:val="true"/>
          <w:lang w:bidi="fa-IR"/>
        </w:rPr>
        <w:t xml:space="preserve">الدلیل الدالّ علی اللزوم بالتصرّف </w:t>
      </w:r>
      <w:r>
        <w:rPr>
          <w:rStyle w:val="FootnoteAnchor"/>
          <w:rtl w:val="true"/>
        </w:rPr>
        <w:footnoteReference w:id="1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لا داعی هنا لهذا التقیید،إذ یمکن تقیید الحمل بکونه من المولی لِتَسلم الأخبار عن جمیع ذلک،و غایة الأمر تعارض</w:t>
      </w:r>
    </w:p>
    <w:p>
      <w:pPr>
        <w:pStyle w:val="BookText"/>
        <w:rPr/>
      </w:pPr>
      <w:r>
        <w:rPr>
          <w:rFonts w:ascii="IRNazanin" w:hAnsi="IRNazanin" w:eastAsia="IRNazanin"/>
          <w:color w:val="111111"/>
          <w:sz w:val="28"/>
          <w:sz w:val="28"/>
          <w:szCs w:val="28"/>
          <w:rtl w:val="true"/>
          <w:lang w:bidi="fa-IR"/>
        </w:rPr>
        <w:t xml:space="preserve">هذه الأخبار مع ما دلّ علی منع الوطء عن الردّ </w:t>
      </w:r>
      <w:r>
        <w:rPr>
          <w:rStyle w:val="FootnoteAnchor"/>
          <w:rtl w:val="true"/>
        </w:rPr>
        <w:footnoteReference w:id="1106"/>
      </w:r>
      <w:r>
        <w:rPr>
          <w:rFonts w:ascii="IRNazanin" w:hAnsi="IRNazanin" w:eastAsia="IRNazanin"/>
          <w:color w:val="111111"/>
          <w:sz w:val="28"/>
          <w:sz w:val="28"/>
          <w:szCs w:val="28"/>
          <w:rtl w:val="true"/>
          <w:lang w:bidi="fa-IR"/>
        </w:rPr>
        <w:t>بالعموم من وجهٍ، فیبقی ما عدا الوجه الثالث مرجِّحاً لتقیید هذه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فرض التکافؤ بین جمیع ما تقدّم و بین إطلاق الحمل فی هذه الأخبار أو ظهور اختصاصه بما لم یکن من المولی،وجب الرجوع إلی عموم ما دلّ علی أنّ إحداث الحدث مسقطٌ؛لکونه رضاً بالبیع </w:t>
      </w:r>
      <w:r>
        <w:rPr>
          <w:rStyle w:val="FootnoteAnchor"/>
          <w:rtl w:val="true"/>
        </w:rPr>
        <w:footnoteReference w:id="1107"/>
      </w:r>
      <w:r>
        <w:rPr>
          <w:rFonts w:ascii="IRNazanin" w:hAnsi="IRNazanin" w:eastAsia="IRNazanin"/>
          <w:color w:val="111111"/>
          <w:sz w:val="28"/>
          <w:sz w:val="28"/>
          <w:szCs w:val="28"/>
          <w:rtl w:val="true"/>
          <w:lang w:bidi="fa-IR"/>
        </w:rPr>
        <w:t xml:space="preserve">، و یمکن الرجوع إلی ما دلّ علی جواز الردّ مع قیام العین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نعم،لو خُدش فی عموم ما دلّ علی المنع عن </w:t>
      </w:r>
      <w:r>
        <w:rPr>
          <w:rStyle w:val="FootnoteAnchor"/>
          <w:rtl w:val="true"/>
        </w:rPr>
        <w:footnoteReference w:id="1109"/>
      </w:r>
      <w:r>
        <w:rPr>
          <w:rFonts w:ascii="IRNazanin" w:hAnsi="IRNazanin" w:eastAsia="IRNazanin"/>
          <w:color w:val="111111"/>
          <w:sz w:val="28"/>
          <w:sz w:val="28"/>
          <w:szCs w:val="28"/>
          <w:rtl w:val="true"/>
          <w:lang w:bidi="fa-IR"/>
        </w:rPr>
        <w:t>الردّ بمطلق التصرّف وجب الرجوع إلی أصالة جواز الردّ الثابت قبل الوطء لکن یبقی لزوم العُقْر ممّا لا دلیل علیه إلّا الإجماع المرکّب و عدم الفصل بین الردّ و العُقر،فافهم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المحکیّ عن المشهور إطلاق الحکم بوجوب ردّ نصف العشر </w:t>
      </w:r>
      <w:r>
        <w:rPr>
          <w:rStyle w:val="FootnoteAnchor"/>
          <w:rtl w:val="true"/>
        </w:rPr>
        <w:footnoteReference w:id="1110"/>
      </w:r>
      <w:r>
        <w:rPr>
          <w:rFonts w:ascii="IRNazanin" w:hAnsi="IRNazanin" w:eastAsia="IRNazanin"/>
          <w:color w:val="111111"/>
          <w:sz w:val="28"/>
          <w:sz w:val="28"/>
          <w:szCs w:val="28"/>
          <w:rtl w:val="true"/>
          <w:lang w:bidi="fa-IR"/>
        </w:rPr>
        <w:t>،بل عن الانتصار و الغنیة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الإجماع علیه </w:t>
      </w:r>
      <w:r>
        <w:rPr>
          <w:rStyle w:val="FootnoteAnchor"/>
          <w:rtl w:val="true"/>
        </w:rPr>
        <w:footnoteReference w:id="1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یدّعی انصراف إطلاق الفتاوی و معقد الإجماع کالنصوص إلی الغالب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کون الحامل ثیّباً،فلا یشمل فرض حمل البکر بالسَّحق أو بوطء الدُّبُر؛ و لذا ادّعی عدم الخلاف فی السرائر علی اختصاص نصف العشر بالثیّب</w:t>
      </w:r>
    </w:p>
    <w:p>
      <w:pPr>
        <w:pStyle w:val="BookText"/>
        <w:rPr/>
      </w:pPr>
      <w:r>
        <w:rPr>
          <w:rFonts w:ascii="IRNazanin" w:hAnsi="IRNazanin" w:eastAsia="IRNazanin"/>
          <w:color w:val="111111"/>
          <w:sz w:val="28"/>
          <w:sz w:val="28"/>
          <w:szCs w:val="28"/>
          <w:rtl w:val="true"/>
          <w:lang w:bidi="fa-IR"/>
        </w:rPr>
        <w:t xml:space="preserve">و ثبوت العشر فی البکر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معقد إجماع الغنیة بعد التأمّل موافقٌ للسرائر أیضاً،حیث ذکر فی الحامل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یردّ معها نصف عشر قیمتها علی ما مضی بدلیل إجماع الطائفة </w:t>
      </w:r>
      <w:r>
        <w:rPr>
          <w:rStyle w:val="FootnoteAnchor"/>
          <w:rtl w:val="true"/>
        </w:rPr>
        <w:footnoteReference w:id="1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مراده بما مضی کما یظهر لمن راجع کلامه ما ذکره سابقاً مدّعیاً علیه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أنّه إذا وطأ المشتری فی مدّة خیار البائع ففسخ یردّ معها العشر إن کانت بکراً و نصف العشر إن کانت ثیّباً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الانتصار فلا یحضرنی حتّی أُراجعه؛و قد عرفت إمکان تنزیل الجمیع علی الغالب</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حینئذٍ فتکون مرسلة الکافی المتقدّمة </w:t>
      </w:r>
      <w:r>
        <w:rPr>
          <w:rStyle w:val="FootnoteAnchor"/>
          <w:rtl w:val="true"/>
        </w:rPr>
        <w:footnoteReference w:id="1115"/>
      </w:r>
      <w:r>
        <w:rPr>
          <w:rFonts w:ascii="IRNazanin" w:hAnsi="IRNazanin" w:eastAsia="IRNazanin"/>
          <w:color w:val="111111"/>
          <w:sz w:val="28"/>
          <w:sz w:val="28"/>
          <w:szCs w:val="28"/>
          <w:rtl w:val="true"/>
          <w:lang w:bidi="fa-IR"/>
        </w:rPr>
        <w:t xml:space="preserve">بعد انجبارها بما عرفت من السرائر و الغنیة دلیلاً علی التفصیل فی المسألة،کما اختاره جماعةٌ من المتأخّرین </w:t>
      </w:r>
      <w:r>
        <w:rPr>
          <w:rStyle w:val="FootnoteAnchor"/>
          <w:rtl w:val="true"/>
        </w:rPr>
        <w:footnoteReference w:id="1116"/>
      </w:r>
      <w:r>
        <w:rPr>
          <w:rFonts w:ascii="IRNazanin" w:hAnsi="IRNazanin" w:eastAsia="IRNazanin"/>
          <w:color w:val="111111"/>
          <w:sz w:val="28"/>
          <w:sz w:val="28"/>
          <w:szCs w:val="28"/>
          <w:rtl w:val="true"/>
          <w:lang w:bidi="fa-IR"/>
        </w:rPr>
        <w:t>،مضافاً إلی ورود العشر فی بعض الروایات المتقدّمة المحمولة علی البکر،إلّا أنّه بعیدٌ؛و لذا نسبه الشیخ قدّس سرّه إلی سهو الراوی فی إسقاط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النصف</w:t>
      </w:r>
      <w:r>
        <w:rPr>
          <w:rFonts w:eastAsia="IRNazanin" w:cs="IRNazanin"/>
          <w:color w:val="111111"/>
          <w:sz w:val="28"/>
          <w:szCs w:val="28"/>
          <w:rtl w:val="true"/>
          <w:lang w:bidi="fa-IR"/>
        </w:rPr>
        <w:t xml:space="preserve">» </w:t>
      </w:r>
      <w:r>
        <w:rPr>
          <w:rStyle w:val="FootnoteAnchor"/>
          <w:rtl w:val="true"/>
        </w:rPr>
        <w:footnoteReference w:id="1117"/>
      </w:r>
      <w:r>
        <w:rPr>
          <w:rFonts w:ascii="IRNazanin" w:hAnsi="IRNazanin" w:eastAsia="IRNazanin"/>
          <w:color w:val="111111"/>
          <w:sz w:val="28"/>
          <w:sz w:val="28"/>
          <w:szCs w:val="28"/>
          <w:rtl w:val="true"/>
          <w:lang w:bidi="fa-IR"/>
        </w:rPr>
        <w:t>،و فی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الصدوق ذکرها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النصف</w:t>
      </w:r>
      <w:r>
        <w:rPr>
          <w:rFonts w:eastAsia="IRNazanin" w:cs="IRNazanin"/>
          <w:color w:val="111111"/>
          <w:sz w:val="28"/>
          <w:szCs w:val="28"/>
          <w:rtl w:val="true"/>
          <w:lang w:bidi="fa-IR"/>
        </w:rPr>
        <w:t xml:space="preserve">»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ما تقدّم ممّا دلّ علی أنّه یردّ معها شیئاً </w:t>
      </w:r>
      <w:r>
        <w:rPr>
          <w:rStyle w:val="FootnoteAnchor"/>
          <w:rtl w:val="true"/>
        </w:rPr>
        <w:footnoteReference w:id="1119"/>
      </w:r>
      <w:r>
        <w:rPr>
          <w:rFonts w:ascii="IRNazanin" w:hAnsi="IRNazanin" w:eastAsia="IRNazanin"/>
          <w:color w:val="111111"/>
          <w:sz w:val="28"/>
          <w:sz w:val="28"/>
          <w:szCs w:val="28"/>
          <w:rtl w:val="true"/>
          <w:lang w:bidi="fa-IR"/>
        </w:rPr>
        <w:t>،فهو بإطلاقه خلاف الإجماع،فلا بدّ من جعله وارداً فی مقام ثبوت أصل العُقر لا مقداره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ما دلّ علی أنّه یکسوها </w:t>
      </w:r>
      <w:r>
        <w:rPr>
          <w:rStyle w:val="FootnoteAnchor"/>
          <w:rtl w:val="true"/>
        </w:rPr>
        <w:footnoteReference w:id="1120"/>
      </w:r>
      <w:r>
        <w:rPr>
          <w:rFonts w:ascii="IRNazanin" w:hAnsi="IRNazanin" w:eastAsia="IRNazanin"/>
          <w:color w:val="111111"/>
          <w:sz w:val="28"/>
          <w:sz w:val="28"/>
          <w:szCs w:val="28"/>
          <w:rtl w:val="true"/>
          <w:lang w:bidi="fa-IR"/>
        </w:rPr>
        <w:t>،فقد حمل علی کسوةٍ تساوی العشر أو نصفه،و لا بأس به فی مقام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مقتضی الإطلاق جواز الردّ و لو مع الوطء فی الدُّبُر،و یمکن دعوی انصرافه إلی غیره،فیقتصر فی مخالفة العمومات علی منصرف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لحوق التقبیل و اللمس بالوطء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الخروج عن مورد النصّ،و من الأولویّة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انضمّ إلی الحمل عیبٌ آخر،فقد استشکل فی سقوط الردّ بالوطء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صدق کونها معیبةً بالحمل،و کونها معیبةً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کونها معیبةً بغیر الحمل لا یقتضی إلّا عدم تأثیر ذلک العیب فی الردّ مع التصرّف،لا نفی تأثیر عیب الحمل</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صریح بعض </w:t>
      </w:r>
      <w:r>
        <w:rPr>
          <w:rStyle w:val="FootnoteAnchor"/>
          <w:rtl w:val="true"/>
        </w:rPr>
        <w:footnoteReference w:id="1121"/>
      </w:r>
      <w:r>
        <w:rPr>
          <w:rFonts w:ascii="IRNazanin" w:hAnsi="IRNazanin" w:eastAsia="IRNazanin"/>
          <w:color w:val="111111"/>
          <w:sz w:val="28"/>
          <w:sz w:val="28"/>
          <w:szCs w:val="28"/>
          <w:rtl w:val="true"/>
          <w:lang w:bidi="fa-IR"/>
        </w:rPr>
        <w:t xml:space="preserve">النصوص و الفتاوی </w:t>
      </w:r>
      <w:r>
        <w:rPr>
          <w:rStyle w:val="FootnoteAnchor"/>
          <w:rtl w:val="true"/>
        </w:rPr>
        <w:footnoteReference w:id="1122"/>
      </w:r>
      <w:r>
        <w:rPr>
          <w:rFonts w:ascii="IRNazanin" w:hAnsi="IRNazanin" w:eastAsia="IRNazanin"/>
          <w:color w:val="111111"/>
          <w:sz w:val="28"/>
          <w:sz w:val="28"/>
          <w:szCs w:val="28"/>
          <w:rtl w:val="true"/>
          <w:lang w:bidi="fa-IR"/>
        </w:rPr>
        <w:t>و ظاهر باقیها اختصاص الحکم بالوطء مع الجهل بالعیب،فلو وطأ عالماً به سقط 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إطلاق کثیرٍ من الروایات یشمل العالم</w:t>
      </w:r>
      <w:r>
        <w:rPr>
          <w:rFonts w:eastAsia="IRNazanin" w:cs="IRNazanin"/>
          <w:color w:val="111111"/>
          <w:sz w:val="28"/>
          <w:szCs w:val="28"/>
          <w:rtl w:val="true"/>
          <w:lang w:bidi="fa-IR"/>
        </w:rPr>
        <w:t>.</w:t>
      </w:r>
      <w:bookmarkStart w:id="491" w:name="pg19864_220927"/>
    </w:p>
    <w:p>
      <w:pPr>
        <w:pStyle w:val="Heading6"/>
        <w:numPr>
          <w:ilvl w:val="5"/>
          <w:numId w:val="1"/>
        </w:numPr>
        <w:rPr/>
      </w:pPr>
      <w:bookmarkStart w:id="492" w:name="__RefHeading___Toc5148882_2314609296"/>
      <w:bookmarkStart w:id="493" w:name="_Toc186"/>
      <w:bookmarkEnd w:id="491"/>
      <w:bookmarkEnd w:id="492"/>
      <w:r>
        <w:rPr>
          <w:rtl w:val="true"/>
        </w:rPr>
        <w:t>الرابع</w:t>
      </w:r>
      <w:bookmarkEnd w:id="493"/>
    </w:p>
    <w:p>
      <w:pPr>
        <w:pStyle w:val="BookText"/>
        <w:rPr/>
      </w:pPr>
      <w:r>
        <w:rPr>
          <w:rFonts w:ascii="IRNazanin" w:hAnsi="IRNazanin" w:eastAsia="IRNazanin"/>
          <w:color w:val="111111"/>
          <w:sz w:val="28"/>
          <w:sz w:val="28"/>
          <w:szCs w:val="28"/>
          <w:rtl w:val="true"/>
          <w:lang w:bidi="fa-IR"/>
        </w:rPr>
        <w:t xml:space="preserve">الرابع </w:t>
      </w:r>
      <w:r>
        <w:rPr>
          <w:rStyle w:val="FootnoteAnchor"/>
          <w:rtl w:val="true"/>
        </w:rPr>
        <w:footnoteReference w:id="1123"/>
      </w:r>
      <w:r>
        <w:rPr>
          <w:rFonts w:ascii="IRNazanin" w:hAnsi="IRNazanin" w:eastAsia="IRNazanin"/>
          <w:color w:val="111111"/>
          <w:sz w:val="28"/>
          <w:sz w:val="28"/>
          <w:szCs w:val="28"/>
          <w:rtl w:val="true"/>
          <w:lang w:bidi="fa-IR"/>
        </w:rPr>
        <w:t>من المسقطات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عیبٍ عند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حدث العیب بعد العقد علی المعیب،فإمّا أن یحدث قبل القبض،و إمّا أن یحدث بعده فی زمان خیارٍ یضمن فیه البائع المبیع أعنی خیار المجلس و الحیوان و الشرط و إمّا أن یحدث بعد مضیّ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بالعیب الحادث هنا هو الأخیر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خلاف ظاهراً فی أنّه لا یمنع الردّ،بل فی أنّه </w:t>
      </w:r>
      <w:r>
        <w:rPr>
          <w:rStyle w:val="FootnoteAnchor"/>
          <w:rtl w:val="true"/>
        </w:rPr>
        <w:footnoteReference w:id="1124"/>
      </w:r>
      <w:r>
        <w:rPr>
          <w:rFonts w:ascii="IRNazanin" w:hAnsi="IRNazanin" w:eastAsia="IRNazanin"/>
          <w:color w:val="111111"/>
          <w:sz w:val="28"/>
          <w:sz w:val="28"/>
          <w:szCs w:val="28"/>
          <w:rtl w:val="true"/>
          <w:lang w:bidi="fa-IR"/>
        </w:rPr>
        <w:t xml:space="preserve">هو کالموجود قبل العقد حتّی فی ثبوت الأرش فیه،علی الخلاف الآتی </w:t>
      </w:r>
      <w:r>
        <w:rPr>
          <w:rStyle w:val="FootnoteAnchor"/>
          <w:rtl w:val="true"/>
        </w:rPr>
        <w:footnoteReference w:id="1125"/>
      </w:r>
      <w:r>
        <w:rPr>
          <w:rFonts w:ascii="IRNazanin" w:hAnsi="IRNazanin" w:eastAsia="IRNazanin"/>
          <w:color w:val="111111"/>
          <w:sz w:val="28"/>
          <w:sz w:val="28"/>
          <w:szCs w:val="28"/>
          <w:rtl w:val="true"/>
          <w:lang w:bidi="fa-IR"/>
        </w:rPr>
        <w:t>فی أحکام القبض</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الحادث فی زمن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فکذلک لا خلاف فی أنه غیر مانع عن الرد،بل هو سبب مستقل موجب للرد،بل الأرش علی الخلاف الآتی </w:t>
      </w:r>
      <w:r>
        <w:rPr>
          <w:rStyle w:val="FootnoteAnchor"/>
          <w:rtl w:val="true"/>
        </w:rPr>
        <w:footnoteReference w:id="1126"/>
      </w:r>
      <w:r>
        <w:rPr>
          <w:rFonts w:ascii="IRNazanin" w:hAnsi="IRNazanin" w:eastAsia="IRNazanin"/>
          <w:color w:val="111111"/>
          <w:sz w:val="28"/>
          <w:sz w:val="28"/>
          <w:szCs w:val="28"/>
          <w:rtl w:val="true"/>
          <w:lang w:bidi="fa-IR"/>
        </w:rPr>
        <w:t>فیما قبل القبض بناءً علی اتّحاد المسألتین،کما یظهر من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 ذلک ما یأتی </w:t>
      </w:r>
      <w:r>
        <w:rPr>
          <w:rStyle w:val="FootnoteAnchor"/>
          <w:rtl w:val="true"/>
        </w:rPr>
        <w:footnoteReference w:id="1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الحدث فی زمان الخیار مضمونٌ علی البائع و من ماله،و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ضمانه علی الوجه الذی یضمنه قبل القبض بل قبل العقد،إلّا أنّ المحکیّ عن المحقّق فی درسه فیما لو حدث فی المبیع 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تأثیر العیب الحادث فی زمن الخیار و کذا عدم تأثیره فی الردّ بالعیب القدیم إنّما هو ما دام الخیار،فإذا انقضی الخیار کان حکمه حکم العیب المضمون علی المشتری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حدث فی المبیع عیبٌ غیر مضمونٍ علی المشتری لم یمنع من الردّ إن کان قبل القبض أو فی مدّة خیار المشتری المشترط أو بالأصل،فله الردّ ما دام الخیار،فإن خرج الخیار ففی الردّ خلافٌ بین ابن نما و تلمیذه المحقّق قدّس سرّهما،فجوّزه ابن نما لأنّه من ضمان البائع،و منعه المحقّق قدّس سرّه؛لأنّ الردّ لمکان الخیار،و قد 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کان حدوث العیب فی مبیعٍ صحیحٍ فی مدّة الخیار فالباب واحدٌ </w:t>
      </w:r>
      <w:r>
        <w:rPr>
          <w:rStyle w:val="FootnoteAnchor"/>
          <w:rtl w:val="true"/>
        </w:rPr>
        <w:footnoteReference w:id="112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الذی حکاه فی اللمعة عن المحقّق هو الفرع الثانی،و هو</w:t>
      </w:r>
    </w:p>
    <w:p>
      <w:pPr>
        <w:pStyle w:val="BookText"/>
        <w:rPr/>
      </w:pPr>
      <w:r>
        <w:rPr>
          <w:rFonts w:ascii="IRNazanin" w:hAnsi="IRNazanin" w:eastAsia="IRNazanin"/>
          <w:color w:val="111111"/>
          <w:sz w:val="28"/>
          <w:sz w:val="28"/>
          <w:szCs w:val="28"/>
          <w:rtl w:val="true"/>
          <w:lang w:bidi="fa-IR"/>
        </w:rPr>
        <w:t xml:space="preserve">حدوث العیب فی مبیعٍ صحیح </w:t>
      </w:r>
      <w:r>
        <w:rPr>
          <w:rStyle w:val="FootnoteAnchor"/>
          <w:rtl w:val="true"/>
        </w:rPr>
        <w:footnoteReference w:id="1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لعلّ الفرع الأوّل مترتّبٌ علیه؛لأنّ العیب الحادث إذا لم یکن مضموناً علی البائع حتّی یکون سبباً للخیار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غایة الأمر کونه غیر مانعٍ عن الردّ کخیار </w:t>
      </w:r>
      <w:r>
        <w:rPr>
          <w:rStyle w:val="FootnoteAnchor"/>
          <w:rtl w:val="true"/>
        </w:rPr>
        <w:footnoteReference w:id="1131"/>
      </w:r>
      <w:r>
        <w:rPr>
          <w:rFonts w:ascii="IRNazanin" w:hAnsi="IRNazanin" w:eastAsia="IRNazanin"/>
          <w:color w:val="111111"/>
          <w:sz w:val="28"/>
          <w:sz w:val="28"/>
          <w:szCs w:val="28"/>
          <w:rtl w:val="true"/>
          <w:lang w:bidi="fa-IR"/>
        </w:rPr>
        <w:t>الثلاثة کان مانعاً عن الردّ بالعیب السابق؛إذ لا یجوز الردّ بالعیب مع حدوث عیبٍ مضمونٍ علی المشتری،فیکون الردّ فی زمان الخیار بالخیار،لا بالعیب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فمنشأ هذا القول عدم ضمان البائع للعیب الحادث؛و لذا ذکر فی اللمعة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من المحقّق منافٍ لما ذکره فی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العیب الحادث فی الحیوان مضمونٌ علی البائع،مع حکمه بعدم الأرش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ربما یجعل </w:t>
      </w:r>
      <w:r>
        <w:rPr>
          <w:rStyle w:val="FootnoteAnchor"/>
          <w:rtl w:val="true"/>
        </w:rPr>
        <w:footnoteReference w:id="1133"/>
      </w:r>
      <w:r>
        <w:rPr>
          <w:rFonts w:ascii="IRNazanin" w:hAnsi="IRNazanin" w:eastAsia="IRNazanin"/>
          <w:color w:val="111111"/>
          <w:sz w:val="28"/>
          <w:sz w:val="28"/>
          <w:szCs w:val="28"/>
          <w:rtl w:val="true"/>
          <w:lang w:bidi="fa-IR"/>
        </w:rPr>
        <w:t>قول المحقّق عکساً لقول شیخه،و یضعّف کلاهما بأنّ الظاهر تعدّد الخیار،و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 ابن نما رحمه اللّٰه لا یأبی عن التعدّد،کما لا یخفی</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الثالث أعنی العیب الحادث فی ید المشتری بعد القبض و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فالمشهور أنّه مانعٌ عن الردّ بالعیب السابق،بل عن شرح الإرشاد لفخر الإسلام </w:t>
      </w:r>
      <w:r>
        <w:rPr>
          <w:rStyle w:val="FootnoteAnchor"/>
          <w:rtl w:val="true"/>
        </w:rPr>
        <w:footnoteReference w:id="1134"/>
      </w:r>
      <w:r>
        <w:rPr>
          <w:rFonts w:ascii="IRNazanin" w:hAnsi="IRNazanin" w:eastAsia="IRNazanin"/>
          <w:color w:val="111111"/>
          <w:sz w:val="28"/>
          <w:sz w:val="28"/>
          <w:szCs w:val="28"/>
          <w:rtl w:val="true"/>
          <w:lang w:bidi="fa-IR"/>
        </w:rPr>
        <w:t xml:space="preserve">و فی ظاهر الغنیة </w:t>
      </w:r>
      <w:r>
        <w:rPr>
          <w:rStyle w:val="FootnoteAnchor"/>
          <w:rtl w:val="true"/>
        </w:rPr>
        <w:footnoteReference w:id="1135"/>
      </w:r>
      <w:r>
        <w:rPr>
          <w:rFonts w:ascii="IRNazanin" w:hAnsi="IRNazanin" w:eastAsia="IRNazanin"/>
          <w:color w:val="111111"/>
          <w:sz w:val="28"/>
          <w:sz w:val="28"/>
          <w:szCs w:val="28"/>
          <w:rtl w:val="true"/>
          <w:lang w:bidi="fa-IR"/>
        </w:rPr>
        <w:t>الإجماع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بالعیب هنا مجرّد النقص،لا خصوص ما یوجب الأرش، فیعمّ عیب الشرکة و تبعّض الصفقة إذا اشتری اثنان شیئاً فأراد أحدهما ردّه بالعیب،أو اشتری واحدٌ صفقةً و ظهر العیب فی بعضه فأراد ردّ المعیب خاصّةً؛و نحوه نسیان العبد الکتابة کما صرّح به فی القواعد </w:t>
      </w:r>
      <w:r>
        <w:rPr>
          <w:rStyle w:val="FootnoteAnchor"/>
          <w:rtl w:val="true"/>
        </w:rPr>
        <w:footnoteReference w:id="1136"/>
      </w:r>
      <w:r>
        <w:rPr>
          <w:rFonts w:ascii="IRNazanin" w:hAnsi="IRNazanin" w:eastAsia="IRNazanin"/>
          <w:color w:val="111111"/>
          <w:sz w:val="28"/>
          <w:sz w:val="28"/>
          <w:szCs w:val="28"/>
          <w:rtl w:val="true"/>
          <w:lang w:bidi="fa-IR"/>
        </w:rPr>
        <w:t xml:space="preserve">و غیره </w:t>
      </w:r>
      <w:r>
        <w:rPr>
          <w:rStyle w:val="FootnoteAnchor"/>
          <w:rtl w:val="true"/>
        </w:rPr>
        <w:footnoteReference w:id="1137"/>
      </w:r>
      <w:r>
        <w:rPr>
          <w:rFonts w:ascii="IRNazanin" w:hAnsi="IRNazanin" w:eastAsia="IRNazanin"/>
          <w:color w:val="111111"/>
          <w:sz w:val="28"/>
          <w:sz w:val="28"/>
          <w:szCs w:val="28"/>
          <w:rtl w:val="true"/>
          <w:lang w:bidi="fa-IR"/>
        </w:rPr>
        <w:t xml:space="preserve">،و نسیان الدابّة للطحن کما صرّح به فی جامع المقاصد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یمکن الاستدلال علی الحکم فی المسألة بمرسلة جمیل المتقدّمة </w:t>
      </w:r>
      <w:r>
        <w:rPr>
          <w:rStyle w:val="FootnoteAnchor"/>
          <w:rtl w:val="true"/>
        </w:rPr>
        <w:footnoteReference w:id="1139"/>
      </w:r>
      <w:r>
        <w:rPr>
          <w:rFonts w:ascii="IRNazanin" w:hAnsi="IRNazanin" w:eastAsia="IRNazanin"/>
          <w:color w:val="111111"/>
          <w:sz w:val="28"/>
          <w:sz w:val="28"/>
          <w:szCs w:val="28"/>
          <w:rtl w:val="true"/>
          <w:lang w:bidi="fa-IR"/>
        </w:rPr>
        <w:t>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لم ینافِ بظاهره مجرّد </w:t>
      </w:r>
      <w:r>
        <w:rPr>
          <w:rStyle w:val="FootnoteAnchor"/>
          <w:rtl w:val="true"/>
        </w:rPr>
        <w:footnoteReference w:id="1140"/>
      </w:r>
      <w:r>
        <w:rPr>
          <w:rFonts w:ascii="IRNazanin" w:hAnsi="IRNazanin" w:eastAsia="IRNazanin"/>
          <w:color w:val="111111"/>
          <w:sz w:val="28"/>
          <w:sz w:val="28"/>
          <w:szCs w:val="28"/>
          <w:rtl w:val="true"/>
          <w:lang w:bidi="fa-IR"/>
        </w:rPr>
        <w:t xml:space="preserve">نقص الأوصاف،کما اعترف به بعضهم </w:t>
      </w:r>
      <w:r>
        <w:rPr>
          <w:rStyle w:val="FootnoteAnchor"/>
          <w:rtl w:val="true"/>
        </w:rPr>
        <w:footnoteReference w:id="1141"/>
      </w:r>
      <w:r>
        <w:rPr>
          <w:rFonts w:ascii="IRNazanin" w:hAnsi="IRNazanin" w:eastAsia="IRNazanin"/>
          <w:color w:val="111111"/>
          <w:sz w:val="28"/>
          <w:sz w:val="28"/>
          <w:szCs w:val="28"/>
          <w:rtl w:val="true"/>
          <w:lang w:bidi="fa-IR"/>
        </w:rPr>
        <w:t>فی مسألة تقدیم قول البائع فی قدر الثمن مع قیام العین،إلّا أنّ الظاهر منه بقرینة التمثیل لمقابله بمثل قطع الثوب و خیاطته و صبغه ما یقابل تغیّر الأوصاف و النقص الحاصل و لو لم یوجب أرشاً،کصبغ الثوب و خیاطته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نعم،قد یتوهّم شموله لما یقابل الزیادة،کالسِّمَن و تعلُّم الصنعة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لکنّه یندفع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الظاهر من قیام العین بقاؤه بمعنی أن لا ینقص مالیّته، لا بمعنی أن لا یزید و لا ینقص،کما لا یخفی علی المتأمّل</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استدلّ العلّامة فی التذکرة علی أصل الحکم قبل المرسلة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بأنّ العیب الحادث یقتضی إتلاف جزءٍ من المبیع،فیکون مضموناً علی المشتری،فیسقط ردّه؛للنقص الحاصل فی یده؛فإنّه لیس تحمّل البائع له بالعیب السابق أولی من تحمّل المشتری به للعیب الحادث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المرسلة </w:t>
      </w:r>
      <w:r>
        <w:rPr>
          <w:rStyle w:val="FootnoteAnchor"/>
          <w:rtl w:val="true"/>
        </w:rPr>
        <w:footnoteReference w:id="1144"/>
      </w:r>
      <w:r>
        <w:rPr>
          <w:rFonts w:ascii="IRNazanin" w:hAnsi="IRNazanin" w:eastAsia="IRNazanin"/>
          <w:color w:val="111111"/>
          <w:sz w:val="28"/>
          <w:sz w:val="28"/>
          <w:szCs w:val="28"/>
          <w:rtl w:val="true"/>
          <w:lang w:bidi="fa-IR"/>
        </w:rPr>
        <w:t>لا تشمل جمیع أفراد النقص،مثل نسیان الدابّة للطحن و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الوجه المذکور بعدها </w:t>
      </w:r>
      <w:r>
        <w:rPr>
          <w:rStyle w:val="FootnoteAnchor"/>
          <w:rtl w:val="true"/>
        </w:rPr>
        <w:footnoteReference w:id="1145"/>
      </w:r>
      <w:r>
        <w:rPr>
          <w:rFonts w:ascii="IRNazanin" w:hAnsi="IRNazanin" w:eastAsia="IRNazanin"/>
          <w:color w:val="111111"/>
          <w:sz w:val="28"/>
          <w:sz w:val="28"/>
          <w:szCs w:val="28"/>
          <w:rtl w:val="true"/>
          <w:lang w:bidi="fa-IR"/>
        </w:rPr>
        <w:t>قاصرٌ عن إفادة المدّعی؛لأنّ المرجع بعد عدم الأولویّة من أحد الطرفین إلی أصالة ثبوت الخیار و عدم ما یدلّ علی سقوطه،غایة الأمر أنّه لو کان الحادث عیباً کان علیه الأرش للبائع إذا ردّه،کما لو تقایلا أو فسخ أحدهما بخیاره بعد تعیّب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مثل نسیان الصنعة و شبهه فلا یوجب أرشاً بل یردّه؛لأنّ النقص حدث فی ملکه و إنّما یضمن وصف الصحّة لکونه کالجزء التالف، فیرجع </w:t>
      </w:r>
      <w:r>
        <w:rPr>
          <w:rStyle w:val="FootnoteAnchor"/>
          <w:rtl w:val="true"/>
        </w:rPr>
        <w:footnoteReference w:id="1146"/>
      </w:r>
      <w:r>
        <w:rPr>
          <w:rFonts w:ascii="IRNazanin" w:hAnsi="IRNazanin" w:eastAsia="IRNazanin"/>
          <w:color w:val="111111"/>
          <w:sz w:val="28"/>
          <w:sz w:val="28"/>
          <w:szCs w:val="28"/>
          <w:rtl w:val="true"/>
          <w:lang w:bidi="fa-IR"/>
        </w:rPr>
        <w:t>بعد الفسخ ببدله</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نعم،لو عُلّل الردّ بالعیب القدیم بکون الصبر علی المعیب ضرراً، أمکن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تدارک ضرر المشتری بجواز الردّ مع تضرّر البائع بالصبر علی العیب الحادث ممّا لا یقتضیه قاعدة نفی 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العمدة فی دلیل الردّ هو النصّ و الإجماع،فاستصحاب الخیار عند الشکّ فی المسقط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الإنصاف أنّ المستفاد من التمثیل فی الروایة بالصبغ و الخیاطة هو إناطة الحکم بمطلق النقص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یقابل الأعمّ من تلفها و تغیّرها،علی ما عرفت من دلالة ذکر الأمثلة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المراد من التغیّر هو الموجب للنقص لا الزیادة،لأنّ مثل السِّمَن لا یمنع الردّ قطعاً،و المراد بالنقص هو الأعمّ من العیب الموجب للأرش،فإنّ النقص الحاصل بالصبغ و الخیاطة إنّما هو لتعلّق حقّ المشتری بالثوب من جهة الصبغ و الخیاطة،و هذا لیس عیباً اصطلاحیّاً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اختصاصه بالتغیّر الخارجی الذی هو مورد الأمثلة فلا یعمّ مثل نسیان الدابّة للطحن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المقصود مجرّد النقص،مع أنّه إذا ثبت الحکم فی النقص الحادث و إن لم یکن عیباً اصطلاحیّاً،ثبت فی المغیّر و غیره؛ للقطع بعدم الفرق،فإنّ المحتمل هو ثبوت الفرق فی النقص الحادث بین کونه عیباً اصطلاحیّاً لا یجوز ردّ العین إلّا مع أرشه،و کونه مجرّد نقصٍ لا یوجب أرشاً کنسیان الکتابة و الطحن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الفرق فی </w:t>
      </w:r>
      <w:r>
        <w:rPr>
          <w:rStyle w:val="FootnoteAnchor"/>
          <w:rtl w:val="true"/>
        </w:rPr>
        <w:footnoteReference w:id="1147"/>
      </w:r>
      <w:r>
        <w:rPr>
          <w:rFonts w:ascii="IRNazanin" w:hAnsi="IRNazanin" w:eastAsia="IRNazanin"/>
          <w:color w:val="111111"/>
          <w:sz w:val="28"/>
          <w:sz w:val="28"/>
          <w:szCs w:val="28"/>
          <w:rtl w:val="true"/>
          <w:lang w:bidi="fa-IR"/>
        </w:rPr>
        <w:t>أفراد النقص الغیر الموجب للأرش بین مغیّر العین حسّا و غیره فلا مجال لاحتماله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ظاهر المفید فی المقنعة المخالفة فی أصل المسألة،و أنّ حدوث العیب لا یمنع عن الردّ </w:t>
      </w:r>
      <w:r>
        <w:rPr>
          <w:rStyle w:val="FootnoteAnchor"/>
          <w:rtl w:val="true"/>
        </w:rPr>
        <w:footnoteReference w:id="11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لکنّه شاذٌّ علی الظاهر</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مقتضی الأصل عدم الفرق فی سقوط الخیار بین بقاء العیب</w:t>
      </w:r>
    </w:p>
    <w:p>
      <w:pPr>
        <w:pStyle w:val="BookText"/>
        <w:rPr/>
      </w:pPr>
      <w:r>
        <w:rPr>
          <w:rFonts w:ascii="IRNazanin" w:hAnsi="IRNazanin" w:eastAsia="IRNazanin"/>
          <w:color w:val="111111"/>
          <w:sz w:val="28"/>
          <w:sz w:val="28"/>
          <w:szCs w:val="28"/>
          <w:rtl w:val="true"/>
          <w:lang w:bidi="fa-IR"/>
        </w:rPr>
        <w:t>الحادث و زواله،فلا یثبت بعد زواله؛لعدم الدلیل علی الثبوت بعد السقوط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عندنا أنّ العیب المتجدّد مانعٌ عن الردّ بالعیب السابق،سواءً زال أم لا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فی التحریر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زال العیب الحادث عند المشتری و لم یکن بسببه کان له الردّ و لا أرش علیه </w:t>
      </w:r>
      <w:r>
        <w:rPr>
          <w:rStyle w:val="FootnoteAnchor"/>
          <w:rtl w:val="true"/>
        </w:rPr>
        <w:footnoteReference w:id="115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الممنوع هو ردّه معیوباً لأجل تضرّر البائع و ضمان المشتری لما یحدث،و قد انتفی الأمران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رضی البائع بردّه مجبوراً بالأرش أو غیر مجبورٍ جاز الردّ، کما فی الدروس </w:t>
      </w:r>
      <w:r>
        <w:rPr>
          <w:rStyle w:val="FootnoteAnchor"/>
          <w:rtl w:val="true"/>
        </w:rPr>
        <w:footnoteReference w:id="1151"/>
      </w:r>
      <w:r>
        <w:rPr>
          <w:rFonts w:ascii="IRNazanin" w:hAnsi="IRNazanin" w:eastAsia="IRNazanin"/>
          <w:color w:val="111111"/>
          <w:sz w:val="28"/>
          <w:sz w:val="28"/>
          <w:szCs w:val="28"/>
          <w:rtl w:val="true"/>
          <w:lang w:bidi="fa-IR"/>
        </w:rPr>
        <w:t xml:space="preserve">و غیره </w:t>
      </w:r>
      <w:r>
        <w:rPr>
          <w:rStyle w:val="FootnoteAnchor"/>
          <w:rtl w:val="true"/>
        </w:rPr>
        <w:footnoteReference w:id="1152"/>
      </w:r>
      <w:r>
        <w:rPr>
          <w:rFonts w:ascii="IRNazanin" w:hAnsi="IRNazanin" w:eastAsia="IRNazanin"/>
          <w:color w:val="111111"/>
          <w:sz w:val="28"/>
          <w:sz w:val="28"/>
          <w:szCs w:val="28"/>
          <w:rtl w:val="true"/>
          <w:lang w:bidi="fa-IR"/>
        </w:rPr>
        <w:t xml:space="preserve">لأنّ عدم الجواز لحقّ البائع،و إلّا فمقتضی قاعدة خیار الفسخ عدم سقوطه بحدوث العیب،غایة الأمر ثبوت قیمة العیب،و إنّما منع من الردّ هنا للنصّ </w:t>
      </w:r>
      <w:r>
        <w:rPr>
          <w:rStyle w:val="FootnoteAnchor"/>
          <w:rtl w:val="true"/>
        </w:rPr>
        <w:footnoteReference w:id="1153"/>
      </w:r>
      <w:r>
        <w:rPr>
          <w:rFonts w:ascii="IRNazanin" w:hAnsi="IRNazanin" w:eastAsia="IRNazanin"/>
          <w:color w:val="111111"/>
          <w:sz w:val="28"/>
          <w:sz w:val="28"/>
          <w:szCs w:val="28"/>
          <w:rtl w:val="true"/>
          <w:lang w:bidi="fa-IR"/>
        </w:rPr>
        <w:t>و الإجماع،أو للضرر</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بالأرش الذی یغرمه المشتری عند الردّ قیمة العیب،لا الأرش الذی یغرمه البائع للمشتری عند عدم الردّ؛لأنّ العیب القدیم مضمونٌ بضمان المعاوضة و الحادث مضمونٌ بضمان الید</w:t>
      </w:r>
      <w:r>
        <w:rPr>
          <w:rFonts w:eastAsia="IRNazanin" w:cs="IRNazanin"/>
          <w:color w:val="111111"/>
          <w:sz w:val="28"/>
          <w:szCs w:val="28"/>
          <w:rtl w:val="true"/>
          <w:lang w:bidi="fa-IR"/>
        </w:rPr>
        <w:t>.</w:t>
      </w:r>
      <w:bookmarkStart w:id="494" w:name="pg19864_220934"/>
    </w:p>
    <w:p>
      <w:pPr>
        <w:pStyle w:val="BookText"/>
        <w:rPr/>
      </w:pPr>
      <w:bookmarkEnd w:id="494"/>
      <w:r>
        <w:rPr>
          <w:rFonts w:ascii="IRNazanin" w:hAnsi="IRNazanin" w:eastAsia="IRNazanin"/>
          <w:color w:val="111111"/>
          <w:sz w:val="28"/>
          <w:sz w:val="28"/>
          <w:szCs w:val="28"/>
          <w:rtl w:val="true"/>
          <w:lang w:bidi="fa-IR"/>
        </w:rPr>
        <w:t>ثمّ إنّ صریح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لو رضی البائع بأخذه معیوباً لم یجز مطالبته بالأرش </w:t>
      </w:r>
      <w:r>
        <w:rPr>
          <w:rStyle w:val="FootnoteAnchor"/>
          <w:rtl w:val="true"/>
        </w:rPr>
        <w:footnoteReference w:id="1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أحد المواضع التی أشرنا </w:t>
      </w:r>
      <w:r>
        <w:rPr>
          <w:rStyle w:val="FootnoteAnchor"/>
          <w:rtl w:val="true"/>
        </w:rPr>
        <w:footnoteReference w:id="1155"/>
      </w:r>
      <w:r>
        <w:rPr>
          <w:rFonts w:ascii="IRNazanin" w:hAnsi="IRNazanin" w:eastAsia="IRNazanin"/>
          <w:color w:val="111111"/>
          <w:sz w:val="28"/>
          <w:sz w:val="28"/>
          <w:szCs w:val="28"/>
          <w:rtl w:val="true"/>
          <w:lang w:bidi="fa-IR"/>
        </w:rPr>
        <w:t xml:space="preserve">فی أوّل المسألة إلی تصریح الشیخ فیها بأنّ الأرش مشروطٌ بالیأس من الردّ،و ینافیه إطلاق الأخبار فی أخذ </w:t>
      </w:r>
      <w:r>
        <w:rPr>
          <w:rStyle w:val="FootnoteAnchor"/>
          <w:rtl w:val="true"/>
        </w:rPr>
        <w:footnoteReference w:id="1156"/>
      </w:r>
      <w:r>
        <w:rPr>
          <w:rFonts w:ascii="IRNazanin" w:hAnsi="IRNazanin" w:eastAsia="IRNazanin"/>
          <w:color w:val="111111"/>
          <w:sz w:val="28"/>
          <w:sz w:val="28"/>
          <w:szCs w:val="28"/>
          <w:rtl w:val="true"/>
          <w:lang w:bidi="fa-IR"/>
        </w:rPr>
        <w:t xml:space="preserve">الأرش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95" w:name="__RefHeading___Toc5148884_2314609296"/>
      <w:bookmarkStart w:id="496" w:name="_Toc187"/>
      <w:bookmarkEnd w:id="495"/>
      <w:r>
        <w:rPr>
          <w:rtl w:val="true"/>
        </w:rPr>
        <w:t>تنبیه</w:t>
      </w:r>
      <w:r>
        <w:rPr>
          <w:rtl w:val="true"/>
        </w:rPr>
        <w:t>:</w:t>
      </w:r>
      <w:bookmarkEnd w:id="496"/>
    </w:p>
    <w:p>
      <w:pPr>
        <w:pStyle w:val="BookText"/>
        <w:rPr/>
      </w:pPr>
      <w:r>
        <w:rPr>
          <w:rFonts w:ascii="IRNazanin" w:hAnsi="IRNazanin" w:eastAsia="IRNazanin"/>
          <w:color w:val="111111"/>
          <w:sz w:val="28"/>
          <w:sz w:val="28"/>
          <w:szCs w:val="28"/>
          <w:rtl w:val="true"/>
          <w:lang w:bidi="fa-IR"/>
        </w:rPr>
        <w:t xml:space="preserve">ظاهر التذکرة </w:t>
      </w:r>
      <w:r>
        <w:rPr>
          <w:rStyle w:val="FootnoteAnchor"/>
          <w:rtl w:val="true"/>
        </w:rPr>
        <w:footnoteReference w:id="1158"/>
      </w:r>
      <w:r>
        <w:rPr>
          <w:rFonts w:ascii="IRNazanin" w:hAnsi="IRNazanin" w:eastAsia="IRNazanin"/>
          <w:color w:val="111111"/>
          <w:sz w:val="28"/>
          <w:sz w:val="28"/>
          <w:szCs w:val="28"/>
          <w:rtl w:val="true"/>
          <w:lang w:bidi="fa-IR"/>
        </w:rPr>
        <w:t xml:space="preserve">و الدروس </w:t>
      </w:r>
      <w:r>
        <w:rPr>
          <w:rStyle w:val="FootnoteAnchor"/>
          <w:rtl w:val="true"/>
        </w:rPr>
        <w:footnoteReference w:id="1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العیب المانع من الردّ بالعیب القدیم تبعّض الصفقة علی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الکلام فی فروع هذه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التعدّد المتصوَّر فیه التبعّض إمّا فی العوض </w:t>
      </w:r>
      <w:r>
        <w:rPr>
          <w:rStyle w:val="FootnoteAnchor"/>
          <w:rtl w:val="true"/>
        </w:rPr>
        <w:footnoteReference w:id="1160"/>
      </w:r>
      <w:r>
        <w:rPr>
          <w:rFonts w:ascii="IRNazanin" w:hAnsi="IRNazanin" w:eastAsia="IRNazanin"/>
          <w:color w:val="111111"/>
          <w:sz w:val="28"/>
          <w:sz w:val="28"/>
          <w:szCs w:val="28"/>
          <w:rtl w:val="true"/>
          <w:lang w:bidi="fa-IR"/>
        </w:rPr>
        <w:t>ثمناً کان أو مثمناً و إمّا فی البائع،و إمّا فی المشتری</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إذا اشتری شیئاً واحداً أو شیئین بثمنٍ واحدٍ من مشترٍ </w:t>
      </w:r>
      <w:r>
        <w:rPr>
          <w:rStyle w:val="FootnoteAnchor"/>
          <w:rtl w:val="true"/>
        </w:rPr>
        <w:footnoteReference w:id="1161"/>
      </w:r>
      <w:r>
        <w:rPr>
          <w:rFonts w:ascii="IRNazanin" w:hAnsi="IRNazanin" w:eastAsia="IRNazanin"/>
          <w:color w:val="111111"/>
          <w:sz w:val="28"/>
          <w:sz w:val="28"/>
          <w:szCs w:val="28"/>
          <w:rtl w:val="true"/>
          <w:lang w:bidi="fa-IR"/>
        </w:rPr>
        <w:t>واحدٍ فظهر بعضه معیباً،و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w:t>
      </w:r>
      <w:r>
        <w:rPr>
          <w:rStyle w:val="FootnoteAnchor"/>
          <w:rtl w:val="true"/>
        </w:rPr>
        <w:footnoteReference w:id="1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 شیئاً بثمنٍ،فظهر بعض الثمن معیباً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باع اثنان من واحدٍ شیئاً واحداً فظهر معیباً، و أراد المشتری أن یردّ علی أحدهما نصیبه دون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اشتری اثنان من واحدٍ شیئاً فظهر معیباً، فاختار أحدهما الردّ دون الآخر،و ألحق بذلک الوارثان لمشترٍ واحدٍ للمعیب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التعدّد فی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یشتری شیئاً واحداً بعضَه بثمنٍ و بعضَه الآخر بثمنٍ آخر،فلا إشکال فی کون هذا عقدین،و لا إشکال فی جواز التفریق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فالمعروف أنّه لا یجوز التبعیض فیه من حیث الردّ، بل الظاهر المصرَّح به فی کلمات بعضٍ الإجماع علیه </w:t>
      </w:r>
      <w:r>
        <w:rPr>
          <w:rStyle w:val="FootnoteAnchor"/>
          <w:rtl w:val="true"/>
        </w:rPr>
        <w:footnoteReference w:id="1163"/>
      </w:r>
      <w:r>
        <w:rPr>
          <w:rFonts w:ascii="IRNazanin" w:hAnsi="IRNazanin" w:eastAsia="IRNazanin"/>
          <w:color w:val="111111"/>
          <w:sz w:val="28"/>
          <w:sz w:val="28"/>
          <w:szCs w:val="28"/>
          <w:rtl w:val="true"/>
          <w:lang w:bidi="fa-IR"/>
        </w:rPr>
        <w:t>لأنّ المردود إن کان جزءاً مشاعاً من المبیع الواحد فهو ناقصٌ من حیث حدوث الشرکة،و إن کان معیّناً فهو ناقص من حیث حدوث التفریق فیه،و کلٌّ منهما نقصٌ یوجب الخیار لو حدث فی المبیع الصحیح،فهو أولی بالمنع عن الردّ من نسیان الدابّة الطحن</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الضرر و إن أمکن جبره بخیار البائع نظیر ما إذا کان بعض الصفقة حیواناً فردّه المشتری بخیار الثلاثة إلّا أنّه یوجب الضرر علی المشتری؛إذ قد یتعلّق غرضه بإمساک الجزء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یدلّ علیه النصّ المانع عن الردّ بخیاطة الثوب و الصبغ </w:t>
      </w:r>
      <w:r>
        <w:rPr>
          <w:rStyle w:val="FootnoteAnchor"/>
          <w:rtl w:val="true"/>
        </w:rPr>
        <w:footnoteReference w:id="1164"/>
      </w:r>
      <w:r>
        <w:rPr>
          <w:rFonts w:ascii="IRNazanin" w:hAnsi="IRNazanin" w:eastAsia="IRNazanin"/>
          <w:color w:val="111111"/>
          <w:sz w:val="28"/>
          <w:sz w:val="28"/>
          <w:szCs w:val="28"/>
          <w:rtl w:val="true"/>
          <w:lang w:bidi="fa-IR"/>
        </w:rPr>
        <w:t>،فإنّ المانع فیهما لیس</w:t>
      </w:r>
    </w:p>
    <w:p>
      <w:pPr>
        <w:pStyle w:val="BookText"/>
        <w:rPr/>
      </w:pPr>
      <w:r>
        <w:rPr>
          <w:rFonts w:ascii="IRNazanin" w:hAnsi="IRNazanin" w:eastAsia="IRNazanin"/>
          <w:color w:val="111111"/>
          <w:sz w:val="28"/>
          <w:sz w:val="28"/>
          <w:szCs w:val="28"/>
          <w:rtl w:val="true"/>
          <w:lang w:bidi="fa-IR"/>
        </w:rPr>
        <w:t>إلّا حصول الشرکة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الثوب </w:t>
      </w:r>
      <w:r>
        <w:rPr>
          <w:rStyle w:val="FootnoteAnchor"/>
          <w:rtl w:val="true"/>
        </w:rPr>
        <w:footnoteReference w:id="1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بنسبة الصبغ و الخیاطة لا مجرّد تغیّر الهیئة؛و لذا لو تغیّر بما یوجب الزیادة کالسِّمَن لم یمنع عن الردّ قطعاً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یستدلّ </w:t>
      </w:r>
      <w:r>
        <w:rPr>
          <w:rStyle w:val="FootnoteAnchor"/>
          <w:rtl w:val="true"/>
        </w:rPr>
        <w:footnoteReference w:id="1166"/>
      </w:r>
      <w:r>
        <w:rPr>
          <w:rFonts w:ascii="IRNazanin" w:hAnsi="IRNazanin" w:eastAsia="IRNazanin"/>
          <w:color w:val="111111"/>
          <w:sz w:val="28"/>
          <w:sz w:val="28"/>
          <w:szCs w:val="28"/>
          <w:rtl w:val="true"/>
          <w:lang w:bidi="fa-IR"/>
        </w:rPr>
        <w:t xml:space="preserve">بعد ردّ الاستدلال بتبعّض الصفقة بما ذکرناه مع دفعه </w:t>
      </w:r>
      <w:r>
        <w:rPr>
          <w:rStyle w:val="FootnoteAnchor"/>
          <w:rtl w:val="true"/>
        </w:rPr>
        <w:footnoteReference w:id="1167"/>
      </w:r>
      <w:r>
        <w:rPr>
          <w:rFonts w:ascii="IRNazanin" w:hAnsi="IRNazanin" w:eastAsia="IRNazanin"/>
          <w:color w:val="111111"/>
          <w:sz w:val="28"/>
          <w:sz w:val="28"/>
          <w:szCs w:val="28"/>
          <w:rtl w:val="true"/>
          <w:lang w:bidi="fa-IR"/>
        </w:rPr>
        <w:t>بظهور الأدلّة فی تعلّق حقّ الخیار بمجموع المبیع لا کلّ جزءٍ منه؛لا أقلّ من الشکّ؛لعدم إطلاقٍ موثوقٍ به،و الأصل اللزوم</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مضافاً إلی أنّ اللازم من ذلک عدم جواز ردّ المعیب منفرداً و إن رضی البائع؛لأنّ المنع حینئذٍ لعدم المقتضی للخیار فی الجزء لا لوجود المانع عنه و هو لزوم الضرر علی البائع حتّی ینتفی برضا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یشکّ أحدٌ فی أنّ دلیل هذا الخیار کغیره من أدلّة جمیع الخیارات صریحٌ </w:t>
      </w:r>
      <w:r>
        <w:rPr>
          <w:rStyle w:val="FootnoteAnchor"/>
          <w:rtl w:val="true"/>
        </w:rPr>
        <w:footnoteReference w:id="1168"/>
      </w:r>
      <w:r>
        <w:rPr>
          <w:rFonts w:ascii="IRNazanin" w:hAnsi="IRNazanin" w:eastAsia="IRNazanin"/>
          <w:color w:val="111111"/>
          <w:sz w:val="28"/>
          <w:sz w:val="28"/>
          <w:szCs w:val="28"/>
          <w:rtl w:val="true"/>
          <w:lang w:bidi="fa-IR"/>
        </w:rPr>
        <w:t xml:space="preserve">فی ثبوت حقّ الخیار لمجموع المبیع لا کلّ جزءٍ؛و لذا لم یجوّز أحدٌ تبعیض ذی خیارٍ بین </w:t>
      </w:r>
      <w:r>
        <w:rPr>
          <w:rStyle w:val="FootnoteAnchor"/>
          <w:rtl w:val="true"/>
        </w:rPr>
        <w:footnoteReference w:id="1169"/>
      </w:r>
      <w:r>
        <w:rPr>
          <w:rFonts w:ascii="IRNazanin" w:hAnsi="IRNazanin" w:eastAsia="IRNazanin"/>
          <w:color w:val="111111"/>
          <w:sz w:val="28"/>
          <w:sz w:val="28"/>
          <w:szCs w:val="28"/>
          <w:rtl w:val="true"/>
          <w:lang w:bidi="fa-IR"/>
        </w:rPr>
        <w:t>أجزاءِ ما لَه فیه الخیار،و لم یحتمل هنا أحدٌ ردَّ الصحیح دون المعیب،و إنّما وقع الإشکال فی أنّ محلّ الخیار هو هذا الشیء المعیوب غایة الأمر أنّه یجوز ردّ الجزء الصحیح معه إمّا لئلّا یتبعّض الصفقة علیه،و إمّا لقیام الإجماع علی جواز ردّه،و إمّا لصدق المعیوب علی المجموع کما تقدّم أو أنّ محلّ الخیار هو مجموع ما وقع علیه العقد لکونه معیوباً و لو من حیث بعضه؟</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الخیار المسبّب عن وجود الشیء المعیوب فی الصفقة نظیر الخیار المسبّب عن وجود الحیوان فی الصفقة فی اختصاصه بالجزء المعنون بما هو سبب الخیار </w:t>
      </w:r>
      <w:r>
        <w:rPr>
          <w:rStyle w:val="FootnoteAnchor"/>
          <w:rtl w:val="true"/>
        </w:rPr>
        <w:footnoteReference w:id="1170"/>
      </w:r>
      <w:r>
        <w:rPr>
          <w:rFonts w:ascii="IRNazanin" w:hAnsi="IRNazanin" w:eastAsia="IRNazanin"/>
          <w:color w:val="111111"/>
          <w:sz w:val="28"/>
          <w:sz w:val="28"/>
          <w:szCs w:val="28"/>
          <w:rtl w:val="true"/>
          <w:lang w:bidi="fa-IR"/>
        </w:rPr>
        <w:t xml:space="preserve">أم لا؟بل غایة الأمر ظهور النصوص الواردة فی الردّ </w:t>
      </w:r>
      <w:r>
        <w:rPr>
          <w:rStyle w:val="FootnoteAnchor"/>
          <w:rtl w:val="true"/>
        </w:rPr>
        <w:footnoteReference w:id="1171"/>
      </w:r>
      <w:r>
        <w:rPr>
          <w:rFonts w:ascii="IRNazanin" w:hAnsi="IRNazanin" w:eastAsia="IRNazanin"/>
          <w:color w:val="111111"/>
          <w:sz w:val="28"/>
          <w:sz w:val="28"/>
          <w:szCs w:val="28"/>
          <w:rtl w:val="true"/>
          <w:lang w:bidi="fa-IR"/>
        </w:rPr>
        <w:t xml:space="preserve">فی ردّ المبیع </w:t>
      </w:r>
      <w:r>
        <w:rPr>
          <w:rStyle w:val="FootnoteAnchor"/>
          <w:rtl w:val="true"/>
        </w:rPr>
        <w:footnoteReference w:id="1172"/>
      </w:r>
      <w:r>
        <w:rPr>
          <w:rFonts w:ascii="IRNazanin" w:hAnsi="IRNazanin" w:eastAsia="IRNazanin"/>
          <w:color w:val="111111"/>
          <w:sz w:val="28"/>
          <w:sz w:val="28"/>
          <w:szCs w:val="28"/>
          <w:rtl w:val="true"/>
          <w:lang w:bidi="fa-IR"/>
        </w:rPr>
        <w:t>الظاهر فی تمام ما وقع علیه العقد،لکن موردها المبیع الواحد العرفی المتّصف بالعیب،نظیر أخبار خیار الحیوان،و هذا المقدار لا یدلّ علی حکم ما لو انضمّ المعیب إلی غیره،بل قد یدلّ کأخبار خیار الحیوان علی اختصاص الخیار بخصوص ما هو متّصفٌ بالعیب عرفاً باعتبار نفسه أو جزئه الحقیقی کبعض الثوب،لا جزئه الاعتباری کأحد الشیئین الذی هو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عدم جواز التشبّث فی المقام بقوله فی مرسلة جمیل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الشیء قائماً بعینه</w:t>
      </w:r>
      <w:r>
        <w:rPr>
          <w:rFonts w:eastAsia="IRNazanin" w:cs="IRNazanin"/>
          <w:color w:val="111111"/>
          <w:sz w:val="28"/>
          <w:szCs w:val="28"/>
          <w:rtl w:val="true"/>
          <w:lang w:bidi="fa-IR"/>
        </w:rPr>
        <w:t xml:space="preserve">» </w:t>
      </w:r>
      <w:r>
        <w:rPr>
          <w:rStyle w:val="FootnoteAnchor"/>
          <w:rtl w:val="true"/>
        </w:rPr>
        <w:footnoteReference w:id="1173"/>
      </w:r>
      <w:r>
        <w:rPr>
          <w:rFonts w:ascii="IRNazanin" w:hAnsi="IRNazanin" w:eastAsia="IRNazanin"/>
          <w:color w:val="111111"/>
          <w:sz w:val="28"/>
          <w:sz w:val="28"/>
          <w:szCs w:val="28"/>
          <w:rtl w:val="true"/>
          <w:lang w:bidi="fa-IR"/>
        </w:rPr>
        <w:t>لأنّ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المعیب، و لا شکّ فی قیامه هنا بعینه</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بالجملة،فالعمدة فی المسألة مضافاً إلی ظهور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w:t>
      </w:r>
      <w:r>
        <w:rPr>
          <w:rStyle w:val="FootnoteAnchor"/>
          <w:rtl w:val="true"/>
        </w:rPr>
        <w:footnoteReference w:id="1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مرجع جواز الردّ منفرداً إلی إثبات سلطنةٍ للمشتری</w:t>
      </w:r>
    </w:p>
    <w:p>
      <w:pPr>
        <w:pStyle w:val="BookText"/>
        <w:rPr/>
      </w:pPr>
      <w:r>
        <w:rPr>
          <w:rFonts w:ascii="IRNazanin" w:hAnsi="IRNazanin" w:eastAsia="IRNazanin"/>
          <w:color w:val="111111"/>
          <w:sz w:val="28"/>
          <w:sz w:val="28"/>
          <w:szCs w:val="28"/>
          <w:rtl w:val="true"/>
          <w:lang w:bidi="fa-IR"/>
        </w:rPr>
        <w:t>علی الجزء الصحیح من حیث إمساکه ثمّ سلب سلطنته عنه بخیار البائع، و منع سلطنته علی الردّ أوّلاً أولی،و لا أقلّ من التساوی،فیرجع إلی أصالة اللزوم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بینه و بین خیار الحیوان الإجماع،کما أنّ للشفیع أن یأخذ بالشفعة فی بعض الصفقة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بالجملة،فالأصل کافٍ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مقتضی ما ذکروه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إلحاق تبعّض الصفقة بالعیب الحادث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 لو رضی البائع بتبعّض الصفقة جاز الردّ،کما فی التذکرة معلّلاً بأنّ الحقّ لا یعدوهما </w:t>
      </w:r>
      <w:r>
        <w:rPr>
          <w:rStyle w:val="FootnoteAnchor"/>
          <w:rtl w:val="true"/>
        </w:rPr>
        <w:footnoteReference w:id="1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ممّا یدلّ علی أنّ محلّ الخیار هو الجزء المعیب،إلّا أنّه منع من ردّه نقصه بالانفراد عن باقی المبیع،إذ لو کان محلّه المجموع لم یجز ردّ المعیب وحده إلّا بالتفاسخ المجوّز لردّ </w:t>
      </w:r>
      <w:r>
        <w:rPr>
          <w:rStyle w:val="FootnoteAnchor"/>
          <w:rtl w:val="true"/>
        </w:rPr>
        <w:footnoteReference w:id="1176"/>
      </w:r>
      <w:r>
        <w:rPr>
          <w:rFonts w:ascii="Amiri" w:hAnsi="Amiri" w:eastAsia="Amiri" w:cs="Amiri"/>
          <w:color w:val="111111"/>
          <w:sz w:val="28"/>
          <w:sz w:val="28"/>
          <w:szCs w:val="28"/>
          <w:rtl w:val="true"/>
          <w:lang w:bidi="ar-SA"/>
        </w:rPr>
        <w:t>الصحیح منفرداً أیضاً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تعدّد المشتری </w:t>
      </w:r>
      <w:r>
        <w:rPr>
          <w:rStyle w:val="FootnoteAnchor"/>
          <w:rtl w:val="true"/>
        </w:rPr>
        <w:footnoteReference w:id="1177"/>
      </w:r>
      <w:r>
        <w:rPr>
          <w:rFonts w:ascii="IRNazanin" w:hAnsi="IRNazanin" w:eastAsia="IRNazanin"/>
          <w:color w:val="111111"/>
          <w:sz w:val="28"/>
          <w:sz w:val="28"/>
          <w:szCs w:val="28"/>
          <w:rtl w:val="true"/>
          <w:lang w:bidi="fa-IR"/>
        </w:rPr>
        <w:t xml:space="preserve">بأن اشتریا شیئاً واحداً فظهر فیه عیبٌ،فإنّ الأقوی فیه عدم جواز انفراد أحدهما علی المشهور کما عن جماعةٍ </w:t>
      </w:r>
      <w:r>
        <w:rPr>
          <w:rStyle w:val="FootnoteAnchor"/>
          <w:rtl w:val="true"/>
        </w:rPr>
        <w:footnoteReference w:id="1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استدلّ علیه فی التذکرة </w:t>
      </w:r>
      <w:r>
        <w:rPr>
          <w:rStyle w:val="FootnoteAnchor"/>
          <w:rtl w:val="true"/>
        </w:rPr>
        <w:footnoteReference w:id="1179"/>
      </w:r>
      <w:r>
        <w:rPr>
          <w:rFonts w:ascii="IRNazanin" w:hAnsi="IRNazanin" w:eastAsia="IRNazanin"/>
          <w:color w:val="111111"/>
          <w:sz w:val="28"/>
          <w:sz w:val="28"/>
          <w:szCs w:val="28"/>
          <w:rtl w:val="true"/>
          <w:lang w:bidi="fa-IR"/>
        </w:rPr>
        <w:t xml:space="preserve">و غیرها </w:t>
      </w:r>
      <w:r>
        <w:rPr>
          <w:rStyle w:val="FootnoteAnchor"/>
          <w:rtl w:val="true"/>
        </w:rPr>
        <w:footnoteReference w:id="1180"/>
      </w:r>
      <w:r>
        <w:rPr>
          <w:rFonts w:ascii="Amiri" w:hAnsi="Amiri" w:eastAsia="Amiri" w:cs="Amiri"/>
          <w:color w:val="111111"/>
          <w:sz w:val="28"/>
          <w:sz w:val="28"/>
          <w:szCs w:val="28"/>
          <w:rtl w:val="true"/>
          <w:lang w:bidi="ar-SA"/>
        </w:rPr>
        <w:t>بأنّ التشقیص عیبٌ</w:t>
      </w:r>
    </w:p>
    <w:p>
      <w:pPr>
        <w:pStyle w:val="BookText"/>
        <w:rPr/>
      </w:pPr>
      <w:r>
        <w:rPr>
          <w:rFonts w:ascii="IRNazanin" w:hAnsi="IRNazanin" w:eastAsia="IRNazanin"/>
          <w:color w:val="111111"/>
          <w:sz w:val="28"/>
          <w:sz w:val="28"/>
          <w:szCs w:val="28"/>
          <w:rtl w:val="true"/>
          <w:lang w:bidi="fa-IR"/>
        </w:rPr>
        <w:t>مانعٌ من 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خلافاً للمحکیّ عن الشیخ فی باب الشرکة </w:t>
      </w:r>
      <w:r>
        <w:rPr>
          <w:rStyle w:val="FootnoteAnchor"/>
          <w:rtl w:val="true"/>
        </w:rPr>
        <w:footnoteReference w:id="1181"/>
      </w:r>
      <w:r>
        <w:rPr>
          <w:rFonts w:ascii="IRNazanin" w:hAnsi="IRNazanin" w:eastAsia="IRNazanin"/>
          <w:color w:val="111111"/>
          <w:sz w:val="28"/>
          <w:sz w:val="28"/>
          <w:szCs w:val="28"/>
          <w:rtl w:val="true"/>
          <w:lang w:bidi="fa-IR"/>
        </w:rPr>
        <w:t xml:space="preserve">و الإسکافی </w:t>
      </w:r>
      <w:r>
        <w:rPr>
          <w:rStyle w:val="FootnoteAnchor"/>
          <w:rtl w:val="true"/>
        </w:rPr>
        <w:footnoteReference w:id="1182"/>
      </w:r>
      <w:r>
        <w:rPr>
          <w:rFonts w:ascii="IRNazanin" w:hAnsi="IRNazanin" w:eastAsia="IRNazanin"/>
          <w:color w:val="111111"/>
          <w:sz w:val="28"/>
          <w:sz w:val="28"/>
          <w:szCs w:val="28"/>
          <w:rtl w:val="true"/>
          <w:lang w:bidi="fa-IR"/>
        </w:rPr>
        <w:t xml:space="preserve">و القاضی </w:t>
      </w:r>
      <w:r>
        <w:rPr>
          <w:rStyle w:val="FootnoteAnchor"/>
          <w:rtl w:val="true"/>
        </w:rPr>
        <w:footnoteReference w:id="1183"/>
      </w:r>
      <w:r>
        <w:rPr>
          <w:rFonts w:ascii="Amiri" w:hAnsi="Amiri" w:eastAsia="Amiri" w:cs="Amiri"/>
          <w:color w:val="111111"/>
          <w:sz w:val="28"/>
          <w:sz w:val="28"/>
          <w:szCs w:val="28"/>
          <w:rtl w:val="true"/>
          <w:lang w:bidi="ar-SA"/>
        </w:rPr>
        <w:t xml:space="preserve">و الحلّی </w:t>
      </w:r>
      <w:r>
        <w:rPr>
          <w:rStyle w:val="FootnoteAnchor"/>
          <w:rtl w:val="true"/>
        </w:rPr>
        <w:footnoteReference w:id="1184"/>
      </w:r>
      <w:r>
        <w:rPr>
          <w:rFonts w:ascii="IRNazanin" w:hAnsi="IRNazanin" w:eastAsia="IRNazanin"/>
          <w:color w:val="111111"/>
          <w:sz w:val="28"/>
          <w:sz w:val="28"/>
          <w:szCs w:val="28"/>
          <w:rtl w:val="true"/>
          <w:lang w:bidi="fa-IR"/>
        </w:rPr>
        <w:t xml:space="preserve">و صاحب البشری </w:t>
      </w:r>
      <w:r>
        <w:rPr>
          <w:rStyle w:val="FootnoteAnchor"/>
          <w:rtl w:val="true"/>
        </w:rPr>
        <w:footnoteReference w:id="1185"/>
      </w:r>
      <w:r>
        <w:rPr>
          <w:rFonts w:ascii="IRNazanin" w:hAnsi="IRNazanin" w:eastAsia="IRNazanin"/>
          <w:color w:val="111111"/>
          <w:sz w:val="28"/>
          <w:sz w:val="28"/>
          <w:szCs w:val="28"/>
          <w:rtl w:val="true"/>
          <w:lang w:bidi="fa-IR"/>
        </w:rPr>
        <w:t>،فجوّزوا الافتراق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عندی فیه بُعدٌ؛إذ البائع أخرج العبد إلیهما مشقّصاً،فالشرکة حصلت بإیجابه </w:t>
      </w:r>
      <w:r>
        <w:rPr>
          <w:rStyle w:val="FootnoteAnchor"/>
          <w:rtl w:val="true"/>
        </w:rPr>
        <w:footnoteReference w:id="1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قوّاه فی الإیضاح </w:t>
      </w:r>
      <w:r>
        <w:rPr>
          <w:rStyle w:val="FootnoteAnchor"/>
          <w:rtl w:val="true"/>
        </w:rPr>
        <w:footnoteReference w:id="1187"/>
      </w:r>
      <w:r>
        <w:rPr>
          <w:rFonts w:ascii="IRNazanin" w:hAnsi="IRNazanin" w:eastAsia="IRNazanin"/>
          <w:color w:val="111111"/>
          <w:sz w:val="28"/>
          <w:sz w:val="28"/>
          <w:szCs w:val="28"/>
          <w:rtl w:val="true"/>
          <w:lang w:bidi="fa-IR"/>
        </w:rPr>
        <w:t>لما تقدّم من التذکرة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هذا الوجه اختصاص جواز التفریق بصورة علم البائع بتعدّد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استجوده فی التحریر </w:t>
      </w:r>
      <w:r>
        <w:rPr>
          <w:rStyle w:val="FootnoteAnchor"/>
          <w:rtl w:val="true"/>
        </w:rPr>
        <w:footnoteReference w:id="1188"/>
      </w:r>
      <w:r>
        <w:rPr>
          <w:rFonts w:ascii="IRNazanin" w:hAnsi="IRNazanin" w:eastAsia="IRNazanin"/>
          <w:color w:val="111111"/>
          <w:sz w:val="28"/>
          <w:sz w:val="28"/>
          <w:szCs w:val="28"/>
          <w:rtl w:val="true"/>
          <w:lang w:bidi="fa-IR"/>
        </w:rPr>
        <w:t xml:space="preserve">و قوّاه جامع المقاصد </w:t>
      </w:r>
      <w:r>
        <w:rPr>
          <w:rStyle w:val="FootnoteAnchor"/>
          <w:rtl w:val="true"/>
        </w:rPr>
        <w:footnoteReference w:id="1189"/>
      </w:r>
      <w:r>
        <w:rPr>
          <w:rFonts w:ascii="IRNazanin" w:hAnsi="IRNazanin" w:eastAsia="IRNazanin"/>
          <w:color w:val="111111"/>
          <w:sz w:val="28"/>
          <w:sz w:val="28"/>
          <w:szCs w:val="28"/>
          <w:rtl w:val="true"/>
          <w:lang w:bidi="fa-IR"/>
        </w:rPr>
        <w:t xml:space="preserve">و صاحب المسالک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اشتری الشریکان عبداً بمال الشرکة،ثمّ</w:t>
      </w:r>
    </w:p>
    <w:p>
      <w:pPr>
        <w:pStyle w:val="BookText"/>
        <w:rPr/>
      </w:pPr>
      <w:r>
        <w:rPr>
          <w:rFonts w:ascii="IRNazanin" w:hAnsi="IRNazanin" w:eastAsia="IRNazanin"/>
          <w:color w:val="111111"/>
          <w:sz w:val="28"/>
          <w:sz w:val="28"/>
          <w:szCs w:val="28"/>
          <w:rtl w:val="true"/>
          <w:lang w:bidi="fa-IR"/>
        </w:rPr>
        <w:t>أصابا به عیباً کان لهما أن یردّاه و کان لهما أن یمسکاه،فإن أراد أحدهما الردّ و الآخر الإمساک کان لهما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اشتری أحد الشریکین للشرکة ثمّ أصابا به عیباً کان لهما أن یردّا و أن یمسکا،فإن أراد أحدهما الردّ و الآخر الإمساک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أطلق العقد و لم یخبر البائع أنّه قد اشتری للشرکة لم یکن له الردّ؛لأنّ الظاهر أنّه اشتراه لنفسه،فإذا ادّعی أنّه اشتراه له و لشریکه، فقد ادّعی خلاف الظاهر،فلم یقبل قوله و کان القول قول البائع مع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أخبر البائع بذلک،قیل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و هو الصحیح أنّ له الردّ؛لأنّ الملک بالعقد وقع لاثنین،فقد علم البائع أنّه یبیعه من اثنین و کان لأحدهما أن ینفرد بالردّ دون الآخر،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وجهٌ آخر،و هو أنّه لیس له الردّ،لأنّ القبول فی العقد کان واحداً </w:t>
      </w:r>
      <w:r>
        <w:rPr>
          <w:rStyle w:val="FootnoteAnchor"/>
          <w:rtl w:val="true"/>
        </w:rPr>
        <w:footnoteReference w:id="119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هذه العبارة اختصاص النزاع بما إذا کان القبول فی العقد واحداً عن اثنین،أمّا إذا تحقّق القبول من الشریکین،فلا کلام فی جواز الافتراق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الظاهر منه مع اتّحاد القبول التفصیل بین علم البائع و جهله</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التأمّل فی تمام کلامه قد یعطی التفصیل بین کون القبول فی الواقع لاثنین أو لواحدٍ،فإنّه قدّس سرّه علّل عدم جواز الردّ فی صورة عدم إخبار المشتری بالاشتراک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الظاهر أنّه اشتراه لنفسه،لا بعدم علم</w:t>
      </w:r>
    </w:p>
    <w:p>
      <w:pPr>
        <w:pStyle w:val="BookText"/>
        <w:rPr/>
      </w:pPr>
      <w:r>
        <w:rPr>
          <w:rFonts w:ascii="IRNazanin" w:hAnsi="IRNazanin" w:eastAsia="IRNazanin"/>
          <w:color w:val="111111"/>
          <w:sz w:val="28"/>
          <w:sz w:val="28"/>
          <w:szCs w:val="28"/>
          <w:rtl w:val="true"/>
          <w:lang w:bidi="fa-IR"/>
        </w:rPr>
        <w:t>البائع بالتعدّد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حکمه قدّس سرّه بتقدّم قول البائع بیمینه المستلزم لقبول البیّنة من المشتری علی أنّ الشراء بالاشتراک دلیلٌ علی أنّه یجوز التفریق بمجرّد ثبوت التعدّد فی الواقع بالبیّنة و إن لم یعلم به البائع،إلّا أن یحمل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یمین البائع علی نفی العلم،و یراد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إعلام المشتری للبائع بالتعدّد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کان،فمبنی المسألة علی ما یظهر من کلام الشیخ علی تعدّد العقد بتعدّد المشتری و وحدته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فی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الافتراق مطلقاً؛لأنّ الثابت من الدلیل هنا خیارٌ واحدٌ متقوّمٌ باثنین،فلیس لکلٍّ منهما الاستقلال، و لا دلیل علی تعدّد الخیار هنا إلّا إطلاق الفتاوی و 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اشتری معیباً فهو بالخیار</w:t>
      </w:r>
      <w:r>
        <w:rPr>
          <w:rFonts w:eastAsia="IRNazanin" w:cs="IRNazanin"/>
          <w:color w:val="111111"/>
          <w:sz w:val="28"/>
          <w:szCs w:val="28"/>
          <w:rtl w:val="true"/>
          <w:lang w:bidi="fa-IR"/>
        </w:rPr>
        <w:t xml:space="preserve">» </w:t>
      </w:r>
      <w:r>
        <w:rPr>
          <w:rStyle w:val="FootnoteAnchor"/>
          <w:rtl w:val="true"/>
        </w:rPr>
        <w:footnoteReference w:id="1192"/>
      </w:r>
      <w:r>
        <w:rPr>
          <w:rFonts w:ascii="IRNazanin" w:hAnsi="IRNazanin" w:eastAsia="IRNazanin"/>
          <w:color w:val="111111"/>
          <w:sz w:val="28"/>
          <w:sz w:val="28"/>
          <w:szCs w:val="28"/>
          <w:rtl w:val="true"/>
          <w:lang w:bidi="fa-IR"/>
        </w:rPr>
        <w:t>الشامل لمن اشتری جزءاً من المعیب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الظاهر بعد التأمّل انصرافه إلی غیر المقام،و لو سلّمنا الظهور لکن لا ریب فی أنّ ردّ هذا المبیع منفرداً عن المبیع الآخر نقصٌ حدث فیه، بل لیس قائماً بعینه و لو بفعل الممسک لحصّته،و هو مانعٌ من 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ذلک یعلم قوّة المنع و إن قلنا بتعدّد العقد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ذکروه تبعاً للتذکرة </w:t>
      </w:r>
      <w:r>
        <w:rPr>
          <w:rStyle w:val="FootnoteAnchor"/>
          <w:rtl w:val="true"/>
        </w:rPr>
        <w:footnoteReference w:id="1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التشقیص حصل بإیجاب البائع </w:t>
      </w:r>
      <w:r>
        <w:rPr>
          <w:rStyle w:val="FootnoteAnchor"/>
          <w:rtl w:val="true"/>
        </w:rPr>
        <w:footnoteReference w:id="1194"/>
      </w: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أخرجه غیرَ مبعّضٍ و إنّما تبعّض بالإخراج،و المقصود</w:t>
      </w:r>
    </w:p>
    <w:p>
      <w:pPr>
        <w:pStyle w:val="BookText"/>
        <w:rPr/>
      </w:pPr>
      <w:r>
        <w:rPr>
          <w:rFonts w:ascii="IRNazanin" w:hAnsi="IRNazanin" w:eastAsia="IRNazanin"/>
          <w:color w:val="111111"/>
          <w:sz w:val="28"/>
          <w:sz w:val="28"/>
          <w:szCs w:val="28"/>
          <w:rtl w:val="true"/>
          <w:lang w:bidi="fa-IR"/>
        </w:rPr>
        <w:t>حصوله فی ید البائع کما کان قبل الخروج،و خلاف ذلک ضررٌ علیه، و علمُ البائع بذلک لیس فیه إقدامٌ علی الضرر إلّا علی تقدیر کون حکم المسألة جواز التبعیض،و هو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الفرق بین هذه المسألة و المسألة الاُولی غیر 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الثالث </w:t>
      </w:r>
      <w:r>
        <w:rPr>
          <w:rStyle w:val="FootnoteAnchor"/>
          <w:rtl w:val="true"/>
        </w:rPr>
        <w:footnoteReference w:id="1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تعدّد البائع،فالظاهر عدم الخلاف فی جواز التفریق؛إذ لا ضرر علی البائع بالتفریق</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اشتری اثنان من اثنین عبداً واحداً فقد اشتری کلٌّ من کلٍّ ربعاً،فإن أراد أحدهما ردَّ ربعٍ إلی أحد البائعین دخل فی المسألة الثانیة </w:t>
      </w:r>
      <w:r>
        <w:rPr>
          <w:rStyle w:val="FootnoteAnchor"/>
          <w:rtl w:val="true"/>
        </w:rPr>
        <w:footnoteReference w:id="1196"/>
      </w:r>
      <w:r>
        <w:rPr>
          <w:rFonts w:ascii="IRNazanin" w:hAnsi="IRNazanin" w:eastAsia="IRNazanin"/>
          <w:color w:val="111111"/>
          <w:sz w:val="28"/>
          <w:sz w:val="28"/>
          <w:szCs w:val="28"/>
          <w:rtl w:val="true"/>
          <w:lang w:bidi="fa-IR"/>
        </w:rPr>
        <w:t>و لذا لا یجوز؛لأنّ المعیار تبعّض الصفقة علی بائع الواحد</w:t>
      </w:r>
      <w:r>
        <w:rPr>
          <w:rFonts w:eastAsia="IRNazanin" w:cs="IRNazanin"/>
          <w:color w:val="111111"/>
          <w:sz w:val="28"/>
          <w:szCs w:val="28"/>
          <w:rtl w:val="true"/>
          <w:lang w:bidi="fa-IR"/>
        </w:rPr>
        <w:t>.</w:t>
      </w:r>
      <w:bookmarkStart w:id="497" w:name="pg19864_220943"/>
    </w:p>
    <w:p>
      <w:pPr>
        <w:pStyle w:val="Heading6"/>
        <w:numPr>
          <w:ilvl w:val="5"/>
          <w:numId w:val="1"/>
        </w:numPr>
        <w:rPr/>
      </w:pPr>
      <w:bookmarkStart w:id="498" w:name="__RefHeading___Toc5148886_2314609296"/>
      <w:bookmarkStart w:id="499" w:name="_Toc188"/>
      <w:bookmarkEnd w:id="497"/>
      <w:bookmarkEnd w:id="498"/>
      <w:r>
        <w:rPr>
          <w:rtl w:val="true"/>
        </w:rPr>
        <w:t>مسألة یسقط الأرش دون الردّ فی موضعین</w:t>
      </w:r>
      <w:r>
        <w:rPr>
          <w:rtl w:val="true"/>
        </w:rPr>
        <w:t>:</w:t>
      </w:r>
      <w:bookmarkEnd w:id="499"/>
    </w:p>
    <w:p>
      <w:pPr>
        <w:pStyle w:val="Heading6"/>
        <w:numPr>
          <w:ilvl w:val="5"/>
          <w:numId w:val="1"/>
        </w:numPr>
        <w:rPr/>
      </w:pPr>
      <w:bookmarkStart w:id="500" w:name="__RefHeading___Toc5148888_2314609296"/>
      <w:bookmarkStart w:id="501" w:name="_Toc189"/>
      <w:bookmarkEnd w:id="500"/>
      <w:r>
        <w:rPr>
          <w:rtl w:val="true"/>
        </w:rPr>
        <w:t>أحدهما</w:t>
      </w:r>
      <w:r>
        <w:rPr>
          <w:rtl w:val="true"/>
        </w:rPr>
        <w:t xml:space="preserve">: </w:t>
      </w:r>
      <w:r>
        <w:rPr>
          <w:rtl w:val="true"/>
        </w:rPr>
        <w:t>إذا اشتری ربویّاً بجنسه فظهر عیبٌ فی أحدهما،</w:t>
      </w:r>
      <w:bookmarkEnd w:id="501"/>
    </w:p>
    <w:p>
      <w:pPr>
        <w:pStyle w:val="BookText"/>
        <w:rPr/>
      </w:pPr>
      <w:r>
        <w:rPr>
          <w:rFonts w:ascii="IRNazanin" w:hAnsi="IRNazanin" w:eastAsia="IRNazanin"/>
          <w:color w:val="111111"/>
          <w:sz w:val="28"/>
          <w:sz w:val="28"/>
          <w:szCs w:val="28"/>
          <w:rtl w:val="true"/>
          <w:lang w:bidi="fa-IR"/>
        </w:rPr>
        <w:t>فلا أرش حذراً من الربا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یحتمل جواز أخذ الأرش،نفی </w:t>
      </w:r>
      <w:r>
        <w:rPr>
          <w:rStyle w:val="FootnoteAnchor"/>
          <w:rtl w:val="true"/>
        </w:rPr>
        <w:footnoteReference w:id="1197"/>
      </w:r>
      <w:r>
        <w:rPr>
          <w:rFonts w:ascii="IRNazanin" w:hAnsi="IRNazanin" w:eastAsia="IRNazanin"/>
          <w:color w:val="111111"/>
          <w:sz w:val="28"/>
          <w:sz w:val="28"/>
          <w:szCs w:val="28"/>
          <w:rtl w:val="true"/>
          <w:lang w:bidi="fa-IR"/>
        </w:rPr>
        <w:t xml:space="preserve">عنه البأس فی التذکرة بعد أن حکاه وجهاً ثالثاً لبعض الشافعیّة،موجِّهاً له بأنّ المماثلة فی مال الربا إنّما یشترط فی ابتداء العقد و قد حصلت،و الأرش حقٌّ ثبت بعد ذلک لا یقدح فی العقد السابق </w:t>
      </w:r>
      <w:r>
        <w:rPr>
          <w:rStyle w:val="FootnoteAnchor"/>
          <w:rtl w:val="true"/>
        </w:rPr>
        <w:footnoteReference w:id="119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أنّ الأقرب أنّه یجوز أخذ الأرش من جنس العوضین؛ لأنّ الجنس لو امتنع أخذه لامتنع أخذ غیر الجنس،لأنّه یکون بیع مال الربا بجنسه مع شیءٍ آخر </w:t>
      </w:r>
      <w:r>
        <w:rPr>
          <w:rStyle w:val="FootnoteAnchor"/>
          <w:rtl w:val="true"/>
        </w:rPr>
        <w:footnoteReference w:id="119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جامع الشرائع حکایة هذا الوجه عن بعض أصحابنا </w:t>
      </w:r>
      <w:r>
        <w:rPr>
          <w:rStyle w:val="FootnoteAnchor"/>
          <w:rtl w:val="true"/>
        </w:rPr>
        <w:footnoteReference w:id="1200"/>
      </w:r>
      <w:bookmarkStart w:id="502" w:name="pg19864_220944"/>
    </w:p>
    <w:p>
      <w:pPr>
        <w:pStyle w:val="BookText"/>
        <w:rPr/>
      </w:pPr>
      <w:bookmarkEnd w:id="502"/>
      <w:r>
        <w:rPr>
          <w:rFonts w:ascii="IRNazanin" w:hAnsi="IRNazanin" w:eastAsia="IRNazanin"/>
          <w:color w:val="111111"/>
          <w:sz w:val="28"/>
          <w:sz w:val="28"/>
          <w:szCs w:val="28"/>
          <w:rtl w:val="true"/>
          <w:lang w:bidi="fa-IR"/>
        </w:rPr>
        <w:t>المتقدّم علی العلّامة،و حاصل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صفة الصحّة لم تُقابل بشیءٍ من الثمن حتّی یکون المقابل للمعیب الفاقد للصّحة أنقص منه قدراً،بل لم تُقابل بشیءٍ أصلاً و لو من غیر الثمن و إلّا لثبت فی ذمّة البائع و إن لم یختر المشتری الأرش،بل الصحّة وصفٌ التزمه البائع فی المبیع من دون مقابلته بشیءٍ من المال کسائر الصفات المشترطة فی المبیع،إلّا أنّ الشارع جوّز للمشتری مع تبیّن فقده أخذ ما یخصّه بنسبة المعاوضة من الثمن أو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غرامةٌ شرعیّةٌ حکم بها الشارع عند اختیار المشتری لتغریم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لکن یمکن أن 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المستفاد من أدلّة تحریم الربا و حرمة المعاوضة إلّا مثلاً بمثلٍ بعد ملاحظة أنّ الصحیح و المعیب جنسٌ واحدٌ أنّ وصف الصحّة فی أحد الجنسین کالمعدوم لا یترتّب علی فقده استحقاق عوضٍ،و من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الأرش عوض وصف الصحّة عرفاً و شرعاً،فالعقد علی المتجانسین لا یجوز أن یصیر سبباً لاستحقاق أحدهما علی الآخر زائداً علی ما یساوی الجنس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فبناء معاوضة المتجانسین علی عدم وقوع مالٍ فی مقابل الصحّة المفقودة فی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المسألة فی غایة الإشکال،و لا بدّ من مراجعة أدلّة الربا و فهم حقیقة الأرش،و سیجیء بعض الکلام فیه إن شاء اللّٰه</w:t>
      </w:r>
      <w:r>
        <w:rPr>
          <w:rFonts w:eastAsia="IRNazanin" w:cs="IRNazanin"/>
          <w:color w:val="111111"/>
          <w:sz w:val="28"/>
          <w:szCs w:val="28"/>
          <w:rtl w:val="true"/>
          <w:lang w:bidi="fa-IR"/>
        </w:rPr>
        <w:t>.</w:t>
      </w:r>
    </w:p>
    <w:p>
      <w:pPr>
        <w:pStyle w:val="Heading6"/>
        <w:numPr>
          <w:ilvl w:val="5"/>
          <w:numId w:val="1"/>
        </w:numPr>
        <w:rPr/>
      </w:pPr>
      <w:bookmarkStart w:id="503" w:name="__RefHeading___Toc5148890_2314609296"/>
      <w:bookmarkStart w:id="504" w:name="_Toc190"/>
      <w:bookmarkEnd w:id="503"/>
      <w:r>
        <w:rPr>
          <w:rtl w:val="true"/>
        </w:rPr>
        <w:t>الثانی</w:t>
      </w:r>
      <w:r>
        <w:rPr>
          <w:rtl w:val="true"/>
        </w:rPr>
        <w:t xml:space="preserve">: </w:t>
      </w:r>
      <w:r>
        <w:rPr>
          <w:rtl w:val="true"/>
        </w:rPr>
        <w:t>ما لو لم یوجب العیب نقصاً فی القیمة،</w:t>
      </w:r>
      <w:bookmarkEnd w:id="504"/>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 لا یتصوّر هنا أرشٌ حتّی یحکم بثبوته،و قد مثّلوا لذلک بالخصاء فی العبید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یناقش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الخصاء موجبٌ فی نفسه لنقص القیمة لفوات بعض المنافع عنه کالفحولة،و إنّما یرغب فی الخصیّ قلیلٌ من الناس لبعض الأغراض الفاسدة،أعنی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تستّر النساء منه </w:t>
      </w:r>
      <w:r>
        <w:rPr>
          <w:rStyle w:val="FootnoteAnchor"/>
          <w:rtl w:val="true"/>
        </w:rPr>
        <w:footnoteReference w:id="1202"/>
      </w:r>
      <w:r>
        <w:rPr>
          <w:rFonts w:ascii="IRNazanin" w:hAnsi="IRNazanin" w:eastAsia="IRNazanin"/>
          <w:color w:val="111111"/>
          <w:sz w:val="28"/>
          <w:sz w:val="28"/>
          <w:szCs w:val="28"/>
          <w:rtl w:val="true"/>
          <w:lang w:bidi="fa-IR"/>
        </w:rPr>
        <w:t>فیکون واسطةً فی الخدمات بین المرء و زوجته،و هذا المقدار لا یوجب زیادةً فی أصل المالیّة،فهو کعنبٍ معیوب یُرغب فیه لجودة خمره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الراغب فیه لهذا الغرض حیث یکون کثیراً لا نادراً بحیث لا یقدح فی قیمته المتعارفة لولا هذا الغرض،صحّ أن یجعل الثمن المبذول من الراغبین مقداراً لمالیّة الخصیّ،فکأنّ هذا الغرض صار غرضاً مقصوداً متعارفاً،و صحّة الغرض و فساده شرعاً لا دخل لها فی المالیّة العرفیّة،کما لا یخفی</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بالجملة،فالعبرة فی مقدار المالیّة برغبة الناس فی بذل ذلک المقدار من المال بإزائه،سواءً کان من جهة أغراض أنفسهم أم من جهة بیعه علی من له غرضٌ فیه مع کثرة ذلک المشتری و عدم ندرته بحیث یلحق بالاتّفاقیات</w:t>
      </w:r>
      <w:r>
        <w:rPr>
          <w:rFonts w:eastAsia="IRNazanin" w:cs="IRNazanin"/>
          <w:color w:val="111111"/>
          <w:sz w:val="28"/>
          <w:szCs w:val="28"/>
          <w:rtl w:val="true"/>
          <w:lang w:bidi="fa-IR"/>
        </w:rPr>
        <w:t>.</w:t>
      </w:r>
      <w:bookmarkStart w:id="505" w:name="pg19864_220946"/>
    </w:p>
    <w:p>
      <w:pPr>
        <w:pStyle w:val="Heading6"/>
        <w:numPr>
          <w:ilvl w:val="5"/>
          <w:numId w:val="1"/>
        </w:numPr>
        <w:rPr/>
      </w:pPr>
      <w:bookmarkStart w:id="506" w:name="__RefHeading___Toc5148892_2314609296"/>
      <w:bookmarkStart w:id="507" w:name="_Toc191"/>
      <w:bookmarkEnd w:id="505"/>
      <w:bookmarkEnd w:id="506"/>
      <w:r>
        <w:rPr>
          <w:rtl w:val="true"/>
        </w:rPr>
        <w:t>مسألة یسقط الردّ و الأرش معاً بأُمور</w:t>
      </w:r>
      <w:r>
        <w:rPr>
          <w:rtl w:val="true"/>
        </w:rPr>
        <w:t>:</w:t>
      </w:r>
      <w:bookmarkEnd w:id="507"/>
    </w:p>
    <w:p>
      <w:pPr>
        <w:pStyle w:val="Heading6"/>
        <w:numPr>
          <w:ilvl w:val="5"/>
          <w:numId w:val="1"/>
        </w:numPr>
        <w:rPr/>
      </w:pPr>
      <w:bookmarkStart w:id="508" w:name="__RefHeading___Toc5148894_2314609296"/>
      <w:bookmarkStart w:id="509" w:name="_Toc192"/>
      <w:bookmarkEnd w:id="508"/>
      <w:r>
        <w:rPr>
          <w:rtl w:val="true"/>
        </w:rPr>
        <w:t>أحدها</w:t>
      </w:r>
      <w:r>
        <w:rPr>
          <w:rtl w:val="true"/>
        </w:rPr>
        <w:t xml:space="preserve">: </w:t>
      </w:r>
      <w:r>
        <w:rPr>
          <w:rtl w:val="true"/>
        </w:rPr>
        <w:t>العلم بالعیب قبل العقد بلا خلافٍ و لا إشکال؛</w:t>
      </w:r>
      <w:bookmarkEnd w:id="509"/>
    </w:p>
    <w:p>
      <w:pPr>
        <w:pStyle w:val="BookText"/>
        <w:rPr/>
      </w:pPr>
      <w:r>
        <w:rPr>
          <w:rFonts w:ascii="IRNazanin" w:hAnsi="IRNazanin" w:eastAsia="IRNazanin"/>
          <w:color w:val="111111"/>
          <w:sz w:val="28"/>
          <w:sz w:val="28"/>
          <w:szCs w:val="28"/>
          <w:rtl w:val="true"/>
          <w:lang w:bidi="fa-IR"/>
        </w:rPr>
        <w:t>لأنّ الخیار إنّما ثبت مع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یستدلّ بمفهوم صحیحة زرارة المتقدّمة </w:t>
      </w:r>
      <w:r>
        <w:rPr>
          <w:rStyle w:val="FootnoteAnchor"/>
          <w:rtl w:val="true"/>
        </w:rPr>
        <w:footnoteReference w:id="12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یکون العیب المعلوم سبباً لخیارٍ،فلو اشترط العالم ثبوت خیار العیب مریداً به الخیار الخاصّ الذی له أحکامٌ خاصّةٌ فسد الشرط و أفسد؛لکونه مخالفاً للشرع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أراد به مجرّد الخیار کان من خیار الشرط و لحقه أحکامه،لا أحکام خیار العیب</w:t>
      </w:r>
      <w:r>
        <w:rPr>
          <w:rFonts w:eastAsia="IRNazanin" w:cs="IRNazanin"/>
          <w:color w:val="111111"/>
          <w:sz w:val="28"/>
          <w:szCs w:val="28"/>
          <w:rtl w:val="true"/>
          <w:lang w:bidi="fa-IR"/>
        </w:rPr>
        <w:t>.</w:t>
      </w:r>
    </w:p>
    <w:p>
      <w:pPr>
        <w:pStyle w:val="Heading6"/>
        <w:numPr>
          <w:ilvl w:val="5"/>
          <w:numId w:val="1"/>
        </w:numPr>
        <w:rPr/>
      </w:pPr>
      <w:bookmarkStart w:id="510" w:name="__RefHeading___Toc5148896_2314609296"/>
      <w:bookmarkStart w:id="511" w:name="_Toc193"/>
      <w:bookmarkEnd w:id="510"/>
      <w:r>
        <w:rPr>
          <w:rtl w:val="true"/>
        </w:rPr>
        <w:t>الثانی</w:t>
      </w:r>
      <w:r>
        <w:rPr>
          <w:rtl w:val="true"/>
        </w:rPr>
        <w:t xml:space="preserve">: </w:t>
      </w:r>
      <w:r>
        <w:rPr>
          <w:rtl w:val="true"/>
        </w:rPr>
        <w:t>تبرّی البائع عن العیوب إجماعاً فی الجملة</w:t>
      </w:r>
      <w:bookmarkEnd w:id="511"/>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الظاهر المصرّح به فی محکی الخلاف </w:t>
      </w:r>
      <w:r>
        <w:rPr>
          <w:rStyle w:val="FootnoteAnchor"/>
          <w:rtl w:val="true"/>
        </w:rPr>
        <w:footnoteReference w:id="1204"/>
      </w:r>
      <w:r>
        <w:rPr>
          <w:rFonts w:ascii="IRNazanin" w:hAnsi="IRNazanin" w:eastAsia="IRNazanin"/>
          <w:color w:val="111111"/>
          <w:sz w:val="28"/>
          <w:sz w:val="28"/>
          <w:szCs w:val="28"/>
          <w:rtl w:val="true"/>
          <w:lang w:bidi="fa-IR"/>
        </w:rPr>
        <w:t xml:space="preserve">و الغنیة </w:t>
      </w:r>
      <w:r>
        <w:rPr>
          <w:rStyle w:val="FootnoteAnchor"/>
          <w:rtl w:val="true"/>
        </w:rPr>
        <w:footnoteReference w:id="1205"/>
      </w:r>
      <w:r>
        <w:rPr>
          <w:rFonts w:ascii="IRNazanin" w:hAnsi="IRNazanin" w:eastAsia="IRNazanin"/>
          <w:color w:val="111111"/>
          <w:sz w:val="28"/>
          <w:sz w:val="28"/>
          <w:szCs w:val="28"/>
          <w:rtl w:val="true"/>
          <w:lang w:bidi="fa-IR"/>
        </w:rPr>
        <w:t xml:space="preserve">،و نسبه فی التذکرة إلی علمائنا أجمع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الأصل فی الحکم قبل الإجماع،مضافاً إلی ما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الخیار إنّما یثبت لاقتضاء مطلق العقد السلامة،فإذا صرّح البائع بالبراءة فقد ارتفع الإطلاق صحیحة زرارة المتقدّمة </w:t>
      </w:r>
      <w:r>
        <w:rPr>
          <w:rStyle w:val="FootnoteAnchor"/>
          <w:rtl w:val="true"/>
        </w:rPr>
        <w:footnoteReference w:id="1207"/>
      </w:r>
      <w:r>
        <w:rPr>
          <w:rFonts w:ascii="IRNazanin" w:hAnsi="IRNazanin" w:eastAsia="IRNazanin"/>
          <w:color w:val="111111"/>
          <w:sz w:val="28"/>
          <w:sz w:val="28"/>
          <w:szCs w:val="28"/>
          <w:rtl w:val="true"/>
          <w:lang w:bidi="fa-IR"/>
        </w:rPr>
        <w:t xml:space="preserve">و مکاتبة جعفر ابن عیسی الآتیة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مقتضی إطلاقهما کمعقد الإجماع المحکی عدم الفرق بین التبرّی تفصیلاً و إجمالاً،و لا بین العیوب الظاهرة و الباطنة؛لاشتراک الکلّ فی عدم المقتضی للخیار مع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خلافاً للمحکیّ فی السرائر عن بعض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عدم کفایة التبرّی إجمالاً </w:t>
      </w:r>
      <w:r>
        <w:rPr>
          <w:rStyle w:val="FootnoteAnchor"/>
          <w:rtl w:val="true"/>
        </w:rPr>
        <w:footnoteReference w:id="1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المختلف نسبته إلی الإسکافی </w:t>
      </w:r>
      <w:r>
        <w:rPr>
          <w:rStyle w:val="FootnoteAnchor"/>
          <w:rtl w:val="true"/>
        </w:rPr>
        <w:footnoteReference w:id="1210"/>
      </w:r>
      <w:r>
        <w:rPr>
          <w:rFonts w:ascii="IRNazanin" w:hAnsi="IRNazanin" w:eastAsia="IRNazanin"/>
          <w:color w:val="111111"/>
          <w:sz w:val="28"/>
          <w:sz w:val="28"/>
          <w:szCs w:val="28"/>
          <w:rtl w:val="true"/>
          <w:lang w:bidi="fa-IR"/>
        </w:rPr>
        <w:t xml:space="preserve">،بل </w:t>
      </w:r>
      <w:r>
        <w:rPr>
          <w:rStyle w:val="FootnoteAnchor"/>
          <w:rtl w:val="true"/>
        </w:rPr>
        <w:footnoteReference w:id="1211"/>
      </w:r>
      <w:r>
        <w:rPr>
          <w:rFonts w:ascii="IRNazanin" w:hAnsi="IRNazanin" w:eastAsia="IRNazanin"/>
          <w:color w:val="111111"/>
          <w:sz w:val="28"/>
          <w:sz w:val="28"/>
          <w:szCs w:val="28"/>
          <w:rtl w:val="true"/>
          <w:lang w:bidi="fa-IR"/>
        </w:rPr>
        <w:t xml:space="preserve">إلی صریح آخر کلام القاضی المحکیّ فی المختلف </w:t>
      </w:r>
      <w:r>
        <w:rPr>
          <w:rStyle w:val="FootnoteAnchor"/>
          <w:rtl w:val="true"/>
        </w:rPr>
        <w:footnoteReference w:id="1212"/>
      </w:r>
      <w:r>
        <w:rPr>
          <w:rFonts w:ascii="IRNazanin" w:hAnsi="IRNazanin" w:eastAsia="IRNazanin"/>
          <w:color w:val="111111"/>
          <w:sz w:val="28"/>
          <w:sz w:val="28"/>
          <w:szCs w:val="28"/>
          <w:rtl w:val="true"/>
          <w:lang w:bidi="fa-IR"/>
        </w:rPr>
        <w:t xml:space="preserve">،مع أنّ المحکی عن کامل القاضی موافقة المشهور </w:t>
      </w:r>
      <w:r>
        <w:rPr>
          <w:rStyle w:val="FootnoteAnchor"/>
          <w:rtl w:val="true"/>
        </w:rPr>
        <w:footnoteReference w:id="1213"/>
      </w:r>
      <w:r>
        <w:rPr>
          <w:rFonts w:ascii="IRNazanin" w:hAnsi="IRNazanin" w:eastAsia="IRNazanin"/>
          <w:color w:val="111111"/>
          <w:sz w:val="28"/>
          <w:sz w:val="28"/>
          <w:szCs w:val="28"/>
          <w:rtl w:val="true"/>
          <w:lang w:bidi="fa-IR"/>
        </w:rPr>
        <w:t xml:space="preserve">،و فی الدروس نسب المشهور إلی أشهر القولین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ظاهر الأدلّة هو التبرّی من العیوب الموجودة حال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التبرّی من العیوب المتجدّدة الموجبة للخیار،فیدلّ علی صحّته و سقوط الخیار به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التذکرة بعد الاستدلال بعموم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التبرّی ممّا لم یوجد یستدعی البراءة ممّا لم یجب؛لأنّا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التبرّی إنّما هو من الخیار الثابت بمقتضی العقد،لا من العیب </w:t>
      </w:r>
      <w:r>
        <w:rPr>
          <w:rStyle w:val="FootnoteAnchor"/>
          <w:rtl w:val="true"/>
        </w:rPr>
        <w:footnoteReference w:id="121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المفروض أنّ الخیار لا یحدث إلّا بسبب حدوث العیب، و العقد لیس سبباً لهذا الخیار،فإسناد البراءة إلی الخیار لا ینفع،و قد اعترف قدّس سرّه فی بعض کلماته بعدم جواز إسقاط خیار الرؤیة بعد العقد و قبل الرؤیة </w:t>
      </w:r>
      <w:r>
        <w:rPr>
          <w:rStyle w:val="FootnoteAnchor"/>
          <w:rtl w:val="true"/>
        </w:rPr>
        <w:footnoteReference w:id="12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نعم،ذکر فی التذکرة جواز اشتراط نفی خیار الرؤیة فی العقد </w:t>
      </w:r>
      <w:r>
        <w:rPr>
          <w:rStyle w:val="FootnoteAnchor"/>
          <w:rtl w:val="true"/>
        </w:rPr>
        <w:footnoteReference w:id="1218"/>
      </w:r>
      <w:r>
        <w:rPr>
          <w:rFonts w:ascii="IRNazanin" w:hAnsi="IRNazanin" w:eastAsia="IRNazanin"/>
          <w:color w:val="111111"/>
          <w:sz w:val="28"/>
          <w:sz w:val="28"/>
          <w:szCs w:val="28"/>
          <w:rtl w:val="true"/>
          <w:lang w:bidi="fa-IR"/>
        </w:rPr>
        <w:t xml:space="preserve">،لکنّه مخالفٌ لسائر کلماته و کلمات غیره کالشهید </w:t>
      </w:r>
      <w:r>
        <w:rPr>
          <w:rStyle w:val="FootnoteAnchor"/>
          <w:rtl w:val="true"/>
        </w:rPr>
        <w:footnoteReference w:id="1219"/>
      </w:r>
      <w:r>
        <w:rPr>
          <w:rFonts w:ascii="IRNazanin" w:hAnsi="IRNazanin" w:eastAsia="IRNazanin"/>
          <w:color w:val="111111"/>
          <w:sz w:val="28"/>
          <w:sz w:val="28"/>
          <w:szCs w:val="28"/>
          <w:rtl w:val="true"/>
          <w:lang w:bidi="fa-IR"/>
        </w:rPr>
        <w:t xml:space="preserve">و المحقّق الثانی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بالجملة،فلا فرق بین البراءة من خیار العیوب و البراءة من خیار الرؤیة،بل الغرر فی الأوّل أعظم،إلّا أنّه لمّا قام النصّ و الإجماع علی صحّة التبرّی من العیوب الموجودة فلا مناص عن التزام صحّته</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إمکان الفرق بین العیوب و الصفات المشترطة فی العین الغائبة باندفاع الغرر فی الأوّل بالاعتماد علی أصالة السلامة فلا یقدح عدم التزام البائع</w:t>
      </w:r>
    </w:p>
    <w:p>
      <w:pPr>
        <w:pStyle w:val="BookText"/>
        <w:rPr/>
      </w:pPr>
      <w:r>
        <w:rPr>
          <w:rFonts w:ascii="IRNazanin" w:hAnsi="IRNazanin" w:eastAsia="IRNazanin"/>
          <w:color w:val="111111"/>
          <w:sz w:val="28"/>
          <w:sz w:val="28"/>
          <w:szCs w:val="28"/>
          <w:rtl w:val="true"/>
          <w:lang w:bidi="fa-IR"/>
        </w:rPr>
        <w:t>بعدمها،بخلاف الثانی فإنّ الغرر لا یندفع فیه إلّا بالتزام البائع بوجودها فإذا لم یلتزم بها لزم الغرر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البراءة </w:t>
      </w:r>
      <w:r>
        <w:rPr>
          <w:rStyle w:val="FootnoteAnchor"/>
          <w:rtl w:val="true"/>
        </w:rPr>
        <w:footnoteReference w:id="1221"/>
      </w:r>
      <w:r>
        <w:rPr>
          <w:rFonts w:ascii="IRNazanin" w:hAnsi="IRNazanin" w:eastAsia="IRNazanin"/>
          <w:color w:val="111111"/>
          <w:sz w:val="28"/>
          <w:sz w:val="28"/>
          <w:szCs w:val="28"/>
          <w:rtl w:val="true"/>
          <w:lang w:bidi="fa-IR"/>
        </w:rPr>
        <w:t>عن العیوب المتجدّدة فلا یلزم من اشتراطها غررٌ فی البیع حتّی یحتاج إلی دفع الغرر بأصالة عدمها؛لأنّها غیر موجودةٍ بالفعل فی المبیع حتّی یوجب جهالةً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البراءة فی هذا المقام یحتمل إضافتها إلی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عهدة العیوب،و معناه </w:t>
      </w:r>
      <w:r>
        <w:rPr>
          <w:rStyle w:val="FootnoteAnchor"/>
          <w:rtl w:val="true"/>
        </w:rPr>
        <w:footnoteReference w:id="1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w:t>
      </w:r>
      <w:r>
        <w:rPr>
          <w:rStyle w:val="FootnoteAnchor"/>
          <w:rtl w:val="true"/>
        </w:rPr>
        <w:footnoteReference w:id="1223"/>
      </w:r>
      <w:r>
        <w:rPr>
          <w:rFonts w:ascii="IRNazanin" w:hAnsi="IRNazanin" w:eastAsia="IRNazanin"/>
          <w:color w:val="111111"/>
          <w:sz w:val="28"/>
          <w:sz w:val="28"/>
          <w:szCs w:val="28"/>
          <w:rtl w:val="true"/>
          <w:lang w:bidi="fa-IR"/>
        </w:rPr>
        <w:t>تعهّد سلامته من العیوب، فیکون مرجعه إلی عدم التزام سلامته،فلا یترتّب علی ظهور العیب ردٌّ و لا أرشٌ،فکأنه باعه علی کلّ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العیب،و هذا أنسب بمعنی البراءة،و مقتضاه عدم ضمانه بمالٍ،فتصیر الصحّة کسائر الأوصاف المشترطة فی عقد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توجب إلّا تخییراً بین الردّ و الإمضاء مجّاناً،و مرجع ذلک إلی إسقاط أرش العیوب فی عقد البیع،لا خیارها</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العیب،و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البراءة من الخیار الثابت بمقتضی العقد بسبب العیب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الأظهر فی العرف هو المعنی الأوّل،و الأنسب بمعنی البراءة هو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تقدّم عن التذکرة المعنی الثالث </w:t>
      </w:r>
      <w:r>
        <w:rPr>
          <w:rStyle w:val="FootnoteAnchor"/>
          <w:rtl w:val="true"/>
        </w:rPr>
        <w:footnoteReference w:id="1224"/>
      </w:r>
      <w:r>
        <w:rPr>
          <w:rFonts w:ascii="IRNazanin" w:hAnsi="IRNazanin" w:eastAsia="IRNazanin"/>
          <w:color w:val="111111"/>
          <w:sz w:val="28"/>
          <w:sz w:val="28"/>
          <w:szCs w:val="28"/>
          <w:rtl w:val="true"/>
          <w:lang w:bidi="fa-IR"/>
        </w:rPr>
        <w:t>،و هو بعیدٌ عن اللفظ،إلّا أن یرجع إلی المعنی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تبرّی البائع عن العیوب مطلقاً أو عن عیبٍ خاصٍّ إنّما یسقط تأثیره من حیث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سائر أحکامه فلا،فلو تلف بهذا العیب فی أیّام خیار المشتری لم یزل ضمان البائع لعموم النصّ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فی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تبرّأ من عیبٍ فتلف به فی زمن خیار المشتری فالأقرب عدم ضمان البائع،و کذا لو علم المشتری به قبل العقد أو رضی به بعده و تلف فی زمان خیار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الضمان؛لبقاء علاقة الخیار المقتضی لضمان العین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أقوی إشکالاً ما لو تلف به و بعیبٍ آخر تجدَّدَ فی الخیار </w:t>
      </w:r>
      <w:r>
        <w:rPr>
          <w:rStyle w:val="FootnoteAnchor"/>
          <w:rtl w:val="true"/>
        </w:rPr>
        <w:footnoteReference w:id="1226"/>
      </w:r>
      <w:r>
        <w:rPr>
          <w:rFonts w:ascii="IRNazanin" w:hAnsi="IRNazanin" w:eastAsia="IRNazanin"/>
          <w:color w:val="111111"/>
          <w:sz w:val="28"/>
          <w:sz w:val="28"/>
          <w:szCs w:val="28"/>
          <w:rtl w:val="true"/>
          <w:lang w:bidi="fa-IR"/>
        </w:rPr>
        <w:t>،انتهی کلامه رفع مقامه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هنا أُموراً یظهر من بعض الأصحاب سقوط الردّ و الأرش بها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زوال العیب قبل العلم به،کما صرّح به فی غیر موضعٍ من التذکرة </w:t>
      </w:r>
      <w:r>
        <w:rPr>
          <w:rStyle w:val="FootnoteAnchor"/>
          <w:rtl w:val="true"/>
        </w:rPr>
        <w:footnoteReference w:id="1227"/>
      </w:r>
      <w:r>
        <w:rPr>
          <w:rFonts w:ascii="IRNazanin" w:hAnsi="IRNazanin" w:eastAsia="IRNazanin"/>
          <w:color w:val="111111"/>
          <w:sz w:val="28"/>
          <w:sz w:val="28"/>
          <w:szCs w:val="28"/>
          <w:rtl w:val="true"/>
          <w:lang w:bidi="fa-IR"/>
        </w:rPr>
        <w:t xml:space="preserve">،و مال إلیه فی جامع المقاصد </w:t>
      </w:r>
      <w:r>
        <w:rPr>
          <w:rStyle w:val="FootnoteAnchor"/>
          <w:rtl w:val="true"/>
        </w:rPr>
        <w:footnoteReference w:id="1228"/>
      </w:r>
      <w:r>
        <w:rPr>
          <w:rFonts w:ascii="IRNazanin" w:hAnsi="IRNazanin" w:eastAsia="IRNazanin"/>
          <w:color w:val="111111"/>
          <w:sz w:val="28"/>
          <w:sz w:val="28"/>
          <w:szCs w:val="28"/>
          <w:rtl w:val="true"/>
          <w:lang w:bidi="fa-IR"/>
        </w:rPr>
        <w:t xml:space="preserve">،و اختاره فی المسالک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 کذا لو زال بعد العلم به قبل الردّ،و هو ظاهر التذکرة حیث قال فی أواخر فصل العیوب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المبیع معیباً عند البائع ثمّ أقبضه و قد زال عیبه فلا ردَّ،لعدم موجبه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سبق العیب لا یوجب خیاراً کما لو سبق علی العقد ثمّ زال قبله،بل مهما زال العیب قبل العلم أو بعده قبل الردّ سقط حقّ الردّ </w:t>
      </w:r>
      <w:r>
        <w:rPr>
          <w:rStyle w:val="FootnoteAnchor"/>
          <w:rtl w:val="true"/>
        </w:rPr>
        <w:footnoteReference w:id="123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صریحٌ فی سقوط الردّ و ظاهرٌ فی سقوط الأرش کما لا یخفی علی المتأمّل،خصوصاً مع تفریعه فی موضعٍ آخر قبل ذلک عدم الردّ و الأرش معاً علی زوال العیب،حیث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اشتری عبداً و حدث فی ید المشتری نکتةُ بیاضٍ فی عینه و وجد نکتةٌ قدیمةٌ ثمّ زالت إحداهما، فقال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الزائلة هی القدیمة فلا ردَّ و لا أرش،و قال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الحادثة و لی الردّ،قال الشافعی یتحالفان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آخر ما حکاه عن الشافعی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کیف کان،ففی سقوط الردّ بزوال العیب وجهٌ؛لأنّ ظاهر أدلّة 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بملاحظة أنّ الصبر علی العیب ضررٌ هو ردّ المعیوب و هو المتلبّس بالعیب،لا ما کان معیوباً فی زمانٍ،فلا یتوهّم هنا استصحاب الخیار</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الأرش،فلمّا ثبت استحقاق المطالبة به لفوات وصف الصّحة عند العقد فقد استقرّ بالعقد،خصوصاً بعد العلم بالعیب،و الصحّة إنّما حدثت فی ملک المشتری،فبراءة ذمّة البائع عن عهدة العیب المضمون علیه یحتاج إلی دلیلٍ،فالقول بثبوت الأرش و سقوط الردّ قویٌّ لو لم یکن تفصیلاً</w:t>
      </w:r>
      <w:bookmarkStart w:id="512" w:name="pg19864_220952"/>
    </w:p>
    <w:p>
      <w:pPr>
        <w:pStyle w:val="BookText"/>
        <w:rPr/>
      </w:pPr>
      <w:bookmarkEnd w:id="512"/>
      <w:r>
        <w:rPr>
          <w:rFonts w:ascii="Amiri" w:hAnsi="Amiri" w:eastAsia="Amiri" w:cs="Amiri"/>
          <w:color w:val="111111"/>
          <w:sz w:val="28"/>
          <w:sz w:val="28"/>
          <w:szCs w:val="28"/>
          <w:rtl w:val="true"/>
          <w:lang w:bidi="ar-SA"/>
        </w:rPr>
        <w:t>مخالفاً للإجماع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أجد من تعرّض لهذا الفرع قبل العلّامة أو بعده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13" w:name="__RefHeading___Toc5148898_2314609296"/>
      <w:bookmarkStart w:id="514" w:name="_Toc194"/>
      <w:bookmarkEnd w:id="513"/>
      <w:r>
        <w:rPr>
          <w:rtl w:val="true"/>
        </w:rPr>
        <w:t>و منها</w:t>
      </w:r>
      <w:r>
        <w:rPr>
          <w:rtl w:val="true"/>
        </w:rPr>
        <w:t xml:space="preserve">: </w:t>
      </w:r>
      <w:r>
        <w:rPr>
          <w:rtl w:val="true"/>
        </w:rPr>
        <w:t>التصرّف بعد العلم بالعیب،</w:t>
      </w:r>
      <w:bookmarkEnd w:id="514"/>
    </w:p>
    <w:p>
      <w:pPr>
        <w:pStyle w:val="BookText"/>
        <w:rPr/>
      </w:pPr>
      <w:r>
        <w:rPr>
          <w:rFonts w:ascii="IRNazanin" w:hAnsi="IRNazanin" w:eastAsia="IRNazanin"/>
          <w:color w:val="111111"/>
          <w:sz w:val="28"/>
          <w:sz w:val="28"/>
          <w:szCs w:val="28"/>
          <w:rtl w:val="true"/>
          <w:lang w:bidi="fa-IR"/>
        </w:rPr>
        <w:t xml:space="preserve">فإنّه مسقطٌ للأمرین عند ابن حمزة فی الوسیلة </w:t>
      </w:r>
      <w:r>
        <w:rPr>
          <w:rStyle w:val="FootnoteAnchor"/>
          <w:rtl w:val="true"/>
        </w:rPr>
        <w:footnoteReference w:id="12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لکونه علامة الرضا بالمبیع بوصف العیب، و النصّ المثبت للأرش بعد التصرّف ظاهرٌ فیما قبل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 بأنّه دلیل الرضا بالمبیع لا بالعیب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الرضا بالعیب لا یوجب إسقاط الأرش، و إنّما المسقط له إبراء البائع عن عهدة العیب،و حیث لم یدلّ التصرّف علیه فالأصل بقاء حقّ الأرش الثابت قبل التصرّف،مع أنّ اختصاص النصّ بصورة التصرّف قبل العلم ممنوعٌ،فلیراجع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التصرّف فی المعیب الذی لم ینقص قیمته بالعیب،کالبغل الخصیّ بل العبد الخصیّ علی ما عرفت </w:t>
      </w:r>
      <w:r>
        <w:rPr>
          <w:rStyle w:val="FootnoteAnchor"/>
          <w:rtl w:val="true"/>
        </w:rPr>
        <w:footnoteReference w:id="1234"/>
      </w:r>
      <w:r>
        <w:rPr>
          <w:rFonts w:ascii="IRNazanin" w:hAnsi="IRNazanin" w:eastAsia="IRNazanin"/>
          <w:color w:val="111111"/>
          <w:sz w:val="28"/>
          <w:sz w:val="28"/>
          <w:szCs w:val="28"/>
          <w:rtl w:val="true"/>
          <w:lang w:bidi="fa-IR"/>
        </w:rPr>
        <w:t>،فإنّ الأرش منتفٍ لعدم تفاوت القیمة،و الردّ لأجل التصرّف</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یستشکل فیه من حیث لزوم الضرر علی المشتری بصبره علی المعیب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bookmarkStart w:id="515" w:name="pg19864_220953"/>
    </w:p>
    <w:p>
      <w:pPr>
        <w:pStyle w:val="BookText"/>
        <w:rPr/>
      </w:pPr>
      <w:bookmarkEnd w:id="515"/>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العیب فی مثله لا یُعدّ ضرراً مالیّاً بالفرض،فلا بأس بأن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یکون </w:t>
      </w:r>
      <w:r>
        <w:rPr>
          <w:rStyle w:val="FootnoteAnchor"/>
          <w:rtl w:val="true"/>
        </w:rPr>
        <w:footnoteReference w:id="12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الخیار فیه کالثابت بالتدلیس فی سقوطه بالتصرّف مع عدم أرشٍ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الضرر إمّا أن یکون من حیث القصد إلی ما هو أزید مالیّةً من الموجود،و إمّا أن یکون من حیث القصد إلی خصوصیّةٍ مفقودةٍ فی العین مع قطع النظر عن قیمته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مفروض الانتفاء، و الثانی قد رضی به و أقدم علیه المشتری بتصرّفه فیه،بناءً علی أنّ التصرّف دلیل الرضا بالعین الخارجیة،کما لو رضی بالعبد المشروط کتابته مع تبیّن عدمها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المقدار الثابت من سقوط الردّ بالتصرّف هو مورد ثبوت الأرش،و إلّا فمقتضی القاعدة عدم سقوط الردّ بالتصرّف کما فی غیر العیب و التدلیس من أسباب الخیار،خصوصاً بعد تنزیل الصحّة فیما نحن فیه منزلة الأوصاف المشترطة الّتی لا یوجب فواتها أرشاً،فإنّ خیار التخلّف فیها لا یسقط بالتصرّف کما صُرّح به </w:t>
      </w:r>
      <w:r>
        <w:rPr>
          <w:rStyle w:val="FootnoteAnchor"/>
          <w:rtl w:val="true"/>
        </w:rPr>
        <w:footnoteReference w:id="1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اقتصر فی التصرّف المسقط علی ما یدلّ علی الرضا کان مقتضی عموم ما تقدّم سقوط الردّ بالتصرّف مطلقاً</w:t>
      </w:r>
      <w:r>
        <w:rPr>
          <w:rFonts w:eastAsia="IRNazanin" w:cs="IRNazanin"/>
          <w:color w:val="111111"/>
          <w:sz w:val="28"/>
          <w:szCs w:val="28"/>
          <w:rtl w:val="true"/>
          <w:lang w:bidi="fa-IR"/>
        </w:rPr>
        <w:t>.</w:t>
      </w:r>
    </w:p>
    <w:p>
      <w:pPr>
        <w:pStyle w:val="Heading6"/>
        <w:numPr>
          <w:ilvl w:val="5"/>
          <w:numId w:val="1"/>
        </w:numPr>
        <w:rPr/>
      </w:pPr>
      <w:bookmarkStart w:id="516" w:name="__RefHeading___Toc5148900_2314609296"/>
      <w:bookmarkStart w:id="517" w:name="_Toc195"/>
      <w:bookmarkEnd w:id="516"/>
      <w:r>
        <w:rPr>
          <w:rtl w:val="true"/>
        </w:rPr>
        <w:t>و منها</w:t>
      </w:r>
      <w:r>
        <w:rPr>
          <w:rtl w:val="true"/>
        </w:rPr>
        <w:t xml:space="preserve">: </w:t>
      </w:r>
      <w:r>
        <w:rPr>
          <w:rtl w:val="true"/>
        </w:rPr>
        <w:t>حدوث العیب فی المعیب المذکور،</w:t>
      </w:r>
      <w:bookmarkEnd w:id="517"/>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الاستشکال هنا بلزوم الضرر فی محلّه،فیحتمل ثبوت الردّ مع قیمة النقص الحادث لو کان</w:t>
      </w:r>
      <w:bookmarkStart w:id="518" w:name="pg19864_220954"/>
    </w:p>
    <w:p>
      <w:pPr>
        <w:pStyle w:val="BookText"/>
        <w:rPr/>
      </w:pPr>
      <w:bookmarkEnd w:id="518"/>
      <w:r>
        <w:rPr>
          <w:rFonts w:ascii="IRNazanin" w:hAnsi="IRNazanin" w:eastAsia="IRNazanin"/>
          <w:color w:val="111111"/>
          <w:sz w:val="28"/>
          <w:sz w:val="28"/>
          <w:szCs w:val="28"/>
          <w:rtl w:val="true"/>
          <w:lang w:bidi="fa-IR"/>
        </w:rPr>
        <w:t xml:space="preserve">موجباً له؛لأنّ الصحّة فی هذا المبیع کسائر الأوصاف المشترطة فی البیع </w:t>
      </w:r>
      <w:r>
        <w:rPr>
          <w:rStyle w:val="FootnoteAnchor"/>
          <w:rtl w:val="true"/>
        </w:rPr>
        <w:footnoteReference w:id="1238"/>
      </w:r>
      <w:r>
        <w:rPr>
          <w:rFonts w:ascii="IRNazanin" w:hAnsi="IRNazanin" w:eastAsia="IRNazanin"/>
          <w:color w:val="111111"/>
          <w:sz w:val="28"/>
          <w:sz w:val="28"/>
          <w:szCs w:val="28"/>
          <w:rtl w:val="true"/>
          <w:lang w:bidi="fa-IR"/>
        </w:rPr>
        <w:t xml:space="preserve">التی لا یوجب فواتها أرشاً،و النصّ الدالّ علی اشتراط الردّ بقیام العین و هی المرسلة المتقدّمة </w:t>
      </w:r>
      <w:r>
        <w:rPr>
          <w:rStyle w:val="FootnoteAnchor"/>
          <w:rtl w:val="true"/>
        </w:rPr>
        <w:footnoteReference w:id="1239"/>
      </w:r>
      <w:r>
        <w:rPr>
          <w:rFonts w:ascii="IRNazanin" w:hAnsi="IRNazanin" w:eastAsia="IRNazanin"/>
          <w:color w:val="111111"/>
          <w:sz w:val="28"/>
          <w:sz w:val="28"/>
          <w:szCs w:val="28"/>
          <w:rtl w:val="true"/>
          <w:lang w:bidi="fa-IR"/>
        </w:rPr>
        <w:t xml:space="preserve">مختصٌّ بمورد إمکان تدارک ضرر الصبر علی المعیب بالأرش،و الإجماع فیما نحن فیه غیر متحقّق،مع ما عرفت من مخالفة المفید فی أصل المسألة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کلّه،مضافاً إلی أصالة جواز الردّ الثابت قبل حدوث العیب؛ و بها یدفع </w:t>
      </w:r>
      <w:r>
        <w:rPr>
          <w:rStyle w:val="FootnoteAnchor"/>
          <w:rtl w:val="true"/>
        </w:rPr>
        <w:footnoteReference w:id="12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معارضة الضرر المذکور بتضرّر البائع بالفسخ و نقل المعیب إلی ملکه بعد خروجه عن ملکه سلیماً عن هذا العیب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کان،فلو ثبت الإجماع أو استفیض نقله </w:t>
      </w:r>
      <w:r>
        <w:rPr>
          <w:rStyle w:val="FootnoteAnchor"/>
          <w:rtl w:val="true"/>
        </w:rPr>
        <w:footnoteReference w:id="1242"/>
      </w:r>
      <w:r>
        <w:rPr>
          <w:rFonts w:ascii="IRNazanin" w:hAnsi="IRNazanin" w:eastAsia="IRNazanin"/>
          <w:color w:val="111111"/>
          <w:sz w:val="28"/>
          <w:sz w:val="28"/>
          <w:szCs w:val="28"/>
          <w:rtl w:val="true"/>
          <w:lang w:bidi="fa-IR"/>
        </w:rPr>
        <w:t>علی سقوط الردّ بحدوث العیب و التغییر علی وجهٍ یشمل المقام،و إلّا فسقوط الردّ هنا محلّ نظرٍ بل منع</w:t>
      </w:r>
      <w:r>
        <w:rPr>
          <w:rFonts w:eastAsia="IRNazanin" w:cs="IRNazanin"/>
          <w:color w:val="111111"/>
          <w:sz w:val="28"/>
          <w:szCs w:val="28"/>
          <w:rtl w:val="true"/>
          <w:lang w:bidi="fa-IR"/>
        </w:rPr>
        <w:t>.</w:t>
      </w:r>
    </w:p>
    <w:p>
      <w:pPr>
        <w:pStyle w:val="Heading6"/>
        <w:numPr>
          <w:ilvl w:val="5"/>
          <w:numId w:val="1"/>
        </w:numPr>
        <w:rPr/>
      </w:pPr>
      <w:bookmarkStart w:id="519" w:name="__RefHeading___Toc5148902_2314609296"/>
      <w:bookmarkStart w:id="520" w:name="_Toc196"/>
      <w:bookmarkEnd w:id="519"/>
      <w:r>
        <w:rPr>
          <w:rtl w:val="true"/>
        </w:rPr>
        <w:t>و منها</w:t>
      </w:r>
      <w:r>
        <w:rPr>
          <w:rtl w:val="true"/>
        </w:rPr>
        <w:t xml:space="preserve">: </w:t>
      </w:r>
      <w:r>
        <w:rPr>
          <w:rtl w:val="true"/>
        </w:rPr>
        <w:t>ثبوت أحد مانعی الردّ</w:t>
      </w:r>
      <w:bookmarkEnd w:id="520"/>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أحد مانعی الردّ </w:t>
      </w:r>
      <w:r>
        <w:rPr>
          <w:rStyle w:val="FootnoteAnchor"/>
          <w:rtl w:val="true"/>
        </w:rPr>
        <w:footnoteReference w:id="1243"/>
      </w:r>
      <w:r>
        <w:rPr>
          <w:rFonts w:ascii="IRNazanin" w:hAnsi="IRNazanin" w:eastAsia="IRNazanin"/>
          <w:color w:val="111111"/>
          <w:sz w:val="28"/>
          <w:sz w:val="28"/>
          <w:szCs w:val="28"/>
          <w:rtl w:val="true"/>
          <w:lang w:bidi="fa-IR"/>
        </w:rPr>
        <w:t>فی المعیب</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لا یجوز أخذ</w:t>
      </w:r>
    </w:p>
    <w:p>
      <w:pPr>
        <w:pStyle w:val="BookText"/>
        <w:rPr/>
      </w:pPr>
      <w:r>
        <w:rPr>
          <w:rFonts w:ascii="IRNazanin" w:hAnsi="IRNazanin" w:eastAsia="IRNazanin"/>
          <w:color w:val="111111"/>
          <w:sz w:val="28"/>
          <w:sz w:val="28"/>
          <w:szCs w:val="28"/>
          <w:rtl w:val="true"/>
          <w:lang w:bidi="fa-IR"/>
        </w:rPr>
        <w:t>الأرش فیه لأجل الربا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المانع الأوّل،فالظاهر أنّ حکمه کما تقدّم فی المعیب الذی لا ینقص مالیّته </w:t>
      </w:r>
      <w:r>
        <w:rPr>
          <w:rStyle w:val="FootnoteAnchor"/>
          <w:rtl w:val="true"/>
        </w:rPr>
        <w:footnoteReference w:id="1244"/>
      </w:r>
      <w:r>
        <w:rPr>
          <w:rFonts w:ascii="IRNazanin" w:hAnsi="IRNazanin" w:eastAsia="IRNazanin"/>
          <w:color w:val="111111"/>
          <w:sz w:val="28"/>
          <w:sz w:val="28"/>
          <w:szCs w:val="28"/>
          <w:rtl w:val="true"/>
          <w:lang w:bidi="fa-IR"/>
        </w:rPr>
        <w:t xml:space="preserve">فإنّ المشتری لمّا أقدم علی معاوضة أحد الربویّین بالآخر أقدم علی عدم مطالبة مالٍ زائدٍ علی ما یأخذه بدلاً عن ماله و إن کان المأخوذ معیباً،فیبقی وصف الصحّة کسائر الأوصاف التی لا یوجب اشتراطها إلّا جواز الردّ بلا أرشٍ،فإذا تصرّف فیه خصوصاً بعد العلم تصرّفاً دالاّ علی الرضا بفاقد الوصف المشترط لزم علیه </w:t>
      </w:r>
      <w:r>
        <w:rPr>
          <w:rStyle w:val="FootnoteAnchor"/>
          <w:rtl w:val="true"/>
        </w:rPr>
        <w:footnoteReference w:id="1245"/>
      </w:r>
      <w:r>
        <w:rPr>
          <w:rFonts w:ascii="IRNazanin" w:hAnsi="IRNazanin" w:eastAsia="IRNazanin"/>
          <w:color w:val="111111"/>
          <w:sz w:val="28"/>
          <w:sz w:val="28"/>
          <w:szCs w:val="28"/>
          <w:rtl w:val="true"/>
          <w:lang w:bidi="fa-IR"/>
        </w:rPr>
        <w:t xml:space="preserve">، کما فی خیار التدلیس بعد التصرّف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المانع الثانی،فظاهر جماعةٍ کونه مانعاً فیما نحن فیه من الردّ أیضاً،و هو مبنیٌّ علی عموم منع العیب الحادث من الردّ حتّی فی صورة عدم جواز أخذ الأرش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عرفت النظر فیه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 فی التذکرة وجهاً آخر لامتناع الردّ،و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ردَّ،فإمّا أن یکون مع أرش العیب الحادث،و إمّا أن یردّ بدونه،فإن ردَّه بدونه کان ضرراً علی البائع،و إن ردَّ مع الأرش لزم الربا،قال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المردود حینئذٍ یزید علی وزن عوضه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مراده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ردّ المعیب لمّا کان بفسخ المعاوضة،و مقتضی المعاوضة بین الصحیح و المعیب من جنسٍ واحدٍ أن</w:t>
      </w:r>
    </w:p>
    <w:p>
      <w:pPr>
        <w:pStyle w:val="BookText"/>
        <w:rPr/>
      </w:pPr>
      <w:r>
        <w:rPr>
          <w:rFonts w:ascii="IRNazanin" w:hAnsi="IRNazanin" w:eastAsia="IRNazanin"/>
          <w:color w:val="111111"/>
          <w:sz w:val="28"/>
          <w:sz w:val="28"/>
          <w:szCs w:val="28"/>
          <w:rtl w:val="true"/>
          <w:lang w:bidi="fa-IR"/>
        </w:rPr>
        <w:t xml:space="preserve">لا یُضمن وصف الصحّة بشیءٍ؛إذ لو جاز ضمانه لجاز أخذ المشتری الأرش فیما نحن فیه،فیکون وصف الصحّة فی کلٍّ من العوضین نظیر سائر الأوصاف الغیر المضمونة بالمال،فإذا حصل الفسخ وجب ترادّ العوضین من غیر زیادةٍ و لا نقیصة؛و لذا یبطل التقایل مع اشتراط الزیادة أو النقیصة فی أحد العوضین،فإذا استردّ المشتری الثمن لم یکن علیه إلّا ردّ ما قابلة لا غیر،فإن ردّ إلی البائع قیمة العیب الحادث عنده </w:t>
      </w:r>
      <w:r>
        <w:rPr>
          <w:rStyle w:val="FootnoteAnchor"/>
          <w:rtl w:val="true"/>
        </w:rPr>
        <w:footnoteReference w:id="1249"/>
      </w:r>
      <w:r>
        <w:rPr>
          <w:rFonts w:ascii="IRNazanin" w:hAnsi="IRNazanin" w:eastAsia="IRNazanin"/>
          <w:color w:val="111111"/>
          <w:sz w:val="28"/>
          <w:sz w:val="28"/>
          <w:szCs w:val="28"/>
          <w:rtl w:val="true"/>
          <w:lang w:bidi="fa-IR"/>
        </w:rPr>
        <w:t>لم یکن ذلک إلّا باعتبار کون ذلک العیب مضموناً علیه بجزءٍ من الثمن،فیلزم وقوع الثمن بإزاء مجموع المثمن و وصف صحّته،فینقص الثمن عن نفس المعیب فیلزم الربا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فمراد العلّامة قدّس سرّه بلزوم الربا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لزوم الربا فی أصل المعاوضة، إذ لو لا ملاحظة جزءٍ من الثمن فی مقابلة صفة الصحّة لم یکن وجهٌ لغرامة بدل الصفة و قیمتها عند استرداد الثمن،و إمّا لزوم الربا فی الفسخ حیث قوبل فیه الثمن بمقداره من المثمن و 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ظهر ما فی تصحیح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قیمة العیب الحادث غرامةٌ لما فات فی یده مضموناً علیه نظیر المقبوض بالسوم إذا حدث فیه العیب،فلا ینضمّ إلی المثمن حتی یصیر أزید من الثمن</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وضوح الفرق؛فإنّ المقبوض بالسوم إنّما یتلف فی ملک مالکه فیضمنه القابض،و العیب الحادث فی </w:t>
      </w:r>
      <w:r>
        <w:rPr>
          <w:rStyle w:val="FootnoteAnchor"/>
          <w:rtl w:val="true"/>
        </w:rPr>
        <w:footnoteReference w:id="1250"/>
      </w:r>
      <w:r>
        <w:rPr>
          <w:rFonts w:ascii="IRNazanin" w:hAnsi="IRNazanin" w:eastAsia="IRNazanin"/>
          <w:color w:val="111111"/>
          <w:sz w:val="28"/>
          <w:sz w:val="28"/>
          <w:szCs w:val="28"/>
          <w:rtl w:val="true"/>
          <w:lang w:bidi="fa-IR"/>
        </w:rPr>
        <w:t>المبیع لا یتصوّر ضمان المشتری له إلّا بعد تقدیر رجوع العین فی ملک البائع و تلف وصف</w:t>
      </w:r>
    </w:p>
    <w:p>
      <w:pPr>
        <w:pStyle w:val="BookText"/>
        <w:rPr/>
      </w:pPr>
      <w:r>
        <w:rPr>
          <w:rFonts w:ascii="IRNazanin" w:hAnsi="IRNazanin" w:eastAsia="IRNazanin"/>
          <w:color w:val="111111"/>
          <w:sz w:val="28"/>
          <w:sz w:val="28"/>
          <w:szCs w:val="28"/>
          <w:rtl w:val="true"/>
          <w:lang w:bidi="fa-IR"/>
        </w:rPr>
        <w:t xml:space="preserve">الصحّة منه فی ید المشتری،فإذا فرض أنّ صفة الصحّة لا تقابل بجزءٍ من المال فی عقد المعاوضة </w:t>
      </w:r>
      <w:r>
        <w:rPr>
          <w:rStyle w:val="FootnoteAnchor"/>
          <w:rtl w:val="true"/>
        </w:rPr>
        <w:footnoteReference w:id="1251"/>
      </w:r>
      <w:r>
        <w:rPr>
          <w:rFonts w:ascii="IRNazanin" w:hAnsi="IRNazanin" w:eastAsia="IRNazanin"/>
          <w:color w:val="111111"/>
          <w:sz w:val="28"/>
          <w:sz w:val="28"/>
          <w:szCs w:val="28"/>
          <w:rtl w:val="true"/>
          <w:lang w:bidi="fa-IR"/>
        </w:rPr>
        <w:t>،فیکون تلفها فی ید المشتری کنسیان العبد الکتابة،لا یستحقّ البائع عند الفسخ قیمتها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البائع لا یستحقّ من المشتری إلّا ما وقع مقابلاً بالثمن،و هو نفس المثمن،من دون اعتبار صحّته جزءً،فکأنه باع عبداً کاتباً فقبضه المشتری ثمّ فسخ أو تفاسخا بعد نسیان العبد الکتابة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صریح جماعةٍ من الأصحاب عدم الحکم علی المشتری بالصبر علی المعیب مجّاناً فیما نحن فیه </w:t>
      </w:r>
      <w:r>
        <w:rPr>
          <w:rStyle w:val="FootnoteAnchor"/>
          <w:rtl w:val="true"/>
        </w:rPr>
        <w:footnoteReference w:id="1253"/>
      </w:r>
      <w:r>
        <w:rPr>
          <w:rFonts w:ascii="IRNazanin" w:hAnsi="IRNazanin" w:eastAsia="IRNazanin"/>
          <w:color w:val="111111"/>
          <w:sz w:val="28"/>
          <w:sz w:val="28"/>
          <w:szCs w:val="28"/>
          <w:rtl w:val="true"/>
          <w:lang w:bidi="fa-IR"/>
        </w:rPr>
        <w:t xml:space="preserve">،فذکروا فی تدارک ضرر المشتری وجهین،اقتصر فی المبسوط علی حکایتهما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جواز ردّ المشتری للمعیب مع غرامة قیمة العیب الحادث؛ لما تقدّم </w:t>
      </w:r>
      <w:r>
        <w:rPr>
          <w:rStyle w:val="FootnoteAnchor"/>
          <w:rtl w:val="true"/>
        </w:rPr>
        <w:footnoteReference w:id="1255"/>
      </w:r>
      <w:r>
        <w:rPr>
          <w:rFonts w:ascii="IRNazanin" w:hAnsi="IRNazanin" w:eastAsia="IRNazanin"/>
          <w:color w:val="111111"/>
          <w:sz w:val="28"/>
          <w:sz w:val="28"/>
          <w:szCs w:val="28"/>
          <w:rtl w:val="true"/>
          <w:lang w:bidi="fa-IR"/>
        </w:rPr>
        <w:t>إلیه الإشارة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أرش العیب الحادث فی ید المشتری نظیر أرش العیب الحادث فی المقبوض بالسوم،فی کونها غرامة تالفٍ مضمونٍ علی المشتری لا دخل له فی العوضین حتی یلزم الربا</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یفسخ البیع لتعذّر إمضائه،و إلزام المشتری ببدله من</w:t>
      </w:r>
      <w:bookmarkStart w:id="521" w:name="pg19864_220958"/>
    </w:p>
    <w:p>
      <w:pPr>
        <w:pStyle w:val="BookText"/>
        <w:rPr/>
      </w:pPr>
      <w:bookmarkEnd w:id="521"/>
      <w:r>
        <w:rPr>
          <w:rFonts w:ascii="IRNazanin" w:hAnsi="IRNazanin" w:eastAsia="IRNazanin"/>
          <w:color w:val="111111"/>
          <w:sz w:val="28"/>
          <w:sz w:val="28"/>
          <w:szCs w:val="28"/>
          <w:rtl w:val="true"/>
          <w:lang w:bidi="fa-IR"/>
        </w:rPr>
        <w:t>غیر الجنس معیباً بالعیب القدیم و سلیماً عن الجدید،و یُجعل بمثابة التالف؛لامتناع ردّه بلا أرش و مع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اختار فی الدروس تبعاً للتحریر </w:t>
      </w:r>
      <w:r>
        <w:rPr>
          <w:rStyle w:val="FootnoteAnchor"/>
          <w:rtl w:val="true"/>
        </w:rPr>
        <w:footnoteReference w:id="1256"/>
      </w:r>
      <w:r>
        <w:rPr>
          <w:rFonts w:ascii="IRNazanin" w:hAnsi="IRNazanin" w:eastAsia="IRNazanin"/>
          <w:color w:val="111111"/>
          <w:sz w:val="28"/>
          <w:sz w:val="28"/>
          <w:szCs w:val="28"/>
          <w:rtl w:val="true"/>
          <w:lang w:bidi="fa-IR"/>
        </w:rPr>
        <w:t>الوجه الأوّل مشیراً إلی تضعیف الثانی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تقدیر الموجود معدوماً خلاف الأصل </w:t>
      </w:r>
      <w:r>
        <w:rPr>
          <w:rStyle w:val="FootnoteAnchor"/>
          <w:rtl w:val="true"/>
        </w:rPr>
        <w:footnoteReference w:id="12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تبعه المحقّق الثانی معلّلاً بأنّ الربا ممنوعةٌ فی المعاوضات لا فی الضمانات،و أنّه کأرش عیب العین المقبوضة بالسوم إذا حدث فی ید المستام و إن کانت ربویّةً،فکما لا یعدّ هنا رباً فکذا لا یعدّ فی صورة النزاع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عرفت الفرق بین ما نحن فیه و بین أرش عیب المقبوض بالسوم،فإنّه یحدث فی ملک مالکه بید قابضه،و العیب فیما نحن فیه یحدث فی ملک المشتری و لا یقدّر فی ملک البائع إلّا بعد فرض رجوع مقابله من الثمن إلی المشتری،و المفروض عدم المقابلة بینه و بین جزءٍ من المبیع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22" w:name="__RefHeading___Toc5148904_2314609296"/>
      <w:bookmarkStart w:id="523" w:name="_Toc197"/>
      <w:bookmarkEnd w:id="522"/>
      <w:r>
        <w:rPr>
          <w:rtl w:val="true"/>
        </w:rPr>
        <w:t>و منها</w:t>
      </w:r>
      <w:r>
        <w:rPr>
          <w:rtl w:val="true"/>
        </w:rPr>
        <w:t xml:space="preserve">: </w:t>
      </w:r>
      <w:r>
        <w:rPr>
          <w:rtl w:val="true"/>
        </w:rPr>
        <w:t>تأخیر الأخذ بمقتضی الخیار،</w:t>
      </w:r>
      <w:bookmarkEnd w:id="523"/>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ظاهر الغنیة إسقاطه للرد و الأرش کلیهما حیث جعل المسقطات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التبری،و الرضا بالعیب،و ترک </w:t>
      </w:r>
      <w:r>
        <w:rPr>
          <w:rStyle w:val="FootnoteAnchor"/>
          <w:rtl w:val="true"/>
        </w:rPr>
        <w:footnoteReference w:id="1260"/>
      </w:r>
      <w:r>
        <w:rPr>
          <w:rFonts w:ascii="IRNazanin" w:hAnsi="IRNazanin" w:eastAsia="IRNazanin"/>
          <w:color w:val="111111"/>
          <w:sz w:val="28"/>
          <w:sz w:val="28"/>
          <w:szCs w:val="28"/>
          <w:rtl w:val="true"/>
          <w:lang w:bidi="fa-IR"/>
        </w:rPr>
        <w:t>الرد مع العلم؛لأنه علی الفور بلا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یذکر فی هذه الثلاثة ثبوت الأرش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حدوث العیب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ها هنا إلّا الأرش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ذکر التصرّف و حکم فیه بالأرش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فی إلحاق الثالث بالأوّلین فی ترک ذکر الأرش فیه ثمّ ذکره فی الأخیرین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w:t>
      </w:r>
      <w:r>
        <w:rPr>
          <w:rStyle w:val="FootnoteAnchor"/>
          <w:rtl w:val="true"/>
        </w:rPr>
        <w:footnoteReference w:id="1262"/>
      </w:r>
      <w:r>
        <w:rPr>
          <w:rFonts w:ascii="IRNazanin" w:hAnsi="IRNazanin" w:eastAsia="IRNazanin"/>
          <w:color w:val="111111"/>
          <w:sz w:val="28"/>
          <w:sz w:val="28"/>
          <w:szCs w:val="28"/>
          <w:rtl w:val="true"/>
          <w:lang w:bidi="fa-IR"/>
        </w:rPr>
        <w:t>هاهنا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،ظهوراً فی عدم ثبوت الأرش بالتأخیر،مع أنّ هذا هو القول الآخر فی المسألة علی ما یظهر؛حیث نسب إلی الشافعی القول بسقوط الردّ و الأرش بالتأخیر </w:t>
      </w:r>
      <w:r>
        <w:rPr>
          <w:rStyle w:val="FootnoteAnchor"/>
          <w:rtl w:val="true"/>
        </w:rPr>
        <w:footnoteReference w:id="1263"/>
      </w:r>
      <w:r>
        <w:rPr>
          <w:rFonts w:ascii="IRNazanin" w:hAnsi="IRNazanin" w:eastAsia="IRNazanin"/>
          <w:color w:val="111111"/>
          <w:sz w:val="28"/>
          <w:sz w:val="28"/>
          <w:szCs w:val="28"/>
          <w:rtl w:val="true"/>
          <w:lang w:bidi="fa-IR"/>
        </w:rPr>
        <w:t>و لعلّه لأنّ التأخیر دلیل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یردّه بعد تسلیم 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الرضا بمجرّده لا یوجب سقوط الأرش کما عرفت فی 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نعم،سقوط الردّ وحده له وجهٌ،کما هو صریح المبسوط و الوسیلة علی ما تقدّم </w:t>
      </w:r>
      <w:r>
        <w:rPr>
          <w:rStyle w:val="FootnoteAnchor"/>
          <w:rtl w:val="true"/>
        </w:rPr>
        <w:footnoteReference w:id="1264"/>
      </w:r>
      <w:r>
        <w:rPr>
          <w:rFonts w:ascii="IRNazanin" w:hAnsi="IRNazanin" w:eastAsia="IRNazanin"/>
          <w:color w:val="111111"/>
          <w:sz w:val="28"/>
          <w:sz w:val="28"/>
          <w:szCs w:val="28"/>
          <w:rtl w:val="true"/>
          <w:lang w:bidi="fa-IR"/>
        </w:rPr>
        <w:t xml:space="preserve">من عبارتهما فی التصرّف المسقط،و یحتمله أیضاً عبارة الغنیة المتقدّمة </w:t>
      </w:r>
      <w:r>
        <w:rPr>
          <w:rStyle w:val="FootnoteAnchor"/>
          <w:rtl w:val="true"/>
        </w:rPr>
        <w:footnoteReference w:id="1265"/>
      </w:r>
      <w:r>
        <w:rPr>
          <w:rFonts w:ascii="IRNazanin" w:hAnsi="IRNazanin" w:eastAsia="IRNazanin"/>
          <w:color w:val="111111"/>
          <w:sz w:val="28"/>
          <w:sz w:val="28"/>
          <w:szCs w:val="28"/>
          <w:rtl w:val="true"/>
          <w:lang w:bidi="fa-IR"/>
        </w:rPr>
        <w:t>،بناءً علی ما تقدّم فی سائر الخیارات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لزوم الاقتصار فی الخروج عن أصالة اللزوم علی المتیقّن السالمة عمّا یدلّ علی التراخی،عدا ما فی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إطلاق الأخبار و خصوص بعضها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الإطلاق فی مقام بیان أصل الخیار،و أمّا الخبر الخاصّ فلم أقف علیه،و حینئذٍ فالقول بالفور وفاقاً لمن تقدّم للأصل لا یخلو</w:t>
      </w:r>
    </w:p>
    <w:p>
      <w:pPr>
        <w:pStyle w:val="BookText"/>
        <w:rPr/>
      </w:pPr>
      <w:r>
        <w:rPr>
          <w:rFonts w:ascii="IRNazanin" w:hAnsi="IRNazanin" w:eastAsia="IRNazanin"/>
          <w:color w:val="111111"/>
          <w:sz w:val="28"/>
          <w:sz w:val="28"/>
          <w:szCs w:val="28"/>
          <w:rtl w:val="true"/>
          <w:lang w:bidi="fa-IR"/>
        </w:rPr>
        <w:t xml:space="preserve">عن قوّةٍ،مع ما تقدّم من نفی الخلاف فی الغنیة فی کونه علی الفور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یعارضه ما فی المسالک و 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أنّه لا نعرف فیه </w:t>
      </w:r>
      <w:r>
        <w:rPr>
          <w:rStyle w:val="FootnoteAnchor"/>
          <w:rtl w:val="true"/>
        </w:rPr>
        <w:footnoteReference w:id="1268"/>
      </w:r>
      <w:r>
        <w:rPr>
          <w:rFonts w:ascii="Amiri" w:hAnsi="Amiri" w:eastAsia="Amiri" w:cs="Amiri"/>
          <w:color w:val="111111"/>
          <w:sz w:val="28"/>
          <w:sz w:val="28"/>
          <w:szCs w:val="28"/>
          <w:rtl w:val="true"/>
          <w:lang w:bidi="ar-SA"/>
        </w:rPr>
        <w:t xml:space="preserve">خلافاً </w:t>
      </w:r>
      <w:r>
        <w:rPr>
          <w:rStyle w:val="FootnoteAnchor"/>
          <w:rtl w:val="true"/>
        </w:rPr>
        <w:footnoteReference w:id="1269"/>
      </w:r>
      <w:r>
        <w:rPr>
          <w:rFonts w:ascii="IRNazanin" w:hAnsi="IRNazanin" w:eastAsia="IRNazanin"/>
          <w:color w:val="111111"/>
          <w:sz w:val="28"/>
          <w:sz w:val="28"/>
          <w:szCs w:val="28"/>
          <w:rtl w:val="true"/>
          <w:lang w:bidi="fa-IR"/>
        </w:rPr>
        <w:t xml:space="preserve">لأنّا عرفناه و لذا جعله فی التذکرة أقرب </w:t>
      </w:r>
      <w:r>
        <w:rPr>
          <w:rStyle w:val="FootnoteAnchor"/>
          <w:rtl w:val="true"/>
        </w:rPr>
        <w:footnoteReference w:id="12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ما فی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عدم الخلاف </w:t>
      </w:r>
      <w:r>
        <w:rPr>
          <w:rStyle w:val="FootnoteAnchor"/>
          <w:rtl w:val="true"/>
        </w:rPr>
        <w:footnoteReference w:id="1271"/>
      </w:r>
      <w:r>
        <w:rPr>
          <w:rFonts w:ascii="IRNazanin" w:hAnsi="IRNazanin" w:eastAsia="IRNazanin"/>
          <w:color w:val="111111"/>
          <w:sz w:val="28"/>
          <w:sz w:val="28"/>
          <w:szCs w:val="28"/>
          <w:rtl w:val="true"/>
          <w:lang w:bidi="fa-IR"/>
        </w:rPr>
        <w:t xml:space="preserve">لوجود الخلاف،بل نفی الخلاف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w:t>
      </w:r>
      <w:r>
        <w:rPr>
          <w:rStyle w:val="FootnoteAnchor"/>
          <w:rtl w:val="true"/>
        </w:rPr>
        <w:footnoteReference w:id="1273"/>
      </w:r>
      <w:r>
        <w:rPr>
          <w:rFonts w:ascii="IRNazanin" w:hAnsi="IRNazanin" w:eastAsia="IRNazanin"/>
          <w:color w:val="111111"/>
          <w:sz w:val="28"/>
          <w:sz w:val="28"/>
          <w:szCs w:val="28"/>
          <w:rtl w:val="true"/>
          <w:lang w:bidi="fa-IR"/>
        </w:rPr>
        <w:t>ما فی 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Style w:val="FootnoteAnchor"/>
          <w:rtl w:val="true"/>
        </w:rPr>
        <w:footnoteReference w:id="1274"/>
      </w:r>
      <w:r>
        <w:rPr>
          <w:rFonts w:ascii="Amiri" w:hAnsi="Amiri" w:eastAsia="Amiri" w:cs="Amiri"/>
          <w:color w:val="111111"/>
          <w:sz w:val="28"/>
          <w:sz w:val="28"/>
          <w:szCs w:val="28"/>
          <w:rtl w:val="true"/>
          <w:lang w:bidi="ar-SA"/>
        </w:rPr>
        <w:t xml:space="preserve">أنّه ظاهر أصحابنا المتأخّرین کافّة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التحقیق رجوع المسألة إلی اعتبار الاستصحاب فی مثل هذا المقام و عدمه؛و لذا لم یتمسّک فی التذکرة للتراخی إلّا به </w:t>
      </w:r>
      <w:r>
        <w:rPr>
          <w:rStyle w:val="FootnoteAnchor"/>
          <w:rtl w:val="true"/>
        </w:rPr>
        <w:footnoteReference w:id="1276"/>
      </w:r>
      <w:r>
        <w:rPr>
          <w:rFonts w:ascii="IRNazanin" w:hAnsi="IRNazanin" w:eastAsia="IRNazanin"/>
          <w:color w:val="111111"/>
          <w:sz w:val="28"/>
          <w:sz w:val="28"/>
          <w:szCs w:val="28"/>
          <w:rtl w:val="true"/>
          <w:lang w:bidi="fa-IR"/>
        </w:rPr>
        <w:t>،و إلّا فلا یحصل من فتوی الأصحاب إلّا الشهرة بین المتأخّرین المستندة إلی الاستصحاب،و لا اعتبار بمثلها و إن قلنا بحجّیة الشهرة أو حکایة نفی الخلاف من باب مطلق الظنّ؛لعدم الظنّ کما لا یخفی،و اللّٰه العالم</w:t>
      </w:r>
      <w:r>
        <w:rPr>
          <w:rFonts w:eastAsia="IRNazanin" w:cs="IRNazanin"/>
          <w:color w:val="111111"/>
          <w:sz w:val="28"/>
          <w:szCs w:val="28"/>
          <w:rtl w:val="true"/>
          <w:lang w:bidi="fa-IR"/>
        </w:rPr>
        <w:t>.</w:t>
      </w:r>
      <w:bookmarkStart w:id="524" w:name="pg19864_220961"/>
    </w:p>
    <w:p>
      <w:pPr>
        <w:pStyle w:val="Heading6"/>
        <w:numPr>
          <w:ilvl w:val="5"/>
          <w:numId w:val="1"/>
        </w:numPr>
        <w:rPr/>
      </w:pPr>
      <w:bookmarkStart w:id="525" w:name="__RefHeading___Toc5148906_2314609296"/>
      <w:bookmarkStart w:id="526" w:name="_Toc198"/>
      <w:bookmarkEnd w:id="524"/>
      <w:bookmarkEnd w:id="525"/>
      <w:r>
        <w:rPr>
          <w:rtl w:val="true"/>
        </w:rPr>
        <w:t>مسألة قال فی المبسوط</w:t>
      </w:r>
      <w:r>
        <w:rPr>
          <w:rtl w:val="true"/>
        </w:rPr>
        <w:t>:</w:t>
      </w:r>
      <w:r>
        <w:rPr>
          <w:rtl w:val="true"/>
        </w:rPr>
        <w:t>من باع شیئاً فیه عیبٌ لم یبیّنه فعل محظوراً</w:t>
      </w:r>
      <w:bookmarkEnd w:id="526"/>
    </w:p>
    <w:p>
      <w:pPr>
        <w:pStyle w:val="BookText"/>
        <w:rPr/>
      </w:pPr>
      <w:r>
        <w:rPr>
          <w:rFonts w:ascii="IRNazanin" w:hAnsi="IRNazanin" w:eastAsia="IRNazanin"/>
          <w:color w:val="111111"/>
          <w:sz w:val="28"/>
          <w:sz w:val="28"/>
          <w:szCs w:val="28"/>
          <w:rtl w:val="true"/>
          <w:lang w:bidi="fa-IR"/>
        </w:rPr>
        <w:t xml:space="preserve">و کان المشتری بالخیار </w:t>
      </w:r>
      <w:r>
        <w:rPr>
          <w:rStyle w:val="FootnoteAnchor"/>
          <w:rtl w:val="true"/>
        </w:rPr>
        <w:footnoteReference w:id="127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 ما عن الخلاف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موضعٍ آخر من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وجب علیه أن یبیّنه و لا یکتمه أو یتبرّأ إلیه من العیوب،و الأوّل أحوط </w:t>
      </w:r>
      <w:r>
        <w:rPr>
          <w:rStyle w:val="FootnoteAnchor"/>
          <w:rtl w:val="true"/>
        </w:rPr>
        <w:footnoteReference w:id="12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نحوه عن فقه الراوندی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مثلهما فی التحریر،و زاد الاستدلال علیه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یکون غاشّاً</w:t>
      </w:r>
      <w:r>
        <w:rPr>
          <w:rFonts w:eastAsia="IRNazanin" w:cs="IRNazanin"/>
          <w:color w:val="111111"/>
          <w:sz w:val="28"/>
          <w:szCs w:val="28"/>
          <w:rtl w:val="true"/>
          <w:lang w:bidi="fa-IR"/>
        </w:rPr>
        <w:t xml:space="preserve">»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 ذلک کلِّه عدم الفرق بین العیب الجلیّ و الخفیّ</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صریح التذکرة و السرائر </w:t>
      </w:r>
      <w:r>
        <w:rPr>
          <w:rStyle w:val="FootnoteAnchor"/>
          <w:rtl w:val="true"/>
        </w:rPr>
        <w:footnoteReference w:id="1282"/>
      </w:r>
      <w:r>
        <w:rPr>
          <w:rFonts w:ascii="IRNazanin" w:hAnsi="IRNazanin" w:eastAsia="IRNazanin"/>
          <w:color w:val="111111"/>
          <w:sz w:val="28"/>
          <w:sz w:val="28"/>
          <w:szCs w:val="28"/>
          <w:rtl w:val="true"/>
          <w:lang w:bidi="fa-IR"/>
        </w:rPr>
        <w:t xml:space="preserve">کظاهر الشرائع </w:t>
      </w:r>
      <w:r>
        <w:rPr>
          <w:rStyle w:val="FootnoteAnchor"/>
          <w:rtl w:val="true"/>
        </w:rPr>
        <w:footnoteReference w:id="1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الاستحباب مطلقاً،</w:t>
      </w:r>
    </w:p>
    <w:p>
      <w:pPr>
        <w:pStyle w:val="BookText"/>
        <w:rPr/>
      </w:pPr>
      <w:r>
        <w:rPr>
          <w:rFonts w:ascii="IRNazanin" w:hAnsi="IRNazanin" w:eastAsia="IRNazanin"/>
          <w:color w:val="111111"/>
          <w:sz w:val="28"/>
          <w:sz w:val="28"/>
          <w:szCs w:val="28"/>
          <w:rtl w:val="true"/>
          <w:lang w:bidi="fa-IR"/>
        </w:rPr>
        <w:t xml:space="preserve">و ظاهر جماعةٍ التفصیل بین العیب الخفیّ و الجلیّ،فیجب فی الأوّل مطلقاً کما هو ظاهر جماعةٍ </w:t>
      </w:r>
      <w:r>
        <w:rPr>
          <w:rStyle w:val="FootnoteAnchor"/>
          <w:rtl w:val="true"/>
        </w:rPr>
        <w:footnoteReference w:id="1284"/>
      </w:r>
      <w:r>
        <w:rPr>
          <w:rFonts w:ascii="IRNazanin" w:hAnsi="IRNazanin" w:eastAsia="IRNazanin"/>
          <w:color w:val="111111"/>
          <w:sz w:val="28"/>
          <w:sz w:val="28"/>
          <w:szCs w:val="28"/>
          <w:rtl w:val="true"/>
          <w:lang w:bidi="fa-IR"/>
        </w:rPr>
        <w:t xml:space="preserve">،أو مع عدم التبرّی کما فی الدروس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فالمحصَّل من ظواهر کلماتهم خمسة 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ابتناء الکلّ علی دعوی صدق الغشّ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یظهر من ملاحظة العرف و اللغة فی معنی الغشّ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کتمان العیب الخفیّ و هو الذی لا یظهر بمجرّد الاختبار المتعارف قبل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غِشٌّ،فإنّ الغِشّ کما یظهر من اللغة خلاف النصح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العیب الظاهر،فالظاهر أنّ ترک إظهاره لیس غِشّاً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أظهر سلامته عنه علی وجهٍ یعتمد علیه کما إذا فتح قرآناً بین یدی العبد الأعمی مُظهراً أنّه بصیرٌ یقرأ،فاعتمد المشتری علی ذلک و أهمل اختباره کان غِشّاً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التذکرة فی ردّ استدلال الشافعی علی وجوب إظهار العیب مطلقاً بالغِشّ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الغِشّ ممنوعٌ،بل یثبت فی کتمان العیب بعد سؤال المشتری و تبیّنه،و التقصیر فی ذلک من المشتری </w:t>
      </w:r>
      <w:r>
        <w:rPr>
          <w:rStyle w:val="FootnoteAnchor"/>
          <w:rtl w:val="true"/>
        </w:rPr>
        <w:footnoteReference w:id="128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یحمل بقرینة ذکر التقصیر علی العیب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أنّه یمکن حمل عبارة التحریر المتقدّمة </w:t>
      </w:r>
      <w:r>
        <w:rPr>
          <w:rStyle w:val="FootnoteAnchor"/>
          <w:rtl w:val="true"/>
        </w:rPr>
        <w:footnoteReference w:id="1287"/>
      </w:r>
      <w:r>
        <w:rPr>
          <w:rFonts w:ascii="IRNazanin" w:hAnsi="IRNazanin" w:eastAsia="IRNazanin"/>
          <w:color w:val="111111"/>
          <w:sz w:val="28"/>
          <w:sz w:val="28"/>
          <w:szCs w:val="28"/>
          <w:rtl w:val="true"/>
          <w:lang w:bidi="fa-IR"/>
        </w:rPr>
        <w:t>المشتملة علی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الاستدلال بالغشّ علی العیب الخفیّ،بل هذا الجمع ممکنٌ فی کلمات الأصحاب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أقوی الشواهد علی ذلک أنّه حکی عن موضعٍ من 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کتمان العیوب مع العلم بها حرامٌ و محظورٌ بغیر خلافٍ </w:t>
      </w:r>
      <w:r>
        <w:rPr>
          <w:rStyle w:val="FootnoteAnchor"/>
          <w:rtl w:val="true"/>
        </w:rPr>
        <w:footnoteReference w:id="1288"/>
      </w:r>
      <w:r>
        <w:rPr>
          <w:rFonts w:ascii="IRNazanin" w:hAnsi="IRNazanin" w:eastAsia="IRNazanin"/>
          <w:color w:val="111111"/>
          <w:sz w:val="28"/>
          <w:sz w:val="28"/>
          <w:szCs w:val="28"/>
          <w:rtl w:val="true"/>
          <w:lang w:bidi="fa-IR"/>
        </w:rPr>
        <w:t>،مع ما تقدّم من نسبة الاستحباب إلیه،فلاحظ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التبرّی من العیوب هل یُسقط وجوب الإعلام فی مورده کما عن المشهور </w:t>
      </w:r>
      <w:r>
        <w:rPr>
          <w:rStyle w:val="FootnoteAnchor"/>
          <w:rtl w:val="true"/>
        </w:rPr>
        <w:footnoteReference w:id="1289"/>
      </w:r>
      <w:r>
        <w:rPr>
          <w:rFonts w:ascii="IRNazanin" w:hAnsi="IRNazanin" w:eastAsia="IRNazanin"/>
          <w:color w:val="111111"/>
          <w:sz w:val="28"/>
          <w:sz w:val="28"/>
          <w:szCs w:val="28"/>
          <w:rtl w:val="true"/>
          <w:lang w:bidi="fa-IR"/>
        </w:rPr>
        <w:t xml:space="preserve">،أم لا؟فیه إشکالٌ،منشؤه </w:t>
      </w:r>
      <w:r>
        <w:rPr>
          <w:rStyle w:val="FootnoteAnchor"/>
          <w:rtl w:val="true"/>
        </w:rPr>
        <w:footnoteReference w:id="12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لزوم الغشّ من جهة ظهور إطلاق العقد فی التزام البائع بالصحّة،فإذا تبرّأ من العیوب ارتفع الظهور،أو من جهة إدخال البائع للمشتری فیما یکرهه عامداً و التبرّی لا یرفع اعتماد المشتری علی أصالة الصحّة،فالتغریر إنّما هو لترک ما یصرفه عن الاعتماد علی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الأحوط الإعلام مطلقاً کما تقدّم عن المبسوط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المذکور فی جامع المقاصد </w:t>
      </w:r>
      <w:r>
        <w:rPr>
          <w:rStyle w:val="FootnoteAnchor"/>
          <w:rtl w:val="true"/>
        </w:rPr>
        <w:footnoteReference w:id="1292"/>
      </w:r>
      <w:r>
        <w:rPr>
          <w:rFonts w:ascii="IRNazanin" w:hAnsi="IRNazanin" w:eastAsia="IRNazanin"/>
          <w:color w:val="111111"/>
          <w:sz w:val="28"/>
          <w:sz w:val="28"/>
          <w:szCs w:val="28"/>
          <w:rtl w:val="true"/>
          <w:lang w:bidi="fa-IR"/>
        </w:rPr>
        <w:t xml:space="preserve">و المسالک </w:t>
      </w:r>
      <w:r>
        <w:rPr>
          <w:rStyle w:val="FootnoteAnchor"/>
          <w:rtl w:val="true"/>
        </w:rPr>
        <w:footnoteReference w:id="1293"/>
      </w:r>
      <w:r>
        <w:rPr>
          <w:rFonts w:ascii="IRNazanin" w:hAnsi="IRNazanin" w:eastAsia="IRNazanin"/>
          <w:color w:val="111111"/>
          <w:sz w:val="28"/>
          <w:sz w:val="28"/>
          <w:szCs w:val="28"/>
          <w:rtl w:val="true"/>
          <w:lang w:bidi="fa-IR"/>
        </w:rPr>
        <w:t xml:space="preserve">و عن غیرهما </w:t>
      </w:r>
      <w:r>
        <w:rPr>
          <w:rStyle w:val="FootnoteAnchor"/>
          <w:rtl w:val="true"/>
        </w:rPr>
        <w:footnoteReference w:id="12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p>
    <w:p>
      <w:pPr>
        <w:pStyle w:val="BookText"/>
        <w:rPr/>
      </w:pPr>
      <w:r>
        <w:rPr>
          <w:rFonts w:ascii="IRNazanin" w:hAnsi="IRNazanin" w:eastAsia="IRNazanin"/>
          <w:color w:val="111111"/>
          <w:sz w:val="28"/>
          <w:sz w:val="28"/>
          <w:szCs w:val="28"/>
          <w:rtl w:val="true"/>
          <w:lang w:bidi="fa-IR"/>
        </w:rPr>
        <w:t>ینبغی بطلان البیع فی مثل شوب اللبن بالماء؛لأنّ ما کان من غیر الجنس لا یصحّ العقد فیه،و الآخر 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جهالة الجزء غیر مانعةٍ إن کانت الجملة معلومةً،کما لو ضمّ ماله و مال غیره و باعهما ثمّ ظهر البعض مستحقّاً،فإنّ البیع لا یبطل فی ملکه و إن کان مجهولاً قدره وقت العقد </w:t>
      </w:r>
      <w:r>
        <w:rPr>
          <w:rStyle w:val="FootnoteAnchor"/>
          <w:rtl w:val="true"/>
        </w:rPr>
        <w:footnoteReference w:id="129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فی مزج اللبن بمقدارٍ من الماء یستهلک فی اللبن و لا یُخرجه عن حقیقته کالملح الزائد فی الخبز،فلا وجه للإشکال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فرض المزج علی وجهٍ یوجب تعیّب الشیء من دون أن یستهلک فیه بحیث یخرج عن حقیقته إلی حقیقة ذلک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ما ذکروه فی بعض الموارد</w:t>
      </w:r>
      <w:r>
        <w:rPr>
          <w:rFonts w:eastAsia="IRNazanin" w:cs="IRNazanin"/>
          <w:color w:val="111111"/>
          <w:sz w:val="28"/>
          <w:szCs w:val="28"/>
          <w:rtl w:val="true"/>
          <w:lang w:bidi="fa-IR"/>
        </w:rPr>
        <w:t>.</w:t>
      </w:r>
      <w:bookmarkStart w:id="527" w:name="pg19864_220965"/>
    </w:p>
    <w:p>
      <w:pPr>
        <w:pStyle w:val="Heading5"/>
        <w:numPr>
          <w:ilvl w:val="4"/>
          <w:numId w:val="1"/>
        </w:numPr>
        <w:rPr/>
      </w:pPr>
      <w:bookmarkStart w:id="528" w:name="__RefHeading___Toc5148908_2314609296"/>
      <w:bookmarkStart w:id="529" w:name="_Toc199"/>
      <w:bookmarkEnd w:id="527"/>
      <w:bookmarkEnd w:id="528"/>
      <w:r>
        <w:rPr>
          <w:rtl w:val="true"/>
        </w:rPr>
        <w:t>مسائل فی اختلاف المتبایعین</w:t>
      </w:r>
      <w:bookmarkEnd w:id="529"/>
    </w:p>
    <w:p>
      <w:pPr>
        <w:pStyle w:val="Heading6"/>
        <w:numPr>
          <w:ilvl w:val="5"/>
          <w:numId w:val="1"/>
        </w:numPr>
        <w:rPr/>
      </w:pPr>
      <w:bookmarkStart w:id="530" w:name="__RefHeading___Toc5148910_2314609296"/>
      <w:bookmarkStart w:id="531" w:name="_Toc200"/>
      <w:bookmarkEnd w:id="530"/>
      <w:r>
        <w:rPr>
          <w:rtl w:val="true"/>
        </w:rPr>
        <w:t>اشاره</w:t>
      </w:r>
      <w:bookmarkEnd w:id="531"/>
    </w:p>
    <w:p>
      <w:pPr>
        <w:pStyle w:val="BookText"/>
        <w:rPr/>
      </w:pPr>
      <w:r>
        <w:rPr>
          <w:rFonts w:ascii="IRNazanin" w:hAnsi="IRNazanin" w:eastAsia="IRNazanin"/>
          <w:color w:val="111111"/>
          <w:sz w:val="28"/>
          <w:sz w:val="28"/>
          <w:szCs w:val="28"/>
          <w:rtl w:val="true"/>
          <w:lang w:bidi="fa-IR"/>
        </w:rPr>
        <w:t>و هو تارةً فی موجب الخیار،و أُخری فی مسقطة،و ثالثةً فی الفسخ</w:t>
      </w:r>
      <w:r>
        <w:rPr>
          <w:rFonts w:eastAsia="IRNazanin" w:cs="IRNazanin"/>
          <w:color w:val="111111"/>
          <w:sz w:val="28"/>
          <w:szCs w:val="28"/>
          <w:rtl w:val="true"/>
          <w:lang w:bidi="fa-IR"/>
        </w:rPr>
        <w:t>.</w:t>
      </w:r>
    </w:p>
    <w:p>
      <w:pPr>
        <w:pStyle w:val="Heading6"/>
        <w:numPr>
          <w:ilvl w:val="5"/>
          <w:numId w:val="1"/>
        </w:numPr>
        <w:rPr/>
      </w:pPr>
      <w:bookmarkStart w:id="532" w:name="__RefHeading___Toc5148912_2314609296"/>
      <w:bookmarkStart w:id="533" w:name="_Toc201"/>
      <w:bookmarkEnd w:id="532"/>
      <w:r>
        <w:rPr>
          <w:rtl w:val="true"/>
        </w:rPr>
        <w:t xml:space="preserve">أمّا الأوّل، </w:t>
      </w:r>
      <w:r>
        <w:rPr>
          <w:rtl w:val="true"/>
        </w:rPr>
        <w:t>[</w:t>
      </w:r>
      <w:r>
        <w:rPr>
          <w:rtl w:val="true"/>
        </w:rPr>
        <w:t>و هو الاختلاف فی موجب الخیار</w:t>
      </w:r>
      <w:r>
        <w:rPr>
          <w:rtl w:val="true"/>
        </w:rPr>
        <w:t xml:space="preserve">] </w:t>
      </w:r>
      <w:r>
        <w:rPr>
          <w:rtl w:val="true"/>
        </w:rPr>
        <w:t>ففیه مسائل</w:t>
      </w:r>
      <w:r>
        <w:rPr>
          <w:rtl w:val="true"/>
        </w:rPr>
        <w:t>:</w:t>
      </w:r>
      <w:bookmarkEnd w:id="533"/>
    </w:p>
    <w:p>
      <w:pPr>
        <w:pStyle w:val="Heading6"/>
        <w:numPr>
          <w:ilvl w:val="5"/>
          <w:numId w:val="1"/>
        </w:numPr>
        <w:rPr/>
      </w:pPr>
      <w:bookmarkStart w:id="534" w:name="__RefHeading___Toc5148914_2314609296"/>
      <w:bookmarkStart w:id="535" w:name="_Toc202"/>
      <w:bookmarkEnd w:id="534"/>
      <w:r>
        <w:rPr>
          <w:rtl w:val="true"/>
        </w:rPr>
        <w:t>الاُولی لو اختلفا فی تعیّب المبیع و عدمه مع تعذّر ملاحظته لتلفٍ أو نحوه،</w:t>
      </w:r>
      <w:bookmarkEnd w:id="535"/>
    </w:p>
    <w:p>
      <w:pPr>
        <w:pStyle w:val="BookText"/>
        <w:rPr/>
      </w:pPr>
      <w:r>
        <w:rPr>
          <w:rFonts w:ascii="IRNazanin" w:hAnsi="IRNazanin" w:eastAsia="IRNazanin"/>
          <w:color w:val="111111"/>
          <w:sz w:val="28"/>
          <w:sz w:val="28"/>
          <w:szCs w:val="28"/>
          <w:rtl w:val="true"/>
          <w:lang w:bidi="fa-IR"/>
        </w:rPr>
        <w:t>فالقول قول المنکر بیمینه</w:t>
      </w:r>
      <w:r>
        <w:rPr>
          <w:rFonts w:eastAsia="IRNazanin" w:cs="IRNazanin"/>
          <w:color w:val="111111"/>
          <w:sz w:val="28"/>
          <w:szCs w:val="28"/>
          <w:rtl w:val="true"/>
          <w:lang w:bidi="fa-IR"/>
        </w:rPr>
        <w:t>.</w:t>
      </w:r>
    </w:p>
    <w:p>
      <w:pPr>
        <w:pStyle w:val="Heading6"/>
        <w:numPr>
          <w:ilvl w:val="5"/>
          <w:numId w:val="1"/>
        </w:numPr>
        <w:rPr/>
      </w:pPr>
      <w:bookmarkStart w:id="536" w:name="__RefHeading___Toc5148916_2314609296"/>
      <w:bookmarkStart w:id="537" w:name="_Toc203"/>
      <w:bookmarkEnd w:id="536"/>
      <w:r>
        <w:rPr>
          <w:rtl w:val="true"/>
        </w:rPr>
        <w:t>الثانیة لو اختلفا فی کون الشیء عیباً و تعذّر تبیُّن الحال لفقد أهل الخبرة</w:t>
      </w:r>
      <w:bookmarkEnd w:id="537"/>
    </w:p>
    <w:p>
      <w:pPr>
        <w:pStyle w:val="BookText"/>
        <w:rPr/>
      </w:pPr>
      <w:r>
        <w:rPr>
          <w:rFonts w:ascii="IRNazanin" w:hAnsi="IRNazanin" w:eastAsia="IRNazanin"/>
          <w:color w:val="111111"/>
          <w:sz w:val="28"/>
          <w:sz w:val="28"/>
          <w:szCs w:val="28"/>
          <w:rtl w:val="true"/>
          <w:lang w:bidi="fa-IR"/>
        </w:rPr>
        <w:t>کان الحکم کسابقه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علم کونه نقصاً کان للمشتری الخیار فی الردّ دون الأرش،لأصالة البراءة</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538" w:name="__RefHeading___Toc5148918_2314609296"/>
      <w:bookmarkStart w:id="539" w:name="_Toc204"/>
      <w:bookmarkEnd w:id="538"/>
      <w:r>
        <w:rPr>
          <w:rtl w:val="true"/>
        </w:rPr>
        <w:t>الثالثة لو اختلفا فی حدوث العیب فی ضمان البائع أو تأخّره عن ذلک</w:t>
      </w:r>
      <w:bookmarkEnd w:id="539"/>
    </w:p>
    <w:p>
      <w:pPr>
        <w:pStyle w:val="BookText"/>
        <w:rPr/>
      </w:pPr>
      <w:r>
        <w:rPr>
          <w:rFonts w:ascii="IRNazanin" w:hAnsi="IRNazanin" w:eastAsia="IRNazanin"/>
          <w:color w:val="111111"/>
          <w:sz w:val="28"/>
          <w:sz w:val="28"/>
          <w:szCs w:val="28"/>
          <w:rtl w:val="true"/>
          <w:lang w:bidi="fa-IR"/>
        </w:rPr>
        <w:t>بأن حدث بعد القبض و انقضاء الخیار،کان القول قول منکر تقدّمه؛ للأصل حتّی لو علم تاریخ الحدوث و جهل تاریخ العقد؛لأنّ أصالة عدم العقد حین حدوث العیب لا یثبت وقوع العقد علی المعیب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حکی عن ابن الجنید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إن ادّعی البائع أنّ العیب حدث عند المشتری حلف المشتری إن کان منکراً </w:t>
      </w:r>
      <w:r>
        <w:rPr>
          <w:rStyle w:val="FootnoteAnchor"/>
          <w:rtl w:val="true"/>
        </w:rPr>
        <w:footnoteReference w:id="1296"/>
      </w:r>
      <w:r>
        <w:rPr>
          <w:rFonts w:ascii="IRNazanin" w:hAnsi="IRNazanin" w:eastAsia="IRNazanin"/>
          <w:color w:val="111111"/>
          <w:sz w:val="28"/>
          <w:sz w:val="28"/>
          <w:szCs w:val="28"/>
          <w:rtl w:val="true"/>
          <w:lang w:bidi="fa-IR"/>
        </w:rPr>
        <w:t xml:space="preserve">، انتهی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إذا لم تشهد القرینة القطعیّة ممّا </w:t>
      </w:r>
      <w:r>
        <w:rPr>
          <w:rStyle w:val="FootnoteAnchor"/>
          <w:rtl w:val="true"/>
        </w:rPr>
        <w:footnoteReference w:id="1298"/>
      </w:r>
      <w:r>
        <w:rPr>
          <w:rFonts w:ascii="IRNazanin" w:hAnsi="IRNazanin" w:eastAsia="IRNazanin"/>
          <w:color w:val="111111"/>
          <w:sz w:val="28"/>
          <w:sz w:val="28"/>
          <w:szCs w:val="28"/>
          <w:rtl w:val="true"/>
          <w:lang w:bidi="fa-IR"/>
        </w:rPr>
        <w:t>لا یمکن عادةً حصوله بعد وقت ضمان المشتری أو تقدّمه علیه،و إلّا عمل علیها من غیر 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أقام أحدهما بیّنةً </w:t>
      </w:r>
      <w:r>
        <w:rPr>
          <w:rStyle w:val="FootnoteAnchor"/>
          <w:rtl w:val="true"/>
        </w:rPr>
        <w:footnoteReference w:id="1299"/>
      </w:r>
      <w:r>
        <w:rPr>
          <w:rFonts w:ascii="IRNazanin" w:hAnsi="IRNazanin" w:eastAsia="IRNazanin"/>
          <w:color w:val="111111"/>
          <w:sz w:val="28"/>
          <w:sz w:val="28"/>
          <w:szCs w:val="28"/>
          <w:rtl w:val="true"/>
          <w:lang w:bidi="fa-IR"/>
        </w:rPr>
        <w:t>عمل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أقاما بیّنةً عمل ببیّنة المشتری،لأنّ القول قول البائع لأنّه منکرٌ،فالبیّنة علی المشتری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منه مبنیٌّ علی سقوط الیمین عن المنکر بإقامة البیّنة،و فیه کلامٌ فی محلّه و إن کان لا یخلو عن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حلف البائع فلا بدّ من حلفه علی عدم تقدّم العیب أو نفی استحقاق الردّ أو الأرش إن کان قد اختبر المبیع و اطّلع علی خفایا أمره،کما یشهد بالإعسار و العدالة و غیرهما ممّا یکتفی فیه بالاختبار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لم یختبر،ففی جواز الاستناد فی ذلک إلی أصالة عدمه إذا شکّ فی ذلک وجهٌ،احتمله فی جامع المقاصد </w:t>
      </w:r>
      <w:r>
        <w:rPr>
          <w:rStyle w:val="FootnoteAnchor"/>
          <w:rtl w:val="true"/>
        </w:rPr>
        <w:footnoteReference w:id="1301"/>
      </w:r>
      <w:r>
        <w:rPr>
          <w:rFonts w:ascii="IRNazanin" w:hAnsi="IRNazanin" w:eastAsia="IRNazanin"/>
          <w:color w:val="111111"/>
          <w:sz w:val="28"/>
          <w:sz w:val="28"/>
          <w:szCs w:val="28"/>
          <w:rtl w:val="true"/>
          <w:lang w:bidi="fa-IR"/>
        </w:rPr>
        <w:t xml:space="preserve">و حکی عن جماعةٍ </w:t>
      </w:r>
      <w:r>
        <w:rPr>
          <w:rStyle w:val="FootnoteAnchor"/>
          <w:rtl w:val="true"/>
        </w:rPr>
        <w:footnoteReference w:id="1302"/>
      </w:r>
      <w:r>
        <w:rPr>
          <w:rFonts w:ascii="IRNazanin" w:hAnsi="IRNazanin" w:eastAsia="IRNazanin"/>
          <w:color w:val="111111"/>
          <w:sz w:val="28"/>
          <w:sz w:val="28"/>
          <w:szCs w:val="28"/>
          <w:rtl w:val="true"/>
          <w:lang w:bidi="fa-IR"/>
        </w:rPr>
        <w:t>، کما یُحلَف علی طهارة المبیع استناداً إلی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الفرق بین الطهارة و بین 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المراد بالطهارة فی استعمال المتشرّعة ما یعمّ غیر معلوم النجاسة لا الطاهر الواقعی،کما أنّ المراد بالملکیّة و الزوجیّة ما استند إلی سببٍ شرعیٍّ ظاهریٍّ،کما تدلّ علیه روایة حفص الواردة فی جواز الحلف علی ملکیّة ما أُخذ من ید المسلمین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التذکرة بعد ما حکی عن بعض الشافعیة جواز الاعتماد علی أصالة السلامة فی هذه الصورة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عندی فیه نظر،أقربه الاکتفاء بالحلف علی نفی العلم </w:t>
      </w:r>
      <w:r>
        <w:rPr>
          <w:rStyle w:val="FootnoteAnchor"/>
          <w:rtl w:val="true"/>
        </w:rPr>
        <w:footnoteReference w:id="13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استحسنه فی المسالک،قال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لاعتضاده بأصالة عدم التقدّم،فیحتاج المشتری إلی إثباته </w:t>
      </w:r>
      <w:r>
        <w:rPr>
          <w:rStyle w:val="FootnoteAnchor"/>
          <w:rtl w:val="true"/>
        </w:rPr>
        <w:footnoteReference w:id="13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سبقه إلی ذلک فی</w:t>
      </w:r>
      <w:bookmarkStart w:id="540" w:name="pg19864_220968"/>
    </w:p>
    <w:p>
      <w:pPr>
        <w:pStyle w:val="BookText"/>
        <w:rPr/>
      </w:pPr>
      <w:bookmarkEnd w:id="540"/>
      <w:r>
        <w:rPr>
          <w:rFonts w:ascii="Amiri" w:hAnsi="Amiri" w:eastAsia="Amiri" w:cs="Amiri"/>
          <w:color w:val="111111"/>
          <w:sz w:val="28"/>
          <w:sz w:val="28"/>
          <w:szCs w:val="28"/>
          <w:rtl w:val="true"/>
          <w:lang w:bidi="ar-SA"/>
        </w:rPr>
        <w:t xml:space="preserve">المیسیّة </w:t>
      </w:r>
      <w:r>
        <w:rPr>
          <w:rStyle w:val="FootnoteAnchor"/>
          <w:rtl w:val="true"/>
        </w:rPr>
        <w:footnoteReference w:id="1306"/>
      </w:r>
      <w:r>
        <w:rPr>
          <w:rFonts w:ascii="IRNazanin" w:hAnsi="IRNazanin" w:eastAsia="IRNazanin"/>
          <w:color w:val="111111"/>
          <w:sz w:val="28"/>
          <w:sz w:val="28"/>
          <w:szCs w:val="28"/>
          <w:rtl w:val="true"/>
          <w:lang w:bidi="fa-IR"/>
        </w:rPr>
        <w:t xml:space="preserve">،و تبعه فی الریاض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مراده الاکتفاء بالحلف علی نفی العلم فی إسقاط أصل الدعوی بحیث لا تسمع البیّنة بعد ذلک،ففیه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نعم،لو أُرید سقوط الدعوی إلی أن تقوم البیّنة،فله وجهٌ و إن استقرب فی مفتاح الکرامة أن لا یکتفی بذلک منه،فیردّ الحاکم الیمین علی المشتری، فیحلف </w:t>
      </w:r>
      <w:r>
        <w:rPr>
          <w:rStyle w:val="FootnoteAnchor"/>
          <w:rtl w:val="true"/>
        </w:rPr>
        <w:footnoteReference w:id="13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أوفق بالقواعد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الظاهر من عبارة التذکرة اختصاص یمین نفی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إذا لم یختبر البائع المبیع،بل عن 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لزوم الحلف مع الاختبار علی البتّ قولاً واحداً </w:t>
      </w:r>
      <w:r>
        <w:rPr>
          <w:rStyle w:val="FootnoteAnchor"/>
          <w:rtl w:val="true"/>
        </w:rPr>
        <w:footnoteReference w:id="13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الظاهر أنّ المفروض فی التذکرة صورة الحاجة إلی یمین نفی العلم؛إذ مع الاختبار یتمکّن من الحلف علی البتّ،فلا حاجة إلی عنوان مسألة الیمین علی نفی العلم، لا أنّ الیمین علی نفی العلم لا یکفی من البائع مع الاختبار،فافهم</w:t>
      </w:r>
      <w:r>
        <w:rPr>
          <w:rFonts w:eastAsia="IRNazanin" w:cs="IRNazanin"/>
          <w:color w:val="111111"/>
          <w:sz w:val="28"/>
          <w:szCs w:val="28"/>
          <w:rtl w:val="true"/>
          <w:lang w:bidi="fa-IR"/>
        </w:rPr>
        <w:t>.</w:t>
      </w:r>
    </w:p>
    <w:p>
      <w:pPr>
        <w:pStyle w:val="Heading6"/>
        <w:numPr>
          <w:ilvl w:val="5"/>
          <w:numId w:val="1"/>
        </w:numPr>
        <w:rPr/>
      </w:pPr>
      <w:bookmarkStart w:id="541" w:name="__RefHeading___Toc5148920_2314609296"/>
      <w:bookmarkStart w:id="542" w:name="_Toc205"/>
      <w:bookmarkEnd w:id="541"/>
      <w:r>
        <w:rPr>
          <w:rtl w:val="true"/>
        </w:rPr>
        <w:t>فرعٌ</w:t>
      </w:r>
      <w:r>
        <w:rPr>
          <w:rtl w:val="true"/>
        </w:rPr>
        <w:t>:</w:t>
      </w:r>
      <w:bookmarkEnd w:id="542"/>
    </w:p>
    <w:p>
      <w:pPr>
        <w:pStyle w:val="BookText"/>
        <w:rPr/>
      </w:pPr>
      <w:r>
        <w:rPr>
          <w:rFonts w:ascii="Amiri" w:hAnsi="Amiri" w:eastAsia="Amiri" w:cs="Amiri"/>
          <w:color w:val="111111"/>
          <w:sz w:val="28"/>
          <w:sz w:val="28"/>
          <w:szCs w:val="28"/>
          <w:rtl w:val="true"/>
          <w:lang w:bidi="ar-SA"/>
        </w:rPr>
        <w:t>لو باع الوکیل،فوجد به المشتری عیباً یوجب الردّ ردَّه علی الموکِّل؛</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المالک و الوکیل نائبٌ عنه بطلت وکالته بفعل ما أُمر به، فلا عهدة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اختلف الموکِّل و المشتری فی قِدَم العیب و حدوثه،فیحلف الموکِّل علی عدم التقدّم کما مرّ،و لا یُقبل إقرار الوکیل بقِدَمه؛لأنّه أجنبیٌّ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إذا کان المشتری جاهلاً بالوکالة و لم یتمکّن الوکیل من إقامة البیّنة فادّعی علی الوکیل بقِدَم العیب،فإن اعترف الوکیل بالتقدّم لم یملک الوکیل ردّه علی الموکِّل؛لأنّ إقرار الوکیل بالسبق دعوی بالنسبة إلی الموکِّل لا تُقبل إلّا بالبیّنة،فله إحلاف الموکِّل علی عدم السبق؛ لأنّه لو اعترف نَفَعَ الوکیلَ بدفع الظلامة عنه،فله علیه مع إنکاره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ردّ الیمین علی الوکیل فحلف علی السبق الزم الموکّل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أنکر الوکیل التقدّم حلف لیدفع عن نفسه الحقّ اللازم علیه لو اعترف و لم یتمکّن من الردّ علی الموکّل؛لأنّه لو أقرّ 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للمشتری تحلیف الموکِّل لأنّه مقرٌّ بالتوکیل؟ الظاهر لا؛لأنّ دعواه علی الوکیل یستلزم إنکار وکالته،و علی الموکِّل یستلزم الاعتراف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احتمل فی جامع المقاصد ثبوت ذلک له مؤاخذةً له بإقراره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إذا لم یحلف الوکیل و نکل فحلف المشتری الیمین المردودة و ردّ العین علی الوکیل،فهل للوکیل ردّها علی الموکّل أم لا؟ وجهان،بناهما فی القواعد علی کون الیمین المردودة کالبیّنة فینفذ فی حقّ الموکِّل،أو کإقرار المنکر،فلا ینفذ </w:t>
      </w:r>
      <w:r>
        <w:rPr>
          <w:rStyle w:val="FootnoteAnchor"/>
          <w:rtl w:val="true"/>
        </w:rPr>
        <w:footnoteReference w:id="13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نظر </w:t>
      </w:r>
      <w:r>
        <w:rPr>
          <w:rStyle w:val="FootnoteAnchor"/>
          <w:rtl w:val="true"/>
        </w:rPr>
        <w:footnoteReference w:id="1312"/>
      </w:r>
      <w:r>
        <w:rPr>
          <w:rFonts w:ascii="IRNazanin" w:hAnsi="IRNazanin" w:eastAsia="IRNazanin"/>
          <w:color w:val="111111"/>
          <w:sz w:val="28"/>
          <w:sz w:val="28"/>
          <w:szCs w:val="28"/>
          <w:rtl w:val="true"/>
          <w:lang w:bidi="fa-IR"/>
        </w:rPr>
        <w:t>فیه فی</w:t>
      </w:r>
      <w:bookmarkStart w:id="543" w:name="pg19864_220970"/>
    </w:p>
    <w:p>
      <w:pPr>
        <w:pStyle w:val="BookText"/>
        <w:rPr/>
      </w:pPr>
      <w:bookmarkEnd w:id="543"/>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کونها کالبیّنة لا یوجب نفوذها للوکیل علی الموکِّل؛ لأنّ الوکیل معترفٌ بعدم سبق العیب،فلا تنفعه البیّنة القائمة علی السبق الکاذبة باعترافه،قال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إلّا أن یکون إنکاره لسبق العیب استناداً إلی الأصل،بحیث لا ینافی ثبوته و لا دعوی ثبوته،کأن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حقّ لک علیَّ فی هذه الدعوی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المبیع عیبٌ یثبت لک به الردُّ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لا تمنع حینئذٍ تخریج المسألة علی القولین المذکورین </w:t>
      </w:r>
      <w:r>
        <w:rPr>
          <w:rStyle w:val="FootnoteAnchor"/>
          <w:rtl w:val="true"/>
        </w:rPr>
        <w:footnoteReference w:id="1313"/>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مفتاح الکرامة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اعتراضه مبنیٌّ علی کون الیمین المردودة کبیّنة الرادّ،و المعروف بینهم أنّه کبیّنة المدّعی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کبیّنة المدّعی لا ینافی عدم نفوذها للوکیل المکذِّب لها علی الموکّل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الکلام فی محلّه</w:t>
      </w:r>
      <w:r>
        <w:rPr>
          <w:rFonts w:eastAsia="IRNazanin" w:cs="IRNazanin"/>
          <w:color w:val="111111"/>
          <w:sz w:val="28"/>
          <w:szCs w:val="28"/>
          <w:rtl w:val="true"/>
          <w:lang w:bidi="fa-IR"/>
        </w:rPr>
        <w:t>.</w:t>
      </w:r>
    </w:p>
    <w:p>
      <w:pPr>
        <w:pStyle w:val="Heading6"/>
        <w:numPr>
          <w:ilvl w:val="5"/>
          <w:numId w:val="1"/>
        </w:numPr>
        <w:rPr/>
      </w:pPr>
      <w:bookmarkStart w:id="544" w:name="__RefHeading___Toc5148922_2314609296"/>
      <w:bookmarkStart w:id="545" w:name="_Toc206"/>
      <w:bookmarkEnd w:id="544"/>
      <w:r>
        <w:rPr>
          <w:rtl w:val="true"/>
        </w:rPr>
        <w:t>الرابعة لو رَدّ سلعةً بالعیب فأنکر البائع أنّها سلعته،</w:t>
      </w:r>
      <w:bookmarkEnd w:id="545"/>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 قول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التذکرة </w:t>
      </w:r>
      <w:r>
        <w:rPr>
          <w:rStyle w:val="FootnoteAnchor"/>
          <w:rtl w:val="true"/>
        </w:rPr>
        <w:footnoteReference w:id="1315"/>
      </w:r>
      <w:r>
        <w:rPr>
          <w:rFonts w:ascii="IRNazanin" w:hAnsi="IRNazanin" w:eastAsia="IRNazanin"/>
          <w:color w:val="111111"/>
          <w:sz w:val="28"/>
          <w:sz w:val="28"/>
          <w:szCs w:val="28"/>
          <w:rtl w:val="true"/>
          <w:lang w:bidi="fa-IR"/>
        </w:rPr>
        <w:t xml:space="preserve">و الدروس </w:t>
      </w:r>
      <w:r>
        <w:rPr>
          <w:rStyle w:val="FootnoteAnchor"/>
          <w:rtl w:val="true"/>
        </w:rPr>
        <w:footnoteReference w:id="1316"/>
      </w:r>
      <w:r>
        <w:rPr>
          <w:rFonts w:ascii="IRNazanin" w:hAnsi="IRNazanin" w:eastAsia="IRNazanin"/>
          <w:color w:val="111111"/>
          <w:sz w:val="28"/>
          <w:sz w:val="28"/>
          <w:szCs w:val="28"/>
          <w:rtl w:val="true"/>
          <w:lang w:bidi="fa-IR"/>
        </w:rPr>
        <w:t xml:space="preserve">و جامع المقاصد </w:t>
      </w:r>
      <w:r>
        <w:rPr>
          <w:rStyle w:val="FootnoteAnchor"/>
          <w:rtl w:val="true"/>
        </w:rPr>
        <w:footnoteReference w:id="1317"/>
      </w:r>
      <w:r>
        <w:rPr>
          <w:rFonts w:ascii="IRNazanin" w:hAnsi="IRNazanin" w:eastAsia="IRNazanin"/>
          <w:color w:val="111111"/>
          <w:sz w:val="28"/>
          <w:sz w:val="28"/>
          <w:szCs w:val="28"/>
          <w:rtl w:val="true"/>
          <w:lang w:bidi="fa-IR"/>
        </w:rPr>
        <w:t>لأصالة عدم حقٍّ له علیه، و أصالة عدم کونها سلعته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ما لو ردّها بخیارٍ فأنکر کونها</w:t>
      </w:r>
    </w:p>
    <w:p>
      <w:pPr>
        <w:pStyle w:val="BookText"/>
        <w:rPr/>
      </w:pPr>
      <w:r>
        <w:rPr>
          <w:rFonts w:ascii="IRNazanin" w:hAnsi="IRNazanin" w:eastAsia="IRNazanin"/>
          <w:color w:val="111111"/>
          <w:sz w:val="28"/>
          <w:sz w:val="28"/>
          <w:szCs w:val="28"/>
          <w:rtl w:val="true"/>
          <w:lang w:bidi="fa-IR"/>
        </w:rPr>
        <w:t xml:space="preserve">له،فأحتمل هنا فی التذکرة و القواعد تقدیم قول المشتری </w:t>
      </w:r>
      <w:r>
        <w:rPr>
          <w:rStyle w:val="FootnoteAnchor"/>
          <w:rtl w:val="true"/>
        </w:rPr>
        <w:footnoteReference w:id="1318"/>
      </w:r>
      <w:r>
        <w:rPr>
          <w:rFonts w:ascii="IRNazanin" w:hAnsi="IRNazanin" w:eastAsia="IRNazanin"/>
          <w:color w:val="111111"/>
          <w:sz w:val="28"/>
          <w:sz w:val="28"/>
          <w:szCs w:val="28"/>
          <w:rtl w:val="true"/>
          <w:lang w:bidi="fa-IR"/>
        </w:rPr>
        <w:t xml:space="preserve">،و نسبه فی التحریر إلی القیل </w:t>
      </w:r>
      <w:r>
        <w:rPr>
          <w:rStyle w:val="FootnoteAnchor"/>
          <w:rtl w:val="true"/>
        </w:rPr>
        <w:footnoteReference w:id="1319"/>
      </w:r>
      <w:r>
        <w:rPr>
          <w:rFonts w:ascii="IRNazanin" w:hAnsi="IRNazanin" w:eastAsia="IRNazanin"/>
          <w:color w:val="111111"/>
          <w:sz w:val="28"/>
          <w:sz w:val="28"/>
          <w:szCs w:val="28"/>
          <w:rtl w:val="true"/>
          <w:lang w:bidi="fa-IR"/>
        </w:rPr>
        <w:t>لاتّفاقهما علی استحقاق الفسخ بعد أن احتمل مساواتها للمسألة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النزاع فی کون السلعة سلعة البائع یجتمع مع الخلاف فی الخیار و مع الاتّفاق علیه،کما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ظاهر المسألة الأُولی کون الاختلاف فی ثبوت خیار العیب ناشئاً عن کون السلعة هذه المعیوبة أو غیرها،و الحکم بتقدیم </w:t>
      </w:r>
      <w:r>
        <w:rPr>
          <w:rStyle w:val="FootnoteAnchor"/>
          <w:rtl w:val="true"/>
        </w:rPr>
        <w:footnoteReference w:id="1320"/>
      </w:r>
      <w:r>
        <w:rPr>
          <w:rFonts w:ascii="IRNazanin" w:hAnsi="IRNazanin" w:eastAsia="IRNazanin"/>
          <w:color w:val="111111"/>
          <w:sz w:val="28"/>
          <w:sz w:val="28"/>
          <w:szCs w:val="28"/>
          <w:rtl w:val="true"/>
          <w:lang w:bidi="fa-IR"/>
        </w:rPr>
        <w:t>قول البائع مع یمینه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اتّفقا علی الخیار و اختلفا فی السلعة،فلذی الخیار حینئذٍ الفسخ من دون توقّفٍ علی کون هذه السلعة هی المبیعة أو غیرها،فإذا فسخ و أراد ردّ السلعة فأنکرها البائع،فلا وجه لتقدیم قول المشتری مع أصالة عدم کون السلعة هی التی وقع العقد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نعم،استدلّ علیه فی الإیضاح بعد ما قوّاه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الاتّفاق منهما علی عدم لزوم البیع و استحقاق الفسخ،و الاختلاف فی موضعین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خیانة المشتری فیدّعیها البائع بتغیّر السلعة و المشتری ینکرها، و الأصل 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سقوط حقّ الخیار الثابت للمشتری،فالبائع یدّعیه و المشتری ینکره و الأصل بقاؤه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تبعه فی الدروس،حیث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أنکر البائع کون المبیع مبیعه</w:t>
      </w:r>
    </w:p>
    <w:p>
      <w:pPr>
        <w:pStyle w:val="BookText"/>
        <w:rPr/>
      </w:pPr>
      <w:r>
        <w:rPr>
          <w:rFonts w:ascii="IRNazanin" w:hAnsi="IRNazanin" w:eastAsia="IRNazanin"/>
          <w:color w:val="111111"/>
          <w:sz w:val="28"/>
          <w:sz w:val="28"/>
          <w:szCs w:val="28"/>
          <w:rtl w:val="true"/>
          <w:lang w:bidi="fa-IR"/>
        </w:rPr>
        <w:t xml:space="preserve">حلف،و لو صدّقه علی کون المبیع معیوباً و أنکر تعیین المشتری حلف المشتری </w:t>
      </w:r>
      <w:r>
        <w:rPr>
          <w:rStyle w:val="FootnoteAnchor"/>
          <w:rtl w:val="true"/>
        </w:rPr>
        <w:footnoteReference w:id="132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دعوی الخیانة،فلو احتاجت إلی الإثبات و لو کان معها أصالة عدم کون المال الخاصّ هو المبیع،لوجب القول بتقدیم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w:t>
      </w:r>
      <w:r>
        <w:rPr>
          <w:rStyle w:val="FootnoteAnchor"/>
          <w:rtl w:val="true"/>
        </w:rPr>
        <w:footnoteReference w:id="13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المشتری فی المسألة الأُولی و إن کانت هناک أُصولٌ متعدّدةٌ علی ما ذکرها فی الإیضاح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أصالة عدم الخیار،و عدم حدوث العیب،و صحّة القبض بمعنی خروج البائع من ضمانه لأنّ أصالة عدم الخیانة مستندها ظهور حال المسلم،و هو واردٌ علی جمیع الأُصول العدمیّة </w:t>
      </w:r>
      <w:r>
        <w:rPr>
          <w:rStyle w:val="FootnoteAnchor"/>
          <w:rtl w:val="true"/>
        </w:rPr>
        <w:footnoteReference w:id="1324"/>
      </w:r>
      <w:r>
        <w:rPr>
          <w:rFonts w:ascii="IRNazanin" w:hAnsi="IRNazanin" w:eastAsia="IRNazanin"/>
          <w:color w:val="111111"/>
          <w:sz w:val="28"/>
          <w:sz w:val="28"/>
          <w:szCs w:val="28"/>
          <w:rtl w:val="true"/>
          <w:lang w:bidi="fa-IR"/>
        </w:rPr>
        <w:t>،نظیر أصالة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أصالة صحّة القبض،فلم نتحقّق معناها و إن فسّرناها من قِبَله بما ذکرنا،لکن أصالة الصّحة لا تنفع لإثبات لزوم القبض</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دعوی سقوط حقّ الخیار فهی انّما تجدی إذا کان الخیار المتّفق علیه لأجل العیب کما فرضه فی الدروس و إلّا فأکثر الخیارات ممّا أجمع علی بقائه مع التلف،مع أنّ أصالة عدم سقوط الخیار لا تُثبت إلّا ثبوته،لا وجوب قبول هذه السلعة إلّا من جهة التلازم الواقعی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لعلّ نظر الدروس إلی ذلک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bookmarkStart w:id="546" w:name="pg19864_220973"/>
    </w:p>
    <w:p>
      <w:pPr>
        <w:pStyle w:val="Heading6"/>
        <w:numPr>
          <w:ilvl w:val="5"/>
          <w:numId w:val="1"/>
        </w:numPr>
        <w:rPr/>
      </w:pPr>
      <w:bookmarkStart w:id="547" w:name="__RefHeading___Toc5148924_2314609296"/>
      <w:bookmarkStart w:id="548" w:name="_Toc207"/>
      <w:bookmarkEnd w:id="546"/>
      <w:bookmarkEnd w:id="547"/>
      <w:r>
        <w:rPr>
          <w:rtl w:val="true"/>
        </w:rPr>
        <w:t>و أمّا الثانی</w:t>
      </w:r>
      <w:bookmarkEnd w:id="548"/>
    </w:p>
    <w:p>
      <w:pPr>
        <w:pStyle w:val="BookText"/>
        <w:rPr/>
      </w:pPr>
      <w:r>
        <w:rPr>
          <w:rFonts w:ascii="IRNazanin" w:hAnsi="IRNazanin" w:eastAsia="IRNazanin"/>
          <w:color w:val="111111"/>
          <w:sz w:val="28"/>
          <w:sz w:val="28"/>
          <w:szCs w:val="28"/>
          <w:rtl w:val="true"/>
          <w:lang w:bidi="fa-IR"/>
        </w:rPr>
        <w:t xml:space="preserve">و أمّا الثانی </w:t>
      </w:r>
      <w:r>
        <w:rPr>
          <w:rStyle w:val="FootnoteAnchor"/>
          <w:rtl w:val="true"/>
        </w:rPr>
        <w:footnoteReference w:id="1326"/>
      </w:r>
      <w:r>
        <w:rPr>
          <w:rFonts w:ascii="IRNazanin" w:hAnsi="IRNazanin" w:eastAsia="IRNazanin"/>
          <w:color w:val="111111"/>
          <w:sz w:val="28"/>
          <w:sz w:val="28"/>
          <w:szCs w:val="28"/>
          <w:rtl w:val="true"/>
          <w:lang w:bidi="fa-IR"/>
        </w:rPr>
        <w:t>و هو الاختلاف فی المسقط ففیه أیضاً مسائل</w:t>
      </w:r>
      <w:r>
        <w:rPr>
          <w:rFonts w:eastAsia="IRNazanin" w:cs="IRNazanin"/>
          <w:color w:val="111111"/>
          <w:sz w:val="28"/>
          <w:szCs w:val="28"/>
          <w:rtl w:val="true"/>
          <w:lang w:bidi="fa-IR"/>
        </w:rPr>
        <w:t>:</w:t>
      </w:r>
    </w:p>
    <w:p>
      <w:pPr>
        <w:pStyle w:val="Heading6"/>
        <w:numPr>
          <w:ilvl w:val="5"/>
          <w:numId w:val="1"/>
        </w:numPr>
        <w:rPr/>
      </w:pPr>
      <w:bookmarkStart w:id="549" w:name="__RefHeading___Toc5148926_2314609296"/>
      <w:bookmarkStart w:id="550" w:name="_Toc208"/>
      <w:bookmarkEnd w:id="549"/>
      <w:r>
        <w:rPr>
          <w:rtl w:val="true"/>
        </w:rPr>
        <w:t>الاُولی لو اختلفا فی علم المشتری بالعیب و عدمه</w:t>
      </w:r>
      <w:bookmarkEnd w:id="550"/>
    </w:p>
    <w:p>
      <w:pPr>
        <w:pStyle w:val="BookText"/>
        <w:rPr/>
      </w:pPr>
      <w:r>
        <w:rPr>
          <w:rFonts w:ascii="IRNazanin" w:hAnsi="IRNazanin" w:eastAsia="IRNazanin"/>
          <w:color w:val="111111"/>
          <w:sz w:val="28"/>
          <w:sz w:val="28"/>
          <w:szCs w:val="28"/>
          <w:rtl w:val="true"/>
          <w:lang w:bidi="fa-IR"/>
        </w:rPr>
        <w:t>قدّم منکر العلم،فیثبت الخیار</w:t>
      </w:r>
      <w:r>
        <w:rPr>
          <w:rFonts w:eastAsia="IRNazanin" w:cs="IRNazanin"/>
          <w:color w:val="111111"/>
          <w:sz w:val="28"/>
          <w:szCs w:val="28"/>
          <w:rtl w:val="true"/>
          <w:lang w:bidi="fa-IR"/>
        </w:rPr>
        <w:t>.</w:t>
      </w:r>
    </w:p>
    <w:p>
      <w:pPr>
        <w:pStyle w:val="Heading6"/>
        <w:numPr>
          <w:ilvl w:val="5"/>
          <w:numId w:val="1"/>
        </w:numPr>
        <w:rPr/>
      </w:pPr>
      <w:bookmarkStart w:id="551" w:name="__RefHeading___Toc5148928_2314609296"/>
      <w:bookmarkStart w:id="552" w:name="_Toc209"/>
      <w:bookmarkEnd w:id="551"/>
      <w:r>
        <w:rPr>
          <w:rtl w:val="true"/>
        </w:rPr>
        <w:t>الثانیة لو اختلفا فی زواله قبل علم المشتری أو بعده</w:t>
      </w:r>
      <w:bookmarkEnd w:id="552"/>
    </w:p>
    <w:p>
      <w:pPr>
        <w:pStyle w:val="BookText"/>
        <w:rPr/>
      </w:pPr>
      <w:r>
        <w:rPr>
          <w:rFonts w:ascii="IRNazanin" w:hAnsi="IRNazanin" w:eastAsia="IRNazanin"/>
          <w:color w:val="111111"/>
          <w:sz w:val="28"/>
          <w:sz w:val="28"/>
          <w:szCs w:val="28"/>
          <w:rtl w:val="true"/>
          <w:lang w:bidi="fa-IR"/>
        </w:rPr>
        <w:t>علی القول بأنّ زواله بعد العلم لا یُسقط الأرش بل و لا الردّ ففی تقدیم مدّعی البقاء فیثبت الخیار لأصالة بقائه و عدم زواله المسقط للخیار،أو تقدیم مدّعی عدم ثبوت الخیار؛لأنّ سببه أو شرطه العلم به حال وجوده و هو غیر ثابتٍ فالأصل لزوم العقد و عدم الخیار،وجهان،أقواهما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العبارة المتقدّمة من التذکرة </w:t>
      </w:r>
      <w:r>
        <w:rPr>
          <w:rStyle w:val="FootnoteAnchor"/>
          <w:rtl w:val="true"/>
        </w:rPr>
        <w:footnoteReference w:id="1327"/>
      </w:r>
      <w:r>
        <w:rPr>
          <w:rFonts w:ascii="IRNazanin" w:hAnsi="IRNazanin" w:eastAsia="IRNazanin"/>
          <w:color w:val="111111"/>
          <w:sz w:val="28"/>
          <w:sz w:val="28"/>
          <w:szCs w:val="28"/>
          <w:rtl w:val="true"/>
          <w:lang w:bidi="fa-IR"/>
        </w:rPr>
        <w:t>فی سقوط الردّ بزوال العیب قبل العلم أو بعده قبل الردّ تومئ إلی الثانی،فراجع</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اختلفا بعد حدوث عیبٍ جدیدٍ و زوال أحد العیبین فی کون الزائل هو القدیم حتّی لا یکون خیارٌ أو الحادث حتّی یثبت الخیار، فمقتضی القاعدة بقاء القدیم الموجب للخیار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یعارضه أصالة بقاء الجدید؛لأنّ بقاء الجدید لا یوجب بنفسه سقوط الخیار إلّا من حیث</w:t>
      </w:r>
      <w:bookmarkStart w:id="553" w:name="pg19864_220974"/>
    </w:p>
    <w:p>
      <w:pPr>
        <w:pStyle w:val="BookText"/>
        <w:rPr/>
      </w:pPr>
      <w:bookmarkEnd w:id="553"/>
      <w:r>
        <w:rPr>
          <w:rFonts w:ascii="IRNazanin" w:hAnsi="IRNazanin" w:eastAsia="IRNazanin"/>
          <w:color w:val="111111"/>
          <w:sz w:val="28"/>
          <w:sz w:val="28"/>
          <w:szCs w:val="28"/>
          <w:rtl w:val="true"/>
          <w:lang w:bidi="fa-IR"/>
        </w:rPr>
        <w:t>استلزامه لزوال القدیم،و قد ثبت فی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أصالة عدم أحد الضدّین لا یثبت وجود الضدّ الآخر لیترتّب علیه حکمه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المحکیّ فی التذکرة عن الشافعی فی مثله التحالف،قال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اشتری عبداً و حدث فی ید المشتری </w:t>
      </w:r>
      <w:r>
        <w:rPr>
          <w:rStyle w:val="FootnoteAnchor"/>
          <w:rtl w:val="true"/>
        </w:rPr>
        <w:footnoteReference w:id="1329"/>
      </w:r>
      <w:r>
        <w:rPr>
          <w:rFonts w:ascii="IRNazanin" w:hAnsi="IRNazanin" w:eastAsia="IRNazanin"/>
          <w:color w:val="111111"/>
          <w:sz w:val="28"/>
          <w:sz w:val="28"/>
          <w:szCs w:val="28"/>
          <w:rtl w:val="true"/>
          <w:lang w:bidi="fa-IR"/>
        </w:rPr>
        <w:t>نکتة بیاضٍ بعینه،و وجد نکتة قدیمة،ثمّ زالت إحداهما،فقال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الزائلة القدیمة فلا ردّ و لا أرش،و قال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الحادثة و لِیَ الردّ،قال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یحلفان علی ما یقولان،فإذا حلفا استفاد البائع بیمینه دفع الردّ و استفاد المشتری بیمینه أخذ الأرش </w:t>
      </w:r>
      <w:r>
        <w:rPr>
          <w:rStyle w:val="FootnoteAnchor"/>
          <w:rtl w:val="true"/>
        </w:rPr>
        <w:footnoteReference w:id="133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6"/>
        <w:numPr>
          <w:ilvl w:val="5"/>
          <w:numId w:val="1"/>
        </w:numPr>
        <w:rPr/>
      </w:pPr>
      <w:bookmarkStart w:id="554" w:name="__RefHeading___Toc5148930_2314609296"/>
      <w:bookmarkStart w:id="555" w:name="_Toc210"/>
      <w:bookmarkEnd w:id="554"/>
      <w:r>
        <w:rPr>
          <w:rtl w:val="true"/>
        </w:rPr>
        <w:t>الثالثة لو کان عیبٌ مشاهداً</w:t>
      </w:r>
      <w:bookmarkEnd w:id="555"/>
    </w:p>
    <w:p>
      <w:pPr>
        <w:pStyle w:val="BookText"/>
        <w:rPr/>
      </w:pPr>
      <w:r>
        <w:rPr>
          <w:rFonts w:ascii="IRNazanin" w:hAnsi="IRNazanin" w:eastAsia="IRNazanin"/>
          <w:color w:val="111111"/>
          <w:sz w:val="28"/>
          <w:sz w:val="28"/>
          <w:szCs w:val="28"/>
          <w:rtl w:val="true"/>
          <w:lang w:bidi="fa-IR"/>
        </w:rPr>
        <w:t xml:space="preserve">الثالثة لو کان عیبٌ مشاهداً </w:t>
      </w:r>
      <w:r>
        <w:rPr>
          <w:rStyle w:val="FootnoteAnchor"/>
          <w:rtl w:val="true"/>
        </w:rPr>
        <w:footnoteReference w:id="1331"/>
      </w:r>
      <w:r>
        <w:rPr>
          <w:rFonts w:ascii="IRNazanin" w:hAnsi="IRNazanin" w:eastAsia="IRNazanin"/>
          <w:color w:val="111111"/>
          <w:sz w:val="28"/>
          <w:sz w:val="28"/>
          <w:szCs w:val="28"/>
          <w:rtl w:val="true"/>
          <w:lang w:bidi="fa-IR"/>
        </w:rPr>
        <w:t>غیر المتّفق علیه،</w:t>
      </w:r>
    </w:p>
    <w:p>
      <w:pPr>
        <w:pStyle w:val="BookText"/>
        <w:rPr/>
      </w:pPr>
      <w:r>
        <w:rPr>
          <w:rFonts w:ascii="IRNazanin" w:hAnsi="IRNazanin" w:eastAsia="IRNazanin"/>
          <w:color w:val="111111"/>
          <w:sz w:val="28"/>
          <w:sz w:val="28"/>
          <w:szCs w:val="28"/>
          <w:rtl w:val="true"/>
          <w:lang w:bidi="fa-IR"/>
        </w:rPr>
        <w:t>فادّعی البائع حدوثه عند المشتری و المشتری سبقه،ففی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کالعیب المنفرد </w:t>
      </w:r>
      <w:r>
        <w:rPr>
          <w:rStyle w:val="FootnoteAnchor"/>
          <w:rtl w:val="true"/>
        </w:rPr>
        <w:footnoteReference w:id="1332"/>
      </w:r>
      <w:r>
        <w:rPr>
          <w:rFonts w:ascii="IRNazanin" w:hAnsi="IRNazanin" w:eastAsia="IRNazanin"/>
          <w:color w:val="111111"/>
          <w:sz w:val="28"/>
          <w:sz w:val="28"/>
          <w:szCs w:val="28"/>
          <w:rtl w:val="true"/>
          <w:lang w:bidi="fa-IR"/>
        </w:rPr>
        <w:t>،یعنی أنّه یحلف البائع کما لو لم یکن سوی هذا العیب و اختلفا فی السبق و التأخّر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لعله لأصالة عدم التقدّم</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عدم التقدّم هناک راجعٌ إلی عدم سبب</w:t>
      </w:r>
      <w:bookmarkStart w:id="556" w:name="pg19864_220975"/>
    </w:p>
    <w:p>
      <w:pPr>
        <w:pStyle w:val="BookText"/>
        <w:rPr/>
      </w:pPr>
      <w:bookmarkEnd w:id="556"/>
      <w:r>
        <w:rPr>
          <w:rFonts w:ascii="IRNazanin" w:hAnsi="IRNazanin" w:eastAsia="IRNazanin"/>
          <w:color w:val="111111"/>
          <w:sz w:val="28"/>
          <w:sz w:val="28"/>
          <w:szCs w:val="28"/>
          <w:rtl w:val="true"/>
          <w:lang w:bidi="fa-IR"/>
        </w:rPr>
        <w:t>الخیار،و أمّا هنا فلا یرجع إلی ثبوت المسقط،بل المسقط هو حدوث العیب عند المشتری،و قد مرّ غیر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أصالة التأخّر لا یثبت بها حدوث الحادث فی الزمان المتأخّر،و إنّما یثبت </w:t>
      </w:r>
      <w:r>
        <w:rPr>
          <w:rStyle w:val="FootnoteAnchor"/>
          <w:rtl w:val="true"/>
        </w:rPr>
        <w:footnoteReference w:id="1333"/>
      </w:r>
      <w:r>
        <w:rPr>
          <w:rFonts w:ascii="IRNazanin" w:hAnsi="IRNazanin" w:eastAsia="IRNazanin"/>
          <w:color w:val="111111"/>
          <w:sz w:val="28"/>
          <w:sz w:val="28"/>
          <w:szCs w:val="28"/>
          <w:rtl w:val="true"/>
          <w:lang w:bidi="fa-IR"/>
        </w:rPr>
        <w:t>عدم التقدّم الذی لا یثبت به التأخّر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فی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ادّعی البائع زیادة العیب عند المشتری و أنکر احتمل حلف المشتری لأنّ الخیار متیقّنٌ و الزیادة موهومةٌ، و یحتمل حلف البائع إجراءً للزیادة مجری العیب الجدید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الحکم فی العیب الجدید و أنّ حلف البائع فیه محلّ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بدّ من فرض المسألة فیما لو اختلفا فی مقدارٍ من العیب موجودٍ زائدٍ علی المقدار </w:t>
      </w:r>
      <w:r>
        <w:rPr>
          <w:rStyle w:val="FootnoteAnchor"/>
          <w:rtl w:val="true"/>
        </w:rPr>
        <w:footnoteReference w:id="1335"/>
      </w:r>
      <w:r>
        <w:rPr>
          <w:rFonts w:ascii="IRNazanin" w:hAnsi="IRNazanin" w:eastAsia="IRNazanin"/>
          <w:color w:val="111111"/>
          <w:sz w:val="28"/>
          <w:sz w:val="28"/>
          <w:szCs w:val="28"/>
          <w:rtl w:val="true"/>
          <w:lang w:bidi="fa-IR"/>
        </w:rPr>
        <w:t>المتّفق علیه أنّه کان متقدّماً أو متأخّراً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اختلفا فی أصل الزیادة،فلا إشکال فی تقدیم قول المشتری</w:t>
      </w:r>
      <w:r>
        <w:rPr>
          <w:rFonts w:eastAsia="IRNazanin" w:cs="IRNazanin"/>
          <w:color w:val="111111"/>
          <w:sz w:val="28"/>
          <w:szCs w:val="28"/>
          <w:rtl w:val="true"/>
          <w:lang w:bidi="fa-IR"/>
        </w:rPr>
        <w:t>.</w:t>
      </w:r>
    </w:p>
    <w:p>
      <w:pPr>
        <w:pStyle w:val="Heading6"/>
        <w:numPr>
          <w:ilvl w:val="5"/>
          <w:numId w:val="1"/>
        </w:numPr>
        <w:rPr/>
      </w:pPr>
      <w:bookmarkStart w:id="557" w:name="__RefHeading___Toc5148932_2314609296"/>
      <w:bookmarkStart w:id="558" w:name="_Toc211"/>
      <w:bookmarkEnd w:id="557"/>
      <w:r>
        <w:rPr>
          <w:rtl w:val="true"/>
        </w:rPr>
        <w:t>الرابعة لو اختلفا فی البراءة قدّم منکرها،</w:t>
      </w:r>
      <w:bookmarkEnd w:id="558"/>
    </w:p>
    <w:p>
      <w:pPr>
        <w:pStyle w:val="BookText"/>
        <w:rPr/>
      </w:pPr>
      <w:r>
        <w:rPr>
          <w:rFonts w:ascii="IRNazanin" w:hAnsi="IRNazanin" w:eastAsia="IRNazanin"/>
          <w:color w:val="111111"/>
          <w:sz w:val="28"/>
          <w:sz w:val="28"/>
          <w:szCs w:val="28"/>
          <w:rtl w:val="true"/>
          <w:lang w:bidi="fa-IR"/>
        </w:rPr>
        <w:t>فیثبت الخیار؛لأصالة عدمها الحاکمة علی أصالة لزوم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یتراءی من مکاتبة جعفر بن عیسی خلاف ذلک،قال</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أبی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المتاع یباع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فینادی علیه المنادی،فإذا نادی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بریء من کلّ عیبٍ فیه، فإذا اشتراه المشتری و رضیه و لم یبقَ إلّا نقد الثمن فربّما زهد فیه،فإذا زهد فیه ادّعی عیوباً و أنّه لم یعلم بها،فیقول له المنادی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برئت منها،فیقول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أسمع البراءة منها،أ یصدَّق فلا یجب علیه،أم لا یصدَّق؟فکتب علیه السلام أنّ علیه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المحقّق الأردبیلی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یلتفت الی هذا الخبر لضعفه مع الکتابة و مخالفة القاعدة </w:t>
      </w:r>
      <w:r>
        <w:rPr>
          <w:rStyle w:val="FootnoteAnchor"/>
          <w:rtl w:val="true"/>
        </w:rPr>
        <w:footnoteReference w:id="133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أبعد ما بینه و بین ما فی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جعل الروایة مؤیّدة 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المدّعی و الیمین علی من أنکر</w:t>
      </w:r>
      <w:r>
        <w:rPr>
          <w:rFonts w:eastAsia="IRNazanin" w:cs="IRNazanin"/>
          <w:color w:val="111111"/>
          <w:sz w:val="28"/>
          <w:szCs w:val="28"/>
          <w:rtl w:val="true"/>
          <w:lang w:bidi="fa-IR"/>
        </w:rPr>
        <w:t xml:space="preserve">» </w:t>
      </w:r>
      <w:r>
        <w:rPr>
          <w:rStyle w:val="FootnoteAnchor"/>
          <w:rtl w:val="true"/>
        </w:rPr>
        <w:footnoteReference w:id="1338"/>
      </w:r>
      <w:r>
        <w:rPr>
          <w:rFonts w:ascii="Amiri" w:hAnsi="Amiri" w:eastAsia="Amiri" w:cs="Amiri"/>
          <w:color w:val="111111"/>
          <w:sz w:val="28"/>
          <w:sz w:val="28"/>
          <w:szCs w:val="28"/>
          <w:rtl w:val="true"/>
          <w:lang w:bidi="ar-SA"/>
        </w:rPr>
        <w:t>،و فی کلٍّ منهما نظر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المفهوم من مساق الخبر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إنکار المشتری إنّما وقع مدالسةً؛لعدم رغبته فی المبیع،و إلّا فهو عالمٌ بتبرّی البائع،و الإمام علیه السلام إنّما ألزمه بالثمن من هذه الجهة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مراد السائل لیس حکم العالم بالتبرّی المنکر له فیما بینه و بین اللّٰه،بل الظاهر من سیاق السؤال استعلام من یقدّم قوله فی ظاهر الشرع من البائع و المشتری،مع أنّ حکم العالم بالتبرّی المنکر له مکابرةً معلومٌ لکلّ أحدٍ،خصوصاً للسائل،کما یشهد به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یصدَّق أم لا یصدَّق؟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 علی وضوح حکم صورتی صدقه و کذبه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 توجیه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الحکم بتقدیم قول المنادی لجریان العادة بنداء الدلّال عند البیع بالبراءة من العیوب علی وجهٍ یسمعه کلّ من حضر للشراء،فدعوی المشتری مخالفةٌ للظاهر،نظیر دعوی الغبن و الغفلة عن القیمة ممّن لا یخفی علیه قیمة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 الروایة إشکالٌ آخر؛من حیث إنّ البراءة من العیوب عند نداء المنادی لا یجدی فی سقوط خیار العیب،بل یعتبر وقوعه فی متن العقد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التفصّی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بالتزام کفایة تقدّم الشرط علی العقد بعد وقوع العقد علیه،کما تقدّم </w:t>
      </w:r>
      <w:r>
        <w:rPr>
          <w:rStyle w:val="FootnoteAnchor"/>
          <w:rtl w:val="true"/>
        </w:rPr>
        <w:footnoteReference w:id="1340"/>
      </w:r>
      <w:r>
        <w:rPr>
          <w:rFonts w:ascii="IRNazanin" w:hAnsi="IRNazanin" w:eastAsia="IRNazanin"/>
          <w:color w:val="111111"/>
          <w:sz w:val="28"/>
          <w:sz w:val="28"/>
          <w:szCs w:val="28"/>
          <w:rtl w:val="true"/>
          <w:lang w:bidi="fa-IR"/>
        </w:rPr>
        <w:t>فی باب الشروط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بدعوی أنّ نداء الدلّال بمنزلة الإیجاب؛لأنّه لا ینادی إلّا بعد أن یرغب فیه أحد الحضّار بقیمته،فینادی الدلّال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هذا الموجود بکلّ عیبٍ، و یکرّر ذلک مراراً من دون أن یتمّ الإیجاب حتّی یتمکّن من إبطاله عند زیادة من زاد،و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نداءه إیجاباً للبیع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أبیت إلّا عن أنّ المتعارف فی الدلّال کون ندائه قبل إیجاب البیع،أمکن دعوی کون المتعارف فی ذلک الزمان غیر ذلک،مع أنّ الروایة لا تصریح فیها بکون البراءة فی النداء قبل الإیجاب،کما لا یخفی</w:t>
      </w:r>
      <w:r>
        <w:rPr>
          <w:rFonts w:eastAsia="IRNazanin" w:cs="IRNazanin"/>
          <w:color w:val="111111"/>
          <w:sz w:val="28"/>
          <w:szCs w:val="28"/>
          <w:rtl w:val="true"/>
          <w:lang w:bidi="fa-IR"/>
        </w:rPr>
        <w:t>.</w:t>
      </w:r>
      <w:bookmarkStart w:id="559" w:name="pg19864_220978"/>
    </w:p>
    <w:p>
      <w:pPr>
        <w:pStyle w:val="BookText"/>
        <w:rPr/>
      </w:pPr>
      <w:bookmarkEnd w:id="559"/>
      <w:r>
        <w:rPr>
          <w:rFonts w:ascii="IRNazanin" w:hAnsi="IRNazanin" w:eastAsia="IRNazanin"/>
          <w:color w:val="111111"/>
          <w:sz w:val="28"/>
          <w:sz w:val="28"/>
          <w:szCs w:val="28"/>
          <w:rtl w:val="true"/>
          <w:lang w:bidi="fa-IR"/>
        </w:rPr>
        <w:t>ثمّ الحلف هنا علی نفی العلم بالبراءة؛لأنّه الموجب لسقوط الخیار لا انتفاء البراءة واقعاً</w:t>
      </w:r>
      <w:r>
        <w:rPr>
          <w:rFonts w:eastAsia="IRNazanin" w:cs="IRNazanin"/>
          <w:color w:val="111111"/>
          <w:sz w:val="28"/>
          <w:szCs w:val="28"/>
          <w:rtl w:val="true"/>
          <w:lang w:bidi="fa-IR"/>
        </w:rPr>
        <w:t>.</w:t>
      </w:r>
    </w:p>
    <w:p>
      <w:pPr>
        <w:pStyle w:val="Heading6"/>
        <w:numPr>
          <w:ilvl w:val="5"/>
          <w:numId w:val="1"/>
        </w:numPr>
        <w:rPr/>
      </w:pPr>
      <w:bookmarkStart w:id="560" w:name="__RefHeading___Toc5148934_2314609296"/>
      <w:bookmarkStart w:id="561" w:name="_Toc212"/>
      <w:bookmarkEnd w:id="560"/>
      <w:r>
        <w:rPr>
          <w:rtl w:val="true"/>
        </w:rPr>
        <w:t>الخامسة لو ادّعی البائع رضا المشتری به بعد العلم أو إسقاط الخیار أو تصرّفه فیه أو حدوث عیبٍ عنده،</w:t>
      </w:r>
      <w:bookmarkEnd w:id="561"/>
    </w:p>
    <w:p>
      <w:pPr>
        <w:pStyle w:val="BookText"/>
        <w:rPr/>
      </w:pPr>
      <w:r>
        <w:rPr>
          <w:rFonts w:ascii="IRNazanin" w:hAnsi="IRNazanin" w:eastAsia="IRNazanin"/>
          <w:color w:val="111111"/>
          <w:sz w:val="28"/>
          <w:sz w:val="28"/>
          <w:szCs w:val="28"/>
          <w:rtl w:val="true"/>
          <w:lang w:bidi="fa-IR"/>
        </w:rPr>
        <w:t>حلف المشتری؛لأصالة عدم هذه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وُجد فی المعیب عیبٌ اختلفا فی حدوثه و قِدَمِه،ففی تقدیم مدّعی الحدوث؛لأصالة عدم تقدّمه کما تقدّم سابقاً فی دعوی تقدّم العیب و تأخّره </w:t>
      </w:r>
      <w:r>
        <w:rPr>
          <w:rStyle w:val="FootnoteAnchor"/>
          <w:rtl w:val="true"/>
        </w:rPr>
        <w:footnoteReference w:id="1341"/>
      </w:r>
      <w:r>
        <w:rPr>
          <w:rFonts w:ascii="IRNazanin" w:hAnsi="IRNazanin" w:eastAsia="IRNazanin"/>
          <w:color w:val="111111"/>
          <w:sz w:val="28"/>
          <w:sz w:val="28"/>
          <w:szCs w:val="28"/>
          <w:rtl w:val="true"/>
          <w:lang w:bidi="fa-IR"/>
        </w:rPr>
        <w:t xml:space="preserve">أو مدّعی عدمه؛لأصالة بقاء الخیار الثابت بالعقد علی المعیب و الشک فی سقوطه بحدوث العیب الآخر فی ضمان المشتری، فالأصل عدم وقوع العقد علی السلیم من هذا العیب حتّی یضمنه المشتری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62" w:name="__RefHeading___Toc5148936_2314609296"/>
      <w:bookmarkStart w:id="563" w:name="_Toc213"/>
      <w:bookmarkEnd w:id="562"/>
      <w:r>
        <w:rPr>
          <w:rtl w:val="true"/>
        </w:rPr>
        <w:t>و أمّا الثالث</w:t>
      </w:r>
      <w:bookmarkEnd w:id="563"/>
    </w:p>
    <w:p>
      <w:pPr>
        <w:pStyle w:val="BookText"/>
        <w:rPr/>
      </w:pPr>
      <w:r>
        <w:rPr>
          <w:rFonts w:ascii="IRNazanin" w:hAnsi="IRNazanin" w:eastAsia="IRNazanin"/>
          <w:color w:val="111111"/>
          <w:sz w:val="28"/>
          <w:sz w:val="28"/>
          <w:szCs w:val="28"/>
          <w:rtl w:val="true"/>
          <w:lang w:bidi="fa-IR"/>
        </w:rPr>
        <w:t xml:space="preserve">و أمّا الثالث </w:t>
      </w:r>
      <w:r>
        <w:rPr>
          <w:rStyle w:val="FootnoteAnchor"/>
          <w:rtl w:val="true"/>
        </w:rPr>
        <w:footnoteReference w:id="1343"/>
      </w:r>
      <w:r>
        <w:rPr>
          <w:rFonts w:ascii="IRNazanin" w:hAnsi="IRNazanin" w:eastAsia="IRNazanin"/>
          <w:color w:val="111111"/>
          <w:sz w:val="28"/>
          <w:sz w:val="28"/>
          <w:szCs w:val="28"/>
          <w:rtl w:val="true"/>
          <w:lang w:bidi="fa-IR"/>
        </w:rPr>
        <w:t>،ففیه مسائل</w:t>
      </w:r>
      <w:r>
        <w:rPr>
          <w:rFonts w:eastAsia="IRNazanin" w:cs="IRNazanin"/>
          <w:color w:val="111111"/>
          <w:sz w:val="28"/>
          <w:szCs w:val="28"/>
          <w:rtl w:val="true"/>
          <w:lang w:bidi="fa-IR"/>
        </w:rPr>
        <w:t>:</w:t>
      </w:r>
    </w:p>
    <w:p>
      <w:pPr>
        <w:pStyle w:val="Heading6"/>
        <w:numPr>
          <w:ilvl w:val="5"/>
          <w:numId w:val="1"/>
        </w:numPr>
        <w:rPr/>
      </w:pPr>
      <w:bookmarkStart w:id="564" w:name="__RefHeading___Toc5148938_2314609296"/>
      <w:bookmarkStart w:id="565" w:name="_Toc214"/>
      <w:bookmarkEnd w:id="564"/>
      <w:r>
        <w:rPr>
          <w:rtl w:val="true"/>
        </w:rPr>
        <w:t>الاُولی لو اختلفا فی الفسخ،فإن کان الخیار باقیاً فله إنشاؤه</w:t>
      </w:r>
      <w:r>
        <w:rPr>
          <w:rtl w:val="true"/>
        </w:rPr>
        <w:t>.</w:t>
      </w:r>
      <w:bookmarkEnd w:id="565"/>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الدروس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 یمکن جعل إقراره إنشاءً </w:t>
      </w:r>
      <w:r>
        <w:rPr>
          <w:rStyle w:val="FootnoteAnchor"/>
          <w:rtl w:val="true"/>
        </w:rPr>
        <w:footnoteReference w:id="13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لما اشتهر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مَلِکَ شیئاً مَلِکَ الإقرار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لو ادّعی الزوج 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یدلّ علیه بعض الأخبار الواردة فیمن أخبر بعتق مملوکه ثمّ جاء العبد یدّعی النفقة علی أیتام الرجل و أنّه رقٌّ لهم </w:t>
      </w:r>
      <w:r>
        <w:rPr>
          <w:rStyle w:val="FootnoteAnchor"/>
          <w:rtl w:val="true"/>
        </w:rPr>
        <w:footnoteReference w:id="13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سیجیء الکلام فی </w:t>
      </w:r>
      <w:r>
        <w:rPr>
          <w:rStyle w:val="FootnoteAnchor"/>
          <w:rtl w:val="true"/>
        </w:rPr>
        <w:footnoteReference w:id="1346"/>
      </w:r>
      <w:r>
        <w:rPr>
          <w:rFonts w:ascii="Amiri" w:hAnsi="Amiri" w:eastAsia="Amiri" w:cs="Amiri"/>
          <w:color w:val="111111"/>
          <w:sz w:val="28"/>
          <w:sz w:val="28"/>
          <w:szCs w:val="28"/>
          <w:rtl w:val="true"/>
          <w:lang w:bidi="ar-SA"/>
        </w:rPr>
        <w:t>هذه القاعدة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کان بعد انقضاء زمان الخیار کما لو تلف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افتقر مدّعیه إلی البیّنة،و مع عدمها حلف الآخر علی نفی علمه بالفسخ إن ادّعی علیه عِلْمَه بفسخه</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إذا لم یثبت الفسخ فهل یثبت للمشتری المدّعی للفسخ الأرش لئلّا یخرج من الحقّین،أم لا؛لإقراره بالفسخ؟و زاد فی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یحتمل أن یأخذ أقلّ الأمرین من الأرش و ما زاد علی القیمة من الثمن إن اتّفق؛لأنّه بزعمه یستحقّ استرداد الثمن و ردّ القیمة،فیقع التقاصّ</w:t>
      </w:r>
      <w:bookmarkStart w:id="566" w:name="pg19864_220980"/>
    </w:p>
    <w:p>
      <w:pPr>
        <w:pStyle w:val="BookText"/>
        <w:rPr/>
      </w:pPr>
      <w:bookmarkEnd w:id="566"/>
      <w:r>
        <w:rPr>
          <w:rFonts w:ascii="IRNazanin" w:hAnsi="IRNazanin" w:eastAsia="IRNazanin"/>
          <w:color w:val="111111"/>
          <w:sz w:val="28"/>
          <w:sz w:val="28"/>
          <w:szCs w:val="28"/>
          <w:rtl w:val="true"/>
          <w:lang w:bidi="fa-IR"/>
        </w:rPr>
        <w:t xml:space="preserve">فی القیمة </w:t>
      </w:r>
      <w:r>
        <w:rPr>
          <w:rStyle w:val="FootnoteAnchor"/>
          <w:rtl w:val="true"/>
        </w:rPr>
        <w:footnoteReference w:id="1347"/>
      </w:r>
      <w:r>
        <w:rPr>
          <w:rFonts w:ascii="IRNazanin" w:hAnsi="IRNazanin" w:eastAsia="IRNazanin"/>
          <w:color w:val="111111"/>
          <w:sz w:val="28"/>
          <w:sz w:val="28"/>
          <w:szCs w:val="28"/>
          <w:rtl w:val="true"/>
          <w:lang w:bidi="fa-IR"/>
        </w:rPr>
        <w:t xml:space="preserve">و یبقی قدر الأرش مستحقّاً علی التقدیرین </w:t>
      </w:r>
      <w:r>
        <w:rPr>
          <w:rStyle w:val="FootnoteAnchor"/>
          <w:rtl w:val="true"/>
        </w:rPr>
        <w:footnoteReference w:id="134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6"/>
        <w:numPr>
          <w:ilvl w:val="5"/>
          <w:numId w:val="1"/>
        </w:numPr>
        <w:rPr/>
      </w:pPr>
      <w:bookmarkStart w:id="567" w:name="__RefHeading___Toc5148940_2314609296"/>
      <w:bookmarkStart w:id="568" w:name="_Toc215"/>
      <w:bookmarkEnd w:id="567"/>
      <w:r>
        <w:rPr>
          <w:rtl w:val="true"/>
        </w:rPr>
        <w:t>الثانیة لو اختلفا فی تأخّر الفسخ عن أوّل الوقت</w:t>
      </w:r>
      <w:bookmarkEnd w:id="568"/>
    </w:p>
    <w:p>
      <w:pPr>
        <w:pStyle w:val="BookText"/>
        <w:rPr/>
      </w:pPr>
      <w:r>
        <w:rPr>
          <w:rFonts w:ascii="IRNazanin" w:hAnsi="IRNazanin" w:eastAsia="IRNazanin"/>
          <w:color w:val="111111"/>
          <w:sz w:val="28"/>
          <w:sz w:val="28"/>
          <w:szCs w:val="28"/>
          <w:rtl w:val="true"/>
          <w:lang w:bidi="fa-IR"/>
        </w:rPr>
        <w:t>بناءً علی فوریّة الخیار ففی تقدیم مدّعی التأخّر؛لأصالة بقاء العقد و عدم حدوث الفسخ فی أوّل الزمان،أو مدّعی عدمه؛لأصالة صحّة الفسخ،وجهان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منشأ النزاع الاختلاف فی زمان وقوع العقد مع الاتّفاق علی زمان الفسخ،ففی الحکم بتأخّر العقد لتصحیح الفسخ وجهٌ،یُضعّف بأنّ أصالة تأخّر العقد الراجعة حقیقةً إلی أصالة عدم تقدّمه علی الزمان المشکوک وقوعه فیه لا یُثبت وقوع الفسخ فی أوّل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المسألة نظیر ما لو ادّعی الزوج الرجوع فی عدّة المطلّقة و ادّعت هی تأخّره عنها</w:t>
      </w:r>
      <w:r>
        <w:rPr>
          <w:rFonts w:eastAsia="IRNazanin" w:cs="IRNazanin"/>
          <w:color w:val="111111"/>
          <w:sz w:val="28"/>
          <w:szCs w:val="28"/>
          <w:rtl w:val="true"/>
          <w:lang w:bidi="fa-IR"/>
        </w:rPr>
        <w:t>.</w:t>
      </w:r>
    </w:p>
    <w:p>
      <w:pPr>
        <w:pStyle w:val="Heading6"/>
        <w:numPr>
          <w:ilvl w:val="5"/>
          <w:numId w:val="1"/>
        </w:numPr>
        <w:rPr/>
      </w:pPr>
      <w:bookmarkStart w:id="569" w:name="__RefHeading___Toc5148942_2314609296"/>
      <w:bookmarkStart w:id="570" w:name="_Toc216"/>
      <w:bookmarkEnd w:id="569"/>
      <w:r>
        <w:rPr>
          <w:rtl w:val="true"/>
        </w:rPr>
        <w:t>الثالثة لو ادّعی المشتری الجهل بالخیار أو بفوریّته بناءً علی فوریّته</w:t>
      </w:r>
      <w:bookmarkEnd w:id="57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 قوله إن احتُمل فی حقّه الجهل،للأصل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یفصّل بین الجهل بالخیار فلا یعذر إلّا إذا نشأ فی بلدٍ لا یعرفون الأحکام و الجهل بالفوریّة فیعذر مطلقاً؛لأنّه ممّا یخفی علی العامّة</w:t>
      </w:r>
      <w:r>
        <w:rPr>
          <w:rFonts w:eastAsia="IRNazanin" w:cs="IRNazanin"/>
          <w:color w:val="111111"/>
          <w:sz w:val="28"/>
          <w:szCs w:val="28"/>
          <w:rtl w:val="true"/>
          <w:lang w:bidi="fa-IR"/>
        </w:rPr>
        <w:t>.</w:t>
      </w:r>
      <w:bookmarkStart w:id="571" w:name="pg19864_220981"/>
    </w:p>
    <w:p>
      <w:pPr>
        <w:pStyle w:val="Heading5"/>
        <w:numPr>
          <w:ilvl w:val="4"/>
          <w:numId w:val="1"/>
        </w:numPr>
        <w:rPr/>
      </w:pPr>
      <w:bookmarkStart w:id="572" w:name="__RefHeading___Toc5148944_2314609296"/>
      <w:bookmarkStart w:id="573" w:name="_Toc217"/>
      <w:bookmarkEnd w:id="571"/>
      <w:bookmarkEnd w:id="572"/>
      <w:r>
        <w:rPr>
          <w:rtl w:val="true"/>
        </w:rPr>
        <w:t>القول فی ماهیّة العیب</w:t>
      </w:r>
      <w:bookmarkEnd w:id="573"/>
    </w:p>
    <w:p>
      <w:pPr>
        <w:pStyle w:val="BookText"/>
        <w:rPr/>
      </w:pPr>
      <w:r>
        <w:rPr>
          <w:rFonts w:ascii="IRNazanin" w:hAnsi="IRNazanin" w:eastAsia="IRNazanin"/>
          <w:color w:val="111111"/>
          <w:sz w:val="28"/>
          <w:sz w:val="28"/>
          <w:szCs w:val="28"/>
          <w:rtl w:val="true"/>
          <w:lang w:bidi="fa-IR"/>
        </w:rPr>
        <w:t xml:space="preserve">و ذکر بعض أفراده اعلم أنّ حکم الردّ و الأرش معلّقٌ فی الروایات علی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العوار،ففی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العیب </w:t>
      </w:r>
      <w:r>
        <w:rPr>
          <w:rStyle w:val="FootnoteAnchor"/>
          <w:rtl w:val="true"/>
        </w:rPr>
        <w:footnoteReference w:id="13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العیب،فالظاهر من اللغة و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النقص عن مرتبة الصحّة المتوسّطة بینه و بین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یقتضیه أصل الماهیّة المشترکة بین أفراد الشیء لو خُلّی و طبعَه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العیب و الکمال یلحقان له لأمرٍ خارجٍ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مقتضی حقیقة الشیء قد یُعلم </w:t>
      </w:r>
      <w:r>
        <w:rPr>
          <w:rStyle w:val="FootnoteAnchor"/>
          <w:rtl w:val="true"/>
        </w:rPr>
        <w:footnoteReference w:id="1350"/>
      </w:r>
      <w:r>
        <w:rPr>
          <w:rFonts w:ascii="IRNazanin" w:hAnsi="IRNazanin" w:eastAsia="IRNazanin"/>
          <w:color w:val="111111"/>
          <w:sz w:val="28"/>
          <w:sz w:val="28"/>
          <w:szCs w:val="28"/>
          <w:rtl w:val="true"/>
          <w:lang w:bidi="fa-IR"/>
        </w:rPr>
        <w:t>من الخارج،کمقتضی حقیقة 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الأناسی و غیره فإنّه یعلم أنّ العمی عیبٌ،و معرفة الکتابة فی العبد و الطبخ فی الأمة کمالٌ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یستکشف ذلک بملاحظة أغلب الأفراد،فإنّ وجود صفةٍ فی أغلب أفراد الشیء یکشف عن کونه مقتضی الماهیّة المشترکة بین أفراده،و کون التخلّف فی النادر لعارضٍ</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و إن لم یکن مطّرداً فی الواقع؛إذ کثیراً ما یکون أغلب</w:t>
      </w:r>
    </w:p>
    <w:p>
      <w:pPr>
        <w:pStyle w:val="BookText"/>
        <w:rPr/>
      </w:pPr>
      <w:r>
        <w:rPr>
          <w:rFonts w:ascii="IRNazanin" w:hAnsi="IRNazanin" w:eastAsia="IRNazanin"/>
          <w:color w:val="111111"/>
          <w:sz w:val="28"/>
          <w:sz w:val="28"/>
          <w:szCs w:val="28"/>
          <w:rtl w:val="true"/>
          <w:lang w:bidi="fa-IR"/>
        </w:rPr>
        <w:t xml:space="preserve">الأفراد متّصفةً بصفةٍ لأمرٍ عارضیٍّ أو لأُمورٍ مختلفةٍ،إلّا أنّ بناء العرف و العادة علی استکشاف حال الحقیقة عن حال أغلب الأفراد؛و من هنا استمرّت العادة علی حصول الظنّ بثبوت صفةٍ لفردٍ من ملاحظة أغلب الأفراد،فإنّ وجود الشیء فی أغلب الأفراد لا یمکن </w:t>
      </w:r>
      <w:r>
        <w:rPr>
          <w:rStyle w:val="FootnoteAnchor"/>
          <w:rtl w:val="true"/>
        </w:rPr>
        <w:footnoteReference w:id="1351"/>
      </w:r>
      <w:r>
        <w:rPr>
          <w:rFonts w:ascii="IRNazanin" w:hAnsi="IRNazanin" w:eastAsia="IRNazanin"/>
          <w:color w:val="111111"/>
          <w:sz w:val="28"/>
          <w:sz w:val="28"/>
          <w:szCs w:val="28"/>
          <w:rtl w:val="true"/>
          <w:lang w:bidi="fa-IR"/>
        </w:rPr>
        <w:t>الاستدلال به علی وجوده فی فردٍ غیرها؛لاستحالة الاستدلال و لو ظنّاً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بالجزئی علی الجزئی،إلّا أنّه یستدلّ من حال الأغلب علی حال القدر المشترک، ثمّ یستدلّ من ذلک علی حال الفرد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هذا تبیّن لک الوجه فی تعریف العیب فی کلمات کثیرٍ </w:t>
      </w:r>
      <w:r>
        <w:rPr>
          <w:rStyle w:val="FootnoteAnchor"/>
          <w:rtl w:val="true"/>
        </w:rPr>
        <w:footnoteReference w:id="1352"/>
      </w:r>
      <w:r>
        <w:rPr>
          <w:rFonts w:ascii="IRNazanin" w:hAnsi="IRNazanin" w:eastAsia="IRNazanin"/>
          <w:color w:val="111111"/>
          <w:sz w:val="28"/>
          <w:sz w:val="28"/>
          <w:szCs w:val="28"/>
          <w:rtl w:val="true"/>
          <w:lang w:bidi="fa-IR"/>
        </w:rPr>
        <w:t>منهم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الخروج عن المجری الطبیعی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یقتضیه الخِلقة الأصلیّة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المراد بالخلقة الأصلیّة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علیه أغلب أفراد ذلک النوع،و أنّ ما خرج عن ذلک بالنقص فهو عیبٌ،و ما خرج عنه بالمزیّة فهو کمالٌ، فالضیعة إذا لوحظت من حیث الخراج فما علیه أغلب الضیاع من مقدار الخراج هو مقتضی طبیعتها،فزیادة الخراج علی ذلک المقدار عیبٌ، و نقصه عنه کمالٌ،و کذا کونها مورد العساکر</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لو تعارض مقتضی الحقیقة الأصلیّة و حال أغلب الأفراد الّتی یستدلّ بها علی حال الحقیقة عرفاً رُجّح الثانی و حُکم للشیء بحقیقةٍ ثانویّةٍ اعتباریّةٍ یُعتبر الصحّة و العیب و الکمال بالنسبة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لا یُعدّ ثبوت الخراج علی الضیعة عیباً مع أنّ حقیقتها لا تقتضی ذلک،</w:t>
      </w:r>
    </w:p>
    <w:p>
      <w:pPr>
        <w:pStyle w:val="BookText"/>
        <w:rPr/>
      </w:pPr>
      <w:r>
        <w:rPr>
          <w:rFonts w:ascii="IRNazanin" w:hAnsi="IRNazanin" w:eastAsia="IRNazanin"/>
          <w:color w:val="111111"/>
          <w:sz w:val="28"/>
          <w:sz w:val="28"/>
          <w:szCs w:val="28"/>
          <w:rtl w:val="true"/>
          <w:lang w:bidi="fa-IR"/>
        </w:rPr>
        <w:t>و إنّما هو شیءٌ عرض أغلب الأفراد فصار مقتضی الحقیقة الثانویة، فالعیب لا یحصل إلّا بزیادة الخراج علی مقتضی الأغلب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لعلّ هذا هو الوجه فی قول کثیرٍ منهم </w:t>
      </w:r>
      <w:r>
        <w:rPr>
          <w:rStyle w:val="FootnoteAnchor"/>
          <w:rtl w:val="true"/>
        </w:rPr>
        <w:footnoteReference w:id="1353"/>
      </w:r>
      <w:r>
        <w:rPr>
          <w:rFonts w:ascii="IRNazanin" w:hAnsi="IRNazanin" w:eastAsia="IRNazanin"/>
          <w:color w:val="111111"/>
          <w:sz w:val="28"/>
          <w:sz w:val="28"/>
          <w:szCs w:val="28"/>
          <w:rtl w:val="true"/>
          <w:lang w:bidi="fa-IR"/>
        </w:rPr>
        <w:t>بل عدم الخلاف بینهم فی أنّ الثیبوبة لیست عیباً فی الإماء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ینعکس الأمر فیکون العیب فی مقتضی الحقیقة الأصلیّة، و الصحّة </w:t>
      </w:r>
      <w:r>
        <w:rPr>
          <w:rStyle w:val="FootnoteAnchor"/>
          <w:rtl w:val="true"/>
        </w:rPr>
        <w:footnoteReference w:id="1354"/>
      </w:r>
      <w:r>
        <w:rPr>
          <w:rFonts w:ascii="IRNazanin" w:hAnsi="IRNazanin" w:eastAsia="IRNazanin"/>
          <w:color w:val="111111"/>
          <w:sz w:val="28"/>
          <w:sz w:val="28"/>
          <w:szCs w:val="28"/>
          <w:rtl w:val="true"/>
          <w:lang w:bidi="fa-IR"/>
        </w:rPr>
        <w:t>من مقتضی الحقیقة الثانویة،کالغُلفة فإنّها عیبٌ فی الکبیر؛ لکونها مخالفةً لما علیه الأغلب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الغُلفة بنفسها لیست عیباً إنّما العیب کون الأغلف مورداً للخطر بختانه؛و لذا اختصّ هذا العیب بالکبیر دون الصغیر</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العبرة بالحقیقة الأصلیة و النقص عنها عیب و إن کان علی طبق الأغلب،إلا أن حکم العیب لا یثبت مع إطلاق العقد حینئذ؛لأنه إنما یثبت من جهة اقتضاء الإطلاق للالتزام بالسلامة، فیکون کما لو التزمه صریحا فی العقد،فإذا فرض الأغلب علی خلاف مقتضی الحقیقة الأصلیة لم یقتض الإطلاق ذلک بل اقتضی عکسه،أعنی التزام البراءة من ذلک النقص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فإطلاق العقد علی الجاریة بحکم الغلبة منزَّلٌ علی التزام البراءة من عیب الثیبوبة،و کذا الغُلفة فی الکبیر،فهی</w:t>
      </w:r>
    </w:p>
    <w:p>
      <w:pPr>
        <w:pStyle w:val="BookText"/>
        <w:rPr/>
      </w:pPr>
      <w:r>
        <w:rPr>
          <w:rFonts w:ascii="IRNazanin" w:hAnsi="IRNazanin" w:eastAsia="IRNazanin"/>
          <w:color w:val="111111"/>
          <w:sz w:val="28"/>
          <w:sz w:val="28"/>
          <w:szCs w:val="28"/>
          <w:rtl w:val="true"/>
          <w:lang w:bidi="fa-IR"/>
        </w:rPr>
        <w:t>أیضاً عیبٌ فی الکبیر لکون العبد معها مورداً للخطر عند الختان،إلّا أنّ الغالب فی المجلوب من بلاد الشرک لمّا کان هی الغلفة لم یقتض الإطلاق التزام سلامته من هذا العیب،بل اقتضی التزام البائع البراءة من هذا العیب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الثیبوبة لیست عیباً فی الإماء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العلّامة قدس سرّه فی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الغُلفة لیست عیباً فی الکبیر المجلوب</w:t>
      </w:r>
      <w:r>
        <w:rPr>
          <w:rFonts w:eastAsia="IRNazanin" w:cs="IRNazanin"/>
          <w:color w:val="111111"/>
          <w:sz w:val="28"/>
          <w:szCs w:val="28"/>
          <w:rtl w:val="true"/>
          <w:lang w:bidi="fa-IR"/>
        </w:rPr>
        <w:t xml:space="preserve">» </w:t>
      </w:r>
      <w:r>
        <w:rPr>
          <w:rStyle w:val="FootnoteAnchor"/>
          <w:rtl w:val="true"/>
        </w:rPr>
        <w:footnoteReference w:id="1355"/>
      </w:r>
      <w:r>
        <w:rPr>
          <w:rFonts w:ascii="IRNazanin" w:hAnsi="IRNazanin" w:eastAsia="IRNazanin"/>
          <w:color w:val="111111"/>
          <w:sz w:val="28"/>
          <w:sz w:val="28"/>
          <w:szCs w:val="28"/>
          <w:rtl w:val="true"/>
          <w:lang w:bidi="fa-IR"/>
        </w:rPr>
        <w:t>لا یبعد إرادتهم نفی حکم العیب من الردّ و الأرش،لا نفی حقیقته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یدلّ علیه نفی الخلاف فی التحریر عن کون الثیبوبة لیست عیباً </w:t>
      </w:r>
      <w:r>
        <w:rPr>
          <w:rStyle w:val="FootnoteAnchor"/>
          <w:rtl w:val="true"/>
        </w:rPr>
        <w:footnoteReference w:id="1356"/>
      </w:r>
      <w:r>
        <w:rPr>
          <w:rFonts w:ascii="IRNazanin" w:hAnsi="IRNazanin" w:eastAsia="IRNazanin"/>
          <w:color w:val="111111"/>
          <w:sz w:val="28"/>
          <w:sz w:val="28"/>
          <w:szCs w:val="28"/>
          <w:rtl w:val="true"/>
          <w:lang w:bidi="fa-IR"/>
        </w:rPr>
        <w:t xml:space="preserve">،مع أنّه فی التحریر </w:t>
      </w:r>
      <w:r>
        <w:rPr>
          <w:rStyle w:val="FootnoteAnchor"/>
          <w:rtl w:val="true"/>
        </w:rPr>
        <w:footnoteReference w:id="1357"/>
      </w:r>
      <w:r>
        <w:rPr>
          <w:rFonts w:ascii="IRNazanin" w:hAnsi="IRNazanin" w:eastAsia="IRNazanin"/>
          <w:color w:val="111111"/>
          <w:sz w:val="28"/>
          <w:sz w:val="28"/>
          <w:szCs w:val="28"/>
          <w:rtl w:val="true"/>
          <w:lang w:bidi="fa-IR"/>
        </w:rPr>
        <w:t xml:space="preserve">و التذکرة </w:t>
      </w:r>
      <w:r>
        <w:rPr>
          <w:rStyle w:val="FootnoteAnchor"/>
          <w:rtl w:val="true"/>
        </w:rPr>
        <w:footnoteReference w:id="1358"/>
      </w:r>
      <w:r>
        <w:rPr>
          <w:rFonts w:ascii="IRNazanin" w:hAnsi="IRNazanin" w:eastAsia="IRNazanin"/>
          <w:color w:val="111111"/>
          <w:sz w:val="28"/>
          <w:sz w:val="28"/>
          <w:szCs w:val="28"/>
          <w:rtl w:val="true"/>
          <w:lang w:bidi="fa-IR"/>
        </w:rPr>
        <w:t>اختار الأرش مع اشتراط البَکارة،مع أنّه لا أرش فی تخلّف الشرط بلا خلافٍ ظاهر</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تظهر الثمرة فیما لو شرط </w:t>
      </w:r>
      <w:r>
        <w:rPr>
          <w:rStyle w:val="FootnoteAnchor"/>
          <w:rtl w:val="true"/>
        </w:rPr>
        <w:footnoteReference w:id="1359"/>
      </w:r>
      <w:r>
        <w:rPr>
          <w:rFonts w:ascii="IRNazanin" w:hAnsi="IRNazanin" w:eastAsia="IRNazanin"/>
          <w:color w:val="111111"/>
          <w:sz w:val="28"/>
          <w:sz w:val="28"/>
          <w:szCs w:val="28"/>
          <w:rtl w:val="true"/>
          <w:lang w:bidi="fa-IR"/>
        </w:rPr>
        <w:t>المشتری البَکارة و الختان،فإنّه یثبت علی الوجه الثانی حکم العیب من الردّ و الأرش؛لثبوت العیب،غایة الأمر عدم ثبوت الخیار مع الإطلاق؛لتنزّله منزلة تبرّی البائع من هذا العیب،فإذا زال مقتضی الإطلاق بالاشتراط ثبت حکم العیب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علی الوجه الأوّل،فإنّ الاشتراط لا یفید إلّا خیار تخلّف الشرط دون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الوجه السابق أقوی،و علیه فالعیب إنّما یوجب الخیار إذا لم یکن غالباً فی أفراد الطبیعة بحسب نوعها أو صنفها،و الغلبة الصنفیّة مقدّمةٌ علی النوعیّة عند التعارض،فالثیبوبة فی الصغیرة الغیر المجلوبة عیبٌ؛لأنّها لیست غالبةً فی صنفها و إن غلبت فی نوعها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مقتضی ما ذکرنا دوران العیب مدار نقص الشیء من حیث عنوانه مع قطع النظر عن کونه مالاً،فإنّ الإنسان الخصیّ ناقصٌ فی نفسه و إن فُرض زیادته من حیث کونه مالاً،و کذا البغل الخصیّ حیوانٌ ناقصٌ و إن کان زائداً من حیث المالیّة علی غیره؛و لذا ذکر جماعةٌ ثبوت الردّ دون الأرش فی مثل ذلک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یحتمل قویّاً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المناط فی العیب هو النقص المالی، فالنقص الخَلقی الغیر الموجب للنقص کالخصاء و نحوه لیس عیباً،إلّا أنّ الغالب فی أفراد الحیوان لمّا کان عدمه کان إطلاق العقد منزَّلاً علی إقدام المشتری علی الشیء </w:t>
      </w:r>
      <w:r>
        <w:rPr>
          <w:rStyle w:val="FootnoteAnchor"/>
          <w:rtl w:val="true"/>
        </w:rPr>
        <w:footnoteReference w:id="1361"/>
      </w:r>
      <w:r>
        <w:rPr>
          <w:rFonts w:ascii="IRNazanin" w:hAnsi="IRNazanin" w:eastAsia="IRNazanin"/>
          <w:color w:val="111111"/>
          <w:sz w:val="28"/>
          <w:sz w:val="28"/>
          <w:szCs w:val="28"/>
          <w:rtl w:val="true"/>
          <w:lang w:bidi="fa-IR"/>
        </w:rPr>
        <w:t>مع عدم هذا النقص اعتماداً علی الأصل و الغلبة،فکانت السلامة عنه بمنزلة شرطٍ اشترط فی العقد،لا یوجب تخلّفه إلّا خیار تخلّف الشرط</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تظهر الثمرة فی طروّ موانع الردّ بالعیب بناءً علی عدم منعها عن الردّ بخیار تخلّف الشرط،فتأمّل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صورة حصول هذا النقص قبل القبض أو فی مدّة الخیار،فإنّه مضمونٌ علی الأوّل بناءً علی إطلاق</w:t>
      </w:r>
    </w:p>
    <w:p>
      <w:pPr>
        <w:pStyle w:val="BookText"/>
        <w:rPr/>
      </w:pPr>
      <w:r>
        <w:rPr>
          <w:rFonts w:ascii="IRNazanin" w:hAnsi="IRNazanin" w:eastAsia="IRNazanin"/>
          <w:color w:val="111111"/>
          <w:sz w:val="28"/>
          <w:sz w:val="28"/>
          <w:szCs w:val="28"/>
          <w:rtl w:val="true"/>
          <w:lang w:bidi="fa-IR"/>
        </w:rPr>
        <w:t>کلماتهم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العیب مضمونٌ علی البائع،بخلاف الثانی فإنّه لا دلیل علی أنّ فقد الصفة المشترطة قبل القبض أو فی مدّة الخیار مضمونٌ علی البائع،بمعنی کونه سبباً للخیار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للنظر فی کلا شقّی الثمرة مجال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ربّما یستدلّ </w:t>
      </w:r>
      <w:r>
        <w:rPr>
          <w:rStyle w:val="FootnoteAnchor"/>
          <w:rtl w:val="true"/>
        </w:rPr>
        <w:footnoteReference w:id="1362"/>
      </w:r>
      <w:r>
        <w:rPr>
          <w:rFonts w:ascii="IRNazanin" w:hAnsi="IRNazanin" w:eastAsia="IRNazanin"/>
          <w:color w:val="111111"/>
          <w:sz w:val="28"/>
          <w:sz w:val="28"/>
          <w:szCs w:val="28"/>
          <w:rtl w:val="true"/>
          <w:lang w:bidi="fa-IR"/>
        </w:rPr>
        <w:t xml:space="preserve">لکون الخیار هنا خیار العیب بما فی مرسلة السیّاری الحاکیة لقضیّة </w:t>
      </w:r>
      <w:r>
        <w:rPr>
          <w:rStyle w:val="FootnoteAnchor"/>
          <w:rtl w:val="true"/>
        </w:rPr>
        <w:footnoteReference w:id="1363"/>
      </w:r>
      <w:r>
        <w:rPr>
          <w:rFonts w:ascii="IRNazanin" w:hAnsi="IRNazanin" w:eastAsia="IRNazanin"/>
          <w:color w:val="111111"/>
          <w:sz w:val="28"/>
          <w:sz w:val="28"/>
          <w:szCs w:val="28"/>
          <w:rtl w:val="true"/>
          <w:lang w:bidi="fa-IR"/>
        </w:rPr>
        <w:t>ابن أبی لیلی،حیث قدّم إلیه رجلٌ خصماً 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باعنی هذه الجاریة فلم أجد علی رکبها حین کشفها </w:t>
      </w:r>
      <w:r>
        <w:rPr>
          <w:rStyle w:val="FootnoteAnchor"/>
          <w:rtl w:val="true"/>
        </w:rPr>
        <w:footnoteReference w:id="1364"/>
      </w:r>
      <w:r>
        <w:rPr>
          <w:rFonts w:ascii="IRNazanin" w:hAnsi="IRNazanin" w:eastAsia="IRNazanin"/>
          <w:color w:val="111111"/>
          <w:sz w:val="28"/>
          <w:sz w:val="28"/>
          <w:szCs w:val="28"/>
          <w:rtl w:val="true"/>
          <w:lang w:bidi="fa-IR"/>
        </w:rPr>
        <w:t>شعراً،و زعمت أنّه لم یکن لها قطّ،فقال له ابن أبی 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لیحتالون لهذا بالحیل حتّی یذهبوه،فما الذی کرهت؟فقال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أیّها القاضی إن کان عیباً فاقض لی به،قال </w:t>
      </w:r>
      <w:r>
        <w:rPr>
          <w:rStyle w:val="FootnoteAnchor"/>
          <w:rtl w:val="true"/>
        </w:rPr>
        <w:footnoteReference w:id="1365"/>
      </w:r>
      <w:r>
        <w:rPr>
          <w:rFonts w:ascii="IRNazanin" w:hAnsi="IRNazanin" w:eastAsia="IRNazanin"/>
          <w:color w:val="111111"/>
          <w:sz w:val="28"/>
          <w:sz w:val="28"/>
          <w:szCs w:val="28"/>
          <w:rtl w:val="true"/>
          <w:lang w:bidi="fa-IR"/>
        </w:rPr>
        <w:t>حتّی أخرج إلیک فإنّی أجد أذی فی بطنی،ثم دخل بیته و خرج من بابٍ آخر،فأتی محمّد بن مسلم الثقفی،فقال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 تروون عن أبی جعفر علیه السلام فی المرأة لا یکون علی رکبها شعرٌ،أ یکون هذا عیباً؟فقال له محمّد بن مسلم</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هذا نصّاً فلا أعرفه،و لکن حدّثنی أبو جعفر عن أبیه،عن آبائه، عن النبی صلی اللّٰه علیه و آله،قال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کان فی أصل الخِلْقة فزاد أو نقص فهو 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ابن أبی 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حسبُک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فرجع إلی القوم فقضی لهم بالعیب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ظاهر إطلاق الروایة المؤیَّد بفهم ابن مسلم من حیث نفی نصوصیّة الروایة فی تلک القضیّة المشعر بظهورها فیها،و فهم ابن أبی لیلی من حیث قوله و عمله کون مجرّد الخروج عن المجری الطبیعی عیباً </w:t>
      </w:r>
      <w:r>
        <w:rPr>
          <w:rStyle w:val="FootnoteAnchor"/>
          <w:rtl w:val="true"/>
        </w:rPr>
        <w:footnoteReference w:id="1367"/>
      </w:r>
      <w:r>
        <w:rPr>
          <w:rFonts w:ascii="IRNazanin" w:hAnsi="IRNazanin" w:eastAsia="IRNazanin"/>
          <w:color w:val="111111"/>
          <w:sz w:val="28"/>
          <w:sz w:val="28"/>
          <w:szCs w:val="28"/>
          <w:rtl w:val="true"/>
          <w:lang w:bidi="fa-IR"/>
        </w:rPr>
        <w:t>و إن کان مرغوباً فلا ینقص لأجل ذلک من عوضه،کما یظهر من قول ابن أبی 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لیحتالون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تقریر المشتری له فی 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دلالة الروایة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ظاهر الحکایة أنّ ردّ المشتری لم یکن لمجرّد عدم الشعر بل لکونها فی أصل الخلقة کذلک،الکاشف عن مرضٍ فی العضو أو فی أصل المزاج،کما یدلّ علیه عدم اکتفائه فی عذر الردّ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أجد علی رکبها شعراً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ضمّ إلیه دعواه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یکن لها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ابن أبی 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لیحتالون فی ذلک حتّی یذهبوه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یدلّ علی مخالفة المشتری فی کشف ذلک عن المرض،و إنّما هی مغالطةٌ علیه تفصّیاً عن خصومته،لعجزه عن حکمها،و إلّا فالاحتیال لإذهاب شعر الرکب لا یدلّ علی أنّ عدمه فی أصل الخلقة شیءٌ مرغوبٌ فیه،کما أنّ احتیالهم لإذهاب شعر الرأس لا یدلّ علی کون عدمه من أصله لقَرَعٍ أو شبهه أمراً مرغوباً فیه</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بالجملة،فالثابت من الروایة هو کون عدم الشعر علی الرکب ممّا یُقطع أو یُحتمل کونه لأجل مرضٍ عیباً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عُدّ من العیوب الموجبة للأرش ما </w:t>
      </w:r>
      <w:r>
        <w:rPr>
          <w:rStyle w:val="FootnoteAnchor"/>
          <w:rtl w:val="true"/>
        </w:rPr>
        <w:footnoteReference w:id="1368"/>
      </w:r>
      <w:r>
        <w:rPr>
          <w:rFonts w:ascii="IRNazanin" w:hAnsi="IRNazanin" w:eastAsia="IRNazanin"/>
          <w:color w:val="111111"/>
          <w:sz w:val="28"/>
          <w:sz w:val="28"/>
          <w:szCs w:val="28"/>
          <w:rtl w:val="true"/>
          <w:lang w:bidi="fa-IR"/>
        </w:rPr>
        <w:t>هو أدون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یراد به بیان موضوع العیب توطئةً لثبوت أحکام العیب له،و الغالب الشائع المتبادر فی الأذهان هو ردّ المعیوب؛و لذا اشتهر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معیوبٍ مردودٌ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باقی أحکام العیب و خیاره مثل عدم جواز ردّه بطروّ موانع الردّ بخیار العیب،و کونه مضموناً علی البائع قبل القبض و فی مدّة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یظهر من الروایة ترتّبها علی العیب،فتأمّل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ثالثاً </w:t>
      </w:r>
      <w:r>
        <w:rPr>
          <w:rStyle w:val="FootnoteAnchor"/>
          <w:rtl w:val="true"/>
        </w:rPr>
        <w:footnoteReference w:id="13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فلأنّ </w:t>
      </w:r>
      <w:r>
        <w:rPr>
          <w:rStyle w:val="FootnoteAnchor"/>
          <w:rtl w:val="true"/>
        </w:rPr>
        <w:footnoteReference w:id="1370"/>
      </w:r>
      <w:r>
        <w:rPr>
          <w:rFonts w:ascii="IRNazanin" w:hAnsi="IRNazanin" w:eastAsia="IRNazanin"/>
          <w:color w:val="111111"/>
          <w:sz w:val="28"/>
          <w:sz w:val="28"/>
          <w:szCs w:val="28"/>
          <w:rtl w:val="true"/>
          <w:lang w:bidi="fa-IR"/>
        </w:rPr>
        <w:t xml:space="preserve">الروایة لا تدلّ علی الزائد عما یدلّ علیه العرف؛لأنّ المراد بالزیادة و النقیصة علی أصل الخلقة لیس مطلق ذلک قطعاً،فإنّ زیادة شعر رأس الجاریة أو حدّة بصر العبد أو تعلّمهما للصنعة </w:t>
      </w:r>
      <w:r>
        <w:rPr>
          <w:rStyle w:val="FootnoteAnchor"/>
          <w:rtl w:val="true"/>
        </w:rPr>
        <w:footnoteReference w:id="1371"/>
      </w:r>
      <w:r>
        <w:rPr>
          <w:rFonts w:ascii="IRNazanin" w:hAnsi="IRNazanin" w:eastAsia="IRNazanin"/>
          <w:color w:val="111111"/>
          <w:sz w:val="28"/>
          <w:sz w:val="28"/>
          <w:szCs w:val="28"/>
          <w:rtl w:val="true"/>
          <w:lang w:bidi="fa-IR"/>
        </w:rPr>
        <w:t>و الطبخ،و کذا نقص العبد بالختان و حلق الرأس لیس عیباً قطعاً،فتعیّن أن یکون المراد بها الزیادة و النقیصة الموجبتین لنقصٍ فی الشیء من حیث الآثار و الخواصّ المترتّبة علیه،و لازم ذلک نقصه من حیث المالیّة؛لأنّ المال المبذول فی مقابل الأموال بقدر ما یترتّب علیها من الآثار و المنافع</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رابعاً </w:t>
      </w:r>
      <w:r>
        <w:rPr>
          <w:rStyle w:val="FootnoteAnchor"/>
          <w:rtl w:val="true"/>
        </w:rPr>
        <w:footnoteReference w:id="13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سلّمنا مخالفة الروایة للعرف فی معنی العیب،فلا ینهض لرفع الید بها عن العرف المحکَّم فی مثل ذلک لولا النصّ المعتبر،لا مثل هذه الروایة الضعیفة بالإرسال و المرسِل </w:t>
      </w:r>
      <w:r>
        <w:rPr>
          <w:rStyle w:val="FootnoteAnchor"/>
          <w:rtl w:val="true"/>
        </w:rPr>
        <w:footnoteReference w:id="1373"/>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ممّا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الأولی فی تعریف العیب ما فی التحریر و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أنّه نقصٌ فی العین،أو زیادةٌ فیها تقتضی النقیصة المالیّة فی عادات التجار </w:t>
      </w:r>
      <w:r>
        <w:rPr>
          <w:rStyle w:val="FootnoteAnchor"/>
          <w:rtl w:val="true"/>
        </w:rPr>
        <w:footnoteReference w:id="13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المراد بما فی الروایة کما عرفت و مراد کلّ من عبّر بمثلها؛و لذا قال فی التحریر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کلّ ما زاد أو نقص عن أصل الخلقة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القید الأخیر لإدراج النقص الموجب لبذل الزائد لبعض الأغراض،کما قد یقال ذلک فی العبد الخصیّ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ینافیه ما ذکره فی التحریر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عدم الشعر علی العانة عیبٌ فی العبد و الأمة </w:t>
      </w:r>
      <w:r>
        <w:rPr>
          <w:rStyle w:val="FootnoteAnchor"/>
          <w:rtl w:val="true"/>
        </w:rPr>
        <w:footnoteReference w:id="1375"/>
      </w:r>
      <w:r>
        <w:rPr>
          <w:rFonts w:ascii="IRNazanin" w:hAnsi="IRNazanin" w:eastAsia="IRNazanin"/>
          <w:color w:val="111111"/>
          <w:sz w:val="28"/>
          <w:sz w:val="28"/>
          <w:szCs w:val="28"/>
          <w:rtl w:val="true"/>
          <w:lang w:bidi="fa-IR"/>
        </w:rPr>
        <w:t>لأنّه مبنیٌّ علی ما ذکرنا فی الجواب الأوّل عن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ذلک کاشفٌ أو موهمٌ لمرضٍ فی العضو أو المزاج، لا علی أنّه لا یعتبر فی العیب النقیصة المالیّة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أخذ نقص المالیّة فی تعریف العیب،و ذکر کثیرٍ من العیوب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الضابط أنّه یثبت الردّ بکلّ ما فی المعقود علیه من منقّص القیمة أو العین نقصاً یفوت به غرضٌ صحیحٌ بشرط أن یکون الغالب فی أمثال المبیع عدمه </w:t>
      </w:r>
      <w:r>
        <w:rPr>
          <w:rStyle w:val="FootnoteAnchor"/>
          <w:rtl w:val="true"/>
        </w:rPr>
        <w:footnoteReference w:id="1376"/>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أحسنه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لم یجعل ذلک تعریفاً للعیب،بل لما یوجب الردّ فیدخل فیه مثل خصاء العبد،کما صرّح به فی التذکرة معلّلاً بأنّ الغرض قد یتعلّق بالفحولیّة و إن زادت قیمته باعتبارٍ آخر،و قد دخل المشتری علی ظنّ السلامة،انتهی </w:t>
      </w:r>
      <w:r>
        <w:rPr>
          <w:rStyle w:val="FootnoteAnchor"/>
          <w:rtl w:val="true"/>
        </w:rPr>
        <w:footnoteReference w:id="13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یخرج منه مثل الثیبوبة و الغُلفة فی المجلوب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من عمّم العیب لما لا یوجب نقص المالیة 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المسالک </w:t>
      </w:r>
      <w:r>
        <w:rPr>
          <w:rStyle w:val="FootnoteAnchor"/>
          <w:rtl w:val="true"/>
        </w:rPr>
        <w:footnoteReference w:id="1378"/>
      </w:r>
      <w:r>
        <w:rPr>
          <w:rFonts w:ascii="Amiri" w:hAnsi="Amiri" w:eastAsia="Amiri" w:cs="Amiri"/>
          <w:color w:val="111111"/>
          <w:sz w:val="28"/>
          <w:sz w:val="28"/>
          <w:szCs w:val="28"/>
          <w:rtl w:val="true"/>
          <w:lang w:bidi="ar-SA"/>
        </w:rPr>
        <w:t xml:space="preserve">،و عن جماعةٍ </w:t>
      </w:r>
      <w:r>
        <w:rPr>
          <w:rStyle w:val="FootnoteAnchor"/>
          <w:rtl w:val="true"/>
        </w:rPr>
        <w:footnoteReference w:id="1379"/>
      </w:r>
      <w:r>
        <w:rPr>
          <w:rFonts w:ascii="IRNazanin" w:hAnsi="IRNazanin" w:eastAsia="IRNazanin"/>
          <w:color w:val="111111"/>
          <w:sz w:val="28"/>
          <w:sz w:val="28"/>
          <w:szCs w:val="28"/>
          <w:rtl w:val="true"/>
          <w:lang w:bidi="fa-IR"/>
        </w:rPr>
        <w:t xml:space="preserve">أراد به مجرّد موجب الردّ،لا العیب الذی یترتّب علیه کثیرٌ من الأحکام و إن لم یکن فیه أرشٌ </w:t>
      </w:r>
      <w:r>
        <w:rPr>
          <w:rStyle w:val="FootnoteAnchor"/>
          <w:rtl w:val="true"/>
        </w:rPr>
        <w:footnoteReference w:id="1380"/>
      </w:r>
      <w:r>
        <w:rPr>
          <w:rFonts w:ascii="IRNazanin" w:hAnsi="IRNazanin" w:eastAsia="IRNazanin"/>
          <w:color w:val="111111"/>
          <w:sz w:val="28"/>
          <w:sz w:val="28"/>
          <w:szCs w:val="28"/>
          <w:rtl w:val="true"/>
          <w:lang w:bidi="fa-IR"/>
        </w:rPr>
        <w:t>،کسقوط خیاره بتصرّفٍ أو حدوث عیبٍ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علیه یبتنی قول جامع المقاصد،کما عن تعلیق الإرشاد،حیث ذکرا </w:t>
      </w:r>
      <w:r>
        <w:rPr>
          <w:rStyle w:val="FootnoteAnchor"/>
          <w:rtl w:val="true"/>
        </w:rPr>
        <w:footnoteReference w:id="13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اللازم تقیید قول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 نقص المالیّة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لیندرج مثل الخصاء و الجَبّ </w:t>
      </w:r>
      <w:r>
        <w:rPr>
          <w:rStyle w:val="FootnoteAnchor"/>
          <w:rtl w:val="true"/>
        </w:rPr>
        <w:footnoteReference w:id="1382"/>
      </w:r>
      <w:r>
        <w:rPr>
          <w:rFonts w:ascii="IRNazanin" w:hAnsi="IRNazanin" w:eastAsia="IRNazanin"/>
          <w:color w:val="111111"/>
          <w:sz w:val="28"/>
          <w:sz w:val="28"/>
          <w:szCs w:val="28"/>
          <w:rtl w:val="true"/>
          <w:lang w:bidi="fa-IR"/>
        </w:rPr>
        <w:t>لأنّ المستفاد من ذکر بعض الأمثلة أنّ الکلام فی موجبات الردّ،لا خصوص العیب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ذلک أنّه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عدم الختان فی الکبیر المجلوب من بلاد الشرک لیس عیباً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المشتری بجلبه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ظاهره أنّه مع عدم العلم عیبٌ، فلولا أنّه أراد بالعیب مطلق ما یوجب الردّ لم یکن معنیً لدخل علم المشتری و جهله فی ذلک</w:t>
      </w:r>
      <w:r>
        <w:rPr>
          <w:rFonts w:eastAsia="IRNazanin" w:cs="IRNazanin"/>
          <w:color w:val="111111"/>
          <w:sz w:val="28"/>
          <w:szCs w:val="28"/>
          <w:rtl w:val="true"/>
          <w:lang w:bidi="fa-IR"/>
        </w:rPr>
        <w:t>.</w:t>
      </w:r>
      <w:bookmarkStart w:id="574" w:name="pg19864_220991"/>
    </w:p>
    <w:p>
      <w:pPr>
        <w:pStyle w:val="Heading5"/>
        <w:numPr>
          <w:ilvl w:val="4"/>
          <w:numId w:val="1"/>
        </w:numPr>
        <w:rPr/>
      </w:pPr>
      <w:bookmarkStart w:id="575" w:name="__RefHeading___Toc5148946_2314609296"/>
      <w:bookmarkStart w:id="576" w:name="_Toc218"/>
      <w:bookmarkEnd w:id="574"/>
      <w:bookmarkEnd w:id="575"/>
      <w:r>
        <w:rPr>
          <w:rtl w:val="true"/>
        </w:rPr>
        <w:t>الکلام فی بعض أفراد العیب</w:t>
      </w:r>
      <w:bookmarkEnd w:id="576"/>
    </w:p>
    <w:p>
      <w:pPr>
        <w:pStyle w:val="Heading6"/>
        <w:numPr>
          <w:ilvl w:val="5"/>
          <w:numId w:val="1"/>
        </w:numPr>
        <w:rPr/>
      </w:pPr>
      <w:bookmarkStart w:id="577" w:name="__RefHeading___Toc5148948_2314609296"/>
      <w:bookmarkStart w:id="578" w:name="_Toc219"/>
      <w:bookmarkEnd w:id="577"/>
      <w:r>
        <w:rPr>
          <w:rtl w:val="true"/>
        </w:rPr>
        <w:t>مسألة لا إشکال و لا خلاف فی کون المرض عیباً،</w:t>
      </w:r>
      <w:bookmarkEnd w:id="578"/>
    </w:p>
    <w:p>
      <w:pPr>
        <w:pStyle w:val="BookText"/>
        <w:rPr/>
      </w:pPr>
      <w:r>
        <w:rPr>
          <w:rFonts w:ascii="IRNazanin" w:hAnsi="IRNazanin" w:eastAsia="IRNazanin"/>
          <w:color w:val="111111"/>
          <w:sz w:val="28"/>
          <w:sz w:val="28"/>
          <w:szCs w:val="28"/>
          <w:rtl w:val="true"/>
          <w:lang w:bidi="fa-IR"/>
        </w:rPr>
        <w:t xml:space="preserve">و إطلاق کثیرٍ و تصریح بعضهم </w:t>
      </w:r>
      <w:r>
        <w:rPr>
          <w:rStyle w:val="FootnoteAnchor"/>
          <w:rtl w:val="true"/>
        </w:rPr>
        <w:footnoteReference w:id="1383"/>
      </w:r>
      <w:r>
        <w:rPr>
          <w:rFonts w:ascii="IRNazanin" w:hAnsi="IRNazanin" w:eastAsia="IRNazanin"/>
          <w:color w:val="111111"/>
          <w:sz w:val="28"/>
          <w:sz w:val="28"/>
          <w:szCs w:val="28"/>
          <w:rtl w:val="true"/>
          <w:lang w:bidi="fa-IR"/>
        </w:rPr>
        <w:t>یشمل حُمّی یومٍ،بأن یجده فی یوم البیع قد عرض له الحُمّی و إن لم یکن نوبة له فی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فی التذکرة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الجُذام و البَرَص و العَمَی و العَوَر و العَرَج و القَرْن و الفَتْق و الرتَق و القَرَع </w:t>
      </w:r>
      <w:r>
        <w:rPr>
          <w:rStyle w:val="FootnoteAnchor"/>
          <w:rtl w:val="true"/>
        </w:rPr>
        <w:footnoteReference w:id="1384"/>
      </w:r>
      <w:r>
        <w:rPr>
          <w:rFonts w:ascii="Amiri" w:hAnsi="Amiri" w:eastAsia="Amiri" w:cs="Amiri"/>
          <w:color w:val="111111"/>
          <w:sz w:val="28"/>
          <w:sz w:val="28"/>
          <w:szCs w:val="28"/>
          <w:rtl w:val="true"/>
          <w:lang w:bidi="ar-SA"/>
        </w:rPr>
        <w:t>و الصمَم و الخَرَس عیوبٌ إجماعاً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کذا أنواع المرض،سواءً استمرّ کما فی الممراض،أو کان عارضاً و لو حُمّی یومٍ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الإصبع الزائدة و الحَوَل و الحَوَص و السبَل و استحقاق القتل فی الردّة أو القصاص و القطع بالسرقة أو الجنایة و الاستسعاء فی الدین عیوبٌ إجماعاً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عد حمی الیوم المعلوم کونها حمی یوم یزول فی یومه و لا یعود مبنی علی عدِّ موجبات الردِّ لا العیوب الحقیقیّة؛لأنّ ذلک لیس مُنقِّصاً للقیمة</w:t>
      </w:r>
      <w:r>
        <w:rPr>
          <w:rFonts w:eastAsia="IRNazanin" w:cs="IRNazanin"/>
          <w:color w:val="111111"/>
          <w:sz w:val="28"/>
          <w:szCs w:val="28"/>
          <w:rtl w:val="true"/>
          <w:lang w:bidi="fa-IR"/>
        </w:rPr>
        <w:t>.</w:t>
      </w:r>
      <w:bookmarkStart w:id="579" w:name="pg19864_220992"/>
    </w:p>
    <w:p>
      <w:pPr>
        <w:pStyle w:val="Heading6"/>
        <w:numPr>
          <w:ilvl w:val="5"/>
          <w:numId w:val="1"/>
        </w:numPr>
        <w:rPr/>
      </w:pPr>
      <w:bookmarkStart w:id="580" w:name="__RefHeading___Toc5148950_2314609296"/>
      <w:bookmarkStart w:id="581" w:name="_Toc220"/>
      <w:bookmarkEnd w:id="579"/>
      <w:bookmarkEnd w:id="580"/>
      <w:r>
        <w:rPr>
          <w:rtl w:val="true"/>
        </w:rPr>
        <w:t>مسألة الحَبَل عیبٌ فی الإماء</w:t>
      </w:r>
      <w:bookmarkEnd w:id="581"/>
    </w:p>
    <w:p>
      <w:pPr>
        <w:pStyle w:val="BookText"/>
        <w:rPr/>
      </w:pPr>
      <w:r>
        <w:rPr>
          <w:rFonts w:ascii="Amiri" w:hAnsi="Amiri" w:eastAsia="Amiri" w:cs="Amiri"/>
          <w:color w:val="111111"/>
          <w:sz w:val="28"/>
          <w:sz w:val="28"/>
          <w:szCs w:val="28"/>
          <w:rtl w:val="true"/>
          <w:lang w:bidi="ar-SA"/>
        </w:rPr>
        <w:t xml:space="preserve">کما صرّح به جماعةٌ </w:t>
      </w:r>
      <w:r>
        <w:rPr>
          <w:rStyle w:val="FootnoteAnchor"/>
          <w:rtl w:val="true"/>
        </w:rPr>
        <w:footnoteReference w:id="1386"/>
      </w:r>
      <w:r>
        <w:rPr>
          <w:rFonts w:ascii="IRNazanin" w:hAnsi="IRNazanin" w:eastAsia="IRNazanin"/>
          <w:color w:val="111111"/>
          <w:sz w:val="28"/>
          <w:sz w:val="28"/>
          <w:szCs w:val="28"/>
          <w:rtl w:val="true"/>
          <w:lang w:bidi="fa-IR"/>
        </w:rPr>
        <w:t xml:space="preserve">،و فی المسالک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الإجماع علیه،فی مسألة ردّ الجاریة الحامل بعد الوطء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یدلّ علیه الأخبار الواردة فی تلک المسألة </w:t>
      </w:r>
      <w:r>
        <w:rPr>
          <w:rStyle w:val="FootnoteAnchor"/>
          <w:rtl w:val="true"/>
        </w:rPr>
        <w:footnoteReference w:id="13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علّله فی التذکرة باشتماله علی تغریر النفس لعدم یقین السلامة بالوضع </w:t>
      </w:r>
      <w:r>
        <w:rPr>
          <w:rStyle w:val="FootnoteAnchor"/>
          <w:rtl w:val="true"/>
        </w:rPr>
        <w:footnoteReference w:id="13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 عدم کون الحمل للبائع، و إلّا فالأمر أوضح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عجز الحامل عن کثیرٍ من الخدمات و عدم قابلیّتها للاستیلاد إلّا بعد الوضع</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غیر الإماء من الحیوانات،ففی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بعیبٍ و لا یوجب الردّ 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Style w:val="FootnoteAnchor"/>
          <w:rtl w:val="true"/>
        </w:rPr>
        <w:footnoteReference w:id="13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 فی المبیع إن قلنا بدخول الحمل فی</w:t>
      </w:r>
    </w:p>
    <w:p>
      <w:pPr>
        <w:pStyle w:val="BookText"/>
        <w:rPr/>
      </w:pPr>
      <w:r>
        <w:rPr>
          <w:rFonts w:ascii="IRNazanin" w:hAnsi="IRNazanin" w:eastAsia="IRNazanin"/>
          <w:color w:val="111111"/>
          <w:sz w:val="28"/>
          <w:sz w:val="28"/>
          <w:szCs w:val="28"/>
          <w:rtl w:val="true"/>
          <w:lang w:bidi="fa-IR"/>
        </w:rPr>
        <w:t>بیع الحامل،کما هو مذهب الشیخ،و قال بعض الشافعیّة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یردّ به،و لیس بشیءٍ </w:t>
      </w:r>
      <w:r>
        <w:rPr>
          <w:rStyle w:val="FootnoteAnchor"/>
          <w:rtl w:val="true"/>
        </w:rPr>
        <w:footnoteReference w:id="139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رجّح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الثانی </w:t>
      </w:r>
      <w:r>
        <w:rPr>
          <w:rStyle w:val="FootnoteAnchor"/>
          <w:rtl w:val="true"/>
        </w:rPr>
        <w:footnoteReference w:id="13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کونه عیباً و إن قلنا بدخول الحمل فی بیع الحامل؛لأنّه و إن کان زیادةً من وجهٍ،إلّا أنّه نقیصةٌ من وجهٍ آخر،لمنع الانتفاع بها عاجلاً،و لأنه لا یؤمن علیها من أداء الوضع إلی الهلاک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الأقوی علی قول الشیخ </w:t>
      </w:r>
      <w:r>
        <w:rPr>
          <w:rStyle w:val="FootnoteAnchor"/>
          <w:rtl w:val="true"/>
        </w:rPr>
        <w:footnoteReference w:id="1394"/>
      </w:r>
      <w:r>
        <w:rPr>
          <w:rFonts w:ascii="IRNazanin" w:hAnsi="IRNazanin" w:eastAsia="IRNazanin"/>
          <w:color w:val="111111"/>
          <w:sz w:val="28"/>
          <w:sz w:val="28"/>
          <w:szCs w:val="28"/>
          <w:rtl w:val="true"/>
          <w:lang w:bidi="fa-IR"/>
        </w:rPr>
        <w:t>ما اختاره فی التذکرة؛لعدم النقص فی المالیّة بعد کونه زیادةً من وجهٍ آخر،و أداء الوضع إلی الهلاک نادرٌ فی الحیوانات لا یعبأ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نعم،عدم التمکّن من بعض الانتفاعات نقصٌ یوجب الخیار دون الأرش،کوجدان العین مستأجرةً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کان،فمقتضی کون الحمل عیباً فی الإماء أنّه لو حملت الجاریة المعیبة عند المشتری لم یجز ردّها؛لحدوث العیب فی یده </w:t>
      </w:r>
      <w:r>
        <w:rPr>
          <w:rStyle w:val="FootnoteAnchor"/>
          <w:rtl w:val="true"/>
        </w:rPr>
        <w:footnoteReference w:id="1395"/>
      </w:r>
      <w:r>
        <w:rPr>
          <w:rFonts w:ascii="IRNazanin" w:hAnsi="IRNazanin" w:eastAsia="IRNazanin"/>
          <w:color w:val="111111"/>
          <w:sz w:val="28"/>
          <w:sz w:val="28"/>
          <w:szCs w:val="28"/>
          <w:rtl w:val="true"/>
          <w:lang w:bidi="fa-IR"/>
        </w:rPr>
        <w:t xml:space="preserve">سواءً نقصت بعد الولادة أم لا،لأنّ العیب الحادث مانعٌ و إن زال،علی ما تقدّم من التذکرة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کان المبیع جاریةً </w:t>
      </w:r>
      <w:r>
        <w:rPr>
          <w:rStyle w:val="FootnoteAnchor"/>
          <w:rtl w:val="true"/>
        </w:rPr>
        <w:footnoteReference w:id="1397"/>
      </w:r>
      <w:r>
        <w:rPr>
          <w:rFonts w:ascii="IRNazanin" w:hAnsi="IRNazanin" w:eastAsia="IRNazanin"/>
          <w:color w:val="111111"/>
          <w:sz w:val="28"/>
          <w:sz w:val="28"/>
          <w:szCs w:val="28"/>
          <w:rtl w:val="true"/>
          <w:lang w:bidi="fa-IR"/>
        </w:rPr>
        <w:t>فحبلت و ولدت فی ید</w:t>
      </w:r>
    </w:p>
    <w:p>
      <w:pPr>
        <w:pStyle w:val="BookText"/>
        <w:rPr/>
      </w:pPr>
      <w:r>
        <w:rPr>
          <w:rFonts w:ascii="IRNazanin" w:hAnsi="IRNazanin" w:eastAsia="IRNazanin"/>
          <w:color w:val="111111"/>
          <w:sz w:val="28"/>
          <w:sz w:val="28"/>
          <w:szCs w:val="28"/>
          <w:rtl w:val="true"/>
          <w:lang w:bidi="fa-IR"/>
        </w:rPr>
        <w:t>المشتری،فإن نقصت بالولادة سقط الردّ بالعیب القدیم و کان له الأرش، و إن لم تنقص فالأولی جواز ردّها وحدها من دون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حکم الدابّة لو حملت و ولدت عند المشتری </w:t>
      </w:r>
      <w:r>
        <w:rPr>
          <w:rStyle w:val="FootnoteAnchor"/>
          <w:rtl w:val="true"/>
        </w:rPr>
        <w:footnoteReference w:id="1398"/>
      </w:r>
      <w:r>
        <w:rPr>
          <w:rFonts w:ascii="Amiri" w:hAnsi="Amiri" w:eastAsia="Amiri" w:cs="Amiri"/>
          <w:color w:val="111111"/>
          <w:sz w:val="28"/>
          <w:sz w:val="28"/>
          <w:szCs w:val="28"/>
          <w:rtl w:val="true"/>
          <w:lang w:bidi="ar-SA"/>
        </w:rPr>
        <w:t>،فإن نقصت بالولادة فلا ردّ،و إن لم تنقص ردّها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دون ولدها </w:t>
      </w:r>
      <w:r>
        <w:rPr>
          <w:rStyle w:val="FootnoteAnchor"/>
          <w:rtl w:val="true"/>
        </w:rPr>
        <w:footnoteReference w:id="13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 للمشتری </w:t>
      </w:r>
      <w:r>
        <w:rPr>
          <w:rStyle w:val="FootnoteAnchor"/>
          <w:rtl w:val="true"/>
        </w:rPr>
        <w:footnoteReference w:id="1400"/>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مقامٍ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اشتری جاریةً أو بهیمةً حائلاً فحبلت عند المشتری فإن نقصت بالحمل فلا ردّ </w:t>
      </w:r>
      <w:r>
        <w:rPr>
          <w:rStyle w:val="FootnoteAnchor"/>
          <w:rtl w:val="true"/>
        </w:rPr>
        <w:footnoteReference w:id="1401"/>
      </w:r>
      <w:r>
        <w:rPr>
          <w:rFonts w:ascii="IRNazanin" w:hAnsi="IRNazanin" w:eastAsia="IRNazanin"/>
          <w:color w:val="111111"/>
          <w:sz w:val="28"/>
          <w:sz w:val="28"/>
          <w:szCs w:val="28"/>
          <w:rtl w:val="true"/>
          <w:lang w:bidi="fa-IR"/>
        </w:rPr>
        <w:t xml:space="preserve">،و إن لم تنقص أو کان الحمل فی ید البائع فله الردّ </w:t>
      </w:r>
      <w:r>
        <w:rPr>
          <w:rStyle w:val="FootnoteAnchor"/>
          <w:rtl w:val="true"/>
        </w:rPr>
        <w:footnoteReference w:id="140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حملت إحداهما یعنی الجاریة و البهیمة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المشتری لا بتصرّفه فالحمل له،فإن فسخَ ردَّ الاُمَّ ما لم تنقص بالحمل أو الولادة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الحمل عند المشتری یمنع الردّ،لأنّه إمّا بفعله أو إهمال المراعاة حتّی ضربها الفحل،و کلاهما تصرّفٌ </w:t>
      </w:r>
      <w:r>
        <w:rPr>
          <w:rStyle w:val="FootnoteAnchor"/>
          <w:rtl w:val="true"/>
        </w:rPr>
        <w:footnoteReference w:id="140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صرّح فی المبسوط باستواء البهیمة و الجاریة فی أنّه إذا حملت</w:t>
      </w:r>
    </w:p>
    <w:p>
      <w:pPr>
        <w:pStyle w:val="BookText"/>
        <w:rPr/>
      </w:pPr>
      <w:r>
        <w:rPr>
          <w:rFonts w:ascii="IRNazanin" w:hAnsi="IRNazanin" w:eastAsia="IRNazanin"/>
          <w:color w:val="111111"/>
          <w:sz w:val="28"/>
          <w:sz w:val="28"/>
          <w:szCs w:val="28"/>
          <w:rtl w:val="true"/>
          <w:lang w:bidi="fa-IR"/>
        </w:rPr>
        <w:t xml:space="preserve">إحداهما عند المشتری و ولدت و لم تنقص بالولادة فوجد فیها عیباً ردَّ الاُمَّ دون الولد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 ذلک کلّه خصوصاً نسبة منع الردّ إلی خصوص القاضی و خصوصاً مع استدلاله علی المنع بالتصرّف،لا حدوث العیب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تسالمهم علی أنّ الحمل الحادث عند المشتری فی الأمة لیس فی نفسه عیباً بل العیب هو النقص الحاصل </w:t>
      </w:r>
      <w:r>
        <w:rPr>
          <w:rStyle w:val="FootnoteAnchor"/>
          <w:rtl w:val="true"/>
        </w:rPr>
        <w:footnoteReference w:id="1405"/>
      </w:r>
      <w:r>
        <w:rPr>
          <w:rFonts w:ascii="IRNazanin" w:hAnsi="IRNazanin" w:eastAsia="IRNazanin"/>
          <w:color w:val="111111"/>
          <w:sz w:val="28"/>
          <w:sz w:val="28"/>
          <w:szCs w:val="28"/>
          <w:rtl w:val="true"/>
          <w:lang w:bidi="fa-IR"/>
        </w:rPr>
        <w:t>بالولادة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مخالفٌ للأخبار المتقدّمة فی ردّ الجاریة الحامل الموطوءة من عیب الحَبَل </w:t>
      </w:r>
      <w:r>
        <w:rPr>
          <w:rStyle w:val="FootnoteAnchor"/>
          <w:rtl w:val="true"/>
        </w:rPr>
        <w:footnoteReference w:id="1406"/>
      </w:r>
      <w:r>
        <w:rPr>
          <w:rFonts w:ascii="IRNazanin" w:hAnsi="IRNazanin" w:eastAsia="IRNazanin"/>
          <w:color w:val="111111"/>
          <w:sz w:val="28"/>
          <w:sz w:val="28"/>
          <w:szCs w:val="28"/>
          <w:rtl w:val="true"/>
          <w:lang w:bidi="fa-IR"/>
        </w:rPr>
        <w:t xml:space="preserve">،و للإجماع المتقدّم عن المسالک </w:t>
      </w:r>
      <w:r>
        <w:rPr>
          <w:rStyle w:val="FootnoteAnchor"/>
          <w:rtl w:val="true"/>
        </w:rPr>
        <w:footnoteReference w:id="1407"/>
      </w:r>
      <w:r>
        <w:rPr>
          <w:rFonts w:ascii="IRNazanin" w:hAnsi="IRNazanin" w:eastAsia="IRNazanin"/>
          <w:color w:val="111111"/>
          <w:sz w:val="28"/>
          <w:sz w:val="28"/>
          <w:szCs w:val="28"/>
          <w:rtl w:val="true"/>
          <w:lang w:bidi="fa-IR"/>
        </w:rPr>
        <w:t xml:space="preserve">،و تصریح هؤلاء بکون الحمل </w:t>
      </w:r>
      <w:r>
        <w:rPr>
          <w:rStyle w:val="FootnoteAnchor"/>
          <w:rtl w:val="true"/>
        </w:rPr>
        <w:footnoteReference w:id="1408"/>
      </w:r>
      <w:r>
        <w:rPr>
          <w:rFonts w:ascii="IRNazanin" w:hAnsi="IRNazanin" w:eastAsia="IRNazanin"/>
          <w:color w:val="111111"/>
          <w:sz w:val="28"/>
          <w:sz w:val="28"/>
          <w:szCs w:val="28"/>
          <w:rtl w:val="true"/>
          <w:lang w:bidi="fa-IR"/>
        </w:rPr>
        <w:t>عیباً یُردّ منه لاشتماله علی التغریر بالنفس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الجمع بین کلماتهم مشکلٌ،خصوصاً بملاحظة العبارة الأخیرة المحکیّة عن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إطلاق کون الحمل عند البائع عیباً و إن لم یُنقِّص،و عند المشتری بشرط النقص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r>
        <w:rPr>
          <w:rStyle w:val="FootnoteAnchor"/>
          <w:rtl w:val="true"/>
        </w:rPr>
        <w:footnoteReference w:id="1409"/>
      </w:r>
      <w:r>
        <w:rPr>
          <w:rFonts w:ascii="IRNazanin" w:hAnsi="IRNazanin" w:eastAsia="IRNazanin"/>
          <w:color w:val="111111"/>
          <w:sz w:val="28"/>
          <w:sz w:val="28"/>
          <w:szCs w:val="28"/>
          <w:rtl w:val="true"/>
          <w:lang w:bidi="fa-IR"/>
        </w:rPr>
        <w:t>من غیر فرقٍ بین الجاریة و البهیمة،مع أنّ ظاهر العبارة الأُولی کالتحریر و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الفرق،فراجع</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حملت غیر الأمة عند المشتری من غیر</w:t>
      </w:r>
    </w:p>
    <w:p>
      <w:pPr>
        <w:pStyle w:val="BookText"/>
        <w:rPr/>
      </w:pPr>
      <w:r>
        <w:rPr>
          <w:rFonts w:ascii="IRNazanin" w:hAnsi="IRNazanin" w:eastAsia="IRNazanin"/>
          <w:color w:val="111111"/>
          <w:sz w:val="28"/>
          <w:sz w:val="28"/>
          <w:szCs w:val="28"/>
          <w:rtl w:val="true"/>
          <w:lang w:bidi="fa-IR"/>
        </w:rPr>
        <w:t xml:space="preserve">تصرّفٍ فالأقرب أنّ للمشتری الردّ بالعیب السابق،لأنّ الحمل زیادة </w:t>
      </w:r>
      <w:r>
        <w:rPr>
          <w:rStyle w:val="FootnoteAnchor"/>
          <w:rtl w:val="true"/>
        </w:rPr>
        <w:footnoteReference w:id="1410"/>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بناءٌ منه علی أنّ الحمل لیس عیباً فی غیر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الإیضاح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هذا </w:t>
      </w:r>
      <w:r>
        <w:rPr>
          <w:rStyle w:val="FootnoteAnchor"/>
          <w:rtl w:val="true"/>
        </w:rPr>
        <w:footnoteReference w:id="1411"/>
      </w:r>
      <w:r>
        <w:rPr>
          <w:rFonts w:ascii="IRNazanin" w:hAnsi="IRNazanin" w:eastAsia="IRNazanin"/>
          <w:color w:val="111111"/>
          <w:sz w:val="28"/>
          <w:sz w:val="28"/>
          <w:szCs w:val="28"/>
          <w:rtl w:val="true"/>
          <w:lang w:bidi="fa-IR"/>
        </w:rPr>
        <w:t xml:space="preserve">علی قول الشیخ فی کون الحمل تابعاً للحامل فی الانتقال ظاهرٌ </w:t>
      </w:r>
      <w:r>
        <w:rPr>
          <w:rStyle w:val="FootnoteAnchor"/>
          <w:rtl w:val="true"/>
        </w:rPr>
        <w:footnoteReference w:id="1412"/>
      </w:r>
      <w:r>
        <w:rPr>
          <w:rFonts w:ascii="IRNazanin" w:hAnsi="IRNazanin" w:eastAsia="IRNazanin"/>
          <w:color w:val="111111"/>
          <w:sz w:val="28"/>
          <w:sz w:val="28"/>
          <w:szCs w:val="28"/>
          <w:rtl w:val="true"/>
          <w:lang w:bidi="fa-IR"/>
        </w:rPr>
        <w:t xml:space="preserve">،و أمّا عندنا فالأقوی ذلک؛لأنّه کالثمرة المتجدّدة علی الشجرة،و کما لو أطارت الریح ثوباً للمشتری فی الدار المبتاعة و الخیار له فلا یؤثّر،و یحتمل عدمه؛لحصول خطرٍ ما،و لنقص منافعها،فإنّها لا تقدر علی الحمل العظیم </w:t>
      </w:r>
      <w:r>
        <w:rPr>
          <w:rStyle w:val="FootnoteAnchor"/>
          <w:rtl w:val="true"/>
        </w:rPr>
        <w:footnoteReference w:id="141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ظهر الوهم فیما نسب إلی الإیضاح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ما قرّبه فی القواعد مبنیٌّ علی قول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دخول الحمل فی بیع الحامل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نعم،ذکر فی 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ذکره المصنّف قدّس سرّه إن تمّ فإنّما یُخرَّج علی قول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کون المبیع فی زمن الخیار مِلکاً للبائع بشرط تجدّد الحمل فی زمان الخیار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لعلّه فهم من العبارة ردّ الحامل مع حملها علی ما یتراءی من تعلیله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الحمل 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الحامل رُدَّت إلی البائع مع الزیادة،لا مع النقیصة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الظاهر من التعلیل کونه تعلیلاً لعدم کون الحمل عیباً فی غیر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کان،فالأقوی فی مسألة حدوث حمل الأمة عدم جواز الردّ ما دام الحمل،و ابتناء حکمها بعد الوضع و عدم النقص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 زوال العیب الحادث یؤثّر فی جواز الردّ أم لا؟و أمّا حمل غیر الأمة فقد عرفت أنّه لیس عیباً موجباً للأرش؛لعدم الخطر فیه غالباً، و عجزها عن تحمّل بعض المشاقّ لا یوجب إلّا فوات بعض المنافع الموجب للتخییر فی الردّ دون الأرش</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لمّا کان المراد بالعیب الحادث المانع عن الردّ ما یعمّ نقص الصفات الغیر الموجب للأرش،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Style w:val="FootnoteAnchor"/>
          <w:rtl w:val="true"/>
        </w:rPr>
        <w:footnoteReference w:id="14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متحقّقاً </w:t>
      </w:r>
      <w:r>
        <w:rPr>
          <w:rStyle w:val="FootnoteAnchor"/>
          <w:rtl w:val="true"/>
        </w:rPr>
        <w:footnoteReference w:id="1416"/>
      </w:r>
      <w:r>
        <w:rPr>
          <w:rFonts w:ascii="IRNazanin" w:hAnsi="IRNazanin" w:eastAsia="IRNazanin"/>
          <w:color w:val="111111"/>
          <w:sz w:val="28"/>
          <w:sz w:val="28"/>
          <w:szCs w:val="28"/>
          <w:rtl w:val="true"/>
          <w:lang w:bidi="fa-IR"/>
        </w:rPr>
        <w:t>هنا مضافاً إلی نقصٍ آخر و هو کون المبیع متضمّناً لمال الغیر؛لأنّ المفروض کون الحمل للمشتری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اتّجه الحکم بعدم جواز الردّ حینئذٍ</w:t>
      </w:r>
      <w:r>
        <w:rPr>
          <w:rFonts w:eastAsia="IRNazanin" w:cs="IRNazanin"/>
          <w:color w:val="111111"/>
          <w:sz w:val="28"/>
          <w:szCs w:val="28"/>
          <w:rtl w:val="true"/>
          <w:lang w:bidi="fa-IR"/>
        </w:rPr>
        <w:t>.</w:t>
      </w:r>
      <w:bookmarkStart w:id="582" w:name="pg19864_220998"/>
    </w:p>
    <w:p>
      <w:pPr>
        <w:pStyle w:val="Heading6"/>
        <w:numPr>
          <w:ilvl w:val="5"/>
          <w:numId w:val="1"/>
        </w:numPr>
        <w:rPr/>
      </w:pPr>
      <w:bookmarkStart w:id="583" w:name="__RefHeading___Toc5148952_2314609296"/>
      <w:bookmarkStart w:id="584" w:name="_Toc221"/>
      <w:bookmarkEnd w:id="582"/>
      <w:bookmarkEnd w:id="583"/>
      <w:r>
        <w:rPr>
          <w:rtl w:val="true"/>
        </w:rPr>
        <w:t>مسألة الأکثر علی أنّ الثیبوبة لیست عیباً فی الإماء،</w:t>
      </w:r>
      <w:bookmarkEnd w:id="584"/>
    </w:p>
    <w:p>
      <w:pPr>
        <w:pStyle w:val="BookText"/>
        <w:rPr/>
      </w:pPr>
      <w:r>
        <w:rPr>
          <w:rFonts w:ascii="IRNazanin" w:hAnsi="IRNazanin" w:eastAsia="IRNazanin"/>
          <w:color w:val="111111"/>
          <w:sz w:val="28"/>
          <w:sz w:val="28"/>
          <w:szCs w:val="28"/>
          <w:rtl w:val="true"/>
          <w:lang w:bidi="fa-IR"/>
        </w:rPr>
        <w:t>بل فی التحریر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نعلم فیه خلافاً </w:t>
      </w:r>
      <w:r>
        <w:rPr>
          <w:rStyle w:val="FootnoteAnchor"/>
          <w:rtl w:val="true"/>
        </w:rPr>
        <w:footnoteReference w:id="1417"/>
      </w:r>
      <w:r>
        <w:rPr>
          <w:rFonts w:ascii="IRNazanin" w:hAnsi="IRNazanin" w:eastAsia="IRNazanin"/>
          <w:color w:val="111111"/>
          <w:sz w:val="28"/>
          <w:sz w:val="28"/>
          <w:szCs w:val="28"/>
          <w:rtl w:val="true"/>
          <w:lang w:bidi="fa-IR"/>
        </w:rPr>
        <w:t xml:space="preserve">،و نسبه فی المسالک </w:t>
      </w:r>
      <w:r>
        <w:rPr>
          <w:rStyle w:val="FootnoteAnchor"/>
          <w:rtl w:val="true"/>
        </w:rPr>
        <w:footnoteReference w:id="1418"/>
      </w:r>
      <w:r>
        <w:rPr>
          <w:rFonts w:ascii="IRNazanin" w:hAnsi="IRNazanin" w:eastAsia="IRNazanin"/>
          <w:color w:val="111111"/>
          <w:sz w:val="28"/>
          <w:sz w:val="28"/>
          <w:szCs w:val="28"/>
          <w:rtl w:val="true"/>
          <w:lang w:bidi="fa-IR"/>
        </w:rPr>
        <w:t xml:space="preserve">کما عن غیره </w:t>
      </w:r>
      <w:r>
        <w:rPr>
          <w:rStyle w:val="FootnoteAnchor"/>
          <w:rtl w:val="true"/>
        </w:rPr>
        <w:footnoteReference w:id="1419"/>
      </w:r>
      <w:r>
        <w:rPr>
          <w:rFonts w:ascii="IRNazanin" w:hAnsi="IRNazanin" w:eastAsia="IRNazanin"/>
          <w:color w:val="111111"/>
          <w:sz w:val="28"/>
          <w:sz w:val="28"/>
          <w:szCs w:val="28"/>
          <w:rtl w:val="true"/>
          <w:lang w:bidi="fa-IR"/>
        </w:rPr>
        <w:t>إلی إطلاق الأصحاب؛ لغلبتها فیهنّ،فکانت بمنزلة الخلقة الأصلیّة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استدلّ علیه أیضاً بروایة سماعة المنجبرة بعمل الأصحاب علی ما ادّعاه المستدلّ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باع جاریةً علی أنّها بِکرٌ،فلم یجدها کذلک؟قال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تردّ علیه،و لا یجب علیه شیءٌ؛إنّه قد یکون تذهب فی حال مرضٍ أو أمرٍ یصیبها</w:t>
      </w:r>
      <w:r>
        <w:rPr>
          <w:rFonts w:eastAsia="IRNazanin" w:cs="IRNazanin"/>
          <w:color w:val="111111"/>
          <w:sz w:val="28"/>
          <w:szCs w:val="28"/>
          <w:rtl w:val="true"/>
          <w:lang w:bidi="fa-IR"/>
        </w:rPr>
        <w:t xml:space="preserve">»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کلا الوجهین نظر</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عرفت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وجود الصفة فی أغلب أفراد الطبیعة إنّما یکشف عن کونها بمقتضی أصل وجودها المعبَّر عنه بالخلقة الأصلیّة إذا لم یکن مقتضی الخلقة معلوماً کما </w:t>
      </w:r>
      <w:r>
        <w:rPr>
          <w:rStyle w:val="FootnoteAnchor"/>
          <w:rtl w:val="true"/>
        </w:rPr>
        <w:footnoteReference w:id="1421"/>
      </w:r>
      <w:r>
        <w:rPr>
          <w:rFonts w:ascii="IRNazanin" w:hAnsi="IRNazanin" w:eastAsia="IRNazanin"/>
          <w:color w:val="111111"/>
          <w:sz w:val="28"/>
          <w:sz w:val="28"/>
          <w:szCs w:val="28"/>
          <w:rtl w:val="true"/>
          <w:lang w:bidi="fa-IR"/>
        </w:rPr>
        <w:t>نحن فیه،و إلّا فمقتضی</w:t>
      </w:r>
    </w:p>
    <w:p>
      <w:pPr>
        <w:pStyle w:val="BookText"/>
        <w:rPr/>
      </w:pPr>
      <w:r>
        <w:rPr>
          <w:rFonts w:ascii="IRNazanin" w:hAnsi="IRNazanin" w:eastAsia="IRNazanin"/>
          <w:color w:val="111111"/>
          <w:sz w:val="28"/>
          <w:sz w:val="28"/>
          <w:szCs w:val="28"/>
          <w:rtl w:val="true"/>
          <w:lang w:bidi="fa-IR"/>
        </w:rPr>
        <w:t xml:space="preserve">الغالب لا یقدَّم علی ما علم أنّه مقتضی الخلقة الأصلیّة و عُلم کون النقص عنها موجباً لنقص المالیّة کما فیما نحن فیه،خصوصاً مع ما عرفت من إطلاق مرسلة السیّاری </w:t>
      </w:r>
      <w:r>
        <w:rPr>
          <w:rStyle w:val="FootnoteAnchor"/>
          <w:rtl w:val="true"/>
        </w:rPr>
        <w:footnoteReference w:id="1422"/>
      </w:r>
      <w:r>
        <w:rPr>
          <w:rFonts w:ascii="IRNazanin" w:hAnsi="IRNazanin" w:eastAsia="IRNazanin"/>
          <w:color w:val="111111"/>
          <w:sz w:val="28"/>
          <w:sz w:val="28"/>
          <w:szCs w:val="28"/>
          <w:rtl w:val="true"/>
          <w:lang w:bidi="fa-IR"/>
        </w:rPr>
        <w:t>،غایة ما یفید الغلبة المذکورة هنا عدم تنزیل إطلاق العقد علی التزام سلامة المعقود علیه عن تلک الصفة الغالبة،و لا یثبت الخیار بوجودها و إن کانت نقصاً فی الخلقة الأصلیّة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روایة سماعة فلا دلالة لها علی المقصود؛لتعلیله علیه السلام عدم الردّ مع اشتراط البکارة باحتمال ذهابها بعارضٍ،و قدح هذا الاحتمال إمّا لجریانه بعد قبض المشتری فلا یکون مضموناً علی البائع،و إمّا لأنّ اشتراط البکارة کنایةٌ عن عدم وطء أحدٍ لها،فمجرّد ثیبوبتها لا یوجب تخلّف الشرط الموجب للخیار،بل مقتضی تعلیل عدم الردّ بهذا الاحتمال أنّه لو فرض عدمه لثبت الخیار،فیعلم من ذلک کون البکارة صفة کمالٍ طبیعیٍّ،فعدمها نقصٌ فی أصل الطبیعة فیکون عیباً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کان،فالأقوی أنّ الثیبوبة عیبٌ عرفاً و شرعاً،إلّا أنّها لمّا غلبت علی الإماء لم یقتض إطلاق العقد التزام سلامتها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الثمرة فیما لو اشترط فی متن العقد سلامة المبیع عن العیوب مطلقاً أو اشترط خصوص البکارة،فإنّه یثبت بفقدها التخییر بین الردّ و الأرش؛لوجود العیب و عدم المانع من تأثیره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ما لو کان المبیع صغیرةً أو کبیرةً لم یکن الغالب علی صنفها الثیبوبة،فإنّه یثبت حکم العیب</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غلبة الثیبوبة مانعةٌ عن حکم العیب لا موضوعِهِ،</w:t>
      </w:r>
    </w:p>
    <w:p>
      <w:pPr>
        <w:pStyle w:val="BookText"/>
        <w:rPr/>
      </w:pPr>
      <w:r>
        <w:rPr>
          <w:rFonts w:ascii="IRNazanin" w:hAnsi="IRNazanin" w:eastAsia="IRNazanin"/>
          <w:color w:val="111111"/>
          <w:sz w:val="28"/>
          <w:sz w:val="28"/>
          <w:szCs w:val="28"/>
          <w:rtl w:val="true"/>
          <w:lang w:bidi="fa-IR"/>
        </w:rPr>
        <w:t xml:space="preserve">فإذا وجد ما یمنع عن مقتضاها ثبت حکم العیب،و لعلّ هذا </w:t>
      </w:r>
      <w:r>
        <w:rPr>
          <w:rStyle w:val="FootnoteAnchor"/>
          <w:rtl w:val="true"/>
        </w:rPr>
        <w:footnoteReference w:id="1423"/>
      </w:r>
      <w:r>
        <w:rPr>
          <w:rFonts w:ascii="IRNazanin" w:hAnsi="IRNazanin" w:eastAsia="IRNazanin"/>
          <w:color w:val="111111"/>
          <w:sz w:val="28"/>
          <w:sz w:val="28"/>
          <w:szCs w:val="28"/>
          <w:rtl w:val="true"/>
          <w:lang w:bidi="fa-IR"/>
        </w:rPr>
        <w:t>مراد المشهور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یدلّ علی ذلک ما عرفت </w:t>
      </w:r>
      <w:r>
        <w:rPr>
          <w:rStyle w:val="FootnoteAnchor"/>
          <w:rtl w:val="true"/>
        </w:rPr>
        <w:footnoteReference w:id="1424"/>
      </w:r>
      <w:r>
        <w:rPr>
          <w:rFonts w:ascii="Amiri" w:hAnsi="Amiri" w:eastAsia="Amiri" w:cs="Amiri"/>
          <w:color w:val="111111"/>
          <w:sz w:val="28"/>
          <w:sz w:val="28"/>
          <w:szCs w:val="28"/>
          <w:rtl w:val="true"/>
          <w:lang w:bidi="ar-SA"/>
        </w:rPr>
        <w:t>من العلّامة رحمه اللّٰه فی التحریر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نفی الخلاف فی عدم کون الثیبوبة عیباً،مع أنّه فی کتبه </w:t>
      </w:r>
      <w:r>
        <w:rPr>
          <w:rStyle w:val="FootnoteAnchor"/>
          <w:rtl w:val="true"/>
        </w:rPr>
        <w:footnoteReference w:id="1425"/>
      </w:r>
      <w:r>
        <w:rPr>
          <w:rFonts w:ascii="IRNazanin" w:hAnsi="IRNazanin" w:eastAsia="IRNazanin"/>
          <w:color w:val="111111"/>
          <w:sz w:val="28"/>
          <w:sz w:val="28"/>
          <w:szCs w:val="28"/>
          <w:rtl w:val="true"/>
          <w:lang w:bidi="fa-IR"/>
        </w:rPr>
        <w:t xml:space="preserve">،بل المشهور کما فی الدروس </w:t>
      </w:r>
      <w:r>
        <w:rPr>
          <w:rStyle w:val="FootnoteAnchor"/>
          <w:rtl w:val="true"/>
        </w:rPr>
        <w:footnoteReference w:id="1426"/>
      </w:r>
      <w:r>
        <w:rPr>
          <w:rFonts w:ascii="IRNazanin" w:hAnsi="IRNazanin" w:eastAsia="IRNazanin"/>
          <w:color w:val="111111"/>
          <w:sz w:val="28"/>
          <w:sz w:val="28"/>
          <w:szCs w:val="28"/>
          <w:rtl w:val="true"/>
          <w:lang w:bidi="fa-IR"/>
        </w:rPr>
        <w:t>علی ثبوت الأرش إذا اشترط البکارة،فلولا أنّ الثیبوبة عیبٌ لم یکن أرشٌ فی مجرّد تخلّف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مستندهم فی ثبوت الأرش ورود النصّ بذلک فیما رواه فی الکافی و التهذیب عن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اشتری جاریةً علی أنّها عذراء،فلم یجدها عذراء؟قال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علیه فضل القیمة إذا علم أنّه صادق</w:t>
      </w:r>
      <w:r>
        <w:rPr>
          <w:rFonts w:eastAsia="IRNazanin" w:cs="IRNazanin"/>
          <w:color w:val="111111"/>
          <w:sz w:val="28"/>
          <w:szCs w:val="28"/>
          <w:rtl w:val="true"/>
          <w:lang w:bidi="fa-IR"/>
        </w:rPr>
        <w:t xml:space="preserve">»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إنّه نسب فی التذکرة إلی أصحابنا عدم الردّ بمقتضی روایة سماعة المتقدّمة،و أوَّلَه بما وجّهنا به تلک الروایة </w:t>
      </w:r>
      <w:r>
        <w:rPr>
          <w:rStyle w:val="FootnoteAnchor"/>
          <w:rtl w:val="true"/>
        </w:rPr>
        <w:footnoteReference w:id="14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 الشیخ فی النهایة مضمون الروایة </w:t>
      </w:r>
      <w:r>
        <w:rPr>
          <w:rStyle w:val="FootnoteAnchor"/>
          <w:rtl w:val="true"/>
        </w:rPr>
        <w:footnoteReference w:id="1429"/>
      </w:r>
      <w:r>
        <w:rPr>
          <w:rFonts w:ascii="IRNazanin" w:hAnsi="IRNazanin" w:eastAsia="IRNazanin"/>
          <w:color w:val="111111"/>
          <w:sz w:val="28"/>
          <w:sz w:val="28"/>
          <w:szCs w:val="28"/>
          <w:rtl w:val="true"/>
          <w:lang w:bidi="fa-IR"/>
        </w:rPr>
        <w:t>مع تعلیلها الدالّ علی تأویلها</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شرط الثیبوبة فبانت بکراً کان له الردّ؛لأنّه قد یقصد الثیّب لغرضٍ صحیح</w:t>
      </w:r>
      <w:r>
        <w:rPr>
          <w:rFonts w:eastAsia="IRNazanin" w:cs="IRNazanin"/>
          <w:color w:val="111111"/>
          <w:sz w:val="28"/>
          <w:szCs w:val="28"/>
          <w:rtl w:val="true"/>
          <w:lang w:bidi="fa-IR"/>
        </w:rPr>
        <w:t>.</w:t>
      </w:r>
      <w:bookmarkStart w:id="585" w:name="pg19864_221001"/>
    </w:p>
    <w:p>
      <w:pPr>
        <w:pStyle w:val="Heading6"/>
        <w:numPr>
          <w:ilvl w:val="5"/>
          <w:numId w:val="1"/>
        </w:numPr>
        <w:rPr/>
      </w:pPr>
      <w:bookmarkStart w:id="586" w:name="__RefHeading___Toc5148954_2314609296"/>
      <w:bookmarkStart w:id="587" w:name="_Toc222"/>
      <w:bookmarkEnd w:id="585"/>
      <w:bookmarkEnd w:id="586"/>
      <w:r>
        <w:rPr>
          <w:rtl w:val="true"/>
        </w:rPr>
        <w:t>مسألة ذکر فی التذکرة و القواعد من جملة العیوب عدم الختان فی العبد الکبیر؛</w:t>
      </w:r>
      <w:bookmarkEnd w:id="587"/>
    </w:p>
    <w:p>
      <w:pPr>
        <w:pStyle w:val="BookText"/>
        <w:rPr/>
      </w:pPr>
      <w:r>
        <w:rPr>
          <w:rFonts w:ascii="IRNazanin" w:hAnsi="IRNazanin" w:eastAsia="IRNazanin"/>
          <w:color w:val="111111"/>
          <w:sz w:val="28"/>
          <w:sz w:val="28"/>
          <w:szCs w:val="28"/>
          <w:rtl w:val="true"/>
          <w:lang w:bidi="fa-IR"/>
        </w:rPr>
        <w:t xml:space="preserve">لأنّه یخاف علیه من ذلک </w:t>
      </w:r>
      <w:r>
        <w:rPr>
          <w:rStyle w:val="FootnoteAnchor"/>
          <w:rtl w:val="true"/>
        </w:rPr>
        <w:footnoteReference w:id="14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 علی تقدیر تحقّق الخوف علی وجهٍ لا یرغب فی بذل ما یبذل لغیره بإزائه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یلحق بذلک المملوک الغیر المجدّر،فإنّه یخاف علیه،لکثرة موت الممالیک بالجدری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هذین و إن لم یکن نقصاً فی الخلقة الأصلیّة،إلّا أنّ عروض هذا النقص أعنی الخوف مخالفٌ لمقتضی ما علیه الأغلب فی النوع أو الصنف</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کان الکبیر مجلوباً من بلاد الشرک،فظاهر القواعد کون عدم الختان عیباً فیه مع الجهل دون العلم </w:t>
      </w:r>
      <w:r>
        <w:rPr>
          <w:rStyle w:val="FootnoteAnchor"/>
          <w:rtl w:val="true"/>
        </w:rPr>
        <w:footnoteReference w:id="14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غیر مستقیمٍ؛لأنّ العلم و الجهل بکونه مجلوباً لا یؤثّر فی کونه عیباً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نعم،لمّا کان الغالب فی المجلوب عدم الختان لم یکن إطلاق العقد الواقع علیه مع العلم بجلبه التزاماً بسلامته من هذا العیب،کما ذکرنا نظیره فی الثیّب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الثمرة هنا أیضاً فیما لو اشترط الختان فظهر أغلف،فیثبت الرد و الأرش</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فإخراج العلّامة قدّس سرّه الثیبوبة و عدم الختان فی الکبیر المجلوب مع العلم بجلبه من العیوب؛لکونه قدّس سرّه فی مقام عدّ العیوب الموجبة فعلاً للخیار</w:t>
      </w:r>
      <w:r>
        <w:rPr>
          <w:rFonts w:eastAsia="IRNazanin" w:cs="IRNazanin"/>
          <w:color w:val="111111"/>
          <w:sz w:val="28"/>
          <w:szCs w:val="28"/>
          <w:rtl w:val="true"/>
          <w:lang w:bidi="fa-IR"/>
        </w:rPr>
        <w:t>.</w:t>
      </w:r>
      <w:bookmarkStart w:id="588" w:name="pg19864_221003"/>
    </w:p>
    <w:p>
      <w:pPr>
        <w:pStyle w:val="Heading6"/>
        <w:numPr>
          <w:ilvl w:val="5"/>
          <w:numId w:val="1"/>
        </w:numPr>
        <w:rPr/>
      </w:pPr>
      <w:bookmarkStart w:id="589" w:name="__RefHeading___Toc5148956_2314609296"/>
      <w:bookmarkStart w:id="590" w:name="_Toc223"/>
      <w:bookmarkEnd w:id="588"/>
      <w:bookmarkEnd w:id="589"/>
      <w:r>
        <w:rPr>
          <w:rtl w:val="true"/>
        </w:rPr>
        <w:t>مسألة عدم الحیض ممّن شأنها الحیض بحسب السنّ و المکان و غیرهما من الخصوصیّات التی لها مدخلٌ</w:t>
      </w:r>
      <w:bookmarkEnd w:id="590"/>
    </w:p>
    <w:p>
      <w:pPr>
        <w:pStyle w:val="BookText"/>
        <w:rPr/>
      </w:pPr>
      <w:r>
        <w:rPr>
          <w:rFonts w:ascii="IRNazanin" w:hAnsi="IRNazanin" w:eastAsia="IRNazanin"/>
          <w:color w:val="111111"/>
          <w:sz w:val="28"/>
          <w:sz w:val="28"/>
          <w:szCs w:val="28"/>
          <w:rtl w:val="true"/>
          <w:lang w:bidi="fa-IR"/>
        </w:rPr>
        <w:t xml:space="preserve">مسألة عدم الحیض ممّن شأنها الحیض بحسب السنّ و المکان و غیرهما من الخصوصیّات التی لها مدخلٌ </w:t>
      </w:r>
      <w:r>
        <w:rPr>
          <w:rStyle w:val="FootnoteAnchor"/>
          <w:rtl w:val="true"/>
        </w:rPr>
        <w:footnoteReference w:id="1432"/>
      </w:r>
      <w:r>
        <w:rPr>
          <w:rFonts w:ascii="Amiri" w:hAnsi="Amiri" w:eastAsia="Amiri" w:cs="Amiri"/>
          <w:color w:val="111111"/>
          <w:sz w:val="28"/>
          <w:sz w:val="28"/>
          <w:szCs w:val="28"/>
          <w:rtl w:val="true"/>
          <w:lang w:bidi="ar-SA"/>
        </w:rPr>
        <w:t>فی ذلک عیبٌ</w:t>
      </w:r>
    </w:p>
    <w:p>
      <w:pPr>
        <w:pStyle w:val="BookText"/>
        <w:rPr/>
      </w:pPr>
      <w:r>
        <w:rPr>
          <w:rFonts w:ascii="Amiri" w:hAnsi="Amiri" w:eastAsia="Amiri" w:cs="Amiri"/>
          <w:color w:val="111111"/>
          <w:sz w:val="28"/>
          <w:sz w:val="28"/>
          <w:szCs w:val="28"/>
          <w:rtl w:val="true"/>
          <w:lang w:bidi="ar-SA"/>
        </w:rPr>
        <w:t xml:space="preserve">تُردّ منه </w:t>
      </w:r>
      <w:r>
        <w:rPr>
          <w:rStyle w:val="FootnoteAnchor"/>
          <w:rtl w:val="true"/>
        </w:rPr>
        <w:footnoteReference w:id="1433"/>
      </w:r>
      <w:r>
        <w:rPr>
          <w:rFonts w:ascii="IRNazanin" w:hAnsi="IRNazanin" w:eastAsia="IRNazanin"/>
          <w:color w:val="111111"/>
          <w:sz w:val="28"/>
          <w:sz w:val="28"/>
          <w:szCs w:val="28"/>
          <w:rtl w:val="true"/>
          <w:lang w:bidi="fa-IR"/>
        </w:rPr>
        <w:t>الجاریة؛ لأنّه خروجٌ عن المجری الطبیعی،و لقول الصادق علیه السلام و قد سُئل عن رجلٍ اشتری جاریةً مدرکةً فلم تحض عنده حتی مضی لها ستّة أشهرٍ و لیس بها حملٌ،قال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مثلها تحیض و لم یکن ذلک من کبرٍ فهذا عیبٌ تُردُّ منه</w:t>
      </w:r>
      <w:r>
        <w:rPr>
          <w:rFonts w:eastAsia="IRNazanin" w:cs="IRNazanin"/>
          <w:color w:val="111111"/>
          <w:sz w:val="28"/>
          <w:szCs w:val="28"/>
          <w:rtl w:val="true"/>
          <w:lang w:bidi="fa-IR"/>
        </w:rPr>
        <w:t xml:space="preserve">» </w:t>
      </w:r>
      <w:r>
        <w:rPr>
          <w:rStyle w:val="FootnoteAnchor"/>
          <w:rtl w:val="true"/>
        </w:rPr>
        <w:footnoteReference w:id="1434"/>
      </w:r>
      <w:r>
        <w:rPr>
          <w:rFonts w:ascii="IRNazanin" w:hAnsi="IRNazanin" w:eastAsia="IRNazanin"/>
          <w:color w:val="111111"/>
          <w:sz w:val="28"/>
          <w:sz w:val="28"/>
          <w:szCs w:val="28"/>
          <w:rtl w:val="true"/>
          <w:lang w:bidi="fa-IR"/>
        </w:rPr>
        <w:t xml:space="preserve">و لیس التقیید بمضیّ ستّة أشهرٍ إلّا فی مورد السؤال، فلا داعی إلی تقیید کونه عیباً بذلک،کما فی ظاهر بعض الکلمات </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حمل الروایة علی صورة عدم التصرّف فی الجاریة حتّی بمثل قول المولی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اسقنی 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أغلقی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غایة البعد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الحلیّ فی السرائر عدم العمل بمضمون الروایة رأساً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bookmarkStart w:id="591" w:name="pg19864_221004"/>
    </w:p>
    <w:p>
      <w:pPr>
        <w:pStyle w:val="Heading6"/>
        <w:numPr>
          <w:ilvl w:val="5"/>
          <w:numId w:val="1"/>
        </w:numPr>
        <w:rPr/>
      </w:pPr>
      <w:bookmarkStart w:id="592" w:name="__RefHeading___Toc5148958_2314609296"/>
      <w:bookmarkStart w:id="593" w:name="_Toc224"/>
      <w:bookmarkEnd w:id="591"/>
      <w:bookmarkEnd w:id="592"/>
      <w:r>
        <w:rPr>
          <w:rtl w:val="true"/>
        </w:rPr>
        <w:t>مسألة الإباق عیبٌ بلا إشکالٍ و لا خلافٍ؛</w:t>
      </w:r>
      <w:bookmarkEnd w:id="593"/>
    </w:p>
    <w:p>
      <w:pPr>
        <w:pStyle w:val="BookText"/>
        <w:rPr/>
      </w:pPr>
      <w:r>
        <w:rPr>
          <w:rFonts w:ascii="IRNazanin" w:hAnsi="IRNazanin" w:eastAsia="IRNazanin"/>
          <w:color w:val="111111"/>
          <w:sz w:val="28"/>
          <w:sz w:val="28"/>
          <w:szCs w:val="28"/>
          <w:rtl w:val="true"/>
          <w:lang w:bidi="fa-IR"/>
        </w:rPr>
        <w:t>لأنّه من أفحش العیوب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تدلّ علیه صحیحة أبی همّام </w:t>
      </w:r>
      <w:r>
        <w:rPr>
          <w:rStyle w:val="FootnoteAnchor"/>
          <w:rtl w:val="true"/>
        </w:rPr>
        <w:footnoteReference w:id="1437"/>
      </w:r>
      <w:r>
        <w:rPr>
          <w:rFonts w:ascii="Amiri" w:hAnsi="Amiri" w:eastAsia="Amiri" w:cs="Amiri"/>
          <w:color w:val="111111"/>
          <w:sz w:val="28"/>
          <w:sz w:val="28"/>
          <w:szCs w:val="28"/>
          <w:rtl w:val="true"/>
          <w:lang w:bidi="ar-SA"/>
        </w:rPr>
        <w:t xml:space="preserve">الآتیة فی عیوب السَّنَة </w:t>
      </w:r>
      <w:r>
        <w:rPr>
          <w:rStyle w:val="FootnoteAnchor"/>
          <w:rtl w:val="true"/>
        </w:rPr>
        <w:footnoteReference w:id="14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فی روایة محمّد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الإباق عهدةٌ</w:t>
      </w:r>
      <w:r>
        <w:rPr>
          <w:rFonts w:eastAsia="IRNazanin" w:cs="IRNazanin"/>
          <w:color w:val="111111"/>
          <w:sz w:val="28"/>
          <w:szCs w:val="28"/>
          <w:rtl w:val="true"/>
          <w:lang w:bidi="fa-IR"/>
        </w:rPr>
        <w:t xml:space="preserve">» </w:t>
      </w:r>
      <w:r>
        <w:rPr>
          <w:rStyle w:val="FootnoteAnchor"/>
          <w:rtl w:val="true"/>
        </w:rPr>
        <w:footnoteReference w:id="1439"/>
      </w:r>
      <w:r>
        <w:rPr>
          <w:rFonts w:ascii="IRNazanin" w:hAnsi="IRNazanin" w:eastAsia="IRNazanin"/>
          <w:color w:val="111111"/>
          <w:sz w:val="28"/>
          <w:sz w:val="28"/>
          <w:szCs w:val="28"/>
          <w:rtl w:val="true"/>
          <w:lang w:bidi="fa-IR"/>
        </w:rPr>
        <w:t>،و یمکن حملها علی أنّه لیس کعیوب السَّنَة یکفی حدوثها بعد العقد،کما یشهد قوله علیه السلام فی روایة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العهدة فی الجنون و البرص سنةٌ</w:t>
      </w:r>
      <w:r>
        <w:rPr>
          <w:rFonts w:eastAsia="IRNazanin" w:cs="IRNazanin"/>
          <w:color w:val="111111"/>
          <w:sz w:val="28"/>
          <w:szCs w:val="28"/>
          <w:rtl w:val="true"/>
          <w:lang w:bidi="fa-IR"/>
        </w:rPr>
        <w:t xml:space="preserve">» </w:t>
      </w:r>
      <w:r>
        <w:rPr>
          <w:rStyle w:val="FootnoteAnchor"/>
          <w:rtl w:val="true"/>
        </w:rPr>
        <w:footnoteReference w:id="1440"/>
      </w:r>
      <w:r>
        <w:rPr>
          <w:rFonts w:ascii="IRNazanin" w:hAnsi="IRNazanin" w:eastAsia="IRNazanin"/>
          <w:color w:val="111111"/>
          <w:sz w:val="28"/>
          <w:sz w:val="28"/>
          <w:szCs w:val="28"/>
          <w:rtl w:val="true"/>
          <w:lang w:bidi="fa-IR"/>
        </w:rPr>
        <w:t>،بل لا بدّ من ثبوت کونه کذلک عند البائع،و إلّا فحدوثه عند المشتری لیس فی عهدة البائع،و لا خلاف إذا ثبت وجوده عند البائع</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یکفی المرّة عنده أو یشترط الاعتیاد؟قولان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الشکّ فی کونه عیباً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الأقوی ذلک،وفاقاً لظاهر الشرائع </w:t>
      </w:r>
      <w:r>
        <w:rPr>
          <w:rStyle w:val="FootnoteAnchor"/>
          <w:rtl w:val="true"/>
        </w:rPr>
        <w:footnoteReference w:id="1441"/>
      </w:r>
      <w:r>
        <w:rPr>
          <w:rFonts w:ascii="IRNazanin" w:hAnsi="IRNazanin" w:eastAsia="IRNazanin"/>
          <w:color w:val="111111"/>
          <w:sz w:val="28"/>
          <w:sz w:val="28"/>
          <w:szCs w:val="28"/>
          <w:rtl w:val="true"/>
          <w:lang w:bidi="fa-IR"/>
        </w:rPr>
        <w:t>و صریح</w:t>
      </w:r>
    </w:p>
    <w:p>
      <w:pPr>
        <w:pStyle w:val="BookText"/>
        <w:rPr/>
      </w:pPr>
      <w:r>
        <w:rPr>
          <w:rFonts w:ascii="IRNazanin" w:hAnsi="IRNazanin" w:eastAsia="IRNazanin"/>
          <w:color w:val="111111"/>
          <w:sz w:val="28"/>
          <w:sz w:val="28"/>
          <w:szCs w:val="28"/>
          <w:rtl w:val="true"/>
          <w:lang w:bidi="fa-IR"/>
        </w:rPr>
        <w:t xml:space="preserve">التذکرة </w:t>
      </w:r>
      <w:r>
        <w:rPr>
          <w:rStyle w:val="FootnoteAnchor"/>
          <w:rtl w:val="true"/>
        </w:rPr>
        <w:footnoteReference w:id="1442"/>
      </w:r>
      <w:r>
        <w:rPr>
          <w:rFonts w:ascii="IRNazanin" w:hAnsi="IRNazanin" w:eastAsia="IRNazanin"/>
          <w:color w:val="111111"/>
          <w:sz w:val="28"/>
          <w:sz w:val="28"/>
          <w:szCs w:val="28"/>
          <w:rtl w:val="true"/>
          <w:lang w:bidi="fa-IR"/>
        </w:rPr>
        <w:t>لکون ذلک بنفسه نقصاً بحکم العرف</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یشترط إباقه عند المشتری قطعاً</w:t>
      </w:r>
      <w:r>
        <w:rPr>
          <w:rFonts w:eastAsia="IRNazanin" w:cs="IRNazanin"/>
          <w:color w:val="111111"/>
          <w:sz w:val="28"/>
          <w:szCs w:val="28"/>
          <w:rtl w:val="true"/>
          <w:lang w:bidi="fa-IR"/>
        </w:rPr>
        <w:t>.</w:t>
      </w:r>
      <w:bookmarkStart w:id="594" w:name="pg19864_221006"/>
    </w:p>
    <w:p>
      <w:pPr>
        <w:pStyle w:val="Heading6"/>
        <w:numPr>
          <w:ilvl w:val="5"/>
          <w:numId w:val="1"/>
        </w:numPr>
        <w:rPr/>
      </w:pPr>
      <w:bookmarkStart w:id="595" w:name="__RefHeading___Toc5148960_2314609296"/>
      <w:bookmarkStart w:id="596" w:name="_Toc225"/>
      <w:bookmarkEnd w:id="594"/>
      <w:bookmarkEnd w:id="595"/>
      <w:r>
        <w:rPr>
          <w:rtl w:val="true"/>
        </w:rPr>
        <w:t>مسألة الثفل الخارج عن العادة فی الزیت و البذر و نحوهما عیبٌ</w:t>
      </w:r>
      <w:bookmarkEnd w:id="596"/>
    </w:p>
    <w:p>
      <w:pPr>
        <w:pStyle w:val="BookText"/>
        <w:rPr/>
      </w:pPr>
      <w:r>
        <w:rPr>
          <w:rFonts w:ascii="IRNazanin" w:hAnsi="IRNazanin" w:eastAsia="IRNazanin"/>
          <w:color w:val="111111"/>
          <w:sz w:val="28"/>
          <w:sz w:val="28"/>
          <w:szCs w:val="28"/>
          <w:rtl w:val="true"/>
          <w:lang w:bidi="fa-IR"/>
        </w:rPr>
        <w:t>یثبت به الردّ و الأرش؛لکون ذلک خلاف ما علیه غالب أفراد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میسِّر بن عبد العزیز،قال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 فی الرجل یشتری زِقَّ زیتٍ یجد فیه دُردیّاً؟قال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یعلم أنّ الدُّردی یکون فی الزیت فلیس علیه أن یردّه،و إن لم یکن یعلم فله أن یردّه</w:t>
      </w:r>
      <w:r>
        <w:rPr>
          <w:rFonts w:eastAsia="IRNazanin" w:cs="IRNazanin"/>
          <w:color w:val="111111"/>
          <w:sz w:val="28"/>
          <w:szCs w:val="28"/>
          <w:rtl w:val="true"/>
          <w:lang w:bidi="fa-IR"/>
        </w:rPr>
        <w:t xml:space="preserve">»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نعم،فی روایة السکونی عن جعفر عن أبیه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علیّاً علیه السلام قضی فی رجلٍ اشتری من رجلٍ عُکّةً فیها سمنٌ احتکرها حُکرةً،فوجد فیها رُبّاً،فخاصمه إلی علیٍّ علیه السلام،فقال له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 بکیل الرُّبّ سمناً،فقال له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بعته منه حُکرةً،فقال له علیٌّ علیه السلام</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اشتری منک سمناً و لم یشتر منک رُبّاً</w:t>
      </w:r>
      <w:r>
        <w:rPr>
          <w:rFonts w:eastAsia="Amiri" w:cs="Amiri" w:ascii="Amiri" w:hAnsi="Amiri"/>
          <w:color w:val="111111"/>
          <w:sz w:val="28"/>
          <w:szCs w:val="28"/>
          <w:rtl w:val="true"/>
          <w:lang w:bidi="ar-SA"/>
        </w:rPr>
        <w:t xml:space="preserve">» </w:t>
      </w:r>
      <w:r>
        <w:rPr>
          <w:rStyle w:val="FootnoteAnchor"/>
          <w:rtl w:val="true"/>
        </w:rPr>
        <w:footnoteReference w:id="1444"/>
      </w:r>
      <w:r>
        <w:rPr>
          <w:rFonts w:ascii="IRNazanin" w:hAnsi="IRNazanin" w:eastAsia="IRNazanin"/>
          <w:color w:val="111111"/>
          <w:sz w:val="28"/>
          <w:sz w:val="28"/>
          <w:szCs w:val="28"/>
          <w:rtl w:val="true"/>
          <w:lang w:bidi="fa-IR"/>
        </w:rPr>
        <w:t>قال فی الوافی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اشتری المتاع حُکرةً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جملةً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هذه الروایة بظاهرها منافٍ </w:t>
      </w:r>
      <w:r>
        <w:rPr>
          <w:rStyle w:val="FootnoteAnchor"/>
          <w:rtl w:val="true"/>
        </w:rPr>
        <w:footnoteReference w:id="1446"/>
      </w:r>
      <w:r>
        <w:rPr>
          <w:rFonts w:ascii="IRNazanin" w:hAnsi="IRNazanin" w:eastAsia="IRNazanin"/>
          <w:color w:val="111111"/>
          <w:sz w:val="28"/>
          <w:sz w:val="28"/>
          <w:szCs w:val="28"/>
          <w:rtl w:val="true"/>
          <w:lang w:bidi="fa-IR"/>
        </w:rPr>
        <w:t xml:space="preserve">لحکم العیب من الردّ أو الأرش، و توجیهها بما یطابق القواعد مشکلٌ،و ربّما استُشکل فی أصل الحکم بصحّة البیع لو کان کثیراً و علم </w:t>
      </w:r>
      <w:r>
        <w:rPr>
          <w:rStyle w:val="FootnoteAnchor"/>
          <w:rtl w:val="true"/>
        </w:rPr>
        <w:footnoteReference w:id="1447"/>
      </w:r>
      <w:r>
        <w:rPr>
          <w:rFonts w:ascii="IRNazanin" w:hAnsi="IRNazanin" w:eastAsia="IRNazanin"/>
          <w:color w:val="111111"/>
          <w:sz w:val="28"/>
          <w:sz w:val="28"/>
          <w:szCs w:val="28"/>
          <w:rtl w:val="true"/>
          <w:lang w:bidi="fa-IR"/>
        </w:rPr>
        <w:t>للجهل بمقدار المبیع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کفایة معرفة وزن السمن بظروفه خارجةٌ بالإجماع کما تقدّم </w:t>
      </w:r>
      <w:r>
        <w:rPr>
          <w:rStyle w:val="FootnoteAnchor"/>
          <w:rtl w:val="true"/>
        </w:rPr>
        <w:footnoteReference w:id="1448"/>
      </w:r>
      <w:r>
        <w:rPr>
          <w:rFonts w:ascii="Amiri" w:hAnsi="Amiri" w:eastAsia="Amiri" w:cs="Amiri"/>
          <w:color w:val="111111"/>
          <w:sz w:val="28"/>
          <w:sz w:val="28"/>
          <w:szCs w:val="28"/>
          <w:rtl w:val="true"/>
          <w:lang w:bidi="ar-SA"/>
        </w:rPr>
        <w:t>أو مفروضةٌ فی صورة انضمام الظرف المفقود هنا؛لأنّ الدُّردی غیر متموَّل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الأولی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وجود الدُّردی إن أفاد نقصاً فی الزیت من حیث الوصف و إن أفضی بعد التخلیص إلی نقص الکمّ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الغشّ فی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الزائد منه علی المعتاد عیباً و إن أفرط فی الکثرة، و لا إشکال فی صحّة البیع حینئذٍ،لأنّ المبیع زیتٌ و إن کان معیوباً، و علیه یحمل ما فی التحریر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الدُّردی فی الزیت و البذر عیبٌ موجبٌ للردّ أو الأرش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لم یفد إلّا نقصاً فی الکم،فإن بیع </w:t>
      </w:r>
      <w:r>
        <w:rPr>
          <w:rStyle w:val="FootnoteAnchor"/>
          <w:rtl w:val="true"/>
        </w:rPr>
        <w:footnoteReference w:id="1450"/>
      </w:r>
      <w:r>
        <w:rPr>
          <w:rFonts w:ascii="IRNazanin" w:hAnsi="IRNazanin" w:eastAsia="IRNazanin"/>
          <w:color w:val="111111"/>
          <w:sz w:val="28"/>
          <w:sz w:val="28"/>
          <w:szCs w:val="28"/>
          <w:rtl w:val="true"/>
          <w:lang w:bidi="fa-IR"/>
        </w:rPr>
        <w:t>ما فی العُکّة بعد وزنها مع العُکّة و مشاهدة شیءٍ منه تکون أمارةً علی باقیه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ما فی هذه العُکّة من الزیت کلّ رطلٍ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فظهر امتزاجه بغیره الغیر الموجب لتعیّبه،فالظاهر صحّة البیع و عدم ثبوت الخیار أصلاً؛لأنّه</w:t>
      </w:r>
    </w:p>
    <w:p>
      <w:pPr>
        <w:pStyle w:val="BookText"/>
        <w:rPr/>
      </w:pPr>
      <w:r>
        <w:rPr>
          <w:rFonts w:ascii="IRNazanin" w:hAnsi="IRNazanin" w:eastAsia="IRNazanin"/>
          <w:color w:val="111111"/>
          <w:sz w:val="28"/>
          <w:sz w:val="28"/>
          <w:szCs w:val="28"/>
          <w:rtl w:val="true"/>
          <w:lang w:bidi="fa-IR"/>
        </w:rPr>
        <w:t>اشتری السمن الموجود فی هذه العُکّة،و لا یقدح الجهل بوزنه؛للعلم به مع الظرف،و المفروض معرفة نوعه بملاحظة شیءٍ منها بفتح رأس العُکّة، فلا عیب و لا تبعّض صفقةٍ،إلّا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إطلاق شراء ما فی العُکّة من الزیت فی قوّة اشتراط کون ما عدا العُکّة سمناً،فیلحق بما سیجیء فی الصورة الثالثة من اشتراط کونه بمقدارٍ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باعه بعد معرفة وزن المجموع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ما فی هذه العُکّة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فتبیّن بعضه دُردیّاً صحّ البیع فی الزیت مع خیار تبعّض الصفقة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التحریر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اشتری سمناً فوجد فیه غیره تخیّر بین الرّد و أخذ ما وجده من السمن بنسبة الثمن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لو باع </w:t>
      </w:r>
      <w:r>
        <w:rPr>
          <w:rStyle w:val="FootnoteAnchor"/>
          <w:rtl w:val="true"/>
        </w:rPr>
        <w:footnoteReference w:id="1452"/>
      </w:r>
      <w:r>
        <w:rPr>
          <w:rFonts w:ascii="IRNazanin" w:hAnsi="IRNazanin" w:eastAsia="IRNazanin"/>
          <w:color w:val="111111"/>
          <w:sz w:val="28"/>
          <w:sz w:val="28"/>
          <w:szCs w:val="28"/>
          <w:rtl w:val="true"/>
          <w:lang w:bidi="fa-IR"/>
        </w:rPr>
        <w:t xml:space="preserve">ما فی العُکّة من الزیت علی أنّه کذا و کذا رطلاً،فتبیّن نقصه عنه لوجود الدُّردی،صحّ البیع و کان للمشتری خیار تخلّف الوصف أو الجزء،علی الخلاف المتقدّم </w:t>
      </w:r>
      <w:r>
        <w:rPr>
          <w:rStyle w:val="FootnoteAnchor"/>
          <w:rtl w:val="true"/>
        </w:rPr>
        <w:footnoteReference w:id="1453"/>
      </w:r>
      <w:r>
        <w:rPr>
          <w:rFonts w:ascii="IRNazanin" w:hAnsi="IRNazanin" w:eastAsia="IRNazanin"/>
          <w:color w:val="111111"/>
          <w:sz w:val="28"/>
          <w:sz w:val="28"/>
          <w:szCs w:val="28"/>
          <w:rtl w:val="true"/>
          <w:lang w:bidi="fa-IR"/>
        </w:rPr>
        <w:t>فیما لو باع الصبرة علی أنّها کذا و کذا فظهر ناقصاً</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باعه مع مشاهدته ممزوجاً بما لا یُتموّل بحیث لا یعلم قدر خصوص الزیت،فالظاهر عدم صحّة البیع و إن عرف وزن المجموع مع العُکّة؛لأنّ کفایة معرفة وزن الظرف و المظروف إنّما هی من حیث الجهل الحاصل من اجتماعهما لا من انضمام مجهولٍ آخر غیر قابلٍ للبیع،کما لو علم بوزن مجموع الظرف و المظروف لکن علم بوجود صخرةٍ فی الزیت مجهولة الوزن</w:t>
      </w:r>
      <w:r>
        <w:rPr>
          <w:rFonts w:eastAsia="IRNazanin" w:cs="IRNazanin"/>
          <w:color w:val="111111"/>
          <w:sz w:val="28"/>
          <w:szCs w:val="28"/>
          <w:rtl w:val="true"/>
          <w:lang w:bidi="fa-IR"/>
        </w:rPr>
        <w:t>.</w:t>
      </w:r>
      <w:bookmarkStart w:id="597" w:name="pg19864_221009"/>
    </w:p>
    <w:p>
      <w:pPr>
        <w:pStyle w:val="Heading6"/>
        <w:numPr>
          <w:ilvl w:val="5"/>
          <w:numId w:val="1"/>
        </w:numPr>
        <w:rPr/>
      </w:pPr>
      <w:bookmarkStart w:id="598" w:name="__RefHeading___Toc5148962_2314609296"/>
      <w:bookmarkStart w:id="599" w:name="_Toc226"/>
      <w:bookmarkEnd w:id="597"/>
      <w:bookmarkEnd w:id="598"/>
      <w:r>
        <w:rPr>
          <w:rtl w:val="true"/>
        </w:rPr>
        <w:t>مسألة قد عرفت</w:t>
      </w:r>
      <w:bookmarkEnd w:id="599"/>
    </w:p>
    <w:p>
      <w:pPr>
        <w:pStyle w:val="BookText"/>
        <w:rPr/>
      </w:pPr>
      <w:r>
        <w:rPr>
          <w:rFonts w:ascii="Amiri" w:hAnsi="Amiri" w:eastAsia="Amiri" w:cs="Amiri"/>
          <w:color w:val="111111"/>
          <w:sz w:val="28"/>
          <w:sz w:val="28"/>
          <w:szCs w:val="28"/>
          <w:rtl w:val="true"/>
          <w:lang w:bidi="ar-SA"/>
        </w:rPr>
        <w:t xml:space="preserve">مسألة قد عرفت </w:t>
      </w:r>
      <w:r>
        <w:rPr>
          <w:rStyle w:val="FootnoteAnchor"/>
          <w:rtl w:val="true"/>
        </w:rPr>
        <w:footnoteReference w:id="1454"/>
      </w:r>
      <w:r>
        <w:rPr>
          <w:rFonts w:ascii="Amiri" w:hAnsi="Amiri" w:eastAsia="Amiri" w:cs="Amiri"/>
          <w:color w:val="111111"/>
          <w:sz w:val="28"/>
          <w:sz w:val="28"/>
          <w:szCs w:val="28"/>
          <w:rtl w:val="true"/>
          <w:lang w:bidi="ar-SA"/>
        </w:rPr>
        <w:t>أنّ مطلق المرض عیبٌ،خصوصاً الجنون و البَرَص و الجُذام و القَرَن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تختصّ هذه الأربعة من بین العیوب بأنّها لو حدثت إلی سنةٍ من یوم العقد یثبت لأجلها التخییر بین الرَّدّ و الأرش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المشهور،و یدلّ علیه ما استفیض عن مولانا أبی الحسن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روایة علیّ بن أسباط عنه فی حدیث خیار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أحداث السنّة تردّ بعد السنة،قلت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أحداث السنة؟قال الجنون و الجُذام و البَرَص و القَرَن،فمن اشتری فحدث فیه هذه الأحداث فالحکم أن یردّ علی صاحبه إلی تمام السنة من یوم اشتراه</w:t>
      </w:r>
      <w:r>
        <w:rPr>
          <w:rFonts w:eastAsia="IRNazanin" w:cs="IRNazanin"/>
          <w:color w:val="111111"/>
          <w:sz w:val="28"/>
          <w:szCs w:val="28"/>
          <w:rtl w:val="true"/>
          <w:lang w:bidi="fa-IR"/>
        </w:rPr>
        <w:t xml:space="preserve">»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ابن فضّال المحکیّة عن 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أربعة أشیاء خیار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الجنون و الجُذام و القَرَن و البَرَص</w:t>
      </w:r>
      <w:r>
        <w:rPr>
          <w:rFonts w:eastAsia="IRNazanin" w:cs="IRNazanin"/>
          <w:color w:val="111111"/>
          <w:sz w:val="28"/>
          <w:szCs w:val="28"/>
          <w:rtl w:val="true"/>
          <w:lang w:bidi="fa-IR"/>
        </w:rPr>
        <w:t xml:space="preserve">» </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أُخری له عنه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 الجاریة من أربع</w:t>
      </w:r>
    </w:p>
    <w:p>
      <w:pPr>
        <w:pStyle w:val="BookText"/>
        <w:rPr/>
      </w:pPr>
      <w:r>
        <w:rPr>
          <w:rFonts w:ascii="Amiri" w:hAnsi="Amiri" w:eastAsia="Amiri" w:cs="Amiri"/>
          <w:color w:val="111111"/>
          <w:sz w:val="28"/>
          <w:sz w:val="28"/>
          <w:szCs w:val="28"/>
          <w:rtl w:val="true"/>
          <w:lang w:bidi="ar-SA"/>
        </w:rPr>
        <w:t>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الجنون و الجُذام و البَرَص و القَرَن و الحَدَبَة</w:t>
      </w:r>
      <w:r>
        <w:rPr>
          <w:rFonts w:eastAsia="Amiri" w:cs="Amiri" w:ascii="Amiri" w:hAnsi="Amiri"/>
          <w:color w:val="111111"/>
          <w:sz w:val="28"/>
          <w:szCs w:val="28"/>
          <w:rtl w:val="true"/>
          <w:lang w:bidi="ar-SA"/>
        </w:rPr>
        <w:t xml:space="preserve">» </w:t>
      </w:r>
      <w:r>
        <w:rPr>
          <w:rStyle w:val="FootnoteAnchor"/>
          <w:rtl w:val="true"/>
        </w:rPr>
        <w:footnoteReference w:id="1457"/>
      </w:r>
      <w:r>
        <w:rPr>
          <w:rFonts w:ascii="IRNazanin" w:hAnsi="IRNazanin" w:eastAsia="IRNazanin"/>
          <w:color w:val="111111"/>
          <w:sz w:val="28"/>
          <w:sz w:val="28"/>
          <w:szCs w:val="28"/>
          <w:rtl w:val="true"/>
          <w:lang w:bidi="fa-IR"/>
        </w:rPr>
        <w:t>هکذا فی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الحَدَبَة،إلّا أنها تکون فی الصدر تدخل الظهر و تخرج الصدر</w:t>
      </w:r>
      <w:r>
        <w:rPr>
          <w:rFonts w:eastAsia="IRNazanin" w:cs="IRNazanin"/>
          <w:color w:val="111111"/>
          <w:sz w:val="28"/>
          <w:szCs w:val="28"/>
          <w:rtl w:val="true"/>
          <w:lang w:bidi="fa-IR"/>
        </w:rPr>
        <w:t xml:space="preserve">» </w:t>
      </w:r>
      <w:r>
        <w:rPr>
          <w:rStyle w:val="FootnoteAnchor"/>
          <w:rtl w:val="true"/>
        </w:rPr>
        <w:footnoteReference w:id="145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مراده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الحَدَب لیس خامساً لها،لأنّ القَرَن یرجع إلی حَدَبٍ فی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 المعروف أنّه عَظْمٌ فی الفرج کالسنّ یمنع الوطء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الصحیح عن محمد بن علی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مجهول </w:t>
      </w:r>
      <w:r>
        <w:rPr>
          <w:rStyle w:val="FootnoteAnchor"/>
          <w:rtl w:val="true"/>
        </w:rPr>
        <w:footnoteReference w:id="1459"/>
      </w:r>
      <w:r>
        <w:rPr>
          <w:rFonts w:ascii="IRNazanin" w:hAnsi="IRNazanin" w:eastAsia="IRNazanin"/>
          <w:color w:val="111111"/>
          <w:sz w:val="28"/>
          <w:sz w:val="28"/>
          <w:szCs w:val="28"/>
          <w:rtl w:val="true"/>
          <w:lang w:bidi="fa-IR"/>
        </w:rPr>
        <w:t xml:space="preserve">،و احتمل بعض </w:t>
      </w:r>
      <w:r>
        <w:rPr>
          <w:rStyle w:val="FootnoteAnchor"/>
          <w:rtl w:val="true"/>
        </w:rPr>
        <w:footnoteReference w:id="1460"/>
      </w:r>
      <w:r>
        <w:rPr>
          <w:rFonts w:ascii="IRNazanin" w:hAnsi="IRNazanin" w:eastAsia="IRNazanin"/>
          <w:color w:val="111111"/>
          <w:sz w:val="28"/>
          <w:sz w:val="28"/>
          <w:szCs w:val="28"/>
          <w:rtl w:val="true"/>
          <w:lang w:bidi="fa-IR"/>
        </w:rPr>
        <w:t>کونه الحلبی عنه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المملوک من أحداث السنة، من الجنون و البرص و القرن،قال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و کیف یرد من أحداث؟فقال</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أول السنة یعنی المحرم فإذا اشتریت مملوکا فحدث فیه هذه الخصال ما بینک و بین ذی الحجة رددت علی صاحبه</w:t>
      </w:r>
      <w:r>
        <w:rPr>
          <w:rFonts w:eastAsia="IRNazanin" w:cs="IRNazanin"/>
          <w:color w:val="111111"/>
          <w:sz w:val="28"/>
          <w:szCs w:val="28"/>
          <w:rtl w:val="true"/>
          <w:lang w:bidi="fa-IR"/>
        </w:rPr>
        <w:t xml:space="preserve">» </w:t>
      </w:r>
      <w:r>
        <w:rPr>
          <w:rStyle w:val="FootnoteAnchor"/>
          <w:rtl w:val="true"/>
        </w:rPr>
        <w:footnoteReference w:id="1461"/>
      </w:r>
      <w:r>
        <w:rPr>
          <w:rFonts w:ascii="IRNazanin" w:hAnsi="IRNazanin" w:eastAsia="IRNazanin"/>
          <w:color w:val="111111"/>
          <w:sz w:val="28"/>
          <w:sz w:val="28"/>
          <w:szCs w:val="28"/>
          <w:rtl w:val="true"/>
          <w:lang w:bidi="fa-IR"/>
        </w:rPr>
        <w:t xml:space="preserve">،و هذه الروایة لم یذکر فیها الجذام </w:t>
      </w:r>
      <w:r>
        <w:rPr>
          <w:rStyle w:val="FootnoteAnchor"/>
          <w:rtl w:val="true"/>
        </w:rPr>
        <w:footnoteReference w:id="1462"/>
      </w:r>
      <w:r>
        <w:rPr>
          <w:rFonts w:ascii="IRNazanin" w:hAnsi="IRNazanin" w:eastAsia="IRNazanin"/>
          <w:color w:val="111111"/>
          <w:sz w:val="28"/>
          <w:sz w:val="28"/>
          <w:szCs w:val="28"/>
          <w:rtl w:val="true"/>
          <w:lang w:bidi="fa-IR"/>
        </w:rPr>
        <w:t>مع ورودها فی مقام التحدید و الضبط لهذه الأُمور،</w:t>
      </w:r>
    </w:p>
    <w:p>
      <w:pPr>
        <w:pStyle w:val="BookText"/>
        <w:rPr/>
      </w:pPr>
      <w:r>
        <w:rPr>
          <w:rFonts w:ascii="IRNazanin" w:hAnsi="IRNazanin" w:eastAsia="IRNazanin"/>
          <w:color w:val="111111"/>
          <w:sz w:val="28"/>
          <w:sz w:val="28"/>
          <w:szCs w:val="28"/>
          <w:rtl w:val="true"/>
          <w:lang w:bidi="fa-IR"/>
        </w:rPr>
        <w:t>فیمکن أن یدّعی معارضتها لباقی الأخبار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استشکل المحقّق الأردبیلی فی الجذام </w:t>
      </w:r>
      <w:r>
        <w:rPr>
          <w:rStyle w:val="FootnoteAnchor"/>
          <w:rtl w:val="true"/>
        </w:rPr>
        <w:footnoteReference w:id="14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التعارض من باب المطلق و المقیّد کما ذکره فی الحدائق ردّاً علی الأردبیلی رحمه اللّٰه </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یرید أنّ التعارض یشبه تعارض المطلق و المقیّد فی وجوب العمل بما لا یجری فیه احتمالٌ یجری فی معارضه،و هو هنا احتمال سهو الراوی فی ترک ذکر الجذام،فإنّه أقرب الاحتمالات المتطرّقة فیما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الوجه فی ترک الجذام فی هذه الروایة انعتاقها علی المشتری بمجرّد حدوث الجذام،فلا معنی للردّ،و حینئذٍ فیشکل الحکم بالردّ فی باقی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وجّهه فی 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عتقه علی المشتری موقوفٌ علی ظهور الجذام بالفعل،و یکفی فی العیب الموجب للخیار وجود مادّته فی نفس الأمر و إن لم یظهر،فیکون سبب الخیار مقدّماً علی سبب العتق،فإن فسخ انعتق علی البائع،و إن أمضی انعتق علی المشتری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فیه أوّلاً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ظاهر هذه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سبب الخیار ظهور هذه الأمراض؛ لأنّه المعنیّ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فحدث فیه هذه الخصال ما بینک و بین ذی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لو لا ذلک لکفی وجود موادّها فی السنة،و إن تأخّر ظهورها عنها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المصنّف أخذه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بقلیلٍ بحیث یکشف عن وجود المادّة قبل انقضاء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ممّا لا أظنّ </w:t>
      </w:r>
      <w:r>
        <w:rPr>
          <w:rStyle w:val="FootnoteAnchor"/>
          <w:rtl w:val="true"/>
        </w:rPr>
        <w:footnoteReference w:id="1466"/>
      </w:r>
      <w:r>
        <w:rPr>
          <w:rFonts w:ascii="IRNazanin" w:hAnsi="IRNazanin" w:eastAsia="IRNazanin"/>
          <w:color w:val="111111"/>
          <w:sz w:val="28"/>
          <w:sz w:val="28"/>
          <w:szCs w:val="28"/>
          <w:rtl w:val="true"/>
          <w:lang w:bidi="fa-IR"/>
        </w:rPr>
        <w:t xml:space="preserve">أحداً یلتزمه،مع أنّه لو کان الموجب للخیار هی موادّ هذه الأمراض کان ظهورها زیادةً فی العیب حادثةً فی ید المشتری،فلتکن مانعةً من الردّ؛لعدم قیام المال بعینه حینئذٍ،فیکون فی التزام خروج هذه العیوب عن عموم کون النقص الحادث مانعاً عن الردّ تخصیصٌ </w:t>
      </w:r>
      <w:r>
        <w:rPr>
          <w:rStyle w:val="FootnoteAnchor"/>
          <w:rtl w:val="true"/>
        </w:rPr>
        <w:footnoteReference w:id="1467"/>
      </w:r>
      <w:r>
        <w:rPr>
          <w:rFonts w:ascii="IRNazanin" w:hAnsi="IRNazanin" w:eastAsia="IRNazanin"/>
          <w:color w:val="111111"/>
          <w:sz w:val="28"/>
          <w:sz w:val="28"/>
          <w:szCs w:val="28"/>
          <w:rtl w:val="true"/>
          <w:lang w:bidi="fa-IR"/>
        </w:rPr>
        <w:t>آخر للعمومات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سبق سبب الخیار لا یوجب عدم الانعتاق بطروّ سببه، بل ینبغی أن یکون الانعتاق القهری بسببه </w:t>
      </w:r>
      <w:r>
        <w:rPr>
          <w:rStyle w:val="FootnoteAnchor"/>
          <w:rtl w:val="true"/>
        </w:rPr>
        <w:footnoteReference w:id="1468"/>
      </w:r>
      <w:r>
        <w:rPr>
          <w:rFonts w:ascii="IRNazanin" w:hAnsi="IRNazanin" w:eastAsia="IRNazanin"/>
          <w:color w:val="111111"/>
          <w:sz w:val="28"/>
          <w:sz w:val="28"/>
          <w:szCs w:val="28"/>
          <w:rtl w:val="true"/>
          <w:lang w:bidi="fa-IR"/>
        </w:rPr>
        <w:t>مانعاً شرعیّاً بمنزلة المانع العقلی عن الردّ کالموت؛و لذا لو حدث الانعتاق بسببٍ آخر غیر الجذام فلا أظنّ أحداً یلتزم عدم الانعتاق إلّا بعد لزوم البیع،خصوصاً مع بناء العتق علی التغلیب</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هذا،و لکن رفع الید عن هذه الأخبار الکثیرة المعتضَدة بالشهرة المحقَّقة و الإجماع المدّعی فی السرائر </w:t>
      </w:r>
      <w:r>
        <w:rPr>
          <w:rStyle w:val="FootnoteAnchor"/>
          <w:rtl w:val="true"/>
        </w:rPr>
        <w:footnoteReference w:id="1469"/>
      </w:r>
      <w:r>
        <w:rPr>
          <w:rFonts w:ascii="IRNazanin" w:hAnsi="IRNazanin" w:eastAsia="IRNazanin"/>
          <w:color w:val="111111"/>
          <w:sz w:val="28"/>
          <w:sz w:val="28"/>
          <w:szCs w:val="28"/>
          <w:rtl w:val="true"/>
          <w:lang w:bidi="fa-IR"/>
        </w:rPr>
        <w:t xml:space="preserve">و الغنیة </w:t>
      </w:r>
      <w:r>
        <w:rPr>
          <w:rStyle w:val="FootnoteAnchor"/>
          <w:rtl w:val="true"/>
        </w:rPr>
        <w:footnoteReference w:id="1470"/>
      </w:r>
      <w:r>
        <w:rPr>
          <w:rFonts w:ascii="IRNazanin" w:hAnsi="IRNazanin" w:eastAsia="IRNazanin"/>
          <w:color w:val="111111"/>
          <w:sz w:val="28"/>
          <w:sz w:val="28"/>
          <w:szCs w:val="28"/>
          <w:rtl w:val="true"/>
          <w:lang w:bidi="fa-IR"/>
        </w:rPr>
        <w:t>مشکلٌ،فیمکن العمل بها فی موردها،أو الحکم من أجلها بأنّ تقدّم سبب الخیار یوجب توقّف الانعتاق علی إمضاء العقد و لو فی غیر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لو فسخ المشتری فانعتاقه علی البائع موقوفٌ علی دلالة الدلیل علی عدم جواز تملّک</w:t>
      </w:r>
    </w:p>
    <w:p>
      <w:pPr>
        <w:pStyle w:val="BookText"/>
        <w:rPr/>
      </w:pPr>
      <w:r>
        <w:rPr>
          <w:rFonts w:ascii="IRNazanin" w:hAnsi="IRNazanin" w:eastAsia="IRNazanin"/>
          <w:color w:val="111111"/>
          <w:sz w:val="28"/>
          <w:sz w:val="28"/>
          <w:szCs w:val="28"/>
          <w:rtl w:val="true"/>
          <w:lang w:bidi="fa-IR"/>
        </w:rPr>
        <w:t>المجذوم،لا أنّ جذام المملوک یوجب انعتاقه بحیث یظهر اختصاصه بحدوث الجذام فی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فی کلام الأکثر،فیظهر منهم العدم، فنسبة المسالک الحکم فی الأربعة إلی المشهور </w:t>
      </w:r>
      <w:r>
        <w:rPr>
          <w:rStyle w:val="FootnoteAnchor"/>
          <w:rtl w:val="true"/>
        </w:rPr>
        <w:footnoteReference w:id="1471"/>
      </w:r>
      <w:r>
        <w:rPr>
          <w:rFonts w:ascii="IRNazanin" w:hAnsi="IRNazanin" w:eastAsia="IRNazanin"/>
          <w:color w:val="111111"/>
          <w:sz w:val="28"/>
          <w:sz w:val="28"/>
          <w:szCs w:val="28"/>
          <w:rtl w:val="true"/>
          <w:lang w:bidi="fa-IR"/>
        </w:rPr>
        <w:t xml:space="preserve">کأنه لاستظهار ذلک من ذکره فی الدروس ساکتاً عن الخلاف فیه </w:t>
      </w:r>
      <w:r>
        <w:rPr>
          <w:rStyle w:val="FootnoteAnchor"/>
          <w:rtl w:val="true"/>
        </w:rPr>
        <w:footnoteReference w:id="14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التحریر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نسبته إلی أبی علیّ </w:t>
      </w:r>
      <w:r>
        <w:rPr>
          <w:rStyle w:val="FootnoteAnchor"/>
          <w:rtl w:val="true"/>
        </w:rPr>
        <w:footnoteReference w:id="1473"/>
      </w:r>
      <w:r>
        <w:rPr>
          <w:rFonts w:ascii="IRNazanin" w:hAnsi="IRNazanin" w:eastAsia="IRNazanin"/>
          <w:color w:val="111111"/>
          <w:sz w:val="28"/>
          <w:sz w:val="28"/>
          <w:szCs w:val="28"/>
          <w:rtl w:val="true"/>
          <w:lang w:bidi="fa-IR"/>
        </w:rPr>
        <w:t>،و فی مفتاح الکرامة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لم یظفر بقائلٍ غیر الشهیدین و أبی علیّ </w:t>
      </w:r>
      <w:r>
        <w:rPr>
          <w:rStyle w:val="FootnoteAnchor"/>
          <w:rtl w:val="true"/>
        </w:rPr>
        <w:footnoteReference w:id="1474"/>
      </w:r>
      <w:r>
        <w:rPr>
          <w:rFonts w:ascii="IRNazanin" w:hAnsi="IRNazanin" w:eastAsia="IRNazanin"/>
          <w:color w:val="111111"/>
          <w:sz w:val="28"/>
          <w:sz w:val="28"/>
          <w:szCs w:val="28"/>
          <w:rtl w:val="true"/>
          <w:lang w:bidi="fa-IR"/>
        </w:rPr>
        <w:t xml:space="preserve">و من هنا تأمّل المحقّق الأردبیلی من عدم صحّة الأخبار و فقد الانجبار </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ظاهر إطلاق الأخبار علی وجهٍ یبعد التقیید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شمولُ الحکم لصورة 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المشهور تقیید الحکم بغیرها،و نُسب إلیهم جواز الأرش قبل التصرّف و تعیّنه بعده </w:t>
      </w:r>
      <w:r>
        <w:rPr>
          <w:rStyle w:val="FootnoteAnchor"/>
          <w:rtl w:val="true"/>
        </w:rPr>
        <w:footnoteReference w:id="1476"/>
      </w:r>
      <w:r>
        <w:rPr>
          <w:rFonts w:ascii="IRNazanin" w:hAnsi="IRNazanin" w:eastAsia="IRNazanin"/>
          <w:color w:val="111111"/>
          <w:sz w:val="28"/>
          <w:sz w:val="28"/>
          <w:szCs w:val="28"/>
          <w:rtl w:val="true"/>
          <w:lang w:bidi="fa-IR"/>
        </w:rPr>
        <w:t xml:space="preserve">،و الأخبار خالیةٌ عنه،و کلا الحکمین </w:t>
      </w:r>
      <w:r>
        <w:rPr>
          <w:rStyle w:val="FootnoteAnchor"/>
          <w:rtl w:val="true"/>
        </w:rPr>
        <w:footnoteReference w:id="1477"/>
      </w:r>
      <w:r>
        <w:rPr>
          <w:rFonts w:ascii="IRNazanin" w:hAnsi="IRNazanin" w:eastAsia="IRNazanin"/>
          <w:color w:val="111111"/>
          <w:sz w:val="28"/>
          <w:sz w:val="28"/>
          <w:szCs w:val="28"/>
          <w:rtl w:val="true"/>
          <w:lang w:bidi="fa-IR"/>
        </w:rPr>
        <w:t>مشکلٌ،إلّا أن الظاهر من کلمات بعضٍ عدم الخلاف الصریح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کلام المفید قدّس سرّه مختصٌّ بالوطء </w:t>
      </w:r>
      <w:r>
        <w:rPr>
          <w:rStyle w:val="FootnoteAnchor"/>
          <w:rtl w:val="true"/>
        </w:rPr>
        <w:footnoteReference w:id="1478"/>
      </w:r>
      <w:r>
        <w:rPr>
          <w:rFonts w:ascii="IRNazanin" w:hAnsi="IRNazanin" w:eastAsia="IRNazanin"/>
          <w:color w:val="111111"/>
          <w:sz w:val="28"/>
          <w:sz w:val="28"/>
          <w:szCs w:val="28"/>
          <w:rtl w:val="true"/>
          <w:lang w:bidi="fa-IR"/>
        </w:rPr>
        <w:t>،و الشیخ و ابن زهرة لم</w:t>
      </w:r>
    </w:p>
    <w:p>
      <w:pPr>
        <w:pStyle w:val="BookText"/>
        <w:rPr/>
      </w:pPr>
      <w:r>
        <w:rPr>
          <w:rFonts w:ascii="IRNazanin" w:hAnsi="IRNazanin" w:eastAsia="IRNazanin"/>
          <w:color w:val="111111"/>
          <w:sz w:val="28"/>
          <w:sz w:val="28"/>
          <w:szCs w:val="28"/>
          <w:rtl w:val="true"/>
          <w:lang w:bidi="fa-IR"/>
        </w:rPr>
        <w:t xml:space="preserve">یذکرا التصرّف و لا الأرش </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نعم،ظاهر الحلّی الإجماع علی تساویها </w:t>
      </w:r>
      <w:r>
        <w:rPr>
          <w:rStyle w:val="FootnoteAnchor"/>
          <w:rtl w:val="true"/>
        </w:rPr>
        <w:footnoteReference w:id="1480"/>
      </w:r>
      <w:r>
        <w:rPr>
          <w:rFonts w:ascii="IRNazanin" w:hAnsi="IRNazanin" w:eastAsia="IRNazanin"/>
          <w:color w:val="111111"/>
          <w:sz w:val="28"/>
          <w:sz w:val="28"/>
          <w:szCs w:val="28"/>
          <w:rtl w:val="true"/>
          <w:lang w:bidi="fa-IR"/>
        </w:rPr>
        <w:t xml:space="preserve">مع سائر العیوب من هذه الجهة،و أنّ هذه العیوب کسائر العیوب فی کونها مضمونةً،إلّا أنّ الفارق ضمان هذه إذا حدثت فی السنة بعد القبض و انقضاء الخیار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ثبت أنّ أصل هذه الأمراض تکمن قبل سنةٍ من ظهورها،و ثبت أنّ أخذ الأرش للعیب الموجود قبل العقد أو القبض مطابقٌ للقاعدة، ثبت الأرش هنا بملاحظة التعیّب بمادّة هذه الأمراض الکامنة فی المبیع، لا بهذه الأمراض الظاهرة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المقنعة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یردّ العبد و الأمة من الجنون و الجُذام و البَرَص ما بین ابتیاعهما و بین سنةٍ واحدة،و لا یُردّان بعد سنةٍ،و ذلک أنّ أصل هذه الأمراض یتقدّم ظهورها بسنةٍ و لا یتقدّم بأزید،فإن وطأ المبتاع الأمة فی هذه السنة لم یجز له ردّها و کان له قیمة ما بینها صحیحةً و سقیمةً </w:t>
      </w:r>
      <w:r>
        <w:rPr>
          <w:rStyle w:val="FootnoteAnchor"/>
          <w:rtl w:val="true"/>
        </w:rPr>
        <w:footnoteReference w:id="148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نفس هذه الأمراض تتقدّم بسنةٍ؛و لذا أورد علیه فی 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هذا موجبٌ لانعتاق المملوک علی البائع فلا یصحّ البیع </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یرید به 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إرادة موادّ هذه الأمراض</w:t>
      </w:r>
      <w:r>
        <w:rPr>
          <w:rFonts w:eastAsia="IRNazanin" w:cs="IRNazanin"/>
          <w:color w:val="111111"/>
          <w:sz w:val="28"/>
          <w:szCs w:val="28"/>
          <w:rtl w:val="true"/>
          <w:lang w:bidi="fa-IR"/>
        </w:rPr>
        <w:t>.</w:t>
      </w:r>
      <w:bookmarkStart w:id="600" w:name="pg19864_221015"/>
    </w:p>
    <w:p>
      <w:pPr>
        <w:pStyle w:val="Heading5"/>
        <w:numPr>
          <w:ilvl w:val="4"/>
          <w:numId w:val="1"/>
        </w:numPr>
        <w:rPr/>
      </w:pPr>
      <w:bookmarkStart w:id="601" w:name="__RefHeading___Toc5148964_2314609296"/>
      <w:bookmarkStart w:id="602" w:name="_Toc227"/>
      <w:bookmarkEnd w:id="600"/>
      <w:bookmarkEnd w:id="601"/>
      <w:r>
        <w:rPr>
          <w:rtl w:val="true"/>
        </w:rPr>
        <w:t>خاتمة فی عیوبٍ متفرّقة</w:t>
      </w:r>
      <w:bookmarkEnd w:id="602"/>
    </w:p>
    <w:p>
      <w:pPr>
        <w:pStyle w:val="BookText"/>
        <w:rPr/>
      </w:pP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w:t>
      </w:r>
      <w:r>
        <w:rPr>
          <w:rStyle w:val="FootnoteAnchor"/>
          <w:rtl w:val="true"/>
        </w:rPr>
        <w:footnoteReference w:id="1484"/>
      </w:r>
      <w:r>
        <w:rPr>
          <w:rFonts w:ascii="IRNazanin" w:hAnsi="IRNazanin" w:eastAsia="IRNazanin"/>
          <w:color w:val="111111"/>
          <w:sz w:val="28"/>
          <w:sz w:val="28"/>
          <w:szCs w:val="28"/>
          <w:rtl w:val="true"/>
          <w:lang w:bidi="fa-IR"/>
        </w:rPr>
        <w:t xml:space="preserve">الکفر لیس عیباً فی العبد و لا فی الجاریة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استحسن قول بعض الشافعیّة بکونه عیباً فی الجاریة إذا منع الاستمتاع کالتمجّس و التوثّن دون التهوّد و التنصّر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الأقوی کونه موجباً للردّ فی غیر المجلوب و إن کان أصلاً فی الممالیک،إلّا أنّ الغالب فی غیر المجلوب الإسلام،فهو نقصٌ؛ </w:t>
      </w:r>
      <w:r>
        <w:rPr>
          <w:rStyle w:val="FootnoteAnchor"/>
          <w:rtl w:val="true"/>
        </w:rPr>
        <w:footnoteReference w:id="1486"/>
      </w:r>
      <w:r>
        <w:rPr>
          <w:rFonts w:ascii="IRNazanin" w:hAnsi="IRNazanin" w:eastAsia="IRNazanin"/>
          <w:color w:val="111111"/>
          <w:sz w:val="28"/>
          <w:sz w:val="28"/>
          <w:szCs w:val="28"/>
          <w:rtl w:val="true"/>
          <w:lang w:bidi="fa-IR"/>
        </w:rPr>
        <w:t>لتنفّر الطباع عنه،خصوصاً بملاحظة نجاستهم المانعة عن کثیرٍ من الاستخدامات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نعم،الظاهر عدم الأرش فیه؛لعدم صدق العیب علیه عرفاً و عدم کونه نقصاً أو زیادةً فی أصل الخلقة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ظهرت الأمة محرَّمةً علی المشتری برضاعٍ أو نسبٍ فالظاهر عدم الردّ به؛لأنّه لا یعدّ نقصاً بالنوع،و لا عبرة بخصوص المشتری</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ظهر </w:t>
      </w:r>
      <w:r>
        <w:rPr>
          <w:rStyle w:val="FootnoteAnchor"/>
          <w:rtl w:val="true"/>
        </w:rPr>
        <w:footnoteReference w:id="1487"/>
      </w:r>
      <w:r>
        <w:rPr>
          <w:rFonts w:ascii="IRNazanin" w:hAnsi="IRNazanin" w:eastAsia="IRNazanin"/>
          <w:color w:val="111111"/>
          <w:sz w:val="28"/>
          <w:sz w:val="28"/>
          <w:szCs w:val="28"/>
          <w:rtl w:val="true"/>
          <w:lang w:bidi="fa-IR"/>
        </w:rPr>
        <w:t xml:space="preserve">ممّن ینعتق علیه فکذلک،کما فی التذکرة </w:t>
      </w:r>
      <w:r>
        <w:rPr>
          <w:rStyle w:val="FootnoteAnchor"/>
          <w:rtl w:val="true"/>
        </w:rPr>
        <w:footnoteReference w:id="1488"/>
      </w:r>
      <w:r>
        <w:rPr>
          <w:rFonts w:ascii="Amiri" w:hAnsi="Amiri" w:eastAsia="Amiri" w:cs="Amiri"/>
          <w:color w:val="111111"/>
          <w:sz w:val="28"/>
          <w:sz w:val="28"/>
          <w:szCs w:val="28"/>
          <w:rtl w:val="true"/>
          <w:lang w:bidi="ar-SA"/>
        </w:rPr>
        <w:t>معلّلاً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w:t>
      </w:r>
    </w:p>
    <w:p>
      <w:pPr>
        <w:pStyle w:val="BookText"/>
        <w:rPr/>
      </w:pPr>
      <w:r>
        <w:rPr>
          <w:rFonts w:ascii="IRNazanin" w:hAnsi="IRNazanin" w:eastAsia="IRNazanin"/>
          <w:color w:val="111111"/>
          <w:sz w:val="28"/>
          <w:sz w:val="28"/>
          <w:szCs w:val="28"/>
          <w:rtl w:val="true"/>
          <w:lang w:bidi="fa-IR"/>
        </w:rPr>
        <w:t>لیس نقصاً عند کلّ الناس و عدم نقص مالیّته عند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ظهر أنّ البائع باعه وکالةً أو ولایةً أو وصایةً أو أمانةً،ففی ثبوت الردّ لخطر فساد النیابة احتمال </w:t>
      </w:r>
      <w:r>
        <w:rPr>
          <w:rStyle w:val="FootnoteAnchor"/>
          <w:rtl w:val="true"/>
        </w:rPr>
        <w:footnoteReference w:id="14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الأقوی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اشتری ما علیه أثر الوقف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کان علیه أمارةٌ قویّةٌ علیه لم یبعد کونه موجباً للردّ،لقلّة رغبة الناس فی تملّک مثله،و تأثیر ذلک فی نقصان قیمته عن قیمة أصل الشیء لو خلی و طبعه أثراً 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الصیام و الإحرام و الاعتداد لیست عیوباً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عدم إیجابها الأرش فلا إشکال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عدم إیجابها الردّ ففیه إشکالٌ إذا فات بها الانتفاع بها فی مدّةٍ طویلةٍ،فإنّه لا ینقص عن ظهور المبیع مستأجراً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المملوک نمّاماً أو ساحراً أو قاذفاً للمحصنات أو شارباً للخمر أو مقامراً ففی کون هذه عیوباً إشکالٌ،أقربه العدم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الرقیق رطب الکلام أو غلیظ الصوت أو سیّئ الأدب أو ولد زنا أو مغنیّاً أو حجّاماً أو أکولاً أو زهیداً،فلا 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الدابّة بالزهادة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 الأمة عقیماً لا یوجب الردّ؛لعدم القطع بتحقّقه فربّما کان من الزوج أو لعارضٍ،انتهی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مراده العارض الاتّفاقی لا المرض العارضی</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التذکرة فی آخر ذکر موجبات 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الضابط أنّ الردّ یثبت بکلّ ما فی المعقود علیه من منقِّص القیمة أو العین نقصاً یفوت به غرضٌ صحیحٌ بشرط أن یکون الغالب فی أمثال المبیع عدمه </w:t>
      </w:r>
      <w:r>
        <w:rPr>
          <w:rStyle w:val="FootnoteAnchor"/>
          <w:rtl w:val="true"/>
        </w:rPr>
        <w:footnoteReference w:id="149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bookmarkStart w:id="603" w:name="pg19864_221017"/>
    </w:p>
    <w:p>
      <w:pPr>
        <w:pStyle w:val="Heading5"/>
        <w:numPr>
          <w:ilvl w:val="4"/>
          <w:numId w:val="1"/>
        </w:numPr>
        <w:rPr/>
      </w:pPr>
      <w:bookmarkStart w:id="604" w:name="__RefHeading___Toc5148966_2314609296"/>
      <w:bookmarkStart w:id="605" w:name="_Toc228"/>
      <w:bookmarkEnd w:id="603"/>
      <w:bookmarkEnd w:id="604"/>
      <w:r>
        <w:rPr>
          <w:rtl w:val="true"/>
        </w:rPr>
        <w:t>القول فی الأرش</w:t>
      </w:r>
      <w:bookmarkEnd w:id="605"/>
    </w:p>
    <w:p>
      <w:pPr>
        <w:pStyle w:val="Heading6"/>
        <w:numPr>
          <w:ilvl w:val="5"/>
          <w:numId w:val="1"/>
        </w:numPr>
        <w:rPr/>
      </w:pPr>
      <w:bookmarkStart w:id="606" w:name="__RefHeading___Toc5148968_2314609296"/>
      <w:bookmarkStart w:id="607" w:name="_Toc229"/>
      <w:bookmarkEnd w:id="606"/>
      <w:r>
        <w:rPr>
          <w:rtl w:val="true"/>
        </w:rPr>
        <w:t>اشاره</w:t>
      </w:r>
      <w:bookmarkEnd w:id="607"/>
    </w:p>
    <w:p>
      <w:pPr>
        <w:pStyle w:val="BookText"/>
        <w:rPr/>
      </w:pPr>
      <w:r>
        <w:rPr>
          <w:rFonts w:ascii="IRNazanin" w:hAnsi="IRNazanin" w:eastAsia="IRNazanin"/>
          <w:color w:val="111111"/>
          <w:sz w:val="28"/>
          <w:sz w:val="28"/>
          <w:szCs w:val="28"/>
          <w:rtl w:val="true"/>
          <w:lang w:bidi="fa-IR"/>
        </w:rPr>
        <w:t>و هو 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الصحاح </w:t>
      </w:r>
      <w:r>
        <w:rPr>
          <w:rStyle w:val="FootnoteAnchor"/>
          <w:rtl w:val="true"/>
        </w:rPr>
        <w:footnoteReference w:id="1493"/>
      </w:r>
      <w:r>
        <w:rPr>
          <w:rFonts w:ascii="IRNazanin" w:hAnsi="IRNazanin" w:eastAsia="IRNazanin"/>
          <w:color w:val="111111"/>
          <w:sz w:val="28"/>
          <w:sz w:val="28"/>
          <w:szCs w:val="28"/>
          <w:rtl w:val="true"/>
          <w:lang w:bidi="fa-IR"/>
        </w:rPr>
        <w:t xml:space="preserve">و عن المصباح </w:t>
      </w:r>
      <w:r>
        <w:rPr>
          <w:rStyle w:val="FootnoteAnchor"/>
          <w:rtl w:val="true"/>
        </w:rPr>
        <w:footnoteReference w:id="14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دیة الجراحات، و عن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الدیة </w:t>
      </w:r>
      <w:r>
        <w:rPr>
          <w:rStyle w:val="FootnoteAnchor"/>
          <w:rtl w:val="true"/>
        </w:rPr>
        <w:footnoteReference w:id="14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من الأوّلین أنّه فی الأصل اسمٌ للفساد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یُطلق فی کلام الفقهاء علی مالٍ یؤخذ بدلاً عن نقصٍ مضمونٍ فی مالٍ أو بدنٍ </w:t>
      </w:r>
      <w:r>
        <w:rPr>
          <w:rStyle w:val="FootnoteAnchor"/>
          <w:rtl w:val="true"/>
        </w:rPr>
        <w:footnoteReference w:id="1496"/>
      </w:r>
      <w:r>
        <w:rPr>
          <w:rFonts w:ascii="Amiri" w:hAnsi="Amiri" w:eastAsia="Amiri" w:cs="Amiri"/>
          <w:color w:val="111111"/>
          <w:sz w:val="28"/>
          <w:sz w:val="28"/>
          <w:szCs w:val="28"/>
          <w:rtl w:val="true"/>
          <w:lang w:bidi="ar-SA"/>
        </w:rPr>
        <w:t>،لم یقدّر له فی الشرع مقدّرٌ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حواشی الشهید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یطلق بالاشتراک اللفظی علی 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 القیمة لجنایة الإنسان علی عبد غیره فی غیر المقدّر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التالف المقدّر شرعاً بالجنایة،کقطع ید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أکثر الأمرین من المقدّر الشرعی و الأرش،و هو ما تلف بجنایة الغاصب </w:t>
      </w:r>
      <w:r>
        <w:rPr>
          <w:rStyle w:val="FootnoteAnchor"/>
          <w:rtl w:val="true"/>
        </w:rPr>
        <w:footnoteReference w:id="149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جعل ذلک من الاشتراک اللفظی إشارةٌ إلی أنّ هذا اللفظ قد اصطلح فی خصوص کلٍّ من هذه المعانی عند الفقهاء بملاحظة مناسبتها للمعنی اللغوی مع قطع النظر عن ملاحظة العلاقة بین کلٍّ منها و بین الآخر،فلا یکون مشترکاً معنویاً بینهما،و لا حقیقةً و مجازاً،فهی کلّها منقولاتٌ عن المعنی اللغویّ بعلاقة الإطلاق و التقیید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ذکرناه فی تعریف الأرش فهو کلّی انتزاعیٌّ عن تلک المعانی،کما یظهر بالتأمّل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کان،فقد ظهر من تعریف الأرش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یثبت إلّا مع ضمان النقص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ضمان النقص تابعٌ فی الکیفیّة لضمان المنقوص،و هو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مضموناً بقیمته کالمغصوب و المستام و شبههما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یسمّی ضمان الید کان النقص مضموناً بما یخصّه من القیمة إذا وزّعت علی الکلّ</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مضمونا بعوض،بمعنی أن فواته یوجب عدم تملک عوضه المسمی فی المعاوضة و یسمی ضمانه ضمان المعاوضة کان النقص مضمونا بما یخصه من العوض إذا وزع علی مجموع الناقص و المنقوص لا نفس قیمة العیب؛لأن الجزء تابع للکل فی الضمان؛و لذا عرف جماعةٌ الأرشَ فی عیب المثمن فیما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جزءٌ من الثمن نسبته إلیه</w:t>
      </w:r>
    </w:p>
    <w:p>
      <w:pPr>
        <w:pStyle w:val="BookText"/>
        <w:rPr/>
      </w:pPr>
      <w:r>
        <w:rPr>
          <w:rFonts w:ascii="IRNazanin" w:hAnsi="IRNazanin" w:eastAsia="IRNazanin"/>
          <w:color w:val="111111"/>
          <w:sz w:val="28"/>
          <w:sz w:val="28"/>
          <w:szCs w:val="28"/>
          <w:rtl w:val="true"/>
          <w:lang w:bidi="fa-IR"/>
        </w:rPr>
        <w:t xml:space="preserve">کنسبة التفاوت بین الصحیح و المعیب إلی الصحیح </w:t>
      </w:r>
      <w:r>
        <w:rPr>
          <w:rStyle w:val="FootnoteAnchor"/>
          <w:rtl w:val="true"/>
        </w:rPr>
        <w:footnoteReference w:id="1498"/>
      </w:r>
      <w:r>
        <w:rPr>
          <w:rFonts w:ascii="IRNazanin" w:hAnsi="IRNazanin" w:eastAsia="IRNazanin"/>
          <w:color w:val="111111"/>
          <w:sz w:val="28"/>
          <w:sz w:val="28"/>
          <w:szCs w:val="28"/>
          <w:rtl w:val="true"/>
          <w:lang w:bidi="fa-IR"/>
        </w:rPr>
        <w:t>و ذلک لأنّ ضمان تمام المبیع الصحیح علی البائع ضمان المعاوضة،بمعنی أنّ البائع ضامنٌ لتسلیم المبیع تامّاً إلی المشتری،فإذا فاته تسلیم بعضه ضَمِنَه بمقدار ما یخصّه من الثمن لا بقیمته</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نعم،ظاهر کلام جماعةٍ من القدماء </w:t>
      </w:r>
      <w:r>
        <w:rPr>
          <w:rStyle w:val="FootnoteAnchor"/>
          <w:rtl w:val="true"/>
        </w:rPr>
        <w:footnoteReference w:id="1499"/>
      </w:r>
      <w:r>
        <w:rPr>
          <w:rFonts w:ascii="IRNazanin" w:hAnsi="IRNazanin" w:eastAsia="IRNazanin"/>
          <w:color w:val="111111"/>
          <w:sz w:val="28"/>
          <w:sz w:val="28"/>
          <w:szCs w:val="28"/>
          <w:rtl w:val="true"/>
          <w:lang w:bidi="fa-IR"/>
        </w:rPr>
        <w:t>کأکثر 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یوهم إرادة قیمة العیب کلّها،إلّا أنّها محمولةٌ علی الغالب من مساواة الثمن للقیمة السوقیّة للمبیع،بقرینة ما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البائع یردّ علی المشتری، و ظاهره کون المردود شیئاً من الثمن،الظاهر فی عدم زیادته علیه بل فی نقصانه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کان اللازم هو نفس التفاوت لزاد علی الثمن فی بعض الأوقات،کما إذا اشتری جاریةً بدینارین و کانت </w:t>
      </w:r>
      <w:r>
        <w:rPr>
          <w:rStyle w:val="FootnoteAnchor"/>
          <w:rtl w:val="true"/>
        </w:rPr>
        <w:footnoteReference w:id="1500"/>
      </w:r>
      <w:r>
        <w:rPr>
          <w:rFonts w:ascii="IRNazanin" w:hAnsi="IRNazanin" w:eastAsia="IRNazanin"/>
          <w:color w:val="111111"/>
          <w:sz w:val="28"/>
          <w:sz w:val="28"/>
          <w:szCs w:val="28"/>
          <w:rtl w:val="true"/>
          <w:lang w:bidi="fa-IR"/>
        </w:rPr>
        <w:t>معیبها تسوی مائةً و صحیحها تسوی أزید،فیلزم استحقاق مائة دینارٍ،فإذا لم یکن مثل هذا الفرد داخلاً بقرینة عدم صدق الردّ و الاسترجاع تعیّن کون هذا التعبیر لأجل غلبة عدم استیعاب التفاوت للثمن،فإذا بُنی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ملاحظة الغلبة </w:t>
      </w:r>
      <w:r>
        <w:rPr>
          <w:rStyle w:val="FootnoteAnchor"/>
          <w:rtl w:val="true"/>
        </w:rPr>
        <w:footnoteReference w:id="15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فمقتضاها الاختصاص بما هو الغالب من اشتراء الأشیاء من أهلها فی أسواقها بقیمتها المتعارفة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توهّم بعض من لا تحصیل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العیب إذا کان فی الثمن کان أرشه تمام التفاوت بین الصحیح و المعیب،و منشأه ما یُری </w:t>
      </w:r>
      <w:r>
        <w:rPr>
          <w:rStyle w:val="FootnoteAnchor"/>
          <w:rtl w:val="true"/>
        </w:rPr>
        <w:footnoteReference w:id="1502"/>
      </w:r>
      <w:r>
        <w:rPr>
          <w:rFonts w:ascii="IRNazanin" w:hAnsi="IRNazanin" w:eastAsia="IRNazanin"/>
          <w:color w:val="111111"/>
          <w:sz w:val="28"/>
          <w:sz w:val="28"/>
          <w:szCs w:val="28"/>
          <w:rtl w:val="true"/>
          <w:lang w:bidi="fa-IR"/>
        </w:rPr>
        <w:t>فی الغالب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وقوع الثمن فی الغالب نقداً غالباً مساویاً لقیمة المبیع،فإذا ظهر معیباً وجب تصحیحه ببذل تمام التفاوت،و إلّا فلو فرض أنّه اشتری عبداً بجاریةٍ تسوی معیبها أضعاف قیمته،فإنّه لا یجب بذل نفس التفاوت بین صحیحها و معیبها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کان،فالظاهر أنّه لا إشکال و لا خلاف فی ذلک و إن کان المتراءی من الأخبار خلافه،إلّا أنّ التأمّل فیها قاضٍ بخلافه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نعم،یشکل الأمر فی المقام من جهةٍ أُخری،و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مقتضی ضمان وصف الصحّة بمقدار ما یخصّه من الثمن لا بقیمته انفساخ العقد فی ذلک المقدار؛لعدم مقابلٍ له حین العقد کما هو شأن الجزء المفقود من المبیع،مع أنّه لم یقل به أحدٌ،و یلزم من ذلک أیضاً تعیّن أخذ الأرش من الثمن،مع أنّ ظاهر جماعةٍ عدم تعیّنه منه معلّلاً بأنّه غرامة </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الأرش لتتمیم المعیب حتّی یصیر </w:t>
      </w:r>
      <w:r>
        <w:rPr>
          <w:rStyle w:val="FootnoteAnchor"/>
          <w:rtl w:val="true"/>
        </w:rPr>
        <w:footnoteReference w:id="1504"/>
      </w:r>
      <w:r>
        <w:rPr>
          <w:rFonts w:ascii="IRNazanin" w:hAnsi="IRNazanin" w:eastAsia="IRNazanin"/>
          <w:color w:val="111111"/>
          <w:sz w:val="28"/>
          <w:sz w:val="28"/>
          <w:szCs w:val="28"/>
          <w:rtl w:val="true"/>
          <w:lang w:bidi="fa-IR"/>
        </w:rPr>
        <w:t xml:space="preserve">مقابلاً للثمن، لا لنقص </w:t>
      </w:r>
      <w:r>
        <w:rPr>
          <w:rStyle w:val="FootnoteAnchor"/>
          <w:rtl w:val="true"/>
        </w:rPr>
        <w:footnoteReference w:id="1505"/>
      </w:r>
      <w:r>
        <w:rPr>
          <w:rFonts w:ascii="IRNazanin" w:hAnsi="IRNazanin" w:eastAsia="IRNazanin"/>
          <w:color w:val="111111"/>
          <w:sz w:val="28"/>
          <w:sz w:val="28"/>
          <w:szCs w:val="28"/>
          <w:rtl w:val="true"/>
          <w:lang w:bidi="fa-IR"/>
        </w:rPr>
        <w:t>الثمن حتّی یصیر مقابلاً للمعیب؛و لذا سُمّی أرشاً کسائر الاُروش المتدارکة للنقائص،فضمان العیب علی هذا الوجه خارجٌ عن</w:t>
      </w:r>
    </w:p>
    <w:p>
      <w:pPr>
        <w:pStyle w:val="BookText"/>
        <w:rPr/>
      </w:pPr>
      <w:r>
        <w:rPr>
          <w:rFonts w:ascii="IRNazanin" w:hAnsi="IRNazanin" w:eastAsia="IRNazanin"/>
          <w:color w:val="111111"/>
          <w:sz w:val="28"/>
          <w:sz w:val="28"/>
          <w:szCs w:val="28"/>
          <w:rtl w:val="true"/>
          <w:lang w:bidi="fa-IR"/>
        </w:rPr>
        <w:t>الضمانین المذکورین؛لأنّ ضمان المعاوضة یقتضی انفساخ المعاوضة بالنسبة إلی الفائت المضمون و مقابله؛إذ لا معنی له غیر ضمان الشیء و أجزائه بعوضه المسمّی و أجزائه،و الضمان الآخر یقتضی ضمان الشیء بقیمته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أوثق من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مقتضی المعاوضة عرفاً هو عدم مقابلة وصف الصحّة بشیءٍ من الثمن،لأنّه أمرٌ معنویٌّ کسائر الأوصاف؛و لذا لو قابل المعیب بما هو أنقص منه قدراً حصل الربا من جهة صدق الزیادة و عدم عدّ العیب نقصاً یتدارک بشیءٍ من مقابله،إلّا أنّ الدلیل من النصّ و الإجماع دلّ علی ضمان هذا الوصف من بین الأوصاف </w:t>
      </w:r>
      <w:r>
        <w:rPr>
          <w:rStyle w:val="FootnoteAnchor"/>
          <w:rtl w:val="true"/>
        </w:rPr>
        <w:footnoteReference w:id="1506"/>
      </w:r>
      <w:r>
        <w:rPr>
          <w:rFonts w:ascii="IRNazanin" w:hAnsi="IRNazanin" w:eastAsia="IRNazanin"/>
          <w:color w:val="111111"/>
          <w:sz w:val="28"/>
          <w:sz w:val="28"/>
          <w:szCs w:val="28"/>
          <w:rtl w:val="true"/>
          <w:lang w:bidi="fa-IR"/>
        </w:rPr>
        <w:t xml:space="preserve">، بمعنی وجوب تدارکه بمقدارٍ من الثمن مُنضافٍ </w:t>
      </w:r>
      <w:r>
        <w:rPr>
          <w:rStyle w:val="FootnoteAnchor"/>
          <w:rtl w:val="true"/>
        </w:rPr>
        <w:footnoteReference w:id="1507"/>
      </w:r>
      <w:r>
        <w:rPr>
          <w:rFonts w:ascii="IRNazanin" w:hAnsi="IRNazanin" w:eastAsia="IRNazanin"/>
          <w:color w:val="111111"/>
          <w:sz w:val="28"/>
          <w:sz w:val="28"/>
          <w:szCs w:val="28"/>
          <w:rtl w:val="true"/>
          <w:lang w:bidi="fa-IR"/>
        </w:rPr>
        <w:t>إلی ما یقابل بأصل المبیع لأجل اتّصافه بوصف الصحّة،فإنّ هذا الوصف کسائر الأوصاف و إن لم یقابله شیءٌ من الثمن،لکن له مدخلٌ فی وجود مقدارٍ من الثمن و عدمه، فإذا تعهّده البائع کان للمشتری مطالبته بخروجه عن عهدته بأداء ما کان یلاحظ من الثمن لأجله،و للمشتری أیضاً إسقاط هذا الالتزام عنه</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نعم،یبقی الکلام فی کون هذا الضمان المخالف للأصل بعین بعض الثمن،کما هو ظاهر تعریف الأرش فی کلام الأکثر بأنّه جزءٌ من الثمن </w:t>
      </w:r>
      <w:r>
        <w:rPr>
          <w:rStyle w:val="FootnoteAnchor"/>
          <w:rtl w:val="true"/>
        </w:rPr>
        <w:footnoteReference w:id="1508"/>
      </w:r>
      <w:r>
        <w:rPr>
          <w:rFonts w:ascii="IRNazanin" w:hAnsi="IRNazanin" w:eastAsia="IRNazanin"/>
          <w:color w:val="111111"/>
          <w:sz w:val="28"/>
          <w:sz w:val="28"/>
          <w:szCs w:val="28"/>
          <w:rtl w:val="true"/>
          <w:lang w:bidi="fa-IR"/>
        </w:rPr>
        <w:t xml:space="preserve">،أو بمقداره،کما هو مختار العلّامة فی صریح التذکرة </w:t>
      </w:r>
      <w:r>
        <w:rPr>
          <w:rStyle w:val="FootnoteAnchor"/>
          <w:rtl w:val="true"/>
        </w:rPr>
        <w:footnoteReference w:id="1509"/>
      </w:r>
      <w:r>
        <w:rPr>
          <w:rFonts w:ascii="IRNazanin" w:hAnsi="IRNazanin" w:eastAsia="IRNazanin"/>
          <w:color w:val="111111"/>
          <w:sz w:val="28"/>
          <w:sz w:val="28"/>
          <w:szCs w:val="28"/>
          <w:rtl w:val="true"/>
          <w:lang w:bidi="fa-IR"/>
        </w:rPr>
        <w:t>و ظاهر</w:t>
      </w:r>
    </w:p>
    <w:p>
      <w:pPr>
        <w:pStyle w:val="BookText"/>
        <w:rPr/>
      </w:pPr>
      <w:r>
        <w:rPr>
          <w:rFonts w:ascii="IRNazanin" w:hAnsi="IRNazanin" w:eastAsia="IRNazanin"/>
          <w:color w:val="111111"/>
          <w:sz w:val="28"/>
          <w:sz w:val="28"/>
          <w:szCs w:val="28"/>
          <w:rtl w:val="true"/>
          <w:lang w:bidi="fa-IR"/>
        </w:rPr>
        <w:t xml:space="preserve">غیرها و الشهیدین فی کتبهما </w:t>
      </w:r>
      <w:r>
        <w:rPr>
          <w:rStyle w:val="FootnoteAnchor"/>
          <w:rtl w:val="true"/>
        </w:rPr>
        <w:footnoteReference w:id="1510"/>
      </w: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تردّد بینهما فی جامع المقاصد </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أقواهما الثانی؛لأصالة عدم تسلّط المشتری علی شیءٍ من الثمن، و براءة ذمّة البائع من وجوب دفعه؛لأنّ المتیقّن من مخالفة الأصل ضمان البائع لتدارک الفائت الذی التزم وجوده فی المبیع بمقدارٍ وقع الإقدام من المتعاقدین علی زیادته علی الثمن لداعی وجود هذه الصفة،لا فی مقابلها،مضافاً إلی إطلاق قوله علیه السلام فی روایتی حمّاد و عبد الملک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w:t>
      </w:r>
      <w:r>
        <w:rPr>
          <w:rStyle w:val="FootnoteAnchor"/>
          <w:rtl w:val="true"/>
        </w:rPr>
        <w:footnoteReference w:id="15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أرش العیب</w:t>
      </w:r>
      <w:r>
        <w:rPr>
          <w:rFonts w:eastAsia="IRNazanin" w:cs="IRNazanin"/>
          <w:color w:val="111111"/>
          <w:sz w:val="28"/>
          <w:szCs w:val="28"/>
          <w:rtl w:val="true"/>
          <w:lang w:bidi="fa-IR"/>
        </w:rPr>
        <w:t xml:space="preserve">» </w:t>
      </w:r>
      <w:r>
        <w:rPr>
          <w:rStyle w:val="FootnoteAnchor"/>
          <w:rtl w:val="true"/>
        </w:rPr>
        <w:footnoteReference w:id="1513"/>
      </w:r>
      <w:r>
        <w:rPr>
          <w:rFonts w:ascii="IRNazanin" w:hAnsi="IRNazanin" w:eastAsia="IRNazanin"/>
          <w:color w:val="111111"/>
          <w:sz w:val="28"/>
          <w:sz w:val="28"/>
          <w:szCs w:val="28"/>
          <w:rtl w:val="true"/>
          <w:lang w:bidi="fa-IR"/>
        </w:rPr>
        <w:t>،و لا دلیل علی وجوب کون التدارک بجزءٍ من عین الثمن،عدا ما یتراءی من ظاهر التعبیر فی روایات الأرش عن تدارک العیب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التفاوت إلی المشتری</w:t>
      </w:r>
      <w:r>
        <w:rPr>
          <w:rFonts w:eastAsia="IRNazanin" w:cs="IRNazanin"/>
          <w:color w:val="111111"/>
          <w:sz w:val="28"/>
          <w:szCs w:val="28"/>
          <w:rtl w:val="true"/>
          <w:lang w:bidi="fa-IR"/>
        </w:rPr>
        <w:t xml:space="preserve">» </w:t>
      </w:r>
      <w:r>
        <w:rPr>
          <w:rStyle w:val="FootnoteAnchor"/>
          <w:rtl w:val="true"/>
        </w:rPr>
        <w:footnoteReference w:id="1514"/>
      </w:r>
      <w:r>
        <w:rPr>
          <w:rFonts w:ascii="IRNazanin" w:hAnsi="IRNazanin" w:eastAsia="IRNazanin"/>
          <w:color w:val="111111"/>
          <w:sz w:val="28"/>
          <w:sz w:val="28"/>
          <w:szCs w:val="28"/>
          <w:rtl w:val="true"/>
          <w:lang w:bidi="fa-IR"/>
        </w:rPr>
        <w:t>الظاهر فی کون المردود شیئاً کان عنده أوّلاً،و هو بعض الثمن</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التأمّل التامّ یقضی بأنّ هذا التعبیر وقع بملاحظة أنّ الغالب</w:t>
      </w:r>
    </w:p>
    <w:p>
      <w:pPr>
        <w:pStyle w:val="BookText"/>
        <w:rPr/>
      </w:pPr>
      <w:r>
        <w:rPr>
          <w:rFonts w:ascii="IRNazanin" w:hAnsi="IRNazanin" w:eastAsia="IRNazanin"/>
          <w:color w:val="111111"/>
          <w:sz w:val="28"/>
          <w:sz w:val="28"/>
          <w:szCs w:val="28"/>
          <w:rtl w:val="true"/>
          <w:lang w:bidi="fa-IR"/>
        </w:rPr>
        <w:t>وصول الثمن إلی البائع و کونه من النقدین،فالردّ باعتبار النوع،لا الشخص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 أنّ قوله علیه السلام فی روایة ابن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یوضع عنه من ثمنها بقدر العیب إن کان فیها</w:t>
      </w:r>
      <w:r>
        <w:rPr>
          <w:rFonts w:eastAsia="IRNazanin" w:cs="IRNazanin"/>
          <w:color w:val="111111"/>
          <w:sz w:val="28"/>
          <w:szCs w:val="28"/>
          <w:rtl w:val="true"/>
          <w:lang w:bidi="fa-IR"/>
        </w:rPr>
        <w:t xml:space="preserve">» </w:t>
      </w:r>
      <w:r>
        <w:rPr>
          <w:rStyle w:val="FootnoteAnchor"/>
          <w:rtl w:val="true"/>
        </w:rPr>
        <w:footnoteReference w:id="1515"/>
      </w:r>
      <w:r>
        <w:rPr>
          <w:rFonts w:ascii="IRNazanin" w:hAnsi="IRNazanin" w:eastAsia="IRNazanin"/>
          <w:color w:val="111111"/>
          <w:sz w:val="28"/>
          <w:sz w:val="28"/>
          <w:szCs w:val="28"/>
          <w:rtl w:val="true"/>
          <w:lang w:bidi="fa-IR"/>
        </w:rPr>
        <w:t>محمولٌ علی الغالب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کون الثمن کلّیاً فی ذمّة المشتری،فإذا اشتغلت ذمّة البائع بالأرش حسب المشتری عند أداء الثمن ما فی ذمّته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المختار من عدم تعیّنه من عین الثمن،فالظاهر تعیّنه من النقدین؛لأنّهما الأصل فی ضمان المضمونات،إلّا أن یتراضی علی غیرهما من باب الوفاء أو المعاوضة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استظهر المحقّق الثانی من عبارة القواعد و التحریر بل الدروس عدم تعیّنه منهما؛حیث حکموا </w:t>
      </w:r>
      <w:r>
        <w:rPr>
          <w:rStyle w:val="FootnoteAnchor"/>
          <w:rtl w:val="true"/>
        </w:rPr>
        <w:footnoteReference w:id="1516"/>
      </w:r>
      <w:r>
        <w:rPr>
          <w:rFonts w:ascii="IRNazanin" w:hAnsi="IRNazanin" w:eastAsia="IRNazanin"/>
          <w:color w:val="111111"/>
          <w:sz w:val="28"/>
          <w:sz w:val="28"/>
          <w:szCs w:val="28"/>
          <w:rtl w:val="true"/>
          <w:lang w:bidi="fa-IR"/>
        </w:rPr>
        <w:t xml:space="preserve">فی باب الصرف بأنّه لو وجد عیبٌ فی أحد العوضین المتخالفین بعد التفرّق جاز أخذ الأرش من غیر النقدین و لم یجز منهما،فاستشکل ذلک بأنّ الحقوق المالیّة إنّما یرجع فیها إلی النقدین،فکیف الحقّ الثابت باعتبار نقصانٍ فی أحدهما؟ </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رفع هذا الإشکال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المضمون بالنقدین هی الأموال المتعیّنة المستقرّة،و الثابت هنا لیس مالاً فی الذمّة،و إلّا بطل البیع فیما قابلة من الصحیح؛لعدم وصول عوضه قبل التفرّق،و إنّما هو حقٌّ لو أعمله جاز له مطالبة المال،فإذا اختار الأرش من غیر النقدین</w:t>
      </w:r>
    </w:p>
    <w:p>
      <w:pPr>
        <w:pStyle w:val="BookText"/>
        <w:rPr/>
      </w:pPr>
      <w:r>
        <w:rPr>
          <w:rFonts w:ascii="IRNazanin" w:hAnsi="IRNazanin" w:eastAsia="IRNazanin"/>
          <w:color w:val="111111"/>
          <w:sz w:val="28"/>
          <w:sz w:val="28"/>
          <w:szCs w:val="28"/>
          <w:rtl w:val="true"/>
          <w:lang w:bidi="fa-IR"/>
        </w:rPr>
        <w:t xml:space="preserve">ابتداءً و رضی به الآخر فالمختار </w:t>
      </w:r>
      <w:r>
        <w:rPr>
          <w:rStyle w:val="FootnoteAnchor"/>
          <w:rtl w:val="true"/>
        </w:rPr>
        <w:footnoteReference w:id="1518"/>
      </w:r>
      <w:r>
        <w:rPr>
          <w:rFonts w:ascii="IRNazanin" w:hAnsi="IRNazanin" w:eastAsia="IRNazanin"/>
          <w:color w:val="111111"/>
          <w:sz w:val="28"/>
          <w:sz w:val="28"/>
          <w:szCs w:val="28"/>
          <w:rtl w:val="true"/>
          <w:lang w:bidi="fa-IR"/>
        </w:rPr>
        <w:t>نفس الأرش،لا عوضٌ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للآخر الامتناع منه؛لعدم تعیّنه علیه،کما أنّ لذی الخیار مطالبة النقدین فی غیر هذا المقام و إن لم یکن للآخر الامتناع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بالجملة،فلیس هنا شیءٌ معیّنٌ ثابتٌ فی الذمّة،إلّا أنّ دفع غیر النقدین یتوقّف علی رضا ذی الخیار و یکون نفس الأرش،بخلاف دفع النقدین،فإنّه إذا اختیر غیرهما لم یتعیّن </w:t>
      </w:r>
      <w:r>
        <w:rPr>
          <w:rStyle w:val="FootnoteAnchor"/>
          <w:rtl w:val="true"/>
        </w:rPr>
        <w:footnoteReference w:id="1519"/>
      </w:r>
      <w:r>
        <w:rPr>
          <w:rFonts w:ascii="Amiri" w:hAnsi="Amiri" w:eastAsia="Amiri" w:cs="Amiri"/>
          <w:color w:val="111111"/>
          <w:sz w:val="28"/>
          <w:sz w:val="28"/>
          <w:szCs w:val="28"/>
          <w:rtl w:val="true"/>
          <w:lang w:bidi="ar-SA"/>
        </w:rPr>
        <w:t>للأرشیّة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 قد تبیّن ممّا ذکرنا فی معنی الأرش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یکون إلّا مقداراً مساویاً لبعض الثمن،و لا یعقل أن یکون مستغرقاً له،لأنّ المعیب إن لم یکن ممّا یتموّل و یبذل فی مقابله شیءٌ من المال بطل بیعه،و إلّا فلا بدّ من أن یبقی له من الثمن قسطٌ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نعم،ربما یتصوّر ذلک فیما إذا حدث قبل القبض أو فی زمان الخیار عیبٌ یستغرق للقیمة مع بقاء الشیء علی صفة التملّک </w:t>
      </w:r>
      <w:r>
        <w:rPr>
          <w:rStyle w:val="FootnoteAnchor"/>
          <w:rtl w:val="true"/>
        </w:rPr>
        <w:footnoteReference w:id="1520"/>
      </w:r>
      <w:r>
        <w:rPr>
          <w:rFonts w:ascii="IRNazanin" w:hAnsi="IRNazanin" w:eastAsia="IRNazanin"/>
          <w:color w:val="111111"/>
          <w:sz w:val="28"/>
          <w:sz w:val="28"/>
          <w:szCs w:val="28"/>
          <w:rtl w:val="true"/>
          <w:lang w:bidi="fa-IR"/>
        </w:rPr>
        <w:t>،بناءً علی أنّ مثل ذلک غیر ملحقٍ بالتلف فی انفساخ العقد به،بل یأخذ المشتری أرش العیب،و هو هنا مقدار تمام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عدم إلحاقه بالتلف مشکلٌ، بناءً علی أنّ العیب إذا کان مضموناً علی البائع بمقتضی قوله علیه السلام</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حدث بالحیوان حدثٌ فهو من مال البائع حتّی ینقضی خیاره</w:t>
      </w:r>
      <w:r>
        <w:rPr>
          <w:rFonts w:eastAsia="IRNazanin" w:cs="IRNazanin"/>
          <w:color w:val="111111"/>
          <w:sz w:val="28"/>
          <w:szCs w:val="28"/>
          <w:rtl w:val="true"/>
          <w:lang w:bidi="fa-IR"/>
        </w:rPr>
        <w:t xml:space="preserve">» </w:t>
      </w:r>
      <w:r>
        <w:rPr>
          <w:rStyle w:val="FootnoteAnchor"/>
          <w:rtl w:val="true"/>
        </w:rPr>
        <w:footnoteReference w:id="1521"/>
      </w:r>
    </w:p>
    <w:p>
      <w:pPr>
        <w:pStyle w:val="BookText"/>
        <w:rPr/>
      </w:pPr>
      <w:r>
        <w:rPr>
          <w:rFonts w:ascii="IRNazanin" w:hAnsi="IRNazanin" w:eastAsia="IRNazanin"/>
          <w:color w:val="111111"/>
          <w:sz w:val="28"/>
          <w:sz w:val="28"/>
          <w:szCs w:val="28"/>
          <w:rtl w:val="true"/>
          <w:lang w:bidi="fa-IR"/>
        </w:rPr>
        <w:t>کان هذا العیب کأنه حدث فی ملک البائع،و المفروض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إذا حدث مثل هذا فی ملک البائع کان بیعه باطلاً؛لعدم کونه متموّلاً یُبذل بإزائه شیءٌ من المال،فیجب الحکم بانفساخ العقد إذا حدث </w:t>
      </w:r>
      <w:r>
        <w:rPr>
          <w:rStyle w:val="FootnoteAnchor"/>
          <w:rtl w:val="true"/>
        </w:rPr>
        <w:footnoteReference w:id="1522"/>
      </w:r>
      <w:r>
        <w:rPr>
          <w:rFonts w:ascii="IRNazanin" w:hAnsi="IRNazanin" w:eastAsia="IRNazanin"/>
          <w:color w:val="111111"/>
          <w:sz w:val="28"/>
          <w:sz w:val="28"/>
          <w:szCs w:val="28"/>
          <w:rtl w:val="true"/>
          <w:lang w:bidi="fa-IR"/>
        </w:rPr>
        <w:t>بعده مضموناً علی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 یمنع ذلک و أنّ ضمانه علی البائع موجب </w:t>
      </w:r>
      <w:r>
        <w:rPr>
          <w:rStyle w:val="FootnoteAnchor"/>
          <w:rtl w:val="true"/>
        </w:rPr>
        <w:footnoteReference w:id="1523"/>
      </w:r>
      <w:r>
        <w:rPr>
          <w:rFonts w:ascii="IRNazanin" w:hAnsi="IRNazanin" w:eastAsia="IRNazanin"/>
          <w:color w:val="111111"/>
          <w:sz w:val="28"/>
          <w:sz w:val="28"/>
          <w:szCs w:val="28"/>
          <w:rtl w:val="true"/>
          <w:lang w:bidi="fa-IR"/>
        </w:rPr>
        <w:t>الحکم بکون دَرَکه علیه،فهو بمنزلة الحادث قبل البیع فی هذا الحکم لا مطلقاً حتّی ینفسخ العقد به،و یرجع هذا الملک الموجود الغیر المتموّل إلی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لو فرضنا حدوث العیب علی وجهٍ أخرجه عن الملک فلا دلیل علی إلحاقه بالتلف،بل تبقی العین الغیر المملوکة حقّا للمشتری و إن لم یکن ملکاً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کالخمر المتّخذ للتخلیل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یأخذ الثمن أو مقداره من البائع أرشاً لا من باب انفساخ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هذا،إلّا أنّ العلّامة قدّس سرّه فی القواعد و التذکرة و التحریر </w:t>
      </w:r>
      <w:r>
        <w:rPr>
          <w:rStyle w:val="FootnoteAnchor"/>
          <w:rtl w:val="true"/>
        </w:rPr>
        <w:footnoteReference w:id="1524"/>
      </w:r>
      <w:r>
        <w:rPr>
          <w:rFonts w:ascii="IRNazanin" w:hAnsi="IRNazanin" w:eastAsia="IRNazanin"/>
          <w:color w:val="111111"/>
          <w:sz w:val="28"/>
          <w:sz w:val="28"/>
          <w:szCs w:val="28"/>
          <w:rtl w:val="true"/>
          <w:lang w:bidi="fa-IR"/>
        </w:rPr>
        <w:t xml:space="preserve">و محکیّ النهایة </w:t>
      </w:r>
      <w:r>
        <w:rPr>
          <w:rStyle w:val="FootnoteAnchor"/>
          <w:rtl w:val="true"/>
        </w:rPr>
        <w:footnoteReference w:id="1525"/>
      </w:r>
      <w:r>
        <w:rPr>
          <w:rFonts w:ascii="IRNazanin" w:hAnsi="IRNazanin" w:eastAsia="IRNazanin"/>
          <w:color w:val="111111"/>
          <w:sz w:val="28"/>
          <w:sz w:val="28"/>
          <w:szCs w:val="28"/>
          <w:rtl w:val="true"/>
          <w:lang w:bidi="fa-IR"/>
        </w:rPr>
        <w:t>یظهر منه الأرش المستوعب فی العیب المتقدّم علی العقد الذی ذکرنا أنّه لا یعقل فیه استیعاب الأرش للثمن</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باع العبد الجانی خطأ ضمن أقل الأمرین علی رأی،و الأرش علی رأی،و صح البیع إن کان موسرا،و إلا تخیر المجنی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عمدا وقف علی إجازة المجنی علیه،و یضمن الأقلّ من الأرش و القیمة لا الثمن معها،و للمشتری الفسخ مع الجهل،فیرجع</w:t>
      </w:r>
    </w:p>
    <w:p>
      <w:pPr>
        <w:pStyle w:val="BookText"/>
        <w:rPr/>
      </w:pPr>
      <w:r>
        <w:rPr>
          <w:rFonts w:ascii="IRNazanin" w:hAnsi="IRNazanin" w:eastAsia="IRNazanin"/>
          <w:color w:val="111111"/>
          <w:sz w:val="28"/>
          <w:sz w:val="28"/>
          <w:szCs w:val="28"/>
          <w:rtl w:val="true"/>
          <w:lang w:bidi="fa-IR"/>
        </w:rPr>
        <w:t>بالثمن أو الأرش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استوعبت الجنایة القیمة فالأرش ثمنه أیضاً،و إلّا فقدر الأرش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یرجع لو کان عالماً،و له أن یفدیه کالمالک و لا یرجع به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اقتصّ منه فلا ردّ و له الأرش،و هو نسبة تفاوت ما بین کونه جانیاً و غیر جانٍ من الثمن </w:t>
      </w:r>
      <w:r>
        <w:rPr>
          <w:rStyle w:val="FootnoteAnchor"/>
          <w:rtl w:val="true"/>
        </w:rPr>
        <w:footnoteReference w:id="152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 فی التذکرة هذه العبارة بعینها فی باب العیوب </w:t>
      </w:r>
      <w:r>
        <w:rPr>
          <w:rStyle w:val="FootnoteAnchor"/>
          <w:rtl w:val="true"/>
        </w:rPr>
        <w:footnoteReference w:id="15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أوائل البیع من التذکرة فی مسألة بیع العبد الجانی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المولی معسراً لم یسقط حقّ المجنیّ علیه من الرقبة ما لم یجز البیع أوّلاً،فإنّ البائع إنّما یملک نقل حقّه عن رقبته بفدائه،و لا یحصل من ذمّة المعسر، فیبقی حقّ المجنیّ علیه مقدّماً علی حقّ المشتری،و یتخیّر المشتری الجاهل فی الفسخ،فیرجع بالثمن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معه </w:t>
      </w:r>
      <w:r>
        <w:rPr>
          <w:rStyle w:val="FootnoteAnchor"/>
          <w:rtl w:val="true"/>
        </w:rPr>
        <w:footnoteReference w:id="15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مع الاستیعاب،لأنّ أرش مثل هذا جمیع ثمنه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یستوعب یرجع بقدر أرشه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عالماً بتعلّق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Style w:val="FootnoteAnchor"/>
          <w:rtl w:val="true"/>
        </w:rPr>
        <w:footnoteReference w:id="15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رجوع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أوجبت الجنایة قصاصاً تخیّر المشتری الجاهل بین الردّ و الأرش،فإن اقتصّ منه احتمل تعیّن الأرش،و هو قسط قیمة ما بینه جانیاً و غیر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یبطل البیع من أصله </w:t>
      </w:r>
      <w:r>
        <w:rPr>
          <w:rStyle w:val="FootnoteAnchor"/>
          <w:rtl w:val="true"/>
        </w:rPr>
        <w:footnoteReference w:id="1530"/>
      </w:r>
      <w:r>
        <w:rPr>
          <w:rFonts w:ascii="IRNazanin" w:hAnsi="IRNazanin" w:eastAsia="IRNazanin"/>
          <w:color w:val="111111"/>
          <w:sz w:val="28"/>
          <w:sz w:val="28"/>
          <w:szCs w:val="28"/>
          <w:rtl w:val="true"/>
          <w:lang w:bidi="fa-IR"/>
        </w:rPr>
        <w:t>لأنّه تلف عند المشتری بالعیب الذی کان فیه،فلم</w:t>
      </w:r>
    </w:p>
    <w:p>
      <w:pPr>
        <w:pStyle w:val="BookText"/>
        <w:rPr/>
      </w:pPr>
      <w:r>
        <w:rPr>
          <w:rFonts w:ascii="IRNazanin" w:hAnsi="IRNazanin" w:eastAsia="IRNazanin"/>
          <w:color w:val="111111"/>
          <w:sz w:val="28"/>
          <w:sz w:val="28"/>
          <w:szCs w:val="28"/>
          <w:rtl w:val="true"/>
          <w:lang w:bidi="fa-IR"/>
        </w:rPr>
        <w:t>یوجب الرجوع بجمیع الثمن کالمریض و المرتدّ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حنیفة و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یرجع بجمیع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ثمنه </w:t>
      </w:r>
      <w:r>
        <w:rPr>
          <w:rStyle w:val="FootnoteAnchor"/>
          <w:rtl w:val="true"/>
        </w:rPr>
        <w:footnoteReference w:id="15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تلفه لمعنیً </w:t>
      </w:r>
      <w:r>
        <w:rPr>
          <w:rStyle w:val="FootnoteAnchor"/>
          <w:rtl w:val="true"/>
        </w:rPr>
        <w:footnoteReference w:id="1532"/>
      </w:r>
      <w:r>
        <w:rPr>
          <w:rFonts w:ascii="IRNazanin" w:hAnsi="IRNazanin" w:eastAsia="IRNazanin"/>
          <w:color w:val="111111"/>
          <w:sz w:val="28"/>
          <w:sz w:val="28"/>
          <w:szCs w:val="28"/>
          <w:rtl w:val="true"/>
          <w:lang w:bidi="fa-IR"/>
        </w:rPr>
        <w:t xml:space="preserve">استحقّ علیه عند البائع،فجری إتلافه </w:t>
      </w:r>
      <w:r>
        <w:rPr>
          <w:rStyle w:val="FootnoteAnchor"/>
          <w:rtl w:val="true"/>
        </w:rPr>
        <w:footnoteReference w:id="153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التحریر فی بیع الجانی 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کان السیّد معسراً لم یسقط حقّ المجنیّ علیه من </w:t>
      </w:r>
      <w:r>
        <w:rPr>
          <w:rStyle w:val="FootnoteAnchor"/>
          <w:rtl w:val="true"/>
        </w:rPr>
        <w:footnoteReference w:id="1534"/>
      </w:r>
      <w:r>
        <w:rPr>
          <w:rFonts w:ascii="IRNazanin" w:hAnsi="IRNazanin" w:eastAsia="IRNazanin"/>
          <w:color w:val="111111"/>
          <w:sz w:val="28"/>
          <w:sz w:val="28"/>
          <w:szCs w:val="28"/>
          <w:rtl w:val="true"/>
          <w:lang w:bidi="fa-IR"/>
        </w:rPr>
        <w:t xml:space="preserve">رقبة العبد،فیتخیّر المشتری مع عدم علمه، فإن فسخ یرجع بالثمن؛و کذا إن کانت الجنایة مستوعبةً،و إن لم یستوعب رجع بالأرش </w:t>
      </w:r>
      <w:r>
        <w:rPr>
          <w:rStyle w:val="FootnoteAnchor"/>
          <w:rtl w:val="true"/>
        </w:rPr>
        <w:footnoteReference w:id="153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أوائل البیع فی هذه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کان السیّد معسراً لم یسقط حقّ المجنیّ علیه عن رقبة العبد،و للمشتری الفسخ مع عدم العلم </w:t>
      </w:r>
      <w:r>
        <w:rPr>
          <w:rStyle w:val="FootnoteAnchor"/>
          <w:rtl w:val="true"/>
        </w:rPr>
        <w:footnoteReference w:id="1536"/>
      </w:r>
      <w:r>
        <w:rPr>
          <w:rFonts w:ascii="IRNazanin" w:hAnsi="IRNazanin" w:eastAsia="IRNazanin"/>
          <w:color w:val="111111"/>
          <w:sz w:val="28"/>
          <w:sz w:val="28"/>
          <w:szCs w:val="28"/>
          <w:rtl w:val="true"/>
          <w:lang w:bidi="fa-IR"/>
        </w:rPr>
        <w:t>،فإن فسخ رجع بالثمن،و إن لم یفسخ و استوعبت الجنایة قیمته و انتزعت یرجع المشتری بالثمن أیضاً،و إن لم یستوعب رجع بقدر الأرش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علم المشتری بتعلّق الحقّ برقبة العبد لم یرجع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اختار المشتری أن یفدیه جاز و رجع به علی البائع مع الإذن،و إلّا فلا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انتزعت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راجعٌ إلی رقبة العبد،أو إلی القیمة إذا باعه المجنیّ علیه و أخذ قیمته،و هذا القید غیر موجودٍ فی باقی عبارات العلّامة فی کتبه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فالعبد المتعلّق برقبته حقٌّ للمجنیّ علیه یستوعب قیمته،إمّا أن یکون له قیمةٌ تبذل بإزائه،أو لا،و علی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أن یبقی شیءٌ من الثمن للبائع بإزائه،فلا یرجع بجمیع الثمن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فینبغی بطلان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انتزاعه عن ملک المشتری لحقٍّ کان علیه عند البائع یوجب غرامته علی البائع کان اللازم من ذلک مع منعه </w:t>
      </w:r>
      <w:r>
        <w:rPr>
          <w:rStyle w:val="FootnoteAnchor"/>
          <w:rtl w:val="true"/>
        </w:rPr>
        <w:footnoteReference w:id="1537"/>
      </w:r>
      <w:r>
        <w:rPr>
          <w:rFonts w:ascii="IRNazanin" w:hAnsi="IRNazanin" w:eastAsia="IRNazanin"/>
          <w:color w:val="111111"/>
          <w:sz w:val="28"/>
          <w:sz w:val="28"/>
          <w:szCs w:val="28"/>
          <w:rtl w:val="true"/>
          <w:lang w:bidi="fa-IR"/>
        </w:rPr>
        <w:t>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الحکم کذلک فیما لو اقتصّ من الجانی عمداً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من التذکرة و القواعد الحکم بقسطٍ من الثمن فیه</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بالجملة،فالمسألة محلّ تأمّلٍ،و اللّٰه العالم</w:t>
      </w:r>
      <w:r>
        <w:rPr>
          <w:rFonts w:eastAsia="Amiri" w:cs="Amiri" w:ascii="Amiri" w:hAnsi="Amiri"/>
          <w:color w:val="111111"/>
          <w:sz w:val="28"/>
          <w:szCs w:val="28"/>
          <w:rtl w:val="true"/>
          <w:lang w:bidi="ar-SA"/>
        </w:rPr>
        <w:t>.</w:t>
      </w:r>
      <w:bookmarkStart w:id="608" w:name="pg19864_221029"/>
    </w:p>
    <w:p>
      <w:pPr>
        <w:pStyle w:val="Heading6"/>
        <w:numPr>
          <w:ilvl w:val="5"/>
          <w:numId w:val="1"/>
        </w:numPr>
        <w:rPr/>
      </w:pPr>
      <w:bookmarkStart w:id="609" w:name="__RefHeading___Toc5148970_2314609296"/>
      <w:bookmarkStart w:id="610" w:name="_Toc230"/>
      <w:bookmarkEnd w:id="608"/>
      <w:bookmarkEnd w:id="609"/>
      <w:r>
        <w:rPr>
          <w:rtl w:val="true"/>
        </w:rPr>
        <w:t>مسألة یُعرف الأرش بمعرفة قیمتی الصحیح و المعیب لیعرف التفاوت بینهما، فیؤخذ من البائع بنسبة ذلک التفاوت</w:t>
      </w:r>
      <w:r>
        <w:rPr>
          <w:rtl w:val="true"/>
        </w:rPr>
        <w:t>.</w:t>
      </w:r>
      <w:bookmarkEnd w:id="610"/>
    </w:p>
    <w:p>
      <w:pPr>
        <w:pStyle w:val="BookText"/>
        <w:rPr/>
      </w:pPr>
      <w:r>
        <w:rPr>
          <w:rFonts w:ascii="IRNazanin" w:hAnsi="IRNazanin" w:eastAsia="IRNazanin"/>
          <w:color w:val="111111"/>
          <w:sz w:val="28"/>
          <w:sz w:val="28"/>
          <w:szCs w:val="28"/>
          <w:rtl w:val="true"/>
          <w:lang w:bidi="fa-IR"/>
        </w:rPr>
        <w:t>و إذا لم تکن القیمة معلومةً فلا بدّ من الرجوع إلی العارف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قد یخبر عن القیمة المتعارفة المعلومة المضبوطة عند أهل البلد أو أهل الخبرة منهم لهذا المبیع المعیّن أو لمثله فی الصفات المقصودة، کمن یخبر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هذه الحنطة أو مثلها یباع فی السوق بکذا،و هذا داخلٌ فی الشهادة یعتبر فیها جمیع ما یعتبر فی الشهادة علی سائر المحسوسات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العدالة،و الإخبار عن الحسّ،و التعدّد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یخبر عن نظره و حدسه من جهة کثرة ممارسته أشباه هذا الشیء و إن لم یتّفق اطّلاعه علی مقدار رغبة الناس فی أمثاله،و هذا یحتاج إلی الصفات السابقة و زیادة المعرفة و الخبرة بهذا الجنس،و یقال له بهذا 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الخبرة</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یخبر عن قیمته باعتبار خصوصیّاتٍ فی المبیع یعرفها هذا المخبر مع کون قیمته علی تقدیر العلم بالخصوصیّات واضحةً،کالصائغ العارف بأصناف الذهب و الفضّة من حیث الجودة و الرداءة،مع کون</w:t>
      </w:r>
    </w:p>
    <w:p>
      <w:pPr>
        <w:pStyle w:val="BookText"/>
        <w:rPr/>
      </w:pPr>
      <w:r>
        <w:rPr>
          <w:rFonts w:ascii="IRNazanin" w:hAnsi="IRNazanin" w:eastAsia="IRNazanin"/>
          <w:color w:val="111111"/>
          <w:sz w:val="28"/>
          <w:sz w:val="28"/>
          <w:szCs w:val="28"/>
          <w:rtl w:val="true"/>
          <w:lang w:bidi="fa-IR"/>
        </w:rPr>
        <w:t>قیمة الجیّد و الردیء محفوظةً عند الناس معروفةً بینهم،فقوله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قیمته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به أنّه من جنس قیمته کذا،و هذا فی الحقیقة لا یدخل فی المقوِّم،و کذا القسم الأوّل،فمرادهم بالمقوِّم هو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الأظهر عدم التفرقة بین الأقسام من حیث اعتبار شروط القبول و إن احتمل فی غیر الأوّل الاکتفاء بالواحد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للزوم الحرج لو اعتبر التعدّد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لاعتبار الظنّ فی مثل ذلک ممّا انسدّ فیه باب العلم و یلزم من طرح قول العادل الواحد و الأخذ بالأقلّ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لأصالة براءة ذمّة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تضییعُ حقِّ المشتری فی أکثر المقامات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لعموم ما دلّ علی قبول قول العادل،خرج منه ما کان من قبیل الشهادة کالقسم الأوّل،دون ما کان من قبیل الفتوی کالثانی؛ لکونه ناشئاً عن حدسٍ و اجتهادٍ و تتبّع الأشباه و الأنظار و قیاسه علیها حتّی أنّه یحکم لأجل ذلک بأنّه ینبغی أن یبذل بإزائه کذا و کذا و إن لم یوجد راغبٌ یبذل له ذلک</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لو تعذّر معرفة القیمة لفقد أهل الخبرة أو توقّفهم ففی کفایة الظنّ أو الأخذ بالأقلّ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ضعیفاً الأخذ بالأکثر؛لعدم العلم بتدارک العیب المضمون إلّا به</w:t>
      </w:r>
      <w:r>
        <w:rPr>
          <w:rFonts w:eastAsia="IRNazanin" w:cs="IRNazanin"/>
          <w:color w:val="111111"/>
          <w:sz w:val="28"/>
          <w:szCs w:val="28"/>
          <w:rtl w:val="true"/>
          <w:lang w:bidi="fa-IR"/>
        </w:rPr>
        <w:t>.</w:t>
      </w:r>
      <w:bookmarkStart w:id="611" w:name="pg19864_221031"/>
    </w:p>
    <w:p>
      <w:pPr>
        <w:pStyle w:val="Heading6"/>
        <w:numPr>
          <w:ilvl w:val="5"/>
          <w:numId w:val="1"/>
        </w:numPr>
        <w:rPr/>
      </w:pPr>
      <w:bookmarkStart w:id="612" w:name="__RefHeading___Toc5148972_2314609296"/>
      <w:bookmarkStart w:id="613" w:name="_Toc231"/>
      <w:bookmarkEnd w:id="611"/>
      <w:bookmarkEnd w:id="612"/>
      <w:r>
        <w:rPr>
          <w:rtl w:val="true"/>
        </w:rPr>
        <w:t>مسألة لو تعارض المقوّمون،</w:t>
      </w:r>
      <w:bookmarkEnd w:id="613"/>
    </w:p>
    <w:p>
      <w:pPr>
        <w:pStyle w:val="BookText"/>
        <w:rPr/>
      </w:pPr>
      <w:r>
        <w:rPr>
          <w:rFonts w:ascii="IRNazanin" w:hAnsi="IRNazanin" w:eastAsia="IRNazanin"/>
          <w:color w:val="111111"/>
          <w:sz w:val="28"/>
          <w:sz w:val="28"/>
          <w:szCs w:val="28"/>
          <w:rtl w:val="true"/>
          <w:lang w:bidi="fa-IR"/>
        </w:rPr>
        <w:t>فیحتمل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 بیّنة الأقلّ؛للأصل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بیّنة الأکثر؛لأنّها مثبتة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القرعة؛لأنّها لکلّ أمرٍ مشتبه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الرجوع إلی الصلح؛لتشبّث کلٍّ من المتبایعین بحجّةٍ شرعیّةٍ ظاهریّةٍ،و المورد غیر قابل للحلف؛لجهل کلٍّ منهما بالواقع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تخییر الحاکم؛لامتناع الجمع و فقد المرجّح</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الأقوی من الکلّ ما علیه المعظم </w:t>
      </w:r>
      <w:r>
        <w:rPr>
          <w:rStyle w:val="FootnoteAnchor"/>
          <w:rtl w:val="true"/>
        </w:rPr>
        <w:footnoteReference w:id="15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وجوب الجمع بینهما بقدر الإمکان؛لأنّ کلاّ منهما حجّةٌ شرعیّة </w:t>
      </w:r>
      <w:r>
        <w:rPr>
          <w:rStyle w:val="FootnoteAnchor"/>
          <w:rtl w:val="true"/>
        </w:rPr>
        <w:footnoteReference w:id="1539"/>
      </w:r>
      <w:r>
        <w:rPr>
          <w:rFonts w:ascii="IRNazanin" w:hAnsi="IRNazanin" w:eastAsia="IRNazanin"/>
          <w:color w:val="111111"/>
          <w:sz w:val="28"/>
          <w:sz w:val="28"/>
          <w:szCs w:val="28"/>
          <w:rtl w:val="true"/>
          <w:lang w:bidi="fa-IR"/>
        </w:rPr>
        <w:t xml:space="preserve">،فإذا تعذّر العمل به </w:t>
      </w:r>
      <w:r>
        <w:rPr>
          <w:rStyle w:val="FootnoteAnchor"/>
          <w:rtl w:val="true"/>
        </w:rPr>
        <w:footnoteReference w:id="1540"/>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 xml:space="preserve">تمام مضمونه وجب العمل به فی بعضه،فإذا قوّمه أحدهما بعشرةٍ فقد قوّم کلاّ من نصفه بخمسةٍ،و إذا قوّمه الآخر </w:t>
      </w:r>
      <w:r>
        <w:rPr>
          <w:rStyle w:val="FootnoteAnchor"/>
          <w:rtl w:val="true"/>
        </w:rPr>
        <w:footnoteReference w:id="1541"/>
      </w:r>
      <w:r>
        <w:rPr>
          <w:rFonts w:ascii="IRNazanin" w:hAnsi="IRNazanin" w:eastAsia="IRNazanin"/>
          <w:color w:val="111111"/>
          <w:sz w:val="28"/>
          <w:sz w:val="28"/>
          <w:szCs w:val="28"/>
          <w:rtl w:val="true"/>
          <w:lang w:bidi="fa-IR"/>
        </w:rPr>
        <w:t>بثمانیةٍ فقد قوّم کلاّ من نصفه بأربعةٍ،فیعمل بکلٍّ منهما فی نصف المبیع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قولهما </w:t>
      </w:r>
      <w:r>
        <w:rPr>
          <w:rStyle w:val="FootnoteAnchor"/>
          <w:rtl w:val="true"/>
        </w:rPr>
        <w:footnoteReference w:id="1542"/>
      </w:r>
      <w:r>
        <w:rPr>
          <w:rFonts w:ascii="IRNazanin" w:hAnsi="IRNazanin" w:eastAsia="IRNazanin"/>
          <w:color w:val="111111"/>
          <w:sz w:val="28"/>
          <w:sz w:val="28"/>
          <w:szCs w:val="28"/>
          <w:rtl w:val="true"/>
          <w:lang w:bidi="fa-IR"/>
        </w:rPr>
        <w:t>و إن کانا متعارضین فی النصف أیضاً کالکلّ،فیلزم ممّا ذکر طرح کلا القولین فی النصفین،إلّا أنّ طرح قول کلٍّ منهما فی النصف مع العمل به فی النصف الآخر أولی فی مقام امتثال أدلّة العمل بکلّ بیّنةٍ من طرح کلیهما أو إحداهما رأساً،و هذا معنی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الجمع بین الدلیلین و العمل بکلٍّ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من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من طرح أحدهما رأساً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جعل فی تمهید القواعد من فروع هذه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الحکم بالتنصیف فیما لو تعارضت البیّنتان فی دارٍ فی ید رجلین یدّعیها کلٌّ منهما </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ما نحن فیه أولی بمراعاة هذه القاعدة من الدلیلین المتعارضین فی أحکام اللّٰه تعالی؛لأنّ الأخذ بأحدهما کلّیةً و طرح </w:t>
      </w:r>
      <w:r>
        <w:rPr>
          <w:rStyle w:val="FootnoteAnchor"/>
          <w:rtl w:val="true"/>
        </w:rPr>
        <w:footnoteReference w:id="1544"/>
      </w:r>
      <w:r>
        <w:rPr>
          <w:rFonts w:ascii="IRNazanin" w:hAnsi="IRNazanin" w:eastAsia="IRNazanin"/>
          <w:color w:val="111111"/>
          <w:sz w:val="28"/>
          <w:sz w:val="28"/>
          <w:szCs w:val="28"/>
          <w:rtl w:val="true"/>
          <w:lang w:bidi="fa-IR"/>
        </w:rPr>
        <w:t xml:space="preserve">الآخر کذلک فی التکالیف الشرعیّة الإلهیّة لا ینقص عن التبعیض من حیث مراعاة حقّ اللّٰه سبحانه؛لرجوع الکلّ إلی امتثال أمر اللّٰه سبحانه،بخلاف مقام التکلیف بإحقاق حقوق الناس،فإنّ فی التبعیض جمعاً بین حقوق الناس و مراعاةً للجمیع و لو فی الجملة؛و لعلّ هذا هو السرّ فی عدم تخییر الحاکم عند تعارض أسباب حقوق الناس فی شیءٍ من موارد الفقه </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یُستشکل 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بعدم التعارض بینهما عند التحقیق؛ لأنّ مرجع بیّنة النفی إلی عدم وصول نظرها و حدسها إلی الزیادة،فبیّنة الإثبات المدّعیة للزیادة سلیمة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 بأنّ الجمع فرع عدم اعتضاد إحدی البیّنتین بمرجّحٍ، و أصالة البراءة هنا مرجّحةٌ للبیّنة الحاکمة بالأقلّ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ثالثةً بأنّ فی الجمع مخالفةً قطعیّةً و إن کان فیه موافقةٌ قطعیّةٌ، لکنّ التخییر الذی لا یکون فیه إلّا مخالفةٌ احتمالیّةٌ أولی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یندفع الأوّل بأنّ المفروض أنّ بیّنة النفی تشهد بالقطع علی نفی الزیادة واقعاً،و أنّ بذل الزائد فی مقابل المبیع 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یندفع الثانی بما قرّرناه فی الأُصول </w:t>
      </w:r>
      <w:r>
        <w:rPr>
          <w:rStyle w:val="FootnoteAnchor"/>
          <w:rtl w:val="true"/>
        </w:rPr>
        <w:footnoteReference w:id="15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الأُصول الظاهریّة لا تصیر مرجِّحةً للأدلّة الاجتهادیّة،بل تصلح مرجعاً فی المسألة لو تساقط الدلیلان من جهة ارتفاع ما هو مناط الدلالة فیهما لأجل التعارض،کما فی الظاهرین المتعارضین کالعامّین من وجهٍ المطابق أحدهما للأصل،و ما نحن فیه لیس من هذا القبیل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بیّنة الزیادة تثبت أمراً مخالفاً للأصل،و معارضتها بالأُخری النافیة لها لا یوجب سقوطها بالمرّة لفقد المرجّح،فیجمع بین النفی و الإثبات فی النصفین</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یندفع الثالث بأنّ ترجیح الموافقة الاحتمالیّة الغیر المشتملة علی المخالفة القطعیّة علی الموافقة القطعیّة المشتملة علیها إنّما هو فی مقام الإطاعة و المعصیة الراجعتین إلی الانقیاد و التجرّی؛حیث إنّ ترک</w:t>
      </w:r>
    </w:p>
    <w:p>
      <w:pPr>
        <w:pStyle w:val="BookText"/>
        <w:rPr/>
      </w:pPr>
      <w:r>
        <w:rPr>
          <w:rFonts w:ascii="IRNazanin" w:hAnsi="IRNazanin" w:eastAsia="IRNazanin"/>
          <w:color w:val="111111"/>
          <w:sz w:val="28"/>
          <w:sz w:val="28"/>
          <w:szCs w:val="28"/>
          <w:rtl w:val="true"/>
          <w:lang w:bidi="fa-IR"/>
        </w:rPr>
        <w:t xml:space="preserve">التجرّی أولی من تحصیل العلم بالانقیاد،بخلاف مقام إحقاق حقوق الناس،فإنّ مراعاة الجمیع </w:t>
      </w:r>
      <w:r>
        <w:rPr>
          <w:rStyle w:val="FootnoteAnchor"/>
          <w:rtl w:val="true"/>
        </w:rPr>
        <w:footnoteReference w:id="1547"/>
      </w:r>
      <w:r>
        <w:rPr>
          <w:rFonts w:ascii="IRNazanin" w:hAnsi="IRNazanin" w:eastAsia="IRNazanin"/>
          <w:color w:val="111111"/>
          <w:sz w:val="28"/>
          <w:sz w:val="28"/>
          <w:szCs w:val="28"/>
          <w:rtl w:val="true"/>
          <w:lang w:bidi="fa-IR"/>
        </w:rPr>
        <w:t xml:space="preserve">أولی من إهمال أحدهما رأساً و إن اشتمل علی إعمال الآخر؛إذ لیس الحقّ فیهما لواحدٍ </w:t>
      </w:r>
      <w:r>
        <w:rPr>
          <w:rStyle w:val="FootnoteAnchor"/>
          <w:rtl w:val="true"/>
        </w:rPr>
        <w:footnoteReference w:id="1548"/>
      </w:r>
      <w:r>
        <w:rPr>
          <w:rFonts w:ascii="IRNazanin" w:hAnsi="IRNazanin" w:eastAsia="IRNazanin"/>
          <w:color w:val="111111"/>
          <w:sz w:val="28"/>
          <w:sz w:val="28"/>
          <w:szCs w:val="28"/>
          <w:rtl w:val="true"/>
          <w:lang w:bidi="fa-IR"/>
        </w:rPr>
        <w:t>کما فی حقوق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قاعدة الجمع حاکمةٌ علی دلیل القرعة؛لأنّ المأمور به هو العمل بکلٍّ من الدلیلین لا بالواقع المردّد بینهما؛إذ قد یکون کلاهما مخالفاً للواقع،فهما سببان مؤثّران بحکم الشارع فی حقوق الناس،فیجب مراعاتها و إعمال أسبابها بقدر الإمکان،إذ لا ینفع توفیة حقِّ واحدٍ مع إهمال حقِّ الآخر رأساً </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المعروف فی الجمع بین البینات الجمع بینها </w:t>
      </w:r>
      <w:r>
        <w:rPr>
          <w:rStyle w:val="FootnoteAnchor"/>
          <w:rtl w:val="true"/>
        </w:rPr>
        <w:footnoteReference w:id="1550"/>
      </w:r>
      <w:r>
        <w:rPr>
          <w:rFonts w:ascii="IRNazanin" w:hAnsi="IRNazanin" w:eastAsia="IRNazanin"/>
          <w:color w:val="111111"/>
          <w:sz w:val="28"/>
          <w:sz w:val="28"/>
          <w:szCs w:val="28"/>
          <w:rtl w:val="true"/>
          <w:lang w:bidi="fa-IR"/>
        </w:rPr>
        <w:t xml:space="preserve">فی قیمتی الصحیح،فیؤخذ من القیمتین للصحیح نصفهما و من الثلاث ثلثها </w:t>
      </w:r>
      <w:r>
        <w:rPr>
          <w:rStyle w:val="FootnoteAnchor"/>
          <w:rtl w:val="true"/>
        </w:rPr>
        <w:footnoteReference w:id="1551"/>
      </w:r>
      <w:r>
        <w:rPr>
          <w:rFonts w:ascii="IRNazanin" w:hAnsi="IRNazanin" w:eastAsia="IRNazanin"/>
          <w:color w:val="111111"/>
          <w:sz w:val="28"/>
          <w:sz w:val="28"/>
          <w:szCs w:val="28"/>
          <w:rtl w:val="true"/>
          <w:lang w:bidi="fa-IR"/>
        </w:rPr>
        <w:t xml:space="preserve">و من الأربع ربعها </w:t>
      </w:r>
      <w:r>
        <w:rPr>
          <w:rStyle w:val="FootnoteAnchor"/>
          <w:rtl w:val="true"/>
        </w:rPr>
        <w:footnoteReference w:id="1552"/>
      </w:r>
      <w:r>
        <w:rPr>
          <w:rFonts w:ascii="IRNazanin" w:hAnsi="IRNazanin" w:eastAsia="IRNazanin"/>
          <w:color w:val="111111"/>
          <w:sz w:val="28"/>
          <w:sz w:val="28"/>
          <w:szCs w:val="28"/>
          <w:rtl w:val="true"/>
          <w:lang w:bidi="fa-IR"/>
        </w:rPr>
        <w:t>و هکذا فی المعیب،ثم تلاحظ النسبة بین المأخوذ للصحیح و بین المأخوذ للمعیب و یؤخذ بتلک النسبة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کان إحدی قیمتی الصحیح اثنی عشر و الأُخری ستّةً،و إحدی قیمتی المعیب أربعةً </w:t>
      </w:r>
      <w:r>
        <w:rPr>
          <w:rStyle w:val="FootnoteAnchor"/>
          <w:rtl w:val="true"/>
        </w:rPr>
        <w:footnoteReference w:id="1553"/>
      </w:r>
    </w:p>
    <w:p>
      <w:pPr>
        <w:pStyle w:val="BookText"/>
        <w:rPr/>
      </w:pPr>
      <w:r>
        <w:rPr>
          <w:rFonts w:ascii="IRNazanin" w:hAnsi="IRNazanin" w:eastAsia="IRNazanin"/>
          <w:color w:val="111111"/>
          <w:sz w:val="28"/>
          <w:sz w:val="28"/>
          <w:szCs w:val="28"/>
          <w:rtl w:val="true"/>
          <w:lang w:bidi="fa-IR"/>
        </w:rPr>
        <w:t xml:space="preserve">و الأُخری اثنین،أُخذ للصحیح تسعةٌ و للمعیب ثلاثةٌ،و التفاوت بالثلثین، فیکون الأرش ثلثی الثمن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یحتمل الجمع بطریقٍ آخر،و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یرجع إلی البیّنة فی مقدار التفاوت و یجمع بین البیّنات فیه من غیر ملاحظة القیم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منسوبٌ إلی الشهید قدّس سرّه علی ما فی الروضة </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حاصله قد یتّحد مع طریق المشهور کما فی المثال المذکور،فإنّ التفاوت بین الصحیح و المعیب علی قول کلٍّ من البیّنتین بالثلثین کما ذکرنا فی الطریق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یختلفان،کما إذا کانت إحدی قیمتی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الصحیح </w:t>
      </w:r>
      <w:r>
        <w:rPr>
          <w:rStyle w:val="FootnoteAnchor"/>
          <w:rtl w:val="true"/>
        </w:rPr>
        <w:footnoteReference w:id="15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 عشر و الأُخری ثمانیةً،و قیمة المعیب علی الأوّل عشرة و علی الثانی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یؤخذ نصف مجموع قیمتی الصحیح أعنی العشرة،و نصف قیمتی المعیب و هو سبعة و نصف،فالتفاوت بالربع،فالأرش ربع الثمن، أعنی ثلاثةً من اثنی عشر لو فرض الثمن اثنی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یؤخذ التفاوت بین الصحیح و المعیب علی إحدی البیّنتین بالسدس و علی</w:t>
      </w:r>
    </w:p>
    <w:p>
      <w:pPr>
        <w:pStyle w:val="BookText"/>
        <w:rPr/>
      </w:pPr>
      <w:r>
        <w:rPr>
          <w:rFonts w:ascii="IRNazanin" w:hAnsi="IRNazanin" w:eastAsia="IRNazanin"/>
          <w:color w:val="111111"/>
          <w:sz w:val="28"/>
          <w:sz w:val="28"/>
          <w:szCs w:val="28"/>
          <w:rtl w:val="true"/>
          <w:lang w:bidi="fa-IR"/>
        </w:rPr>
        <w:t>الأُخری ثلاثة أثمان،و یُنصّف المجموع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أعنی ستّة و نصف </w:t>
      </w:r>
      <w:r>
        <w:rPr>
          <w:rStyle w:val="FootnoteAnchor"/>
          <w:rtl w:val="true"/>
        </w:rPr>
        <w:footnoteReference w:id="1557"/>
      </w:r>
      <w:r>
        <w:rPr>
          <w:rFonts w:ascii="IRNazanin" w:hAnsi="IRNazanin" w:eastAsia="IRNazanin"/>
          <w:color w:val="111111"/>
          <w:sz w:val="28"/>
          <w:sz w:val="28"/>
          <w:szCs w:val="28"/>
          <w:rtl w:val="true"/>
          <w:lang w:bidi="fa-IR"/>
        </w:rPr>
        <w:t>من اثنی عشر جزءاً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یؤخذ نصفه و هو ثلاثة و ربع،و قد کان فی الأوّل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ینقص عن الأوّل،کما إذا اتّفقا علی أنّ قیمة المعیب ستّةً، و قال 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 الصحیح ثمانیةٌ،و قال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یجمع القیمتان و یؤخذ نصفهما تسعة،و نسبته إلی الستّة بالثلث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یکون التفاوت علی إحدی البیّنتین ربعاً و علی الأُخری خمسین فیؤخذ نصف </w:t>
      </w:r>
      <w:r>
        <w:rPr>
          <w:rStyle w:val="FootnoteAnchor"/>
          <w:rtl w:val="true"/>
        </w:rPr>
        <w:footnoteReference w:id="1558"/>
      </w:r>
      <w:r>
        <w:rPr>
          <w:rFonts w:ascii="IRNazanin" w:hAnsi="IRNazanin" w:eastAsia="IRNazanin"/>
          <w:color w:val="111111"/>
          <w:sz w:val="28"/>
          <w:sz w:val="28"/>
          <w:szCs w:val="28"/>
          <w:rtl w:val="true"/>
          <w:lang w:bidi="fa-IR"/>
        </w:rPr>
        <w:t>الربع و نصف الخمسین،فیکون ثُمناً و خُمساً،و هو ناقصٌ عن الثلث بنصف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هذا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الاختلاف إمّا أن یکون فی الصحیح فقط مع اتّفاقهما علی المعیب،و إمّا أن یکون فی المعیب فقط،و إمّا أن یکون فیهما</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فی الصحیح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المثال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التفاوت بین الطریقین دائماً؛لأنّک قد عرفت أنّ الملحوظ علی طریق المشهور نسبة المعیب إلی مجموع نصفی قیمتی الصحیح المجعول قیمةً منتزعةً،و علی الطریق الآخر نسبة المعیب إلی کلٍّ من القیمتین المستلزمة لملاحظة أخذ نصفه مع نصف الآخر لیجمع بین البیّنتین فی العمل، و المفروض فی هذه الصورة أنّ نسبة المعیب إلی مجموع نصفی قیمتی الصحیح التی هی طریقة المشهور مخالفةٌ لنسبة نصفه إلی کلٍّ من</w:t>
      </w:r>
    </w:p>
    <w:p>
      <w:pPr>
        <w:pStyle w:val="BookText"/>
        <w:rPr/>
      </w:pPr>
      <w:r>
        <w:rPr>
          <w:rFonts w:ascii="IRNazanin" w:hAnsi="IRNazanin" w:eastAsia="IRNazanin"/>
          <w:color w:val="111111"/>
          <w:sz w:val="28"/>
          <w:sz w:val="28"/>
          <w:szCs w:val="28"/>
          <w:rtl w:val="true"/>
          <w:lang w:bidi="fa-IR"/>
        </w:rPr>
        <w:t xml:space="preserve">النصفین؛لأنّ نسبة الکلّ إلی الکلّ تساوی نسبة نصفه إلی کلٍّ من نصفی ذلک الکلّ،و هو الأربعة و النصف فی المثال،لا إلی کلٍّ من النصفین </w:t>
      </w:r>
      <w:r>
        <w:rPr>
          <w:rStyle w:val="FootnoteAnchor"/>
          <w:rtl w:val="true"/>
        </w:rPr>
        <w:footnoteReference w:id="1559"/>
      </w:r>
      <w:r>
        <w:rPr>
          <w:rFonts w:ascii="IRNazanin" w:hAnsi="IRNazanin" w:eastAsia="IRNazanin"/>
          <w:color w:val="111111"/>
          <w:sz w:val="28"/>
          <w:sz w:val="28"/>
          <w:szCs w:val="28"/>
          <w:rtl w:val="true"/>
          <w:lang w:bidi="fa-IR"/>
        </w:rPr>
        <w:t xml:space="preserve">المرکّب منهما ذلک الکلّ کالأربعة و الخمسة،بل النصف المنسوب إلی أحد بعضی </w:t>
      </w:r>
      <w:r>
        <w:rPr>
          <w:rStyle w:val="FootnoteAnchor"/>
          <w:rtl w:val="true"/>
        </w:rPr>
        <w:footnoteReference w:id="1560"/>
      </w:r>
      <w:r>
        <w:rPr>
          <w:rFonts w:ascii="IRNazanin" w:hAnsi="IRNazanin" w:eastAsia="IRNazanin"/>
          <w:color w:val="111111"/>
          <w:sz w:val="28"/>
          <w:sz w:val="28"/>
          <w:szCs w:val="28"/>
          <w:rtl w:val="true"/>
          <w:lang w:bidi="fa-IR"/>
        </w:rPr>
        <w:t>المنسوب إلیه کالأربعة نسبةٌ مغایرةٌ لنسبته إلی البعض الآخر،أعنی الخمسة،و هکذا غیره من الأمثلة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الاختلاف فی المعیب فقط فالظاهر عدم التفاوت بین الطریقین أبداً؛لأنّ نسبة الصحیح إلی نصف مجموع قیمتی المعیب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هو طریق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مساویةٌ لنسبة نصفه إلی نصف إحداهما و نصفه الآخر إلی نصف الأُخری،کما إذا اتّفقا </w:t>
      </w:r>
      <w:r>
        <w:rPr>
          <w:rStyle w:val="FootnoteAnchor"/>
          <w:rtl w:val="true"/>
        </w:rPr>
        <w:footnoteReference w:id="1561"/>
      </w:r>
      <w:r>
        <w:rPr>
          <w:rFonts w:ascii="IRNazanin" w:hAnsi="IRNazanin" w:eastAsia="IRNazanin"/>
          <w:color w:val="111111"/>
          <w:sz w:val="28"/>
          <w:sz w:val="28"/>
          <w:szCs w:val="28"/>
          <w:rtl w:val="true"/>
          <w:lang w:bidi="fa-IR"/>
        </w:rPr>
        <w:t>علی کون الصحیح اثنی عشر و قالت 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المعیب ثمانیة،و قالت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ستّة،فإنّ تفاوت السبعة و الاثنی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طریق المشهور مساوٍ لنصف مجموع تفاوتی الثمانیة مع الاثنی عشر و الستّة مع الاثنی عشر؛لأنّ نسبة الأوّلین بالثلث و الآخرین بالنصف و نصفهما السدس و الربع،و هذا بعینه تفاوت السبعة و الاثنی عشر</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اختلفا فی الصحیح و المعیب،فإن اتّحدت النسبة بین الصحیح و المعیب علی کلتا البیّنتین </w:t>
      </w:r>
      <w:r>
        <w:rPr>
          <w:rStyle w:val="FootnoteAnchor"/>
          <w:rtl w:val="true"/>
        </w:rPr>
        <w:footnoteReference w:id="1562"/>
      </w:r>
      <w:r>
        <w:rPr>
          <w:rFonts w:ascii="Amiri" w:hAnsi="Amiri" w:eastAsia="Amiri" w:cs="Amiri"/>
          <w:color w:val="111111"/>
          <w:sz w:val="28"/>
          <w:sz w:val="28"/>
          <w:szCs w:val="28"/>
          <w:rtl w:val="true"/>
          <w:lang w:bidi="ar-SA"/>
        </w:rPr>
        <w:t>فیتّحد الطریقان دائماً،کما إذا قوّمه إحداهما صحیحاً باثنی عشر و معیباً بستّة،و قوّمه الأُخری صحیحاً بستّة و معیباً</w:t>
      </w:r>
    </w:p>
    <w:p>
      <w:pPr>
        <w:pStyle w:val="BookText"/>
        <w:rPr/>
      </w:pPr>
      <w:r>
        <w:rPr>
          <w:rFonts w:ascii="IRNazanin" w:hAnsi="IRNazanin" w:eastAsia="IRNazanin"/>
          <w:color w:val="111111"/>
          <w:sz w:val="28"/>
          <w:sz w:val="28"/>
          <w:szCs w:val="28"/>
          <w:rtl w:val="true"/>
          <w:lang w:bidi="fa-IR"/>
        </w:rPr>
        <w:t>بثلاثة،فإنّ نصف الصحیحین أعنی التسعة تفاوتُه مع نصف مجموع المعیبین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الأربعة و نصف عینُ نصف تفاوتی الاثنی عشر مع الستّة و الستّة مع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صحیحٍ ضِعفُ المعیب،فیلزمه کون نصف الصحیحین ضِعف نصف المعیبین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اختلفت النسبة،فقد یختلف الطریقان و قد یتّحدان،و قد تقدّم مثالهما فی أوّل المسألة </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الأظهر بل المتعیّن فی المقام هو الطریق الثانی المنسوب إلی الشهید قدّس سرّه وفاقاً للمحکیّ عن إیضاح النافع،حیث ذکر أنّ طریق المشهور لیس بجیّدٍ </w:t>
      </w:r>
      <w:r>
        <w:rPr>
          <w:rStyle w:val="FootnoteAnchor"/>
          <w:rtl w:val="true"/>
        </w:rPr>
        <w:footnoteReference w:id="1564"/>
      </w:r>
      <w:r>
        <w:rPr>
          <w:rFonts w:ascii="IRNazanin" w:hAnsi="IRNazanin" w:eastAsia="IRNazanin"/>
          <w:color w:val="111111"/>
          <w:sz w:val="28"/>
          <w:sz w:val="28"/>
          <w:szCs w:val="28"/>
          <w:rtl w:val="true"/>
          <w:lang w:bidi="fa-IR"/>
        </w:rPr>
        <w:t>،و لم یذکر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یمکن إرجاع کلام الأکثر إلیه، کما سیجیء </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تعیّن هذا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أخذ القیمة من القیمتین علی طریق المشهور أو النسبة المتوسّطة من النسبتین علی الطریق الثانی،إمّا للجمع بین البیّنتین بإعمال کلٍّ منهما فی نصف العین کما ذکرنا،و إمّا لأجل أنّ ذلک توسّطٌ بینهما لأجل الجمع بین الحقّین بتنصیف ما به التفاوت نفیاً و إثباتاً علی النهج الذی ذکرناه أخیراً فی الجمع بین البیّنتین،کما یحکم بتنصیف الدرهم الباقی من الدرهمین المملوکین لشخصین إذا ضاع أحدهما المردّد بینهما من عند الودعی و لم تکن هنا بیّنةٌ تشهد لأحدهما</w:t>
      </w:r>
    </w:p>
    <w:p>
      <w:pPr>
        <w:pStyle w:val="BookText"/>
        <w:rPr/>
      </w:pPr>
      <w:r>
        <w:rPr>
          <w:rFonts w:ascii="IRNazanin" w:hAnsi="IRNazanin" w:eastAsia="IRNazanin"/>
          <w:color w:val="111111"/>
          <w:sz w:val="28"/>
          <w:sz w:val="28"/>
          <w:szCs w:val="28"/>
          <w:rtl w:val="true"/>
          <w:lang w:bidi="fa-IR"/>
        </w:rPr>
        <w:t>بالاختصاص،بل و لا ادّعی أحدهما اختصاصه بالدرهم الموجود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 فاللازم و إن کان هو جمع نصفی قیمتی الصحیح و المعیب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فعله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یُجمع الاثنا عشر و الثمانیة المفروضتان </w:t>
      </w:r>
      <w:r>
        <w:rPr>
          <w:rStyle w:val="FootnoteAnchor"/>
          <w:rtl w:val="true"/>
        </w:rPr>
        <w:footnoteReference w:id="1566"/>
      </w:r>
      <w:r>
        <w:rPr>
          <w:rFonts w:ascii="IRNazanin" w:hAnsi="IRNazanin" w:eastAsia="IRNazanin"/>
          <w:color w:val="111111"/>
          <w:sz w:val="28"/>
          <w:sz w:val="28"/>
          <w:szCs w:val="28"/>
          <w:rtl w:val="true"/>
          <w:lang w:bidi="fa-IR"/>
        </w:rPr>
        <w:t xml:space="preserve">قیمتین للصحیح فی المثال المتقدّم،و یؤخذ نصف أحدهما </w:t>
      </w:r>
      <w:r>
        <w:rPr>
          <w:rStyle w:val="FootnoteAnchor"/>
          <w:rtl w:val="true"/>
        </w:rPr>
        <w:footnoteReference w:id="1567"/>
      </w:r>
      <w:r>
        <w:rPr>
          <w:rFonts w:ascii="IRNazanin" w:hAnsi="IRNazanin" w:eastAsia="IRNazanin"/>
          <w:color w:val="111111"/>
          <w:sz w:val="28"/>
          <w:sz w:val="28"/>
          <w:szCs w:val="28"/>
          <w:rtl w:val="true"/>
          <w:lang w:bidi="fa-IR"/>
        </w:rPr>
        <w:t>قیمة نصف المبیع صحیحاً،و نصف الأُخری قیمةً للنصف الآخر منه،و لازم ذلک کون تمامه بعشرة،و یجمع قیمتا المعیب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العشرة و الخمسة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یؤخذ لکلِّ نصفٍ من المبیع المعیوب نصفٌ من أحدهما،و لازم ذلک کون تمام المبیع بسبعةٍ و نصف </w:t>
      </w:r>
      <w:r>
        <w:rPr>
          <w:rStyle w:val="FootnoteAnchor"/>
          <w:rtl w:val="true"/>
        </w:rPr>
        <w:footnoteReference w:id="1568"/>
      </w:r>
      <w:r>
        <w:rPr>
          <w:rFonts w:ascii="IRNazanin" w:hAnsi="IRNazanin" w:eastAsia="IRNazanin"/>
          <w:color w:val="111111"/>
          <w:sz w:val="28"/>
          <w:sz w:val="28"/>
          <w:szCs w:val="28"/>
          <w:rtl w:val="true"/>
          <w:lang w:bidi="fa-IR"/>
        </w:rPr>
        <w:t>،إلّا أنّه لا ینبغی ملاحظة نسبة المجموع من نصفی إحدی القیمتین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أعنی العشرة إلی المجموع من نصف </w:t>
      </w:r>
      <w:r>
        <w:rPr>
          <w:rStyle w:val="FootnoteAnchor"/>
          <w:rtl w:val="true"/>
        </w:rPr>
        <w:footnoteReference w:id="1569"/>
      </w:r>
      <w:r>
        <w:rPr>
          <w:rFonts w:ascii="IRNazanin" w:hAnsi="IRNazanin" w:eastAsia="IRNazanin"/>
          <w:color w:val="111111"/>
          <w:sz w:val="28"/>
          <w:sz w:val="28"/>
          <w:szCs w:val="28"/>
          <w:rtl w:val="true"/>
          <w:lang w:bidi="fa-IR"/>
        </w:rPr>
        <w:t>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سبعة و نصفاً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نسب إلی المشهور؛لأنّه إذا فرض لکلِّ نصفٍ من المبیع قیمةٌ تغایر قیمةَ النصف الآخر وجب ملاحظة التفاوت بالنسبة إلی کلٍّ من النصفین صحیحاً و معیباً و أخذ الأرش لکلِّ نصفٍ علی حسب تفاوت صحیحه و معیبه</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فالعشرة لیست قیمةً لمجموع الصحیح إلّا باعتبار أنّ نصفه مقوَّمٌ، بستّةٍ و نصفه الآخر بأربعةٍ،و کذا السبعة و نصف </w:t>
      </w:r>
      <w:r>
        <w:rPr>
          <w:rStyle w:val="FootnoteAnchor"/>
          <w:rtl w:val="true"/>
        </w:rPr>
        <w:footnoteReference w:id="1570"/>
      </w:r>
      <w:r>
        <w:rPr>
          <w:rFonts w:ascii="IRNazanin" w:hAnsi="IRNazanin" w:eastAsia="IRNazanin"/>
          <w:color w:val="111111"/>
          <w:sz w:val="28"/>
          <w:sz w:val="28"/>
          <w:szCs w:val="28"/>
          <w:rtl w:val="true"/>
          <w:lang w:bidi="fa-IR"/>
        </w:rPr>
        <w:t>لیست قیمةً لمجموع المعیب إلّا باعتبار أنّ نصفه مقوَّمٌ بخمسةٍ و نصفه الآخر باثنین و نصف،</w:t>
      </w:r>
    </w:p>
    <w:p>
      <w:pPr>
        <w:pStyle w:val="BookText"/>
        <w:rPr/>
      </w:pPr>
      <w:r>
        <w:rPr>
          <w:rFonts w:ascii="IRNazanin" w:hAnsi="IRNazanin" w:eastAsia="IRNazanin"/>
          <w:color w:val="111111"/>
          <w:sz w:val="28"/>
          <w:sz w:val="28"/>
          <w:szCs w:val="28"/>
          <w:rtl w:val="true"/>
          <w:lang w:bidi="fa-IR"/>
        </w:rPr>
        <w:t xml:space="preserve">فلا وجه لأخذ تفاوت ما بین مجموع العشرة و السبعة و نصف </w:t>
      </w:r>
      <w:r>
        <w:rPr>
          <w:rStyle w:val="FootnoteAnchor"/>
          <w:rtl w:val="true"/>
        </w:rPr>
        <w:footnoteReference w:id="1571"/>
      </w:r>
      <w:r>
        <w:rPr>
          <w:rFonts w:ascii="IRNazanin" w:hAnsi="IRNazanin" w:eastAsia="IRNazanin"/>
          <w:color w:val="111111"/>
          <w:sz w:val="28"/>
          <w:sz w:val="28"/>
          <w:szCs w:val="28"/>
          <w:rtl w:val="true"/>
          <w:lang w:bidi="fa-IR"/>
        </w:rPr>
        <w:t>،بل لا بدّ من أخذ تفاوت ما بین الأربعة و الاثنین و نصف لنصفٍ منه، و تفاوت ما بین الستّة و الخمسة للنصف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حکم شراء شیءٍ تَغایَرَ قیمتا نصفیه حکم ما لو اشتری بالثمن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الواحد </w:t>
      </w:r>
      <w:r>
        <w:rPr>
          <w:rStyle w:val="FootnoteAnchor"/>
          <w:rtl w:val="true"/>
        </w:rPr>
        <w:footnoteReference w:id="15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مالین معیبین مختلفین فی القیمة صحیحاً و معیباً،بأن اشتری عبداً و جاریةً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باثنی عشر </w:t>
      </w:r>
      <w:r>
        <w:rPr>
          <w:rStyle w:val="FootnoteAnchor"/>
          <w:rtl w:val="true"/>
        </w:rPr>
        <w:footnoteReference w:id="15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فظهرا معیبین،و العبد یسوی أربعةً صحیحاً و اثنین و نصف </w:t>
      </w:r>
      <w:r>
        <w:rPr>
          <w:rStyle w:val="FootnoteAnchor"/>
          <w:rtl w:val="true"/>
        </w:rPr>
        <w:footnoteReference w:id="1574"/>
      </w:r>
      <w:r>
        <w:rPr>
          <w:rFonts w:ascii="IRNazanin" w:hAnsi="IRNazanin" w:eastAsia="IRNazanin"/>
          <w:color w:val="111111"/>
          <w:sz w:val="28"/>
          <w:sz w:val="28"/>
          <w:szCs w:val="28"/>
          <w:rtl w:val="true"/>
          <w:lang w:bidi="fa-IR"/>
        </w:rPr>
        <w:t>معیباً،و الجاریة یسوی ستّةً صحیحة و خمسةً معیبة،فإنّه لا شکّ فی أنّ اللازم فی هذه الصورة ملاحظة مجموع قیمتی الصفقة صحیحةً و معیبةً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أعنی العشرة و السبعة و نصف </w:t>
      </w:r>
      <w:r>
        <w:rPr>
          <w:rStyle w:val="FootnoteAnchor"/>
          <w:rtl w:val="true"/>
        </w:rPr>
        <w:footnoteReference w:id="15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 التفاوت و هو الربع من الثمن،و هو ثلاثةٌ إذا فرض الثمن اثنی عشر کما هو طریق المشهور فیما نحن فیه</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الثمن فی المثال لمّا کان موزّعاً علی العبد و الجاریة بحسب قیمتهما،فإذا أخذ المشتری ربع الثمن أرشاً فقد أخذ للعبد ثلاثة أثمان قیمته و للجاریة سدسه </w:t>
      </w:r>
      <w:r>
        <w:rPr>
          <w:rStyle w:val="FootnoteAnchor"/>
          <w:rtl w:val="true"/>
        </w:rPr>
        <w:footnoteReference w:id="1576"/>
      </w:r>
      <w:r>
        <w:rPr>
          <w:rFonts w:ascii="IRNazanin" w:hAnsi="IRNazanin" w:eastAsia="IRNazanin"/>
          <w:color w:val="111111"/>
          <w:sz w:val="28"/>
          <w:sz w:val="28"/>
          <w:szCs w:val="28"/>
          <w:rtl w:val="true"/>
          <w:lang w:bidi="fa-IR"/>
        </w:rPr>
        <w:t>کما هو الطریق المختار؛لأنّه أخذ من مقابل الجاریة أعنی سبعةً و خمساً سُدسَه و هو واحدٌ و خُمس،و من مقابل العبد أعنی أربعةً و أربعة أخماس ثلاثة أثمانٍ و هو واحدٌ و أربعة</w:t>
      </w:r>
    </w:p>
    <w:p>
      <w:pPr>
        <w:pStyle w:val="BookText"/>
        <w:rPr/>
      </w:pPr>
      <w:r>
        <w:rPr>
          <w:rFonts w:ascii="IRNazanin" w:hAnsi="IRNazanin" w:eastAsia="IRNazanin"/>
          <w:color w:val="111111"/>
          <w:sz w:val="28"/>
          <w:sz w:val="28"/>
          <w:szCs w:val="28"/>
          <w:rtl w:val="true"/>
          <w:lang w:bidi="fa-IR"/>
        </w:rPr>
        <w:t>أخماسٍ،فالثلاثة التی هی ربع الثمن منطبقٌ علی السدس و ثلاثة أثمان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ما نحن فیه؛فإنّ المبذول فی مقابل کلٍّ من النصفین المختلفین بالقیمة أمرٌ واحد،و هو نصف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فالمناسب لما نحن فیه فرض شراء کلٍّ من الجاریة و العبد فی المثال المفروض بثمنٍ مساوٍ للآخر،بأن اشتری کلاّ منهما بنصف الاثنی عشر فی عقدٍ واحدٍ أو عقدین،فلا یجوز حینئذٍ أخذ الربع من اثنی عشر،بل المتعیّن حینئذٍ أن یؤخذ من ستّة الجاریة سُدس،و من ستّة العبد اثنان و ربع،فیصیر مجموع الأرش ثلاثة و ربعاً </w:t>
      </w:r>
      <w:r>
        <w:rPr>
          <w:rStyle w:val="FootnoteAnchor"/>
          <w:rtl w:val="true"/>
        </w:rPr>
        <w:footnoteReference w:id="1577"/>
      </w:r>
      <w:r>
        <w:rPr>
          <w:rFonts w:ascii="IRNazanin" w:hAnsi="IRNazanin" w:eastAsia="IRNazanin"/>
          <w:color w:val="111111"/>
          <w:sz w:val="28"/>
          <w:sz w:val="28"/>
          <w:szCs w:val="28"/>
          <w:rtl w:val="true"/>
          <w:lang w:bidi="fa-IR"/>
        </w:rPr>
        <w:t>،و هو المأخوذ فی المثال المتقدّم علی الطریق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ممّا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فرق بین شهادة البیّنات بالقیم أو شهادتهم بنفس النسبة بین الصحیح و المعیب و إن لم یذکروا القیم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إذا کان مستند المشهور فی أخذ القیمة الوسطی إلی </w:t>
      </w:r>
      <w:r>
        <w:rPr>
          <w:rStyle w:val="FootnoteAnchor"/>
          <w:rtl w:val="true"/>
        </w:rPr>
        <w:footnoteReference w:id="1578"/>
      </w:r>
      <w:r>
        <w:rPr>
          <w:rFonts w:ascii="Amiri" w:hAnsi="Amiri" w:eastAsia="Amiri" w:cs="Amiri"/>
          <w:color w:val="111111"/>
          <w:sz w:val="28"/>
          <w:sz w:val="28"/>
          <w:szCs w:val="28"/>
          <w:rtl w:val="true"/>
          <w:lang w:bidi="ar-SA"/>
        </w:rPr>
        <w:t>العمل بکلٍّ من البیّنتین فی جزءٍ من المبیع</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w:t>
      </w:r>
      <w:r>
        <w:rPr>
          <w:rStyle w:val="FootnoteAnchor"/>
          <w:rtl w:val="true"/>
        </w:rPr>
        <w:footnoteReference w:id="1579"/>
      </w:r>
      <w:r>
        <w:rPr>
          <w:rFonts w:ascii="IRNazanin" w:hAnsi="IRNazanin" w:eastAsia="IRNazanin"/>
          <w:color w:val="111111"/>
          <w:sz w:val="28"/>
          <w:sz w:val="28"/>
          <w:szCs w:val="28"/>
          <w:rtl w:val="true"/>
          <w:lang w:bidi="fa-IR"/>
        </w:rPr>
        <w:t xml:space="preserve">إذا کان المستند مجرّد الجمع بین الحقّین </w:t>
      </w:r>
      <w:r>
        <w:rPr>
          <w:rStyle w:val="FootnoteAnchor"/>
          <w:rtl w:val="true"/>
        </w:rPr>
        <w:footnoteReference w:id="1580"/>
      </w:r>
      <w:r>
        <w:rPr>
          <w:rFonts w:ascii="IRNazanin" w:hAnsi="IRNazanin" w:eastAsia="IRNazanin"/>
          <w:color w:val="111111"/>
          <w:sz w:val="28"/>
          <w:sz w:val="28"/>
          <w:szCs w:val="28"/>
          <w:rtl w:val="true"/>
          <w:lang w:bidi="fa-IR"/>
        </w:rPr>
        <w:t xml:space="preserve">،بأن تنزّل القیمة الزائدة و ترفع </w:t>
      </w:r>
      <w:r>
        <w:rPr>
          <w:rStyle w:val="FootnoteAnchor"/>
          <w:rtl w:val="true"/>
        </w:rPr>
        <w:footnoteReference w:id="1581"/>
      </w:r>
      <w:r>
        <w:rPr>
          <w:rFonts w:ascii="IRNazanin" w:hAnsi="IRNazanin" w:eastAsia="IRNazanin"/>
          <w:color w:val="111111"/>
          <w:sz w:val="28"/>
          <w:sz w:val="28"/>
          <w:szCs w:val="28"/>
          <w:rtl w:val="true"/>
          <w:lang w:bidi="fa-IR"/>
        </w:rPr>
        <w:t>الناقصة علی حدٍّ سواء،فالمتعیّن الطریق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أیضاً </w:t>
      </w:r>
      <w:r>
        <w:rPr>
          <w:rStyle w:val="FootnoteAnchor"/>
          <w:rtl w:val="true"/>
        </w:rPr>
        <w:footnoteReference w:id="15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سواءً شهدت البیّنتان بالقیمتین أم شهدتا بنفس النسبة بین الصحیح و المعیب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إذا شهدتا بنفس التفاوت،فلأنه إذا شهدت إحداهما بأنّ التفاوت بین الصحیح و المعیب بالسدس و هو الاثنان من اثنی عشر، و شهدت الأُخری بأنّه بثلاثة أثمان و هو الثلاثة من ثمانیة،زدنا علی السدس ما تنقص من ثلاثة أثمان صار </w:t>
      </w:r>
      <w:r>
        <w:rPr>
          <w:rStyle w:val="FootnoteAnchor"/>
          <w:rtl w:val="true"/>
        </w:rPr>
        <w:footnoteReference w:id="1583"/>
      </w:r>
      <w:r>
        <w:rPr>
          <w:rFonts w:ascii="Amiri" w:hAnsi="Amiri" w:eastAsia="Amiri" w:cs="Amiri"/>
          <w:color w:val="111111"/>
          <w:sz w:val="28"/>
          <w:sz w:val="28"/>
          <w:szCs w:val="28"/>
          <w:rtl w:val="true"/>
          <w:lang w:bidi="ar-SA"/>
        </w:rPr>
        <w:t xml:space="preserve">کلُّ واحدٍ </w:t>
      </w:r>
      <w:r>
        <w:rPr>
          <w:rStyle w:val="FootnoteAnchor"/>
          <w:rtl w:val="true"/>
        </w:rPr>
        <w:footnoteReference w:id="1584"/>
      </w:r>
      <w:r>
        <w:rPr>
          <w:rFonts w:ascii="IRNazanin" w:hAnsi="IRNazanin" w:eastAsia="IRNazanin"/>
          <w:color w:val="111111"/>
          <w:sz w:val="28"/>
          <w:sz w:val="28"/>
          <w:szCs w:val="28"/>
          <w:rtl w:val="true"/>
          <w:lang w:bidi="fa-IR"/>
        </w:rPr>
        <w:t>سدساً و نصف سدس و ثُمنه،و هو من الثمن المفروض اثنی عشر ثلاثةٌ و ربع،کما ذکرنا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شهدت البیّنتان بالقیمتین،فمقتضی الجمع بین الحقّین فی هذا المقام </w:t>
      </w:r>
      <w:r>
        <w:rPr>
          <w:rStyle w:val="FootnoteAnchor"/>
          <w:rtl w:val="true"/>
        </w:rPr>
        <w:footnoteReference w:id="1585"/>
      </w:r>
      <w:r>
        <w:rPr>
          <w:rFonts w:ascii="IRNazanin" w:hAnsi="IRNazanin" w:eastAsia="IRNazanin"/>
          <w:color w:val="111111"/>
          <w:sz w:val="28"/>
          <w:sz w:val="28"/>
          <w:szCs w:val="28"/>
          <w:rtl w:val="true"/>
          <w:lang w:bidi="fa-IR"/>
        </w:rPr>
        <w:t xml:space="preserve">تعدیلُ قیمتی کلٍّ من الصحیح و المعیب بالزیادة و النقصان بأخذ </w:t>
      </w:r>
      <w:r>
        <w:rPr>
          <w:rStyle w:val="FootnoteAnchor"/>
          <w:rtl w:val="true"/>
        </w:rPr>
        <w:footnoteReference w:id="1586"/>
      </w:r>
      <w:r>
        <w:rPr>
          <w:rFonts w:ascii="IRNazanin" w:hAnsi="IRNazanin" w:eastAsia="IRNazanin"/>
          <w:color w:val="111111"/>
          <w:sz w:val="28"/>
          <w:sz w:val="28"/>
          <w:szCs w:val="28"/>
          <w:rtl w:val="true"/>
          <w:lang w:bidi="fa-IR"/>
        </w:rPr>
        <w:t xml:space="preserve">قیمةٍ نسبته إلی المعیب دون نسبة القیمة الزائدة و فوق نسبة الناقصة،فیؤخذ من الاثنی عشر و العَشر </w:t>
      </w:r>
      <w:r>
        <w:rPr>
          <w:rStyle w:val="FootnoteAnchor"/>
          <w:rtl w:val="true"/>
        </w:rPr>
        <w:footnoteReference w:id="1587"/>
      </w:r>
      <w:r>
        <w:rPr>
          <w:rFonts w:ascii="IRNazanin" w:hAnsi="IRNazanin" w:eastAsia="IRNazanin"/>
          <w:color w:val="111111"/>
          <w:sz w:val="28"/>
          <w:sz w:val="28"/>
          <w:szCs w:val="28"/>
          <w:rtl w:val="true"/>
          <w:lang w:bidi="fa-IR"/>
        </w:rPr>
        <w:t>و من الثمانیة و الخمسة قیمتان للصحیح و المعیب نسبة إحداهما إلی الأُخری یزید علی السدس بما ینقص من ثلاثة أثمان،فیؤخذ قیمتان یزید صحیحهما علی المعیب بسدسٍ و نصف سدس و ثُمن سدس</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یمکن إرجاع کلام الأکثر إلی الطریق الثانی،بأن یریدوا</w:t>
      </w:r>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أوسط القیم المتعدّدة للصحیح و المعیب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القیمة المتوسّطة بین القیم لکلٍّ منهما من حیث نسبتهما إلی قیمة الآخر،فیکون مرادهم من أخذ قیمتین للصحیح و المعیب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قیمةً </w:t>
      </w:r>
      <w:r>
        <w:rPr>
          <w:rStyle w:val="FootnoteAnchor"/>
          <w:rtl w:val="true"/>
        </w:rPr>
        <w:footnoteReference w:id="15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متوسّطةً من حیث نسبة إحداهما إلی الأُخری بین أقوال جمیع البیّنات المقوّمین للصحیح و الفاسد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 کلام الأکثر أنّه تجمع قیم الصحیح و تنتزع منها 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قیم المعیب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تنسب إحدی القیمتین المنتزعتین إلی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المقنعة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اختلف أهل الخبرة عُمل علی أوسط القیم </w:t>
      </w:r>
      <w:r>
        <w:rPr>
          <w:rStyle w:val="FootnoteAnchor"/>
          <w:rtl w:val="true"/>
        </w:rPr>
        <w:footnoteReference w:id="1589"/>
      </w:r>
      <w:r>
        <w:rPr>
          <w:rFonts w:ascii="IRNazanin" w:hAnsi="IRNazanin" w:eastAsia="IRNazanin"/>
          <w:color w:val="111111"/>
          <w:sz w:val="28"/>
          <w:sz w:val="28"/>
          <w:szCs w:val="28"/>
          <w:rtl w:val="true"/>
          <w:lang w:bidi="fa-IR"/>
        </w:rPr>
        <w:t xml:space="preserve">و نحوه فی النهایة </w:t>
      </w:r>
      <w:r>
        <w:rPr>
          <w:rStyle w:val="FootnoteAnchor"/>
          <w:rtl w:val="true"/>
        </w:rPr>
        <w:footnoteReference w:id="15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الشرائع عُمل علی الأوسط </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بالجملة،فکلّ من عبّر بالأوسط یحتمل أن یرید الوسط من حیث النسبة لا من حیث العدد </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إلّا فی کلام فخر المحقّقین قدّس سرّه فی الإیضاح،الذی ذکره المؤلّف رحمه اللّٰه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عرّفه بذلک الفاضل المقداد فی التنقیح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،و السیّد الطباطبائی فی الریاض </w:t>
      </w:r>
      <w:r>
        <w:rPr>
          <w:rFonts w:eastAsia="IRNazanin" w:cs="IRNazanin"/>
          <w:b w:val="false"/>
          <w:bCs w:val="false"/>
          <w:i w:val="false"/>
          <w:iCs w:val="false"/>
          <w:color w:val="333333"/>
          <w:sz w:val="20"/>
          <w:szCs w:val="20"/>
        </w:rPr>
        <w:t>8:177</w:t>
      </w:r>
      <w:r>
        <w:rPr>
          <w:rFonts w:ascii="IRNazanin" w:hAnsi="IRNazanin" w:eastAsia="IRNazanin"/>
          <w:b w:val="false"/>
          <w:b w:val="false"/>
          <w:bCs w:val="false"/>
          <w:i w:val="false"/>
          <w:i w:val="false"/>
          <w:iCs w:val="false"/>
          <w:color w:val="333333"/>
          <w:sz w:val="20"/>
          <w:sz w:val="20"/>
          <w:szCs w:val="20"/>
          <w:rtl w:val="true"/>
        </w:rPr>
        <w:t xml:space="preserve">،و صاحب الجواهر فی الجواهر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17:527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الأزواج،الحدیث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13:336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الهبات،الحدیث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الشهید قدّس سرّه فی القواعد و الفوائد </w:t>
      </w:r>
      <w:r>
        <w:rPr>
          <w:rFonts w:eastAsia="IRNazanin" w:cs="IRNazanin"/>
          <w:b w:val="false"/>
          <w:bCs w:val="false"/>
          <w:i w:val="false"/>
          <w:iCs w:val="false"/>
          <w:color w:val="333333"/>
          <w:sz w:val="20"/>
          <w:szCs w:val="20"/>
        </w:rPr>
        <w:t>2:242</w:t>
      </w:r>
      <w:r>
        <w:rPr>
          <w:rFonts w:ascii="IRNazanin" w:hAnsi="IRNazanin" w:eastAsia="IRNazanin"/>
          <w:b w:val="false"/>
          <w:b w:val="false"/>
          <w:bCs w:val="false"/>
          <w:i w:val="false"/>
          <w:i w:val="false"/>
          <w:iCs w:val="false"/>
          <w:color w:val="333333"/>
          <w:sz w:val="20"/>
          <w:sz w:val="20"/>
          <w:szCs w:val="20"/>
          <w:rtl w:val="true"/>
        </w:rPr>
        <w:t xml:space="preserve">،القاعدة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،و الفاضل المقداد فی التنقیح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،و المحقّق السبزواری فی کفایة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الأصل فی العقود اللزوم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صاحب الجواهر فی الجواهر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علیه فی کتبه،عدا القواعد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،و التذکرة التی ذکرها المؤلف قدّس سرّه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إلیه الشهید الثانی فی تمهید 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،و صاحب الجواهر فی الجواهر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یمکن کونه بمعنی القاعدة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صرّح بذلک العلّامة قدّس سرّه فی عبارته المتقدّمة عن التذکرة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الشهیدی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حکی هذا الوجه عن السیّد الصدر فی مقام توجیه مراد الشهید قدّس سرّه 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 فی البیع اللزوم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 یندفع عنه إیراد الفاضل التونی علیه بإنکاره الأصل،لأجل خیار المجلس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هدایة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 شرح الوافیة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الشهیدی إلی شارح الوافیة،انظر شرح الوافیة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یصرّح بذلک،نعم یستفاد من عبارته،انظر جامع المقاصد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التذکرة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العلّامة فی التذکرة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علیه فی غیر التذکرة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التملیک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قد حُقِّق فی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لا معنی للحکم الوضعی إلّا ما انتزع من الحکم التکلیفی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قدّس سرّه فی المختلف </w:t>
      </w:r>
      <w:r>
        <w:rPr>
          <w:rFonts w:eastAsia="IRNazanin" w:cs="IRNazanin"/>
          <w:b w:val="false"/>
          <w:bCs w:val="false"/>
          <w:i w:val="false"/>
          <w:iCs w:val="false"/>
          <w:color w:val="333333"/>
          <w:sz w:val="20"/>
          <w:szCs w:val="20"/>
        </w:rPr>
        <w:t>6:255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نشأ من عدم التفطّن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 قائله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 المتقدّمة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المستفاد من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تَکُونَ تِجٰارَةً عَنْ تَرٰاضٍ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الإنصاف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یمکن أن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إذا کان المفروض الشکّ فی تأثیر الفسخ فی رفع الآثار الثابتة بإطلاق الآیتین الأخیرتین لم یمکن التمسّک فی رفعه إلّا بالاستصحاب،و لا ینفع الإطلاق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وردت هذه العبارة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الهامش</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ثمرة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لعلّه من سهو القلم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2:113</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التذکرة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،و فیه بعد الحکم بعدم جواز رجوع المقرض بعد قبض المستقرض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صیانة لملکه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8:383</w:t>
      </w:r>
      <w:r>
        <w:rPr>
          <w:rFonts w:ascii="IRNazanin" w:hAnsi="IRNazanin" w:eastAsia="IRNazanin"/>
          <w:b w:val="false"/>
          <w:b w:val="false"/>
          <w:bCs w:val="false"/>
          <w:i w:val="false"/>
          <w:i w:val="false"/>
          <w:iCs w:val="false"/>
          <w:color w:val="333333"/>
          <w:sz w:val="20"/>
          <w:sz w:val="20"/>
          <w:szCs w:val="20"/>
          <w:rtl w:val="true"/>
        </w:rPr>
        <w:t xml:space="preserve">،و منهم المحدّث البحرانی فی الحدائق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،من دعائه علیه السلام فی ذکر التوبة و طلبها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،و عنه فی البحار </w:t>
      </w:r>
      <w:r>
        <w:rPr>
          <w:rFonts w:eastAsia="IRNazanin" w:cs="IRNazanin"/>
          <w:b w:val="false"/>
          <w:bCs w:val="false"/>
          <w:i w:val="false"/>
          <w:iCs w:val="false"/>
          <w:color w:val="333333"/>
          <w:sz w:val="20"/>
          <w:szCs w:val="20"/>
        </w:rPr>
        <w:t>102:104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2:368</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الشرط</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الوجه فیه الحکایة،و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البیّعین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الخیار،الحدیث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الأبواب،الحدیث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المستدرک </w:t>
      </w:r>
      <w:r>
        <w:rPr>
          <w:rFonts w:eastAsia="IRNazanin" w:cs="IRNazanin"/>
          <w:b w:val="false"/>
          <w:bCs w:val="false"/>
          <w:i w:val="false"/>
          <w:iCs w:val="false"/>
          <w:color w:val="333333"/>
          <w:sz w:val="20"/>
          <w:szCs w:val="20"/>
        </w:rPr>
        <w:t>13:297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الخیار،الحدیث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الأبواب،الحدیث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12:346</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الخیار،الحدیث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الأبواب،الحدیث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12:346</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الخیار،الحدیث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المعنی الثالث من معانی الأصل</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العین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أَوْفُوا بِالْعُقُودِ</w:t>
      </w:r>
      <w:r>
        <w:rPr>
          <w:rFonts w:eastAsia="IRNazanin" w:cs="IRNazanin"/>
          <w:b w:val="false"/>
          <w:bCs w:val="false"/>
          <w:i w:val="false"/>
          <w:iCs w:val="false"/>
          <w:color w:val="333333"/>
          <w:sz w:val="20"/>
          <w:szCs w:val="20"/>
          <w:rtl w:val="true"/>
        </w:rPr>
        <w:t>»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6:255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المقاصد </w:t>
      </w:r>
      <w:r>
        <w:rPr>
          <w:rFonts w:eastAsia="IRNazanin" w:cs="IRNazanin"/>
          <w:b w:val="false"/>
          <w:bCs w:val="false"/>
          <w:i w:val="false"/>
          <w:iCs w:val="false"/>
          <w:color w:val="333333"/>
          <w:sz w:val="20"/>
          <w:szCs w:val="20"/>
        </w:rPr>
        <w:t>8:326</w:t>
      </w:r>
      <w:r>
        <w:rPr>
          <w:rFonts w:ascii="IRNazanin" w:hAnsi="IRNazanin" w:eastAsia="IRNazanin"/>
          <w:b w:val="false"/>
          <w:b w:val="false"/>
          <w:bCs w:val="false"/>
          <w:i w:val="false"/>
          <w:i w:val="false"/>
          <w:iCs w:val="false"/>
          <w:color w:val="333333"/>
          <w:sz w:val="20"/>
          <w:sz w:val="20"/>
          <w:szCs w:val="20"/>
          <w:rtl w:val="true"/>
        </w:rPr>
        <w:t xml:space="preserve">،و الجواهر </w:t>
      </w:r>
      <w:r>
        <w:rPr>
          <w:rFonts w:eastAsia="IRNazanin" w:cs="IRNazanin"/>
          <w:b w:val="false"/>
          <w:bCs w:val="false"/>
          <w:i w:val="false"/>
          <w:iCs w:val="false"/>
          <w:color w:val="333333"/>
          <w:sz w:val="20"/>
          <w:szCs w:val="20"/>
        </w:rPr>
        <w:t>28:223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یکن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الجائز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مشطوب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أقسامه فخمسة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فی المختصر النافع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أقسامه ستّة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نقف علی قولٍ له بالسبعة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1:515</w:t>
      </w:r>
      <w:r>
        <w:rPr>
          <w:rFonts w:ascii="IRNazanin" w:hAnsi="IRNazanin" w:eastAsia="IRNazanin"/>
          <w:b w:val="false"/>
          <w:b w:val="false"/>
          <w:bCs w:val="false"/>
          <w:i w:val="false"/>
          <w:i w:val="false"/>
          <w:iCs w:val="false"/>
          <w:color w:val="333333"/>
          <w:sz w:val="20"/>
          <w:sz w:val="20"/>
          <w:szCs w:val="20"/>
          <w:rtl w:val="true"/>
        </w:rPr>
        <w:t xml:space="preserve">،و الإرشاد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12:345</w:t>
      </w:r>
      <w:r>
        <w:rPr>
          <w:rFonts w:ascii="IRNazanin" w:hAnsi="IRNazanin" w:eastAsia="IRNazanin"/>
          <w:b w:val="false"/>
          <w:b w:val="false"/>
          <w:bCs w:val="false"/>
          <w:i w:val="false"/>
          <w:i w:val="false"/>
          <w:iCs w:val="false"/>
          <w:color w:val="333333"/>
          <w:sz w:val="20"/>
          <w:sz w:val="20"/>
          <w:szCs w:val="20"/>
          <w:rtl w:val="true"/>
        </w:rPr>
        <w:t>،الباب الأوّل من أبواب الخیار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12:347</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الخیار،الحدیث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4:285</w:t>
      </w:r>
      <w:r>
        <w:rPr>
          <w:rFonts w:ascii="IRNazanin" w:hAnsi="IRNazanin" w:eastAsia="IRNazanin"/>
          <w:b w:val="false"/>
          <w:b w:val="false"/>
          <w:bCs w:val="false"/>
          <w:i w:val="false"/>
          <w:i w:val="false"/>
          <w:iCs w:val="false"/>
          <w:color w:val="333333"/>
          <w:sz w:val="20"/>
          <w:sz w:val="20"/>
          <w:szCs w:val="20"/>
          <w:rtl w:val="true"/>
        </w:rPr>
        <w:t xml:space="preserve">،و المسالک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الوکیل فی التصرّف المالی،غایة الآمال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المحقّق التستری فی مقابس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4:286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12:345</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الخیار،الأحادیث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الأبواب نفسها،الحدیث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،الهامش الأوّل</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شرعاً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تلک المسألة فیما إذا ثبت للجانبین،و هذا فرض من جانب واحد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الوکیل فی إجراء لفظ العقد فقط،راجع الصفحة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 المتقدّمة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آنفاً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صاحب الجواهر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البیوع</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 المتقدّمة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الجزء الثالث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 ظاهرهم المحقّق التستری فی المقابس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3:265</w:t>
      </w:r>
      <w:r>
        <w:rPr>
          <w:rFonts w:ascii="IRNazanin" w:hAnsi="IRNazanin" w:eastAsia="IRNazanin"/>
          <w:b w:val="false"/>
          <w:b w:val="false"/>
          <w:bCs w:val="false"/>
          <w:i w:val="false"/>
          <w:i w:val="false"/>
          <w:iCs w:val="false"/>
          <w:color w:val="333333"/>
          <w:sz w:val="20"/>
          <w:sz w:val="20"/>
          <w:szCs w:val="20"/>
          <w:rtl w:val="true"/>
        </w:rPr>
        <w:t xml:space="preserve">،و المسالک </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السیّد العاملی فی مفتاح الکرامة </w:t>
      </w:r>
      <w:r>
        <w:rPr>
          <w:rFonts w:eastAsia="IRNazanin" w:cs="IRNazanin"/>
          <w:b w:val="false"/>
          <w:bCs w:val="false"/>
          <w:i w:val="false"/>
          <w:iCs w:val="false"/>
          <w:color w:val="333333"/>
          <w:sz w:val="20"/>
          <w:szCs w:val="20"/>
        </w:rPr>
        <w:t>4:545</w:t>
      </w:r>
      <w:r>
        <w:rPr>
          <w:rFonts w:ascii="IRNazanin" w:hAnsi="IRNazanin" w:eastAsia="IRNazanin"/>
          <w:b w:val="false"/>
          <w:b w:val="false"/>
          <w:bCs w:val="false"/>
          <w:i w:val="false"/>
          <w:i w:val="false"/>
          <w:iCs w:val="false"/>
          <w:color w:val="333333"/>
          <w:sz w:val="20"/>
          <w:sz w:val="20"/>
          <w:szCs w:val="20"/>
          <w:rtl w:val="true"/>
        </w:rPr>
        <w:t>،و المحقّق التستری فی المقابس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،و راجع تعلیقة المحقّق علی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 لدینا کتابه،نعم حکاه عنه السیّد العاملی فی مفتاح الکرامة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،و المحقّق التستری فی المقابس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 عنه ذلک فی مفتاح الکرامة </w:t>
      </w:r>
      <w:r>
        <w:rPr>
          <w:rFonts w:eastAsia="IRNazanin" w:cs="IRNazanin"/>
          <w:b w:val="false"/>
          <w:bCs w:val="false"/>
          <w:i w:val="false"/>
          <w:iCs w:val="false"/>
          <w:color w:val="333333"/>
          <w:sz w:val="20"/>
          <w:szCs w:val="20"/>
        </w:rPr>
        <w:t>4:545</w:t>
      </w:r>
      <w:r>
        <w:rPr>
          <w:rFonts w:ascii="IRNazanin" w:hAnsi="IRNazanin" w:eastAsia="IRNazanin"/>
          <w:b w:val="false"/>
          <w:b w:val="false"/>
          <w:bCs w:val="false"/>
          <w:i w:val="false"/>
          <w:i w:val="false"/>
          <w:iCs w:val="false"/>
          <w:color w:val="333333"/>
          <w:sz w:val="20"/>
          <w:sz w:val="20"/>
          <w:szCs w:val="20"/>
          <w:rtl w:val="true"/>
        </w:rPr>
        <w:t>،و المقابس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 غایة المرام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1:481</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الأولی عدم الخیار هنا</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8:389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یخلو عن قوّة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المحقّق التستری فی المقابس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 القول الثانی أقوی</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xml:space="preserve">،و جامع المقاصد </w:t>
      </w:r>
      <w:r>
        <w:rPr>
          <w:rFonts w:eastAsia="IRNazanin" w:cs="IRNazanin"/>
          <w:b w:val="false"/>
          <w:bCs w:val="false"/>
          <w:i w:val="false"/>
          <w:iCs w:val="false"/>
          <w:color w:val="333333"/>
          <w:sz w:val="20"/>
          <w:szCs w:val="20"/>
        </w:rPr>
        <w:t>4:287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المحدّث البحرانی فی الحدائق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إلی ظاهر المسالک المحقّق التستری فی المقابس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،و انظر المسالک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3:266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فیه إلّا علی هذه العبارة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اشتری من یعتق علیه ثمّ ظهر علی عیب سابق فالوجه أنّ له الأرش خاصّة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التحریر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احتمله الشهید فی الدروس </w:t>
      </w:r>
      <w:r>
        <w:rPr>
          <w:rFonts w:eastAsia="IRNazanin" w:cs="IRNazanin"/>
          <w:b w:val="false"/>
          <w:bCs w:val="false"/>
          <w:i w:val="false"/>
          <w:iCs w:val="false"/>
          <w:color w:val="333333"/>
          <w:sz w:val="20"/>
          <w:szCs w:val="20"/>
        </w:rPr>
        <w:t>3:266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اقتضاها السیاق</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1:516</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النظر إلی جانب العتق أقوی</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یجیء فی الصفحة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صاحب المقابس قدّس سرّه،کما سیأتی</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المختلف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،و التحریر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الدروس </w:t>
      </w:r>
      <w:r>
        <w:rPr>
          <w:rFonts w:eastAsia="IRNazanin" w:cs="IRNazanin"/>
          <w:b w:val="false"/>
          <w:bCs w:val="false"/>
          <w:i w:val="false"/>
          <w:iCs w:val="false"/>
          <w:color w:val="333333"/>
          <w:sz w:val="20"/>
          <w:szCs w:val="20"/>
        </w:rPr>
        <w:t>3:266</w:t>
      </w:r>
      <w:r>
        <w:rPr>
          <w:rFonts w:ascii="IRNazanin" w:hAnsi="IRNazanin" w:eastAsia="IRNazanin"/>
          <w:b w:val="false"/>
          <w:b w:val="false"/>
          <w:bCs w:val="false"/>
          <w:i w:val="false"/>
          <w:i w:val="false"/>
          <w:iCs w:val="false"/>
          <w:color w:val="333333"/>
          <w:sz w:val="20"/>
          <w:sz w:val="20"/>
          <w:szCs w:val="20"/>
          <w:rtl w:val="true"/>
        </w:rPr>
        <w:t xml:space="preserve">،و القواعد و الفوائد </w:t>
      </w:r>
      <w:r>
        <w:rPr>
          <w:rFonts w:eastAsia="IRNazanin" w:cs="IRNazanin"/>
          <w:b w:val="false"/>
          <w:bCs w:val="false"/>
          <w:i w:val="false"/>
          <w:iCs w:val="false"/>
          <w:color w:val="333333"/>
          <w:sz w:val="20"/>
          <w:szCs w:val="20"/>
        </w:rPr>
        <w:t>2:247</w:t>
      </w:r>
      <w:r>
        <w:rPr>
          <w:rFonts w:ascii="IRNazanin" w:hAnsi="IRNazanin" w:eastAsia="IRNazanin"/>
          <w:b w:val="false"/>
          <w:b w:val="false"/>
          <w:bCs w:val="false"/>
          <w:i w:val="false"/>
          <w:i w:val="false"/>
          <w:iCs w:val="false"/>
          <w:color w:val="333333"/>
          <w:sz w:val="20"/>
          <w:sz w:val="20"/>
          <w:szCs w:val="20"/>
          <w:rtl w:val="true"/>
        </w:rPr>
        <w:t xml:space="preserve">،القاعدة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 الأصحّ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 المحقّق التستری فی المقابس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لعلّه من سهو القلم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کلام صاحب المقابس،راجع الصفحة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نظفر علی مصرّحٍ بذلک بعد التتبّع فی الکتب الفقهیّة المتداولة،انظر مفتاح الکرامة </w:t>
      </w:r>
      <w:r>
        <w:rPr>
          <w:rFonts w:eastAsia="IRNazanin" w:cs="IRNazanin"/>
          <w:b w:val="false"/>
          <w:bCs w:val="false"/>
          <w:i w:val="false"/>
          <w:iCs w:val="false"/>
          <w:color w:val="333333"/>
          <w:sz w:val="20"/>
          <w:szCs w:val="20"/>
        </w:rPr>
        <w:t>4:599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لدینا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حواشی الشهید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لکن حکاه عنه السیّد العاملی فی مفتاح الکرامة </w:t>
      </w:r>
      <w:r>
        <w:rPr>
          <w:rFonts w:eastAsia="IRNazanin" w:cs="IRNazanin"/>
          <w:b w:val="false"/>
          <w:bCs w:val="false"/>
          <w:i w:val="false"/>
          <w:iCs w:val="false"/>
          <w:color w:val="333333"/>
          <w:sz w:val="20"/>
          <w:szCs w:val="20"/>
        </w:rPr>
        <w:t>4:180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12:345</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الخیار،الحدیث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المقاصد </w:t>
      </w:r>
      <w:r>
        <w:rPr>
          <w:rFonts w:eastAsia="IRNazanin" w:cs="IRNazanin"/>
          <w:b w:val="false"/>
          <w:bCs w:val="false"/>
          <w:i w:val="false"/>
          <w:iCs w:val="false"/>
          <w:color w:val="333333"/>
          <w:sz w:val="20"/>
          <w:szCs w:val="20"/>
        </w:rPr>
        <w:t>4:133</w:t>
      </w:r>
      <w:r>
        <w:rPr>
          <w:rFonts w:ascii="IRNazanin" w:hAnsi="IRNazanin" w:eastAsia="IRNazanin"/>
          <w:b w:val="false"/>
          <w:b w:val="false"/>
          <w:bCs w:val="false"/>
          <w:i w:val="false"/>
          <w:i w:val="false"/>
          <w:iCs w:val="false"/>
          <w:color w:val="333333"/>
          <w:sz w:val="20"/>
          <w:sz w:val="20"/>
          <w:szCs w:val="20"/>
          <w:rtl w:val="true"/>
        </w:rPr>
        <w:t xml:space="preserve">،و مفتاح الکرامة </w:t>
      </w:r>
      <w:r>
        <w:rPr>
          <w:rFonts w:eastAsia="IRNazanin" w:cs="IRNazanin"/>
          <w:b w:val="false"/>
          <w:bCs w:val="false"/>
          <w:i w:val="false"/>
          <w:iCs w:val="false"/>
          <w:color w:val="333333"/>
          <w:sz w:val="20"/>
          <w:szCs w:val="20"/>
        </w:rPr>
        <w:t>4:319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ثبوت الخیار ظاهر من أطلق علیه البیع و لم یصرّح بعدم سقوط الخیار</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صرّح بثبوت الخیار فی المسألة الشهید فی الدروس </w:t>
      </w:r>
      <w:r>
        <w:rPr>
          <w:rFonts w:eastAsia="IRNazanin" w:cs="IRNazanin"/>
          <w:b w:val="false"/>
          <w:bCs w:val="false"/>
          <w:i w:val="false"/>
          <w:iCs w:val="false"/>
          <w:color w:val="333333"/>
          <w:sz w:val="20"/>
          <w:szCs w:val="20"/>
        </w:rPr>
        <w:t>3:199</w:t>
      </w:r>
      <w:r>
        <w:rPr>
          <w:rFonts w:ascii="IRNazanin" w:hAnsi="IRNazanin" w:eastAsia="IRNazanin"/>
          <w:b w:val="false"/>
          <w:b w:val="false"/>
          <w:bCs w:val="false"/>
          <w:i w:val="false"/>
          <w:i w:val="false"/>
          <w:iCs w:val="false"/>
          <w:color w:val="333333"/>
          <w:sz w:val="20"/>
          <w:sz w:val="20"/>
          <w:szCs w:val="20"/>
          <w:rtl w:val="true"/>
        </w:rPr>
        <w:t xml:space="preserve">،و المحقّق الثانی فی جامع المقاصد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الجزء الثالث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4:287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،ذیل قول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یثبت فی البیع خاصّة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مجمع الفائدة </w:t>
      </w:r>
      <w:r>
        <w:rPr>
          <w:rFonts w:eastAsia="IRNazanin" w:cs="IRNazanin"/>
          <w:b w:val="false"/>
          <w:bCs w:val="false"/>
          <w:i w:val="false"/>
          <w:iCs w:val="false"/>
          <w:color w:val="333333"/>
          <w:sz w:val="20"/>
          <w:szCs w:val="20"/>
        </w:rPr>
        <w:t>8:388</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الأصحاب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المسالک </w:t>
      </w:r>
      <w:r>
        <w:rPr>
          <w:rFonts w:eastAsia="IRNazanin" w:cs="IRNazanin"/>
          <w:b w:val="false"/>
          <w:bCs w:val="false"/>
          <w:i w:val="false"/>
          <w:iCs w:val="false"/>
          <w:color w:val="333333"/>
          <w:sz w:val="20"/>
          <w:szCs w:val="20"/>
        </w:rPr>
        <w:t>3:211</w:t>
      </w:r>
      <w:r>
        <w:rPr>
          <w:rFonts w:ascii="IRNazanin" w:hAnsi="IRNazanin" w:eastAsia="IRNazanin"/>
          <w:b w:val="false"/>
          <w:b w:val="false"/>
          <w:bCs w:val="false"/>
          <w:i w:val="false"/>
          <w:i w:val="false"/>
          <w:iCs w:val="false"/>
          <w:color w:val="333333"/>
          <w:sz w:val="20"/>
          <w:sz w:val="20"/>
          <w:szCs w:val="20"/>
          <w:rtl w:val="true"/>
        </w:rPr>
        <w:t>، 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خلاف فیه بین علمائنا</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،و فیه بعد الحکم بعدم دخوله فی الحوالة و الإجارة و العتق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 یختصّ البیع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 لیس ببیع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خیار المجلس یختصّ البیع</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البیوع،و فیه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الجعالة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العقود المذکورة فی کلام الشیخ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الوکالة و الودیعة و</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3:268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الخلاف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البیوع</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صرّح فی السرائر بدخول الخیارین فی هذه العقود،لأنّها جائزة فیجوز الفسخ فی کلّ وقت،و هو محتمل کلام الشیخ،فتأمّل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وردت هذه الزیادة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السرائر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البیّعان بالخیار حتّی یفترقا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12:345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،و لکن لم یصرّح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الصرف فیدخله خیار المجلس</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المهور،ذیل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12:353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بعموم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المامقانی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الکلام و ما بعده من تضعیف التمسّک بعموم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أَوْفُوا بِالْعُقُودِ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دفع ما ذکره صاحب الجواهر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غایة الآمال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،و راجع الجواهر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تمسّک به صاحب الجواهر،انظر الجواهر </w:t>
      </w:r>
      <w:r>
        <w:rPr>
          <w:rFonts w:eastAsia="IRNazanin" w:cs="IRNazanin"/>
          <w:b w:val="false"/>
          <w:bCs w:val="false"/>
          <w:i w:val="false"/>
          <w:iCs w:val="false"/>
          <w:color w:val="333333"/>
          <w:sz w:val="20"/>
          <w:szCs w:val="20"/>
        </w:rPr>
        <w:t>23:12</w:t>
      </w:r>
      <w:r>
        <w:rPr>
          <w:rFonts w:ascii="IRNazanin" w:hAnsi="IRNazanin" w:eastAsia="IRNazanin"/>
          <w:b w:val="false"/>
          <w:b w:val="false"/>
          <w:bCs w:val="false"/>
          <w:i w:val="false"/>
          <w:i w:val="false"/>
          <w:iCs w:val="false"/>
          <w:color w:val="333333"/>
          <w:sz w:val="20"/>
          <w:sz w:val="20"/>
          <w:szCs w:val="20"/>
          <w:rtl w:val="true"/>
        </w:rPr>
        <w:t>،و الآیة من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ذلک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16:95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المکاتبة،الحدیث الأوّل</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الشروط</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فی التذکرة </w:t>
      </w:r>
      <w:r>
        <w:rPr>
          <w:rFonts w:eastAsia="IRNazanin" w:cs="IRNazanin"/>
          <w:b w:val="false"/>
          <w:bCs w:val="false"/>
          <w:i w:val="false"/>
          <w:iCs w:val="false"/>
          <w:color w:val="333333"/>
          <w:sz w:val="20"/>
          <w:szCs w:val="20"/>
        </w:rPr>
        <w:t>1:517</w:t>
      </w:r>
      <w:r>
        <w:rPr>
          <w:rFonts w:ascii="IRNazanin" w:hAnsi="IRNazanin" w:eastAsia="IRNazanin"/>
          <w:b w:val="false"/>
          <w:b w:val="false"/>
          <w:bCs w:val="false"/>
          <w:i w:val="false"/>
          <w:i w:val="false"/>
          <w:iCs w:val="false"/>
          <w:color w:val="333333"/>
          <w:sz w:val="20"/>
          <w:sz w:val="20"/>
          <w:szCs w:val="20"/>
          <w:rtl w:val="true"/>
        </w:rPr>
        <w:t xml:space="preserve">،و راجع المغنی لابن قدامة </w:t>
      </w:r>
      <w:r>
        <w:rPr>
          <w:rFonts w:eastAsia="IRNazanin" w:cs="IRNazanin"/>
          <w:b w:val="false"/>
          <w:bCs w:val="false"/>
          <w:i w:val="false"/>
          <w:iCs w:val="false"/>
          <w:color w:val="333333"/>
          <w:sz w:val="20"/>
          <w:szCs w:val="20"/>
        </w:rPr>
        <w:t>3:568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الشرط</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للمشروط</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المثال فی الخلاف و التذکرة،راجع الخلاف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،و المبسوط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،و 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،و التذکرة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رجوع الضمیر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بطلان البیع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المستفاد من فحوی الکلام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 موضع بحثهم عن المسألة بخصوصها،نعم عدّ المحقّق التستری قدّس سرّه السبب السادس من منقّصات الملک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تعلّق حقّ النذر و شبهه، و نقل جملةً ممّا وقف علیه من کلمات الأصحاب فی کتاب الزکاة و الحجّ و العتق و النذر و الصید و الذباحة و غیر ذلک ممّا یرتبط بالمسألة،لکن لم ینقل عن أحدٍ القول ببطلان بیع منذور التصدّق،راجع المقابس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المحقّق التستری فی المقابس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الشهید الثانی قدّس سرّه فی مسألتی منذور التدبیر و منذور الحرّیة،و لکن لم نعثر علیه فی کتبه قدّس سرّه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البیوع</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أراد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العقد،قبل تمامه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وردت هذه العبارة 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یراد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1:517</w:t>
      </w:r>
      <w:r>
        <w:rPr>
          <w:rFonts w:ascii="IRNazanin" w:hAnsi="IRNazanin" w:eastAsia="IRNazanin"/>
          <w:b w:val="false"/>
          <w:b w:val="false"/>
          <w:bCs w:val="false"/>
          <w:i w:val="false"/>
          <w:i w:val="false"/>
          <w:iCs w:val="false"/>
          <w:color w:val="333333"/>
          <w:sz w:val="20"/>
          <w:sz w:val="20"/>
          <w:szCs w:val="20"/>
          <w:rtl w:val="true"/>
        </w:rPr>
        <w:t xml:space="preserve">،و راجع المغنی لابن قدامة </w:t>
      </w:r>
      <w:r>
        <w:rPr>
          <w:rFonts w:eastAsia="IRNazanin" w:cs="IRNazanin"/>
          <w:b w:val="false"/>
          <w:bCs w:val="false"/>
          <w:i w:val="false"/>
          <w:iCs w:val="false"/>
          <w:color w:val="333333"/>
          <w:sz w:val="20"/>
          <w:szCs w:val="20"/>
        </w:rPr>
        <w:t>3:568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استدلال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الصفحة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یجیء فی الصفحة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ذکره آنفاً من فحوی سقوط الخیار بالتصرّف</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دلّ علی أنّ سکوت البکر إجازة لنکاحها الفضولی،و سکوت المولی إجازة لنکاح العبد،راجع الوسائل </w:t>
      </w:r>
      <w:r>
        <w:rPr>
          <w:rFonts w:eastAsia="IRNazanin" w:cs="IRNazanin"/>
          <w:b w:val="false"/>
          <w:bCs w:val="false"/>
          <w:i w:val="false"/>
          <w:iCs w:val="false"/>
          <w:color w:val="333333"/>
          <w:sz w:val="20"/>
          <w:szCs w:val="20"/>
        </w:rPr>
        <w:t>14:206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و أولیاء العقد،و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 و الإماء</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علی من نسبه إلی ظاهر الأکثر،نعم قال فی مفتاح الکرامة </w:t>
      </w:r>
      <w:r>
        <w:rPr>
          <w:rFonts w:eastAsia="IRNazanin" w:cs="IRNazanin"/>
          <w:b w:val="false"/>
          <w:bCs w:val="false"/>
          <w:i w:val="false"/>
          <w:iCs w:val="false"/>
          <w:color w:val="333333"/>
          <w:sz w:val="20"/>
          <w:szCs w:val="20"/>
        </w:rPr>
        <w:t>4:544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المبسوط و الخلاف و الغنیة و التحریر و التذکرة و الدروس و غیرها،و فی الغنیة و ظاهر الخلاف الإجماع علیه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السیّد العاملی عن ظاهر الخلاف،و هو الحقّ؛لأنّ عبارته لیست صریحةً فی دعوی الإجماع،انظر الخلاف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البیوع</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الإطلاق</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إرادة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العاملی قدّس سرّه فی هذا المقام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الغریب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المحقّق الثانی و الشهید الثانی نسبا هذا القول إلی الشیخ و تبعهما شیخنا صاحب الریاض،و هو خلاف ما صرّح به فی المبسوط و الخلاف و خلاف ما حکی عنهما فی المختلف و الإیضاح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4:544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 قال المحقّق التستری فی المقابس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،و الخلاف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البیوع،و انظر جامع المقاصد </w:t>
      </w:r>
      <w:r>
        <w:rPr>
          <w:rFonts w:eastAsia="IRNazanin" w:cs="IRNazanin"/>
          <w:b w:val="false"/>
          <w:bCs w:val="false"/>
          <w:i w:val="false"/>
          <w:iCs w:val="false"/>
          <w:color w:val="333333"/>
          <w:sz w:val="20"/>
          <w:szCs w:val="20"/>
        </w:rPr>
        <w:t>4:285</w:t>
      </w:r>
      <w:r>
        <w:rPr>
          <w:rFonts w:ascii="IRNazanin" w:hAnsi="IRNazanin" w:eastAsia="IRNazanin"/>
          <w:b w:val="false"/>
          <w:b w:val="false"/>
          <w:bCs w:val="false"/>
          <w:i w:val="false"/>
          <w:i w:val="false"/>
          <w:iCs w:val="false"/>
          <w:color w:val="333333"/>
          <w:sz w:val="20"/>
          <w:sz w:val="20"/>
          <w:szCs w:val="20"/>
          <w:rtl w:val="true"/>
        </w:rPr>
        <w:t xml:space="preserve">،و المسالک </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15:335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و شرائطه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13:299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التذکرة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الجزء السادس،الصفحة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12:346</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الخیار،الحدیث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السیّد العاملی فی مفتاح الکرامة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التحریر و جامع المقاصد و المسالک،راجع التحریر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xml:space="preserve">،و جامع المقاصد </w:t>
      </w:r>
      <w:r>
        <w:rPr>
          <w:rFonts w:eastAsia="IRNazanin" w:cs="IRNazanin"/>
          <w:b w:val="false"/>
          <w:bCs w:val="false"/>
          <w:i w:val="false"/>
          <w:iCs w:val="false"/>
          <w:color w:val="333333"/>
          <w:sz w:val="20"/>
          <w:szCs w:val="20"/>
        </w:rPr>
        <w:t>4:284</w:t>
      </w:r>
      <w:r>
        <w:rPr>
          <w:rFonts w:ascii="IRNazanin" w:hAnsi="IRNazanin" w:eastAsia="IRNazanin"/>
          <w:b w:val="false"/>
          <w:b w:val="false"/>
          <w:bCs w:val="false"/>
          <w:i w:val="false"/>
          <w:i w:val="false"/>
          <w:iCs w:val="false"/>
          <w:color w:val="333333"/>
          <w:sz w:val="20"/>
          <w:sz w:val="20"/>
          <w:szCs w:val="20"/>
          <w:rtl w:val="true"/>
        </w:rPr>
        <w:t xml:space="preserve">،و المسالک </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لیس فی الأخیرین تصریح بذلک،نعم فیهما ما یفیده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البیوع</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المراد به السیّد العاملی فی مفتاح الکرامة </w:t>
      </w:r>
      <w:r>
        <w:rPr>
          <w:rFonts w:eastAsia="IRNazanin" w:cs="IRNazanin"/>
          <w:b w:val="false"/>
          <w:bCs w:val="false"/>
          <w:i w:val="false"/>
          <w:iCs w:val="false"/>
          <w:color w:val="333333"/>
          <w:sz w:val="20"/>
          <w:szCs w:val="20"/>
        </w:rPr>
        <w:t>4:542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السیّد الطباطبائی فی الریاض کما فی الجواهر </w:t>
      </w:r>
      <w:r>
        <w:rPr>
          <w:rFonts w:eastAsia="IRNazanin" w:cs="IRNazanin"/>
          <w:b w:val="false"/>
          <w:bCs w:val="false"/>
          <w:i w:val="false"/>
          <w:iCs w:val="false"/>
          <w:color w:val="333333"/>
          <w:sz w:val="20"/>
          <w:szCs w:val="20"/>
        </w:rPr>
        <w:t>23:13</w:t>
      </w:r>
      <w:r>
        <w:rPr>
          <w:rFonts w:ascii="IRNazanin" w:hAnsi="IRNazanin" w:eastAsia="IRNazanin"/>
          <w:b w:val="false"/>
          <w:b w:val="false"/>
          <w:bCs w:val="false"/>
          <w:i w:val="false"/>
          <w:i w:val="false"/>
          <w:iCs w:val="false"/>
          <w:color w:val="333333"/>
          <w:sz w:val="20"/>
          <w:sz w:val="20"/>
          <w:szCs w:val="20"/>
          <w:rtl w:val="true"/>
        </w:rPr>
        <w:t xml:space="preserve">،و راجع الریاض </w:t>
      </w:r>
      <w:r>
        <w:rPr>
          <w:rFonts w:eastAsia="IRNazanin" w:cs="IRNazanin"/>
          <w:b w:val="false"/>
          <w:bCs w:val="false"/>
          <w:i w:val="false"/>
          <w:iCs w:val="false"/>
          <w:color w:val="333333"/>
          <w:sz w:val="20"/>
          <w:szCs w:val="20"/>
        </w:rPr>
        <w:t>8:180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12:348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خیار المجلس،الحدیث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الخارجی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الصفحة السابقة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11:296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الأیمان،الحدیث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الجزء الثالث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لا یصحّ الاستدلال علیه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،و حکاه السیّد بحر العلوم فی المصابیح عنه و عن تعلیق الشرائع،انظر المصابیح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12:346</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الخیار،الحدیث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المستکشف عنه عن افتراقهما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الأولی فی العبارة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المستکشف عنه بافتراقهما</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فیسقط</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فی الصفحة المتقدّمة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اقتضاها السیاق</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کتب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الهامش</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المحقّق التستری فی المقابس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العلّامة و ولده و السیّد عمید الدین و عن ظاهر المحقّق و الشهید،انظر الشرائع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،و القواعد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و إیضاح الفوائد </w:t>
      </w:r>
      <w:r>
        <w:rPr>
          <w:rFonts w:eastAsia="IRNazanin" w:cs="IRNazanin"/>
          <w:b w:val="false"/>
          <w:bCs w:val="false"/>
          <w:i w:val="false"/>
          <w:iCs w:val="false"/>
          <w:color w:val="333333"/>
          <w:sz w:val="20"/>
          <w:szCs w:val="20"/>
        </w:rPr>
        <w:t>1:483</w:t>
      </w:r>
      <w:r>
        <w:rPr>
          <w:rFonts w:ascii="IRNazanin" w:hAnsi="IRNazanin" w:eastAsia="IRNazanin"/>
          <w:b w:val="false"/>
          <w:b w:val="false"/>
          <w:bCs w:val="false"/>
          <w:i w:val="false"/>
          <w:i w:val="false"/>
          <w:iCs w:val="false"/>
          <w:color w:val="333333"/>
          <w:sz w:val="20"/>
          <w:sz w:val="20"/>
          <w:szCs w:val="20"/>
          <w:rtl w:val="true"/>
        </w:rPr>
        <w:t xml:space="preserve">،و کنز الفوائد </w:t>
      </w:r>
      <w:r>
        <w:rPr>
          <w:rFonts w:eastAsia="IRNazanin" w:cs="IRNazanin"/>
          <w:b w:val="false"/>
          <w:bCs w:val="false"/>
          <w:i w:val="false"/>
          <w:iCs w:val="false"/>
          <w:color w:val="333333"/>
          <w:sz w:val="20"/>
          <w:szCs w:val="20"/>
        </w:rPr>
        <w:t>1:447</w:t>
      </w:r>
      <w:r>
        <w:rPr>
          <w:rFonts w:ascii="IRNazanin" w:hAnsi="IRNazanin" w:eastAsia="IRNazanin"/>
          <w:b w:val="false"/>
          <w:b w:val="false"/>
          <w:bCs w:val="false"/>
          <w:i w:val="false"/>
          <w:i w:val="false"/>
          <w:iCs w:val="false"/>
          <w:color w:val="333333"/>
          <w:sz w:val="20"/>
          <w:sz w:val="20"/>
          <w:szCs w:val="20"/>
          <w:rtl w:val="true"/>
        </w:rPr>
        <w:t xml:space="preserve">،و الدروس </w:t>
      </w:r>
      <w:r>
        <w:rPr>
          <w:rFonts w:eastAsia="IRNazanin" w:cs="IRNazanin"/>
          <w:b w:val="false"/>
          <w:bCs w:val="false"/>
          <w:i w:val="false"/>
          <w:iCs w:val="false"/>
          <w:color w:val="333333"/>
          <w:sz w:val="20"/>
          <w:szCs w:val="20"/>
        </w:rPr>
        <w:t>3:266</w:t>
      </w:r>
      <w:r>
        <w:rPr>
          <w:rFonts w:ascii="IRNazanin" w:hAnsi="IRNazanin" w:eastAsia="IRNazanin"/>
          <w:b w:val="false"/>
          <w:b w:val="false"/>
          <w:bCs w:val="false"/>
          <w:i w:val="false"/>
          <w:i w:val="false"/>
          <w:iCs w:val="false"/>
          <w:color w:val="333333"/>
          <w:sz w:val="20"/>
          <w:sz w:val="20"/>
          <w:szCs w:val="20"/>
          <w:rtl w:val="true"/>
        </w:rPr>
        <w:t>،و حکی عنهم ذلک فی المصابیح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،و مفتاح الکرامة </w:t>
      </w:r>
      <w:r>
        <w:rPr>
          <w:rFonts w:eastAsia="IRNazanin" w:cs="IRNazanin"/>
          <w:b w:val="false"/>
          <w:bCs w:val="false"/>
          <w:i w:val="false"/>
          <w:iCs w:val="false"/>
          <w:color w:val="333333"/>
          <w:sz w:val="20"/>
          <w:szCs w:val="20"/>
        </w:rPr>
        <w:t>4:551</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 عنهم ذلک فی المصابیح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،و مفتاح الکرامة </w:t>
      </w:r>
      <w:r>
        <w:rPr>
          <w:rFonts w:eastAsia="IRNazanin" w:cs="IRNazanin"/>
          <w:b w:val="false"/>
          <w:bCs w:val="false"/>
          <w:i w:val="false"/>
          <w:iCs w:val="false"/>
          <w:color w:val="333333"/>
          <w:sz w:val="20"/>
          <w:szCs w:val="20"/>
        </w:rPr>
        <w:t>4:551</w:t>
      </w:r>
      <w:r>
        <w:rPr>
          <w:rFonts w:ascii="IRNazanin" w:hAnsi="IRNazanin" w:eastAsia="IRNazanin"/>
          <w:b w:val="false"/>
          <w:b w:val="false"/>
          <w:bCs w:val="false"/>
          <w:i w:val="false"/>
          <w:i w:val="false"/>
          <w:iCs w:val="false"/>
          <w:color w:val="333333"/>
          <w:sz w:val="20"/>
          <w:sz w:val="20"/>
          <w:szCs w:val="20"/>
          <w:rtl w:val="true"/>
        </w:rPr>
        <w:t>، و المقابس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،مع تفاوت فی النسبة من حیث التصریح فی بعض و الظهور فی آخر،انظر المبسوط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،و جامع المقاصد </w:t>
      </w:r>
      <w:r>
        <w:rPr>
          <w:rFonts w:eastAsia="IRNazanin" w:cs="IRNazanin"/>
          <w:b w:val="false"/>
          <w:bCs w:val="false"/>
          <w:i w:val="false"/>
          <w:iCs w:val="false"/>
          <w:color w:val="333333"/>
          <w:sz w:val="20"/>
          <w:szCs w:val="20"/>
        </w:rPr>
        <w:t>4:289</w:t>
      </w:r>
      <w:r>
        <w:rPr>
          <w:rFonts w:ascii="IRNazanin" w:hAnsi="IRNazanin" w:eastAsia="IRNazanin"/>
          <w:b w:val="false"/>
          <w:b w:val="false"/>
          <w:bCs w:val="false"/>
          <w:i w:val="false"/>
          <w:i w:val="false"/>
          <w:iCs w:val="false"/>
          <w:color w:val="333333"/>
          <w:sz w:val="20"/>
          <w:sz w:val="20"/>
          <w:szCs w:val="20"/>
          <w:rtl w:val="true"/>
        </w:rPr>
        <w:t xml:space="preserve">،و الروضة </w:t>
      </w:r>
      <w:r>
        <w:rPr>
          <w:rFonts w:eastAsia="IRNazanin" w:cs="IRNazanin"/>
          <w:b w:val="false"/>
          <w:bCs w:val="false"/>
          <w:i w:val="false"/>
          <w:iCs w:val="false"/>
          <w:color w:val="333333"/>
          <w:sz w:val="20"/>
          <w:szCs w:val="20"/>
        </w:rPr>
        <w:t>3:449</w:t>
      </w:r>
      <w:r>
        <w:rPr>
          <w:rFonts w:ascii="IRNazanin" w:hAnsi="IRNazanin" w:eastAsia="IRNazanin"/>
          <w:b w:val="false"/>
          <w:b w:val="false"/>
          <w:bCs w:val="false"/>
          <w:i w:val="false"/>
          <w:i w:val="false"/>
          <w:iCs w:val="false"/>
          <w:color w:val="333333"/>
          <w:sz w:val="20"/>
          <w:sz w:val="20"/>
          <w:szCs w:val="20"/>
          <w:rtl w:val="true"/>
        </w:rPr>
        <w:t xml:space="preserve">، و المسالک </w:t>
      </w:r>
      <w:r>
        <w:rPr>
          <w:rFonts w:eastAsia="IRNazanin" w:cs="IRNazanin"/>
          <w:b w:val="false"/>
          <w:bCs w:val="false"/>
          <w:i w:val="false"/>
          <w:iCs w:val="false"/>
          <w:color w:val="333333"/>
          <w:sz w:val="20"/>
          <w:szCs w:val="20"/>
        </w:rPr>
        <w:t>3:196</w:t>
      </w:r>
      <w:r>
        <w:rPr>
          <w:rFonts w:ascii="IRNazanin" w:hAnsi="IRNazanin" w:eastAsia="IRNazanin"/>
          <w:b w:val="false"/>
          <w:b w:val="false"/>
          <w:bCs w:val="false"/>
          <w:i w:val="false"/>
          <w:i w:val="false"/>
          <w:iCs w:val="false"/>
          <w:color w:val="333333"/>
          <w:sz w:val="20"/>
          <w:sz w:val="20"/>
          <w:szCs w:val="20"/>
          <w:rtl w:val="true"/>
        </w:rPr>
        <w:t xml:space="preserve">،و الإرشاد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البیوع</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،و حکاه عن ظاهره و ظاهر قبله السیّد العاملی فی مفتاح الکرامة </w:t>
      </w:r>
      <w:r>
        <w:rPr>
          <w:rFonts w:eastAsia="IRNazanin" w:cs="IRNazanin"/>
          <w:b w:val="false"/>
          <w:bCs w:val="false"/>
          <w:i w:val="false"/>
          <w:iCs w:val="false"/>
          <w:color w:val="333333"/>
          <w:sz w:val="20"/>
          <w:szCs w:val="20"/>
        </w:rPr>
        <w:t>4:551</w:t>
      </w:r>
      <w:r>
        <w:rPr>
          <w:rFonts w:ascii="IRNazanin" w:hAnsi="IRNazanin" w:eastAsia="IRNazanin"/>
          <w:b w:val="false"/>
          <w:b w:val="false"/>
          <w:bCs w:val="false"/>
          <w:i w:val="false"/>
          <w:i w:val="false"/>
          <w:iCs w:val="false"/>
          <w:color w:val="333333"/>
          <w:sz w:val="20"/>
          <w:sz w:val="20"/>
          <w:szCs w:val="20"/>
          <w:rtl w:val="true"/>
        </w:rPr>
        <w:t>،و التستری فی المقابس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عنهم فی الصفحة المتقدّمة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عنه فی الصفحة المتقدّمة</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عنهم فی الصفحة المتقدّمة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البیوع</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السیّد العاملی فی مفتاح الکرامة </w:t>
      </w:r>
      <w:r>
        <w:rPr>
          <w:rFonts w:eastAsia="IRNazanin" w:cs="IRNazanin"/>
          <w:b w:val="false"/>
          <w:bCs w:val="false"/>
          <w:i w:val="false"/>
          <w:iCs w:val="false"/>
          <w:color w:val="333333"/>
          <w:sz w:val="20"/>
          <w:szCs w:val="20"/>
        </w:rPr>
        <w:t>4:551</w:t>
      </w:r>
      <w:r>
        <w:rPr>
          <w:rFonts w:ascii="IRNazanin" w:hAnsi="IRNazanin" w:eastAsia="IRNazanin"/>
          <w:b w:val="false"/>
          <w:b w:val="false"/>
          <w:bCs w:val="false"/>
          <w:i w:val="false"/>
          <w:i w:val="false"/>
          <w:iCs w:val="false"/>
          <w:color w:val="333333"/>
          <w:sz w:val="20"/>
          <w:sz w:val="20"/>
          <w:szCs w:val="20"/>
          <w:rtl w:val="true"/>
        </w:rPr>
        <w:t xml:space="preserve">،و راجع التذکرة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4:288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تقدّم فی الصفحة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فی المقابس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ظاهره،و راجع کنز الفوائد </w:t>
      </w:r>
      <w:r>
        <w:rPr>
          <w:rFonts w:eastAsia="IRNazanin" w:cs="IRNazanin"/>
          <w:b w:val="false"/>
          <w:bCs w:val="false"/>
          <w:i w:val="false"/>
          <w:iCs w:val="false"/>
          <w:color w:val="333333"/>
          <w:sz w:val="20"/>
          <w:szCs w:val="20"/>
        </w:rPr>
        <w:t>1:447</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اتفاقاً</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عبارته فی الصفحة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ما بین المعقوفتین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ورد 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سقوط خیار المختار خاصّة،راجع الصفحة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قوله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البیّعان بالخیار حتّی یفترقا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ذکره فی الصفحة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عنهما</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،و نسبه المحقّق التستری قدّس سرّه إلی ظاهر ابن زهرة و الفاضلین فی الشرائع و الإرشاد و فتوی الأخیر فی التحریر و الشهید الثانی فی الروضة،انظر المقابس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عنها المحقّق التستری فی المقابس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،و الموجود فی التذکرة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وجد التمکّن،هل هو علی الفور؟فیه ما سبق من الخلاف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التذکرة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علیه،و لعلّه یستفاد من عبارات المصابیح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،و مفتاح الکرامة </w:t>
      </w:r>
      <w:r>
        <w:rPr>
          <w:rFonts w:eastAsia="IRNazanin" w:cs="IRNazanin"/>
          <w:b w:val="false"/>
          <w:bCs w:val="false"/>
          <w:i w:val="false"/>
          <w:iCs w:val="false"/>
          <w:color w:val="333333"/>
          <w:sz w:val="20"/>
          <w:szCs w:val="20"/>
        </w:rPr>
        <w:t>4:547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،و المقابس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،و المناهل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مفتاح الکرامة </w:t>
      </w:r>
      <w:r>
        <w:rPr>
          <w:rFonts w:eastAsia="IRNazanin" w:cs="IRNazanin"/>
          <w:b w:val="false"/>
          <w:bCs w:val="false"/>
          <w:i w:val="false"/>
          <w:iCs w:val="false"/>
          <w:color w:val="333333"/>
          <w:sz w:val="20"/>
          <w:szCs w:val="20"/>
        </w:rPr>
        <w:t>4:548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البیوع،و جواهر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،و 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،و السرائر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12:351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الخیار،الحدیث الأوّل</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،الثالث من مسقطات خیار الحیوان</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للمشتری</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12:348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شطب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فی المختلف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،و الریاض </w:t>
      </w:r>
      <w:r>
        <w:rPr>
          <w:rFonts w:eastAsia="IRNazanin" w:cs="IRNazanin"/>
          <w:b w:val="false"/>
          <w:bCs w:val="false"/>
          <w:i w:val="false"/>
          <w:iCs w:val="false"/>
          <w:color w:val="333333"/>
          <w:sz w:val="20"/>
          <w:szCs w:val="20"/>
        </w:rPr>
        <w:t>8:181</w:t>
      </w:r>
      <w:r>
        <w:rPr>
          <w:rFonts w:ascii="IRNazanin" w:hAnsi="IRNazanin" w:eastAsia="IRNazanin"/>
          <w:b w:val="false"/>
          <w:b w:val="false"/>
          <w:bCs w:val="false"/>
          <w:i w:val="false"/>
          <w:i w:val="false"/>
          <w:iCs w:val="false"/>
          <w:color w:val="333333"/>
          <w:sz w:val="20"/>
          <w:sz w:val="20"/>
          <w:szCs w:val="20"/>
          <w:rtl w:val="true"/>
        </w:rPr>
        <w:t xml:space="preserve">،و مفتاح الکرامة </w:t>
      </w:r>
      <w:r>
        <w:rPr>
          <w:rFonts w:eastAsia="IRNazanin" w:cs="IRNazanin"/>
          <w:b w:val="false"/>
          <w:bCs w:val="false"/>
          <w:i w:val="false"/>
          <w:iCs w:val="false"/>
          <w:color w:val="333333"/>
          <w:sz w:val="20"/>
          <w:szCs w:val="20"/>
        </w:rPr>
        <w:t>4:553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،و المستند </w:t>
      </w:r>
      <w:r>
        <w:rPr>
          <w:rFonts w:eastAsia="IRNazanin" w:cs="IRNazanin"/>
          <w:b w:val="false"/>
          <w:bCs w:val="false"/>
          <w:i w:val="false"/>
          <w:iCs w:val="false"/>
          <w:color w:val="333333"/>
          <w:sz w:val="20"/>
          <w:szCs w:val="20"/>
        </w:rPr>
        <w:t>14:375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،و المبسوط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،و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،و المهذّب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،و الدروس </w:t>
      </w:r>
      <w:r>
        <w:rPr>
          <w:rFonts w:eastAsia="IRNazanin" w:cs="IRNazanin"/>
          <w:b w:val="false"/>
          <w:bCs w:val="false"/>
          <w:i w:val="false"/>
          <w:iCs w:val="false"/>
          <w:color w:val="333333"/>
          <w:sz w:val="20"/>
          <w:szCs w:val="20"/>
        </w:rPr>
        <w:t>3:272</w:t>
      </w:r>
      <w:r>
        <w:rPr>
          <w:rFonts w:ascii="IRNazanin" w:hAnsi="IRNazanin" w:eastAsia="IRNazanin"/>
          <w:b w:val="false"/>
          <w:b w:val="false"/>
          <w:bCs w:val="false"/>
          <w:i w:val="false"/>
          <w:i w:val="false"/>
          <w:iCs w:val="false"/>
          <w:color w:val="333333"/>
          <w:sz w:val="20"/>
          <w:sz w:val="20"/>
          <w:szCs w:val="20"/>
          <w:rtl w:val="true"/>
        </w:rPr>
        <w:t xml:space="preserve">، و الروضة </w:t>
      </w:r>
      <w:r>
        <w:rPr>
          <w:rFonts w:eastAsia="IRNazanin" w:cs="IRNazanin"/>
          <w:b w:val="false"/>
          <w:bCs w:val="false"/>
          <w:i w:val="false"/>
          <w:iCs w:val="false"/>
          <w:color w:val="333333"/>
          <w:sz w:val="20"/>
          <w:szCs w:val="20"/>
        </w:rPr>
        <w:t>3:450</w:t>
      </w:r>
      <w:r>
        <w:rPr>
          <w:rFonts w:ascii="IRNazanin" w:hAnsi="IRNazanin" w:eastAsia="IRNazanin"/>
          <w:b w:val="false"/>
          <w:b w:val="false"/>
          <w:bCs w:val="false"/>
          <w:i w:val="false"/>
          <w:i w:val="false"/>
          <w:iCs w:val="false"/>
          <w:color w:val="333333"/>
          <w:sz w:val="20"/>
          <w:sz w:val="20"/>
          <w:szCs w:val="20"/>
          <w:rtl w:val="true"/>
        </w:rPr>
        <w:t xml:space="preserve">،و جامع المقاصد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،و الشرائع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،و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و النزهة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،و المختلف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،و الإیضاح </w:t>
      </w:r>
      <w:r>
        <w:rPr>
          <w:rFonts w:eastAsia="IRNazanin" w:cs="IRNazanin"/>
          <w:b w:val="false"/>
          <w:bCs w:val="false"/>
          <w:i w:val="false"/>
          <w:iCs w:val="false"/>
          <w:color w:val="333333"/>
          <w:sz w:val="20"/>
          <w:szCs w:val="20"/>
        </w:rPr>
        <w:t>1:483</w:t>
      </w:r>
      <w:r>
        <w:rPr>
          <w:rFonts w:ascii="IRNazanin" w:hAnsi="IRNazanin" w:eastAsia="IRNazanin"/>
          <w:b w:val="false"/>
          <w:b w:val="false"/>
          <w:bCs w:val="false"/>
          <w:i w:val="false"/>
          <w:i w:val="false"/>
          <w:iCs w:val="false"/>
          <w:color w:val="333333"/>
          <w:sz w:val="20"/>
          <w:sz w:val="20"/>
          <w:szCs w:val="20"/>
          <w:rtl w:val="true"/>
        </w:rPr>
        <w:t xml:space="preserve">،و التنقیح الرائع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بعینه،نعم فی الریاض </w:t>
      </w:r>
      <w:r>
        <w:rPr>
          <w:rFonts w:eastAsia="IRNazanin" w:cs="IRNazanin"/>
          <w:b w:val="false"/>
          <w:bCs w:val="false"/>
          <w:i w:val="false"/>
          <w:iCs w:val="false"/>
          <w:color w:val="333333"/>
          <w:sz w:val="20"/>
          <w:szCs w:val="20"/>
        </w:rPr>
        <w:t>8:181</w:t>
      </w:r>
      <w:r>
        <w:rPr>
          <w:rFonts w:ascii="IRNazanin" w:hAnsi="IRNazanin" w:eastAsia="IRNazanin"/>
          <w:b w:val="false"/>
          <w:b w:val="false"/>
          <w:bCs w:val="false"/>
          <w:i w:val="false"/>
          <w:i w:val="false"/>
          <w:iCs w:val="false"/>
          <w:color w:val="333333"/>
          <w:sz w:val="20"/>
          <w:sz w:val="20"/>
          <w:szCs w:val="20"/>
          <w:rtl w:val="true"/>
        </w:rPr>
        <w:t xml:space="preserve">،و المستند </w:t>
      </w:r>
      <w:r>
        <w:rPr>
          <w:rFonts w:eastAsia="IRNazanin" w:cs="IRNazanin"/>
          <w:b w:val="false"/>
          <w:bCs w:val="false"/>
          <w:i w:val="false"/>
          <w:iCs w:val="false"/>
          <w:color w:val="333333"/>
          <w:sz w:val="20"/>
          <w:szCs w:val="20"/>
        </w:rPr>
        <w:t>14:375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عامّة المتأخّرین</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صاحب الجواهر فی الجواهر </w:t>
      </w:r>
      <w:r>
        <w:rPr>
          <w:rFonts w:eastAsia="IRNazanin" w:cs="IRNazanin"/>
          <w:b w:val="false"/>
          <w:bCs w:val="false"/>
          <w:i w:val="false"/>
          <w:iCs w:val="false"/>
          <w:color w:val="333333"/>
          <w:sz w:val="20"/>
          <w:szCs w:val="20"/>
        </w:rPr>
        <w:t>23:24</w:t>
      </w:r>
      <w:r>
        <w:rPr>
          <w:rFonts w:ascii="IRNazanin" w:hAnsi="IRNazanin" w:eastAsia="IRNazanin"/>
          <w:b w:val="false"/>
          <w:b w:val="false"/>
          <w:bCs w:val="false"/>
          <w:i w:val="false"/>
          <w:i w:val="false"/>
          <w:iCs w:val="false"/>
          <w:color w:val="333333"/>
          <w:sz w:val="20"/>
          <w:sz w:val="20"/>
          <w:szCs w:val="20"/>
          <w:rtl w:val="true"/>
        </w:rPr>
        <w:t>،و راجع 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،و الدروس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12:346</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الخیار،الحدیث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12:349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،الباب الأوّل منها،الحدیث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12:346</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الخیار،الحدیث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3:201</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3761</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12:349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الخیار،الحدیث الأوّل</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أنّه سهو</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12:351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الخیار،الحدیث الأوّل</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لعلّها من سهو القلم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12:350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عنهما الشهید فی غایة المراد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12:349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متقدّمة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المحقّق التستری فی المقابس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،و احتمله فی الجواهر </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3:200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المراد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 لدینا،لکن حکاه عنها السید العاملی فی مفتاح الکرامة </w:t>
      </w:r>
      <w:r>
        <w:rPr>
          <w:rFonts w:eastAsia="IRNazanin" w:cs="IRNazanin"/>
          <w:b w:val="false"/>
          <w:bCs w:val="false"/>
          <w:i w:val="false"/>
          <w:iCs w:val="false"/>
          <w:color w:val="333333"/>
          <w:sz w:val="20"/>
          <w:szCs w:val="20"/>
        </w:rPr>
        <w:t>4:555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الأردبیلی </w:t>
      </w:r>
      <w:r>
        <w:rPr>
          <w:rFonts w:eastAsia="IRNazanin" w:cs="IRNazanin"/>
          <w:b w:val="false"/>
          <w:bCs w:val="false"/>
          <w:i w:val="false"/>
          <w:iCs w:val="false"/>
          <w:color w:val="333333"/>
          <w:sz w:val="20"/>
          <w:szCs w:val="20"/>
        </w:rPr>
        <w:t>8:392</w:t>
      </w:r>
      <w:r>
        <w:rPr>
          <w:rFonts w:ascii="IRNazanin" w:hAnsi="IRNazanin" w:eastAsia="IRNazanin"/>
          <w:b w:val="false"/>
          <w:b w:val="false"/>
          <w:bCs w:val="false"/>
          <w:i w:val="false"/>
          <w:i w:val="false"/>
          <w:iCs w:val="false"/>
          <w:color w:val="333333"/>
          <w:sz w:val="20"/>
          <w:sz w:val="20"/>
          <w:szCs w:val="20"/>
          <w:rtl w:val="true"/>
        </w:rPr>
        <w:t xml:space="preserve">،و المحدّث البحرانی فی الحدائق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،و المحقّق النراقی فی المستند </w:t>
      </w:r>
      <w:r>
        <w:rPr>
          <w:rFonts w:eastAsia="IRNazanin" w:cs="IRNazanin"/>
          <w:b w:val="false"/>
          <w:bCs w:val="false"/>
          <w:i w:val="false"/>
          <w:iCs w:val="false"/>
          <w:color w:val="333333"/>
          <w:sz w:val="20"/>
          <w:szCs w:val="20"/>
        </w:rPr>
        <w:t>14:377</w:t>
      </w:r>
      <w:r>
        <w:rPr>
          <w:rFonts w:ascii="IRNazanin" w:hAnsi="IRNazanin" w:eastAsia="IRNazanin"/>
          <w:b w:val="false"/>
          <w:b w:val="false"/>
          <w:bCs w:val="false"/>
          <w:i w:val="false"/>
          <w:i w:val="false"/>
          <w:iCs w:val="false"/>
          <w:color w:val="333333"/>
          <w:sz w:val="20"/>
          <w:sz w:val="20"/>
          <w:szCs w:val="20"/>
          <w:rtl w:val="true"/>
        </w:rPr>
        <w:t xml:space="preserve">،و قوّاه الشهید الثانی فی الروضة </w:t>
      </w:r>
      <w:r>
        <w:rPr>
          <w:rFonts w:eastAsia="IRNazanin" w:cs="IRNazanin"/>
          <w:b w:val="false"/>
          <w:bCs w:val="false"/>
          <w:i w:val="false"/>
          <w:iCs w:val="false"/>
          <w:color w:val="333333"/>
          <w:sz w:val="20"/>
          <w:szCs w:val="20"/>
        </w:rPr>
        <w:t>3:450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3:200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12:345</w:t>
      </w:r>
      <w:r>
        <w:rPr>
          <w:rFonts w:ascii="IRNazanin" w:hAnsi="IRNazanin" w:eastAsia="IRNazanin"/>
          <w:b w:val="false"/>
          <w:b w:val="false"/>
          <w:bCs w:val="false"/>
          <w:i w:val="false"/>
          <w:i w:val="false"/>
          <w:iCs w:val="false"/>
          <w:color w:val="333333"/>
          <w:sz w:val="20"/>
          <w:sz w:val="20"/>
          <w:szCs w:val="20"/>
          <w:rtl w:val="true"/>
        </w:rPr>
        <w:t>،الباب الأوّل من أبواب الخیار،الحدیث الأوّل</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12:349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12:349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صحیحة الفضیل المتقدّمة فی الصفحة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،و 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السیّد العاملی فی مفتاح الکرامة </w:t>
      </w:r>
      <w:r>
        <w:rPr>
          <w:rFonts w:eastAsia="IRNazanin" w:cs="IRNazanin"/>
          <w:b w:val="false"/>
          <w:bCs w:val="false"/>
          <w:i w:val="false"/>
          <w:iCs w:val="false"/>
          <w:color w:val="333333"/>
          <w:sz w:val="20"/>
          <w:szCs w:val="20"/>
        </w:rPr>
        <w:t>4:558</w:t>
      </w:r>
      <w:r>
        <w:rPr>
          <w:rFonts w:ascii="IRNazanin" w:hAnsi="IRNazanin" w:eastAsia="IRNazanin"/>
          <w:b w:val="false"/>
          <w:b w:val="false"/>
          <w:bCs w:val="false"/>
          <w:i w:val="false"/>
          <w:i w:val="false"/>
          <w:iCs w:val="false"/>
          <w:color w:val="333333"/>
          <w:sz w:val="20"/>
          <w:sz w:val="20"/>
          <w:szCs w:val="20"/>
          <w:rtl w:val="true"/>
        </w:rPr>
        <w:t xml:space="preserve">،و صاحب الجواهر فی الجواهر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ظاهرها</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ساقطة من النهایة المتداولة بین أیدینا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نعم،هی موجودة فی النهایة المطبوعة مع نکت النهایة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،و المطبوعة ضمن 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،و نقلها العلامة بلفظها فی المختلف </w:t>
      </w:r>
      <w:r>
        <w:rPr>
          <w:rFonts w:eastAsia="IRNazanin" w:cs="IRNazanin"/>
          <w:b w:val="false"/>
          <w:bCs w:val="false"/>
          <w:i w:val="false"/>
          <w:iCs w:val="false"/>
          <w:color w:val="333333"/>
          <w:sz w:val="20"/>
          <w:szCs w:val="20"/>
        </w:rPr>
        <w:t>5:223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12:349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الباب الأوّل من الأبواب،الحدیث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الاستدلال و ردّه فی مفتاح الکرامة </w:t>
      </w:r>
      <w:r>
        <w:rPr>
          <w:rFonts w:eastAsia="IRNazanin" w:cs="IRNazanin"/>
          <w:b w:val="false"/>
          <w:bCs w:val="false"/>
          <w:i w:val="false"/>
          <w:iCs w:val="false"/>
          <w:color w:val="333333"/>
          <w:sz w:val="20"/>
          <w:szCs w:val="20"/>
        </w:rPr>
        <w:t>4:553</w:t>
      </w:r>
      <w:r>
        <w:rPr>
          <w:rFonts w:ascii="IRNazanin" w:hAnsi="IRNazanin" w:eastAsia="IRNazanin"/>
          <w:b w:val="false"/>
          <w:b w:val="false"/>
          <w:bCs w:val="false"/>
          <w:i w:val="false"/>
          <w:i w:val="false"/>
          <w:iCs w:val="false"/>
          <w:color w:val="333333"/>
          <w:sz w:val="20"/>
          <w:sz w:val="20"/>
          <w:szCs w:val="20"/>
          <w:rtl w:val="true"/>
        </w:rPr>
        <w:t xml:space="preserve">،و الجواهر </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للزوم،و لعلّه من سهو القلم</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12:352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محمولة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ما بأیدینا من کتب معاصریه،نعم فی بعض الشروح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المحقّق الشیخ علی کاشف الغطاء قدّس سرّه فی تعلیقته علی اللمعة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أیضاً،لکن ذکر الشهیدی بعد توجیه العبارة بصیغة الإثبات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فی بعض النسخ المصحّحة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اختصاص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وجّهه أیضاً بتوجیهٍ،راجع هدایة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السیّد العاملی فی مفتاح الکرامة </w:t>
      </w:r>
      <w:r>
        <w:rPr>
          <w:rFonts w:eastAsia="IRNazanin" w:cs="IRNazanin"/>
          <w:b w:val="false"/>
          <w:bCs w:val="false"/>
          <w:i w:val="false"/>
          <w:iCs w:val="false"/>
          <w:color w:val="333333"/>
          <w:sz w:val="20"/>
          <w:szCs w:val="20"/>
        </w:rPr>
        <w:t>4:558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باقی</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 السیّد العاملی فی مفتاح الکرامة </w:t>
      </w:r>
      <w:r>
        <w:rPr>
          <w:rFonts w:eastAsia="IRNazanin" w:cs="IRNazanin"/>
          <w:b w:val="false"/>
          <w:bCs w:val="false"/>
          <w:i w:val="false"/>
          <w:iCs w:val="false"/>
          <w:color w:val="333333"/>
          <w:sz w:val="20"/>
          <w:szCs w:val="20"/>
        </w:rPr>
        <w:t>4:559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تقدّما فی الصفحة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12:351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الخیار،الحدیث الأوّل</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وفاقاً للتهذیب،و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الثلاثة الأیّام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،وفاقاً للوسائل</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یحدثها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سهو</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یرکبها</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12:351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12:351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زهاد</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الصفحة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12:352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حقیقة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دلالة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تشرب</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المقاصد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،و المسالک </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یجیء فی الصفحة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xml:space="preserve">،و الدروس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12:359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الخیار،الحدیث الأوّل</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 التکرار من سهو القلم</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شُطب علیه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کتب أعلاه ما أثبتناه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الجواهر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3:227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،لکنّه موجود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المصدر،و فیما تقدّم فی الصفحة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،و انظر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التذکرة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فی الدروس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للمختبر</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ذهل عن کون المشتراة ذات خیار</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4:305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4:304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السیّد العاملی فی مفتاح الکرامة </w:t>
      </w:r>
      <w:r>
        <w:rPr>
          <w:rFonts w:eastAsia="IRNazanin" w:cs="IRNazanin"/>
          <w:b w:val="false"/>
          <w:bCs w:val="false"/>
          <w:i w:val="false"/>
          <w:iCs w:val="false"/>
          <w:color w:val="333333"/>
          <w:sz w:val="20"/>
          <w:szCs w:val="20"/>
        </w:rPr>
        <w:t>4:560</w:t>
      </w:r>
      <w:r>
        <w:rPr>
          <w:rFonts w:ascii="IRNazanin" w:hAnsi="IRNazanin" w:eastAsia="IRNazanin"/>
          <w:b w:val="false"/>
          <w:b w:val="false"/>
          <w:bCs w:val="false"/>
          <w:i w:val="false"/>
          <w:i w:val="false"/>
          <w:iCs w:val="false"/>
          <w:color w:val="333333"/>
          <w:sz w:val="20"/>
          <w:sz w:val="20"/>
          <w:szCs w:val="20"/>
          <w:rtl w:val="true"/>
        </w:rPr>
        <w:t xml:space="preserve">،و انظر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الریاض </w:t>
      </w:r>
      <w:r>
        <w:rPr>
          <w:rFonts w:eastAsia="IRNazanin" w:cs="IRNazanin"/>
          <w:b w:val="false"/>
          <w:bCs w:val="false"/>
          <w:i w:val="false"/>
          <w:iCs w:val="false"/>
          <w:color w:val="333333"/>
          <w:sz w:val="20"/>
          <w:szCs w:val="20"/>
        </w:rPr>
        <w:t>8:202</w:t>
      </w:r>
      <w:r>
        <w:rPr>
          <w:rFonts w:ascii="IRNazanin" w:hAnsi="IRNazanin" w:eastAsia="IRNazanin"/>
          <w:b w:val="false"/>
          <w:b w:val="false"/>
          <w:bCs w:val="false"/>
          <w:i w:val="false"/>
          <w:i w:val="false"/>
          <w:iCs w:val="false"/>
          <w:color w:val="333333"/>
          <w:sz w:val="20"/>
          <w:sz w:val="20"/>
          <w:szCs w:val="20"/>
          <w:rtl w:val="true"/>
        </w:rPr>
        <w:t xml:space="preserve">،و مفتاح الکرامة </w:t>
      </w:r>
      <w:r>
        <w:rPr>
          <w:rFonts w:eastAsia="IRNazanin" w:cs="IRNazanin"/>
          <w:b w:val="false"/>
          <w:bCs w:val="false"/>
          <w:i w:val="false"/>
          <w:iCs w:val="false"/>
          <w:color w:val="333333"/>
          <w:sz w:val="20"/>
          <w:szCs w:val="20"/>
        </w:rPr>
        <w:t>4:560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الصفحة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الصفحة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12:360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الخیار،الحدیث الأوّل</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،و عنه فی الوسائل </w:t>
      </w:r>
      <w:r>
        <w:rPr>
          <w:rFonts w:eastAsia="IRNazanin" w:cs="IRNazanin"/>
          <w:b w:val="false"/>
          <w:bCs w:val="false"/>
          <w:i w:val="false"/>
          <w:iCs w:val="false"/>
          <w:color w:val="333333"/>
          <w:sz w:val="20"/>
          <w:szCs w:val="20"/>
        </w:rPr>
        <w:t>12:360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الخیار،ذیل الحدیث الأوّل</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الشهید الثانی فی الروضة </w:t>
      </w:r>
      <w:r>
        <w:rPr>
          <w:rFonts w:eastAsia="IRNazanin" w:cs="IRNazanin"/>
          <w:b w:val="false"/>
          <w:bCs w:val="false"/>
          <w:i w:val="false"/>
          <w:iCs w:val="false"/>
          <w:color w:val="333333"/>
          <w:sz w:val="20"/>
          <w:szCs w:val="20"/>
        </w:rPr>
        <w:t>3:451</w:t>
      </w:r>
      <w:r>
        <w:rPr>
          <w:rFonts w:ascii="IRNazanin" w:hAnsi="IRNazanin" w:eastAsia="IRNazanin"/>
          <w:b w:val="false"/>
          <w:b w:val="false"/>
          <w:bCs w:val="false"/>
          <w:i w:val="false"/>
          <w:i w:val="false"/>
          <w:iCs w:val="false"/>
          <w:color w:val="333333"/>
          <w:sz w:val="20"/>
          <w:sz w:val="20"/>
          <w:szCs w:val="20"/>
          <w:rtl w:val="true"/>
        </w:rPr>
        <w:t>،و قال السیّد المجاهد فی 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نقل القولین فی التصرّفات المراد منها مجرّد الاختبار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المسألة محلّ إشکال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 الأقوال فی التصرّف للاستخبار،المقابس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السیّد المرتضی فی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،و الشیخ فی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،ذیل المسألة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البیوع،و ابن زهرة فی 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 انظر مفتاح الکرامة </w:t>
      </w:r>
      <w:r>
        <w:rPr>
          <w:rFonts w:eastAsia="IRNazanin" w:cs="IRNazanin"/>
          <w:b w:val="false"/>
          <w:bCs w:val="false"/>
          <w:i w:val="false"/>
          <w:iCs w:val="false"/>
          <w:color w:val="333333"/>
          <w:sz w:val="20"/>
          <w:szCs w:val="20"/>
        </w:rPr>
        <w:t>4:560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12:353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المستدرک </w:t>
      </w:r>
      <w:r>
        <w:rPr>
          <w:rFonts w:eastAsia="IRNazanin" w:cs="IRNazanin"/>
          <w:b w:val="false"/>
          <w:bCs w:val="false"/>
          <w:i w:val="false"/>
          <w:iCs w:val="false"/>
          <w:color w:val="333333"/>
          <w:sz w:val="20"/>
          <w:szCs w:val="20"/>
        </w:rPr>
        <w:t>13:300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12:353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12:354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12:353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الخیار،الحدیث الأوّل</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فی المقابس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،و راجع مفتاح الکرامة </w:t>
      </w:r>
      <w:r>
        <w:rPr>
          <w:rFonts w:eastAsia="IRNazanin" w:cs="IRNazanin"/>
          <w:b w:val="false"/>
          <w:bCs w:val="false"/>
          <w:i w:val="false"/>
          <w:iCs w:val="false"/>
          <w:color w:val="333333"/>
          <w:sz w:val="20"/>
          <w:szCs w:val="20"/>
        </w:rPr>
        <w:t>4:561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المناسب ما أثبتناه،کما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الأساطین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کاشف الغطاء قدّس سرّه،و لکن لم نعثر علیه فی شرحه علی القواعد</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السلف،الحدیث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استدلّ به فی الجواهر </w:t>
      </w:r>
      <w:r>
        <w:rPr>
          <w:rFonts w:eastAsia="IRNazanin" w:cs="IRNazanin"/>
          <w:b w:val="false"/>
          <w:bCs w:val="false"/>
          <w:i w:val="false"/>
          <w:iCs w:val="false"/>
          <w:color w:val="333333"/>
          <w:sz w:val="20"/>
          <w:szCs w:val="20"/>
        </w:rPr>
        <w:t>23:32</w:t>
      </w:r>
      <w:r>
        <w:rPr>
          <w:rFonts w:ascii="IRNazanin" w:hAnsi="IRNazanin" w:eastAsia="IRNazanin"/>
          <w:b w:val="false"/>
          <w:b w:val="false"/>
          <w:bCs w:val="false"/>
          <w:i w:val="false"/>
          <w:i w:val="false"/>
          <w:iCs w:val="false"/>
          <w:color w:val="333333"/>
          <w:sz w:val="20"/>
          <w:sz w:val="20"/>
          <w:szCs w:val="20"/>
          <w:rtl w:val="true"/>
        </w:rPr>
        <w:t>،و استدلّ به فی المصابیح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السیّد العاملی فی مفتاح الکرامة </w:t>
      </w:r>
      <w:r>
        <w:rPr>
          <w:rFonts w:eastAsia="IRNazanin" w:cs="IRNazanin"/>
          <w:b w:val="false"/>
          <w:bCs w:val="false"/>
          <w:i w:val="false"/>
          <w:iCs w:val="false"/>
          <w:color w:val="333333"/>
          <w:sz w:val="20"/>
          <w:szCs w:val="20"/>
        </w:rPr>
        <w:t>4:561</w:t>
      </w:r>
      <w:r>
        <w:rPr>
          <w:rFonts w:ascii="IRNazanin" w:hAnsi="IRNazanin" w:eastAsia="IRNazanin"/>
          <w:b w:val="false"/>
          <w:b w:val="false"/>
          <w:bCs w:val="false"/>
          <w:i w:val="false"/>
          <w:i w:val="false"/>
          <w:iCs w:val="false"/>
          <w:color w:val="333333"/>
          <w:sz w:val="20"/>
          <w:sz w:val="20"/>
          <w:szCs w:val="20"/>
          <w:rtl w:val="true"/>
        </w:rPr>
        <w:t>،و راجع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و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،و الخلاف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 الجواهر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،و 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،و 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الثانیة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أیضاً السیّد العاملی فی مفتاح الکرامة </w:t>
      </w:r>
      <w:r>
        <w:rPr>
          <w:rFonts w:eastAsia="IRNazanin" w:cs="IRNazanin"/>
          <w:b w:val="false"/>
          <w:bCs w:val="false"/>
          <w:i w:val="false"/>
          <w:iCs w:val="false"/>
          <w:color w:val="333333"/>
          <w:sz w:val="20"/>
          <w:szCs w:val="20"/>
        </w:rPr>
        <w:t>4:561</w:t>
      </w:r>
      <w:r>
        <w:rPr>
          <w:rFonts w:ascii="IRNazanin" w:hAnsi="IRNazanin" w:eastAsia="IRNazanin"/>
          <w:b w:val="false"/>
          <w:b w:val="false"/>
          <w:bCs w:val="false"/>
          <w:i w:val="false"/>
          <w:i w:val="false"/>
          <w:iCs w:val="false"/>
          <w:color w:val="333333"/>
          <w:sz w:val="20"/>
          <w:sz w:val="20"/>
          <w:szCs w:val="20"/>
          <w:rtl w:val="true"/>
        </w:rPr>
        <w:t>،و راجع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المسألة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،و 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،و الجواهر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أیضاً السیّد العاملی فی مفتاح الکرامة </w:t>
      </w:r>
      <w:r>
        <w:rPr>
          <w:rFonts w:eastAsia="IRNazanin" w:cs="IRNazanin"/>
          <w:b w:val="false"/>
          <w:bCs w:val="false"/>
          <w:i w:val="false"/>
          <w:iCs w:val="false"/>
          <w:color w:val="333333"/>
          <w:sz w:val="20"/>
          <w:szCs w:val="20"/>
        </w:rPr>
        <w:t>4:561</w:t>
      </w:r>
      <w:r>
        <w:rPr>
          <w:rFonts w:ascii="IRNazanin" w:hAnsi="IRNazanin" w:eastAsia="IRNazanin"/>
          <w:b w:val="false"/>
          <w:b w:val="false"/>
          <w:bCs w:val="false"/>
          <w:i w:val="false"/>
          <w:i w:val="false"/>
          <w:iCs w:val="false"/>
          <w:color w:val="333333"/>
          <w:sz w:val="20"/>
          <w:sz w:val="20"/>
          <w:szCs w:val="20"/>
          <w:rtl w:val="true"/>
        </w:rPr>
        <w:t xml:space="preserve">،و راجع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،ذیل المسألة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السیّد الطباطبائی فی المصابیح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،و صاحب الجواهر فی الجواهر </w:t>
      </w:r>
      <w:r>
        <w:rPr>
          <w:rFonts w:eastAsia="IRNazanin" w:cs="IRNazanin"/>
          <w:b w:val="false"/>
          <w:bCs w:val="false"/>
          <w:i w:val="false"/>
          <w:iCs w:val="false"/>
          <w:color w:val="333333"/>
          <w:sz w:val="20"/>
          <w:szCs w:val="20"/>
        </w:rPr>
        <w:t>23:34</w:t>
      </w:r>
      <w:r>
        <w:rPr>
          <w:rFonts w:ascii="IRNazanin" w:hAnsi="IRNazanin" w:eastAsia="IRNazanin"/>
          <w:b w:val="false"/>
          <w:b w:val="false"/>
          <w:bCs w:val="false"/>
          <w:i w:val="false"/>
          <w:i w:val="false"/>
          <w:iCs w:val="false"/>
          <w:color w:val="333333"/>
          <w:sz w:val="20"/>
          <w:sz w:val="20"/>
          <w:szCs w:val="20"/>
          <w:rtl w:val="true"/>
        </w:rPr>
        <w:t xml:space="preserve">،و انظر الدروس </w:t>
      </w:r>
      <w:r>
        <w:rPr>
          <w:rFonts w:eastAsia="IRNazanin" w:cs="IRNazanin"/>
          <w:b w:val="false"/>
          <w:bCs w:val="false"/>
          <w:i w:val="false"/>
          <w:iCs w:val="false"/>
          <w:color w:val="333333"/>
          <w:sz w:val="20"/>
          <w:szCs w:val="20"/>
        </w:rPr>
        <w:t>3:269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صاحب الجواهر فی الجواهر </w:t>
      </w:r>
      <w:r>
        <w:rPr>
          <w:rFonts w:eastAsia="IRNazanin" w:cs="IRNazanin"/>
          <w:b w:val="false"/>
          <w:bCs w:val="false"/>
          <w:i w:val="false"/>
          <w:iCs w:val="false"/>
          <w:color w:val="333333"/>
          <w:sz w:val="20"/>
          <w:szCs w:val="20"/>
        </w:rPr>
        <w:t>23:34</w:t>
      </w:r>
      <w:r>
        <w:rPr>
          <w:rFonts w:ascii="IRNazanin" w:hAnsi="IRNazanin" w:eastAsia="IRNazanin"/>
          <w:b w:val="false"/>
          <w:b w:val="false"/>
          <w:bCs w:val="false"/>
          <w:i w:val="false"/>
          <w:i w:val="false"/>
          <w:iCs w:val="false"/>
          <w:color w:val="333333"/>
          <w:sz w:val="20"/>
          <w:sz w:val="20"/>
          <w:szCs w:val="20"/>
          <w:rtl w:val="true"/>
        </w:rPr>
        <w:t>،و انظر المصابیح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،و قال بعد نقل هذا القول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الأقوی</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قوّاه فی الجواهر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التعلیل</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4:562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الرابع،الصفحة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13:443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12:348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السنن الکبری للبیهقی </w:t>
      </w:r>
      <w:r>
        <w:rPr>
          <w:rFonts w:eastAsia="IRNazanin" w:cs="IRNazanin"/>
          <w:b w:val="false"/>
          <w:bCs w:val="false"/>
          <w:i w:val="false"/>
          <w:iCs w:val="false"/>
          <w:color w:val="333333"/>
          <w:sz w:val="20"/>
          <w:szCs w:val="20"/>
        </w:rPr>
        <w:t>5:273</w:t>
      </w:r>
      <w:r>
        <w:rPr>
          <w:rFonts w:ascii="IRNazanin" w:hAnsi="IRNazanin" w:eastAsia="IRNazanin"/>
          <w:b w:val="false"/>
          <w:b w:val="false"/>
          <w:bCs w:val="false"/>
          <w:i w:val="false"/>
          <w:i w:val="false"/>
          <w:iCs w:val="false"/>
          <w:color w:val="333333"/>
          <w:sz w:val="20"/>
          <w:sz w:val="20"/>
          <w:szCs w:val="20"/>
          <w:rtl w:val="true"/>
        </w:rPr>
        <w:t xml:space="preserve">،و کنز العمّال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9499</w:t>
      </w:r>
      <w:r>
        <w:rPr>
          <w:rFonts w:ascii="IRNazanin" w:hAnsi="IRNazanin" w:eastAsia="IRNazanin"/>
          <w:b w:val="false"/>
          <w:b w:val="false"/>
          <w:bCs w:val="false"/>
          <w:i w:val="false"/>
          <w:i w:val="false"/>
          <w:iCs w:val="false"/>
          <w:color w:val="333333"/>
          <w:sz w:val="20"/>
          <w:sz w:val="20"/>
          <w:szCs w:val="20"/>
          <w:rtl w:val="true"/>
        </w:rPr>
        <w:t xml:space="preserve">،و الصفحة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9682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السنن الکبری للبیهقی </w:t>
      </w:r>
      <w:r>
        <w:rPr>
          <w:rFonts w:eastAsia="IRNazanin" w:cs="IRNazanin"/>
          <w:b w:val="false"/>
          <w:bCs w:val="false"/>
          <w:i w:val="false"/>
          <w:iCs w:val="false"/>
          <w:color w:val="333333"/>
          <w:sz w:val="20"/>
          <w:szCs w:val="20"/>
        </w:rPr>
        <w:t>5:273</w:t>
      </w:r>
      <w:r>
        <w:rPr>
          <w:rFonts w:ascii="IRNazanin" w:hAnsi="IRNazanin" w:eastAsia="IRNazanin"/>
          <w:b w:val="false"/>
          <w:b w:val="false"/>
          <w:bCs w:val="false"/>
          <w:i w:val="false"/>
          <w:i w:val="false"/>
          <w:iCs w:val="false"/>
          <w:color w:val="333333"/>
          <w:sz w:val="20"/>
          <w:sz w:val="20"/>
          <w:szCs w:val="20"/>
          <w:rtl w:val="true"/>
        </w:rPr>
        <w:t xml:space="preserve">،و کنز العمّال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9499</w:t>
      </w:r>
      <w:r>
        <w:rPr>
          <w:rFonts w:ascii="IRNazanin" w:hAnsi="IRNazanin" w:eastAsia="IRNazanin"/>
          <w:b w:val="false"/>
          <w:b w:val="false"/>
          <w:bCs w:val="false"/>
          <w:i w:val="false"/>
          <w:i w:val="false"/>
          <w:iCs w:val="false"/>
          <w:color w:val="333333"/>
          <w:sz w:val="20"/>
          <w:sz w:val="20"/>
          <w:szCs w:val="20"/>
          <w:rtl w:val="true"/>
        </w:rPr>
        <w:t xml:space="preserve">،و الصفحة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9682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جبرها</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إلیه العلّامة فی التحریر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،و المختلف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،و الشهید الثانی فی المسالک </w:t>
      </w:r>
      <w:r>
        <w:rPr>
          <w:rFonts w:eastAsia="IRNazanin" w:cs="IRNazanin"/>
          <w:b w:val="false"/>
          <w:bCs w:val="false"/>
          <w:i w:val="false"/>
          <w:iCs w:val="false"/>
          <w:color w:val="333333"/>
          <w:sz w:val="20"/>
          <w:szCs w:val="20"/>
        </w:rPr>
        <w:t>3:201</w:t>
      </w:r>
      <w:r>
        <w:rPr>
          <w:rFonts w:ascii="IRNazanin" w:hAnsi="IRNazanin" w:eastAsia="IRNazanin"/>
          <w:b w:val="false"/>
          <w:b w:val="false"/>
          <w:bCs w:val="false"/>
          <w:i w:val="false"/>
          <w:i w:val="false"/>
          <w:iCs w:val="false"/>
          <w:color w:val="333333"/>
          <w:sz w:val="20"/>
          <w:sz w:val="20"/>
          <w:szCs w:val="20"/>
          <w:rtl w:val="true"/>
        </w:rPr>
        <w:t>،و السبزواری فی 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،و السیّد الطباطبائی فی الریاض </w:t>
      </w:r>
      <w:r>
        <w:rPr>
          <w:rFonts w:eastAsia="IRNazanin" w:cs="IRNazanin"/>
          <w:b w:val="false"/>
          <w:bCs w:val="false"/>
          <w:i w:val="false"/>
          <w:iCs w:val="false"/>
          <w:color w:val="333333"/>
          <w:sz w:val="20"/>
          <w:szCs w:val="20"/>
        </w:rPr>
        <w:t>8:188</w:t>
      </w:r>
      <w:r>
        <w:rPr>
          <w:rFonts w:ascii="IRNazanin" w:hAnsi="IRNazanin" w:eastAsia="IRNazanin"/>
          <w:b w:val="false"/>
          <w:b w:val="false"/>
          <w:bCs w:val="false"/>
          <w:i w:val="false"/>
          <w:i w:val="false"/>
          <w:iCs w:val="false"/>
          <w:color w:val="333333"/>
          <w:sz w:val="20"/>
          <w:sz w:val="20"/>
          <w:szCs w:val="20"/>
          <w:rtl w:val="true"/>
        </w:rPr>
        <w:t>،و قال السیّد الطباطبائی فی المصابیح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ربما لاح ذلک من ظاهر الوسیلة و السرائر و الشرائع و النافع و الجامع و اللمعة،لتضمّنها اعتبار التعیین فی المدّة</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الشهید فی المسالک </w:t>
      </w:r>
      <w:r>
        <w:rPr>
          <w:rFonts w:eastAsia="IRNazanin" w:cs="IRNazanin"/>
          <w:b w:val="false"/>
          <w:bCs w:val="false"/>
          <w:i w:val="false"/>
          <w:iCs w:val="false"/>
          <w:color w:val="333333"/>
          <w:sz w:val="20"/>
          <w:szCs w:val="20"/>
        </w:rPr>
        <w:t>3:202</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لم نعثر علی القائل</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الجزء السادس،الصفحة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الإطلاق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 عنهما ذلک الشهید فی الدروس </w:t>
      </w:r>
      <w:r>
        <w:rPr>
          <w:rFonts w:eastAsia="IRNazanin" w:cs="IRNazanin"/>
          <w:b w:val="false"/>
          <w:bCs w:val="false"/>
          <w:i w:val="false"/>
          <w:iCs w:val="false"/>
          <w:color w:val="333333"/>
          <w:sz w:val="20"/>
          <w:szCs w:val="20"/>
        </w:rPr>
        <w:t>3:269</w:t>
      </w:r>
      <w:r>
        <w:rPr>
          <w:rFonts w:ascii="IRNazanin" w:hAnsi="IRNazanin" w:eastAsia="IRNazanin"/>
          <w:b w:val="false"/>
          <w:b w:val="false"/>
          <w:bCs w:val="false"/>
          <w:i w:val="false"/>
          <w:i w:val="false"/>
          <w:iCs w:val="false"/>
          <w:color w:val="333333"/>
          <w:sz w:val="20"/>
          <w:sz w:val="20"/>
          <w:szCs w:val="20"/>
          <w:rtl w:val="true"/>
        </w:rPr>
        <w:t xml:space="preserve">،و راجع الخلاف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البیوع،و المبسوط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،و السرائر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تمامیّته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التذکرة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 عنه ذلک السیّد العاملی فی مفتاح الکرامة </w:t>
      </w:r>
      <w:r>
        <w:rPr>
          <w:rFonts w:eastAsia="IRNazanin" w:cs="IRNazanin"/>
          <w:b w:val="false"/>
          <w:bCs w:val="false"/>
          <w:i w:val="false"/>
          <w:iCs w:val="false"/>
          <w:color w:val="333333"/>
          <w:sz w:val="20"/>
          <w:szCs w:val="20"/>
        </w:rPr>
        <w:t>4:562</w:t>
      </w:r>
      <w:r>
        <w:rPr>
          <w:rFonts w:ascii="IRNazanin" w:hAnsi="IRNazanin" w:eastAsia="IRNazanin"/>
          <w:b w:val="false"/>
          <w:b w:val="false"/>
          <w:bCs w:val="false"/>
          <w:i w:val="false"/>
          <w:i w:val="false"/>
          <w:iCs w:val="false"/>
          <w:color w:val="333333"/>
          <w:sz w:val="20"/>
          <w:sz w:val="20"/>
          <w:szCs w:val="20"/>
          <w:rtl w:val="true"/>
        </w:rPr>
        <w:t xml:space="preserve">،و راجع التذکرة </w:t>
      </w:r>
      <w:r>
        <w:rPr>
          <w:rFonts w:eastAsia="IRNazanin" w:cs="IRNazanin"/>
          <w:b w:val="false"/>
          <w:bCs w:val="false"/>
          <w:i w:val="false"/>
          <w:iCs w:val="false"/>
          <w:color w:val="333333"/>
          <w:sz w:val="20"/>
          <w:szCs w:val="20"/>
        </w:rPr>
        <w:t>1:521</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عندنا</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التذکرة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تصرّف</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فی الجواهر </w:t>
      </w:r>
      <w:r>
        <w:rPr>
          <w:rFonts w:eastAsia="IRNazanin" w:cs="IRNazanin"/>
          <w:b w:val="false"/>
          <w:bCs w:val="false"/>
          <w:i w:val="false"/>
          <w:iCs w:val="false"/>
          <w:color w:val="333333"/>
          <w:sz w:val="20"/>
          <w:szCs w:val="20"/>
        </w:rPr>
        <w:t>23:34</w:t>
      </w:r>
      <w:r>
        <w:rPr>
          <w:rFonts w:ascii="IRNazanin" w:hAnsi="IRNazanin" w:eastAsia="IRNazanin"/>
          <w:b w:val="false"/>
          <w:b w:val="false"/>
          <w:bCs w:val="false"/>
          <w:i w:val="false"/>
          <w:i w:val="false"/>
          <w:iCs w:val="false"/>
          <w:color w:val="333333"/>
          <w:sz w:val="20"/>
          <w:sz w:val="20"/>
          <w:szCs w:val="20"/>
          <w:rtl w:val="true"/>
        </w:rPr>
        <w:t>،و راجع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3:268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السیّد العاملی فی مفتاح الکرامة </w:t>
      </w:r>
      <w:r>
        <w:rPr>
          <w:rFonts w:eastAsia="IRNazanin" w:cs="IRNazanin"/>
          <w:b w:val="false"/>
          <w:bCs w:val="false"/>
          <w:i w:val="false"/>
          <w:iCs w:val="false"/>
          <w:color w:val="333333"/>
          <w:sz w:val="20"/>
          <w:szCs w:val="20"/>
        </w:rPr>
        <w:t>4:562</w:t>
      </w:r>
      <w:r>
        <w:rPr>
          <w:rFonts w:ascii="IRNazanin" w:hAnsi="IRNazanin" w:eastAsia="IRNazanin"/>
          <w:b w:val="false"/>
          <w:b w:val="false"/>
          <w:bCs w:val="false"/>
          <w:i w:val="false"/>
          <w:i w:val="false"/>
          <w:iCs w:val="false"/>
          <w:color w:val="333333"/>
          <w:sz w:val="20"/>
          <w:sz w:val="20"/>
          <w:szCs w:val="20"/>
          <w:rtl w:val="true"/>
        </w:rPr>
        <w:t xml:space="preserve">،و صاحب الجواهر فی الجواهر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لمنع</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الجزء السادس،الصفحة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جامع المقاصد </w:t>
      </w:r>
      <w:r>
        <w:rPr>
          <w:rFonts w:eastAsia="IRNazanin" w:cs="IRNazanin"/>
          <w:b w:val="false"/>
          <w:bCs w:val="false"/>
          <w:i w:val="false"/>
          <w:iCs w:val="false"/>
          <w:color w:val="333333"/>
          <w:sz w:val="20"/>
          <w:szCs w:val="20"/>
        </w:rPr>
        <w:t>4:293</w:t>
      </w:r>
      <w:r>
        <w:rPr>
          <w:rFonts w:ascii="IRNazanin" w:hAnsi="IRNazanin" w:eastAsia="IRNazanin"/>
          <w:b w:val="false"/>
          <w:b w:val="false"/>
          <w:bCs w:val="false"/>
          <w:i w:val="false"/>
          <w:i w:val="false"/>
          <w:iCs w:val="false"/>
          <w:color w:val="333333"/>
          <w:sz w:val="20"/>
          <w:sz w:val="20"/>
          <w:szCs w:val="20"/>
          <w:rtl w:val="true"/>
        </w:rPr>
        <w:t xml:space="preserve">،و المسالک </w:t>
      </w:r>
      <w:r>
        <w:rPr>
          <w:rFonts w:eastAsia="IRNazanin" w:cs="IRNazanin"/>
          <w:b w:val="false"/>
          <w:bCs w:val="false"/>
          <w:i w:val="false"/>
          <w:iCs w:val="false"/>
          <w:color w:val="333333"/>
          <w:sz w:val="20"/>
          <w:szCs w:val="20"/>
        </w:rPr>
        <w:t>3:202</w:t>
      </w:r>
      <w:r>
        <w:rPr>
          <w:rFonts w:ascii="IRNazanin" w:hAnsi="IRNazanin" w:eastAsia="IRNazanin"/>
          <w:b w:val="false"/>
          <w:b w:val="false"/>
          <w:bCs w:val="false"/>
          <w:i w:val="false"/>
          <w:i w:val="false"/>
          <w:iCs w:val="false"/>
          <w:color w:val="333333"/>
          <w:sz w:val="20"/>
          <w:sz w:val="20"/>
          <w:szCs w:val="20"/>
          <w:rtl w:val="true"/>
        </w:rPr>
        <w:t xml:space="preserve">،و مفتاح الکرامة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12:355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الخیار،الحدیث الأوّل</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الموجود فی المصادر الحدیثیّة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للوقت</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12:354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الخیار،الحدیث الأوّل</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8:189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الصفحة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تقدّمتا فی الصفحة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حینئذٍ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المقابس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،و المصابیح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الشرائع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،و القواعد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،و التذکرة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الجزء السادس،الصفحة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فی الموارد الآتیة</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بالعکس</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الدروس </w:t>
      </w:r>
      <w:r>
        <w:rPr>
          <w:rFonts w:eastAsia="IRNazanin" w:cs="IRNazanin"/>
          <w:b w:val="false"/>
          <w:bCs w:val="false"/>
          <w:i w:val="false"/>
          <w:iCs w:val="false"/>
          <w:color w:val="333333"/>
          <w:sz w:val="20"/>
          <w:szCs w:val="20"/>
        </w:rPr>
        <w:t>3:269</w:t>
      </w:r>
      <w:r>
        <w:rPr>
          <w:rFonts w:ascii="IRNazanin" w:hAnsi="IRNazanin" w:eastAsia="IRNazanin"/>
          <w:b w:val="false"/>
          <w:b w:val="false"/>
          <w:bCs w:val="false"/>
          <w:i w:val="false"/>
          <w:i w:val="false"/>
          <w:iCs w:val="false"/>
          <w:color w:val="333333"/>
          <w:sz w:val="20"/>
          <w:sz w:val="20"/>
          <w:szCs w:val="20"/>
          <w:rtl w:val="true"/>
        </w:rPr>
        <w:t xml:space="preserve">،و لم نعثر علیه فی حاشیة الشرائع للمحقّق الکرکی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لأنّ الموجود عندنا ناقص و لا علی الحاکی عنه،نعم جاء فی مفتاح الکرامة </w:t>
      </w:r>
      <w:r>
        <w:rPr>
          <w:rFonts w:eastAsia="IRNazanin" w:cs="IRNazanin"/>
          <w:b w:val="false"/>
          <w:bCs w:val="false"/>
          <w:i w:val="false"/>
          <w:iCs w:val="false"/>
          <w:color w:val="333333"/>
          <w:sz w:val="20"/>
          <w:szCs w:val="20"/>
        </w:rPr>
        <w:t>4:565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یحمل إطلاقه علی العین کما صرّح به الشهید و المحقّق الثانی فی حاشیته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 المراد حاشیته علی الإرشاد،لأنّه جاء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یحمل الإطلاق علی عین الثمن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حاشیة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الآتیة</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 المتقدّمة</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صریحاً</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روایة ابن میسرة المتقدّمة فی الصفحة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مفتاح الکرامة </w:t>
      </w:r>
      <w:r>
        <w:rPr>
          <w:rFonts w:eastAsia="IRNazanin" w:cs="IRNazanin"/>
          <w:b w:val="false"/>
          <w:bCs w:val="false"/>
          <w:i w:val="false"/>
          <w:iCs w:val="false"/>
          <w:color w:val="333333"/>
          <w:sz w:val="20"/>
          <w:szCs w:val="20"/>
        </w:rPr>
        <w:t>4:565</w:t>
      </w:r>
      <w:r>
        <w:rPr>
          <w:rFonts w:ascii="IRNazanin" w:hAnsi="IRNazanin" w:eastAsia="IRNazanin"/>
          <w:b w:val="false"/>
          <w:b w:val="false"/>
          <w:bCs w:val="false"/>
          <w:i w:val="false"/>
          <w:i w:val="false"/>
          <w:iCs w:val="false"/>
          <w:color w:val="333333"/>
          <w:sz w:val="20"/>
          <w:sz w:val="20"/>
          <w:szCs w:val="20"/>
          <w:rtl w:val="true"/>
        </w:rPr>
        <w:t>،و المقابس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،و المناهل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3:269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المحقّق الثانی فی جامع المقاصد </w:t>
      </w:r>
      <w:r>
        <w:rPr>
          <w:rFonts w:eastAsia="IRNazanin" w:cs="IRNazanin"/>
          <w:b w:val="false"/>
          <w:bCs w:val="false"/>
          <w:i w:val="false"/>
          <w:iCs w:val="false"/>
          <w:color w:val="333333"/>
          <w:sz w:val="20"/>
          <w:szCs w:val="20"/>
        </w:rPr>
        <w:t>4:292</w:t>
      </w:r>
      <w:r>
        <w:rPr>
          <w:rFonts w:ascii="IRNazanin" w:hAnsi="IRNazanin" w:eastAsia="IRNazanin"/>
          <w:b w:val="false"/>
          <w:b w:val="false"/>
          <w:bCs w:val="false"/>
          <w:i w:val="false"/>
          <w:i w:val="false"/>
          <w:iCs w:val="false"/>
          <w:color w:val="333333"/>
          <w:sz w:val="20"/>
          <w:sz w:val="20"/>
          <w:szCs w:val="20"/>
          <w:rtl w:val="true"/>
        </w:rPr>
        <w:t xml:space="preserve">،و الشهید الثانی فی المسالک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علّله بذلک المحقّق الکرکی فی جامع المقاصد </w:t>
      </w:r>
      <w:r>
        <w:rPr>
          <w:rFonts w:eastAsia="IRNazanin" w:cs="IRNazanin"/>
          <w:b w:val="false"/>
          <w:bCs w:val="false"/>
          <w:i w:val="false"/>
          <w:iCs w:val="false"/>
          <w:color w:val="333333"/>
          <w:sz w:val="20"/>
          <w:szCs w:val="20"/>
        </w:rPr>
        <w:t>4:292</w:t>
      </w:r>
      <w:r>
        <w:rPr>
          <w:rFonts w:ascii="IRNazanin" w:hAnsi="IRNazanin" w:eastAsia="IRNazanin"/>
          <w:b w:val="false"/>
          <w:b w:val="false"/>
          <w:bCs w:val="false"/>
          <w:i w:val="false"/>
          <w:i w:val="false"/>
          <w:iCs w:val="false"/>
          <w:color w:val="333333"/>
          <w:sz w:val="20"/>
          <w:sz w:val="20"/>
          <w:szCs w:val="20"/>
          <w:rtl w:val="true"/>
        </w:rPr>
        <w:t xml:space="preserve">،و السیّد العاملی فی مفتاح الکرامة </w:t>
      </w:r>
      <w:r>
        <w:rPr>
          <w:rFonts w:eastAsia="IRNazanin" w:cs="IRNazanin"/>
          <w:b w:val="false"/>
          <w:bCs w:val="false"/>
          <w:i w:val="false"/>
          <w:iCs w:val="false"/>
          <w:color w:val="333333"/>
          <w:sz w:val="20"/>
          <w:szCs w:val="20"/>
        </w:rPr>
        <w:t>4:565</w:t>
      </w:r>
      <w:r>
        <w:rPr>
          <w:rFonts w:ascii="IRNazanin" w:hAnsi="IRNazanin" w:eastAsia="IRNazanin"/>
          <w:b w:val="false"/>
          <w:b w:val="false"/>
          <w:bCs w:val="false"/>
          <w:i w:val="false"/>
          <w:i w:val="false"/>
          <w:iCs w:val="false"/>
          <w:color w:val="333333"/>
          <w:sz w:val="20"/>
          <w:sz w:val="20"/>
          <w:szCs w:val="20"/>
          <w:rtl w:val="true"/>
        </w:rPr>
        <w:t>،و السیّد المجاهد فی المناهل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،و المحقّق التستری فی المقابس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السیّد العاملی فی مفتاح الکرامة </w:t>
      </w:r>
      <w:r>
        <w:rPr>
          <w:rFonts w:eastAsia="IRNazanin" w:cs="IRNazanin"/>
          <w:b w:val="false"/>
          <w:bCs w:val="false"/>
          <w:i w:val="false"/>
          <w:iCs w:val="false"/>
          <w:color w:val="333333"/>
          <w:sz w:val="20"/>
          <w:szCs w:val="20"/>
        </w:rPr>
        <w:t>4:565</w:t>
      </w:r>
      <w:r>
        <w:rPr>
          <w:rFonts w:ascii="IRNazanin" w:hAnsi="IRNazanin" w:eastAsia="IRNazanin"/>
          <w:b w:val="false"/>
          <w:b w:val="false"/>
          <w:bCs w:val="false"/>
          <w:i w:val="false"/>
          <w:i w:val="false"/>
          <w:iCs w:val="false"/>
          <w:color w:val="333333"/>
          <w:sz w:val="20"/>
          <w:sz w:val="20"/>
          <w:szCs w:val="20"/>
          <w:rtl w:val="true"/>
        </w:rPr>
        <w:t>،و السیّد المجاهد فی 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الروایة فی الصفحة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بعینه،نعم جاء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قلنا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مبدأ المدّة العقد و أسقطا الخیار مطلقاً قبل التفرّق سقط الخیاران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خیار المجلس و الشرط،و إن قلنا بالتفرّق سقط خیار المجلس دون خیار الشرط؛لأنّه غیر ثابت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یدلّ علیه ما فی الوسائل </w:t>
      </w:r>
      <w:r>
        <w:rPr>
          <w:rFonts w:eastAsia="IRNazanin" w:cs="IRNazanin"/>
          <w:b w:val="false"/>
          <w:bCs w:val="false"/>
          <w:i w:val="false"/>
          <w:iCs w:val="false"/>
          <w:color w:val="333333"/>
          <w:sz w:val="20"/>
          <w:szCs w:val="20"/>
        </w:rPr>
        <w:t>12:351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 من أبواب الخیار</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السیّد المجاهد فی المناهل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،و راجع مجمع الفائدة </w:t>
      </w:r>
      <w:r>
        <w:rPr>
          <w:rFonts w:eastAsia="IRNazanin" w:cs="IRNazanin"/>
          <w:b w:val="false"/>
          <w:bCs w:val="false"/>
          <w:i w:val="false"/>
          <w:iCs w:val="false"/>
          <w:color w:val="333333"/>
          <w:sz w:val="20"/>
          <w:szCs w:val="20"/>
        </w:rPr>
        <w:t>8:402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و کفایة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الظاهر</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الصفحة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التعلیل فی مجمع الفائدة </w:t>
      </w:r>
      <w:r>
        <w:rPr>
          <w:rFonts w:eastAsia="IRNazanin" w:cs="IRNazanin"/>
          <w:b w:val="false"/>
          <w:bCs w:val="false"/>
          <w:i w:val="false"/>
          <w:iCs w:val="false"/>
          <w:color w:val="333333"/>
          <w:sz w:val="20"/>
          <w:szCs w:val="20"/>
        </w:rPr>
        <w:t>8:413</w:t>
      </w:r>
      <w:r>
        <w:rPr>
          <w:rFonts w:ascii="IRNazanin" w:hAnsi="IRNazanin" w:eastAsia="IRNazanin"/>
          <w:b w:val="false"/>
          <w:b w:val="false"/>
          <w:bCs w:val="false"/>
          <w:i w:val="false"/>
          <w:i w:val="false"/>
          <w:iCs w:val="false"/>
          <w:color w:val="333333"/>
          <w:sz w:val="20"/>
          <w:sz w:val="20"/>
          <w:szCs w:val="20"/>
          <w:rtl w:val="true"/>
        </w:rPr>
        <w:t>،مع تفاوت فی الألفاظ،نعم حکاه عنه السیّد المجاهد فی المناهل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بالألفاظ المذکورة</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السیّد المجاهد فی المناهل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،و العبارة المحکیّة موجودة فی المصابیح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،و قد نقل الشیخ حاصلها،کما قال</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قول الشیخ فی أحکام الخیار،فی مسألة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المبیع یملک بالعقد</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23:40</w:t>
      </w:r>
      <w:r>
        <w:rPr>
          <w:rFonts w:ascii="IRNazanin" w:hAnsi="IRNazanin" w:eastAsia="IRNazanin"/>
          <w:b w:val="false"/>
          <w:b w:val="false"/>
          <w:bCs w:val="false"/>
          <w:i w:val="false"/>
          <w:i w:val="false"/>
          <w:iCs w:val="false"/>
          <w:color w:val="333333"/>
          <w:sz w:val="20"/>
          <w:sz w:val="20"/>
          <w:szCs w:val="20"/>
          <w:rtl w:val="true"/>
        </w:rPr>
        <w:t>،مع تفاوت فی بعض الألفاظ</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الصفحة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تعیّنه</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قولاً</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فالشأن</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ذکره السیّد العاملی فی مفتاح الکرامة </w:t>
      </w:r>
      <w:r>
        <w:rPr>
          <w:rFonts w:eastAsia="IRNazanin" w:cs="IRNazanin"/>
          <w:b w:val="false"/>
          <w:bCs w:val="false"/>
          <w:i w:val="false"/>
          <w:iCs w:val="false"/>
          <w:color w:val="333333"/>
          <w:sz w:val="20"/>
          <w:szCs w:val="20"/>
        </w:rPr>
        <w:t>4:594</w:t>
      </w:r>
      <w:r>
        <w:rPr>
          <w:rFonts w:ascii="IRNazanin" w:hAnsi="IRNazanin" w:eastAsia="IRNazanin"/>
          <w:b w:val="false"/>
          <w:b w:val="false"/>
          <w:bCs w:val="false"/>
          <w:i w:val="false"/>
          <w:i w:val="false"/>
          <w:iCs w:val="false"/>
          <w:color w:val="333333"/>
          <w:sz w:val="20"/>
          <w:sz w:val="20"/>
          <w:szCs w:val="20"/>
          <w:rtl w:val="true"/>
        </w:rPr>
        <w:t xml:space="preserve">،و صاحب الجواهر فی الجواهر </w:t>
      </w:r>
      <w:r>
        <w:rPr>
          <w:rFonts w:eastAsia="IRNazanin" w:cs="IRNazanin"/>
          <w:b w:val="false"/>
          <w:bCs w:val="false"/>
          <w:i w:val="false"/>
          <w:iCs w:val="false"/>
          <w:color w:val="333333"/>
          <w:sz w:val="20"/>
          <w:szCs w:val="20"/>
        </w:rPr>
        <w:t>23:80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السیّد العاملی فی مفتاح الکرامة </w:t>
      </w:r>
      <w:r>
        <w:rPr>
          <w:rFonts w:eastAsia="IRNazanin" w:cs="IRNazanin"/>
          <w:b w:val="false"/>
          <w:bCs w:val="false"/>
          <w:i w:val="false"/>
          <w:iCs w:val="false"/>
          <w:color w:val="333333"/>
          <w:sz w:val="20"/>
          <w:szCs w:val="20"/>
        </w:rPr>
        <w:t>5:595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یحتجّ له بروایة الحلبی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افترقا فقد وجب البیع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أخبار أُخر أشار إلیها فی الجواهر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المبیع</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یجیء فی الجزء السادس،الصفحة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البائع</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یجیء فی الجزء السادس،الصفحة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صاحب الجواهر فی الجواهر </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سیجیء فی الجزء السادس،الصفحة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المشتری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أنّه من سهو القلم</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الجزء السادس،الصفحة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،مسألة أنّ المبیع فی ضمان من لیس له الخیار</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 </w:t>
      </w:r>
      <w:r>
        <w:rPr>
          <w:rFonts w:eastAsia="IRNazanin" w:cs="IRNazanin"/>
          <w:b w:val="false"/>
          <w:bCs w:val="false"/>
          <w:i w:val="false"/>
          <w:iCs w:val="false"/>
          <w:color w:val="333333"/>
          <w:sz w:val="20"/>
          <w:szCs w:val="20"/>
        </w:rPr>
        <w:t>2:141</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بعض الخاصّة فهو ابن الجنید کما نقله العلّامة فی المختلف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،و أمّا العامّة فنسبه فی التذکرة </w:t>
      </w:r>
      <w:r>
        <w:rPr>
          <w:rFonts w:eastAsia="IRNazanin" w:cs="IRNazanin"/>
          <w:b w:val="false"/>
          <w:bCs w:val="false"/>
          <w:i w:val="false"/>
          <w:iCs w:val="false"/>
          <w:color w:val="333333"/>
          <w:sz w:val="20"/>
          <w:szCs w:val="20"/>
        </w:rPr>
        <w:t>1:522</w:t>
      </w:r>
      <w:r>
        <w:rPr>
          <w:rFonts w:ascii="IRNazanin" w:hAnsi="IRNazanin" w:eastAsia="IRNazanin"/>
          <w:b w:val="false"/>
          <w:b w:val="false"/>
          <w:bCs w:val="false"/>
          <w:i w:val="false"/>
          <w:i w:val="false"/>
          <w:iCs w:val="false"/>
          <w:color w:val="333333"/>
          <w:sz w:val="20"/>
          <w:sz w:val="20"/>
          <w:szCs w:val="20"/>
          <w:rtl w:val="true"/>
        </w:rPr>
        <w:t xml:space="preserve">،إلی أبی حنیفة و محمّد،و مثله فی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،ذیل المسألة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،من کتاب البیوع،و راجع الفتاوی الهندیّة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بمجرّد ردّ</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حاکم</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یذکر المؤلّف قدّس سرّه الشقّ الآخر للإشکال؛اتّکالاً علی وضوحه،و هو عموم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المؤمنون عند شروطهم</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المهور،ذیل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الثانی فی جامع المقاصد </w:t>
      </w:r>
      <w:r>
        <w:rPr>
          <w:rFonts w:eastAsia="IRNazanin" w:cs="IRNazanin"/>
          <w:b w:val="false"/>
          <w:bCs w:val="false"/>
          <w:i w:val="false"/>
          <w:iCs w:val="false"/>
          <w:color w:val="333333"/>
          <w:sz w:val="20"/>
          <w:szCs w:val="20"/>
        </w:rPr>
        <w:t>4:304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الضمان و الهبة و غیرهما، و السیّد المجاهد فی المناهل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،و المحقّق التستری فی المقابس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،و راجع مفتاح الکرامة </w:t>
      </w:r>
      <w:r>
        <w:rPr>
          <w:rFonts w:eastAsia="IRNazanin" w:cs="IRNazanin"/>
          <w:b w:val="false"/>
          <w:bCs w:val="false"/>
          <w:i w:val="false"/>
          <w:iCs w:val="false"/>
          <w:color w:val="333333"/>
          <w:sz w:val="20"/>
          <w:szCs w:val="20"/>
        </w:rPr>
        <w:t>4:569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عنها السیّد العاملی فی مفتاح الکرامة </w:t>
      </w:r>
      <w:r>
        <w:rPr>
          <w:rFonts w:eastAsia="IRNazanin" w:cs="IRNazanin"/>
          <w:b w:val="false"/>
          <w:bCs w:val="false"/>
          <w:i w:val="false"/>
          <w:iCs w:val="false"/>
          <w:color w:val="333333"/>
          <w:sz w:val="20"/>
          <w:szCs w:val="20"/>
        </w:rPr>
        <w:t>4:568</w:t>
      </w:r>
      <w:r>
        <w:rPr>
          <w:rFonts w:ascii="IRNazanin" w:hAnsi="IRNazanin" w:eastAsia="IRNazanin"/>
          <w:b w:val="false"/>
          <w:b w:val="false"/>
          <w:bCs w:val="false"/>
          <w:i w:val="false"/>
          <w:i w:val="false"/>
          <w:iCs w:val="false"/>
          <w:color w:val="333333"/>
          <w:sz w:val="20"/>
          <w:sz w:val="20"/>
          <w:szCs w:val="20"/>
          <w:rtl w:val="true"/>
        </w:rPr>
        <w:t xml:space="preserve">،راجع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،و الإرشاد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،و الدروس </w:t>
      </w:r>
      <w:r>
        <w:rPr>
          <w:rFonts w:eastAsia="IRNazanin" w:cs="IRNazanin"/>
          <w:b w:val="false"/>
          <w:bCs w:val="false"/>
          <w:i w:val="false"/>
          <w:iCs w:val="false"/>
          <w:color w:val="333333"/>
          <w:sz w:val="20"/>
          <w:szCs w:val="20"/>
        </w:rPr>
        <w:t>3:268</w:t>
      </w:r>
      <w:r>
        <w:rPr>
          <w:rFonts w:ascii="IRNazanin" w:hAnsi="IRNazanin" w:eastAsia="IRNazanin"/>
          <w:b w:val="false"/>
          <w:b w:val="false"/>
          <w:bCs w:val="false"/>
          <w:i w:val="false"/>
          <w:i w:val="false"/>
          <w:iCs w:val="false"/>
          <w:color w:val="333333"/>
          <w:sz w:val="20"/>
          <w:sz w:val="20"/>
          <w:szCs w:val="20"/>
          <w:rtl w:val="true"/>
        </w:rPr>
        <w:t>،و حاشیة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،و مجمع الفائدة </w:t>
      </w:r>
      <w:r>
        <w:rPr>
          <w:rFonts w:eastAsia="IRNazanin" w:cs="IRNazanin"/>
          <w:b w:val="false"/>
          <w:bCs w:val="false"/>
          <w:i w:val="false"/>
          <w:iCs w:val="false"/>
          <w:color w:val="333333"/>
          <w:sz w:val="20"/>
          <w:szCs w:val="20"/>
        </w:rPr>
        <w:t>8:411</w:t>
      </w:r>
      <w:r>
        <w:rPr>
          <w:rFonts w:ascii="IRNazanin" w:hAnsi="IRNazanin" w:eastAsia="IRNazanin"/>
          <w:b w:val="false"/>
          <w:b w:val="false"/>
          <w:bCs w:val="false"/>
          <w:i w:val="false"/>
          <w:i w:val="false"/>
          <w:iCs w:val="false"/>
          <w:color w:val="333333"/>
          <w:sz w:val="20"/>
          <w:sz w:val="20"/>
          <w:szCs w:val="20"/>
          <w:rtl w:val="true"/>
        </w:rPr>
        <w:t>،و کفایة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3:268</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هو مطابق للمصدر،و راجع الحدیث فی الوسائل </w:t>
      </w:r>
      <w:r>
        <w:rPr>
          <w:rFonts w:eastAsia="IRNazanin" w:cs="IRNazanin"/>
          <w:b w:val="false"/>
          <w:bCs w:val="false"/>
          <w:i w:val="false"/>
          <w:iCs w:val="false"/>
          <w:color w:val="333333"/>
          <w:sz w:val="20"/>
          <w:szCs w:val="20"/>
        </w:rPr>
        <w:t>12:353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السیّد العاملی فی مفتاح الکرامة </w:t>
      </w:r>
      <w:r>
        <w:rPr>
          <w:rFonts w:eastAsia="IRNazanin" w:cs="IRNazanin"/>
          <w:b w:val="false"/>
          <w:bCs w:val="false"/>
          <w:i w:val="false"/>
          <w:iCs w:val="false"/>
          <w:color w:val="333333"/>
          <w:sz w:val="20"/>
          <w:szCs w:val="20"/>
        </w:rPr>
        <w:t>4:568</w:t>
      </w:r>
      <w:r>
        <w:rPr>
          <w:rFonts w:ascii="IRNazanin" w:hAnsi="IRNazanin" w:eastAsia="IRNazanin"/>
          <w:b w:val="false"/>
          <w:b w:val="false"/>
          <w:bCs w:val="false"/>
          <w:i w:val="false"/>
          <w:i w:val="false"/>
          <w:iCs w:val="false"/>
          <w:color w:val="333333"/>
          <w:sz w:val="20"/>
          <w:sz w:val="20"/>
          <w:szCs w:val="20"/>
          <w:rtl w:val="true"/>
        </w:rPr>
        <w:t xml:space="preserve">،و صاحب الجواهر فی الجواهر </w:t>
      </w:r>
      <w:r>
        <w:rPr>
          <w:rFonts w:eastAsia="IRNazanin" w:cs="IRNazanin"/>
          <w:b w:val="false"/>
          <w:bCs w:val="false"/>
          <w:i w:val="false"/>
          <w:iCs w:val="false"/>
          <w:color w:val="333333"/>
          <w:sz w:val="20"/>
          <w:szCs w:val="20"/>
        </w:rPr>
        <w:t>23:64</w:t>
      </w:r>
      <w:r>
        <w:rPr>
          <w:rFonts w:ascii="IRNazanin" w:hAnsi="IRNazanin" w:eastAsia="IRNazanin"/>
          <w:b w:val="false"/>
          <w:b w:val="false"/>
          <w:bCs w:val="false"/>
          <w:i w:val="false"/>
          <w:i w:val="false"/>
          <w:iCs w:val="false"/>
          <w:color w:val="333333"/>
          <w:sz w:val="20"/>
          <w:sz w:val="20"/>
          <w:szCs w:val="20"/>
          <w:rtl w:val="true"/>
        </w:rPr>
        <w:t xml:space="preserve">،و اللفظ للأوّل،و راجع الوسائل </w:t>
      </w:r>
      <w:r>
        <w:rPr>
          <w:rFonts w:eastAsia="IRNazanin" w:cs="IRNazanin"/>
          <w:b w:val="false"/>
          <w:bCs w:val="false"/>
          <w:i w:val="false"/>
          <w:iCs w:val="false"/>
          <w:color w:val="333333"/>
          <w:sz w:val="20"/>
          <w:szCs w:val="20"/>
        </w:rPr>
        <w:t>12:353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الخیار،الحدیثان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غیرهما فی غیر الباب</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المسالک </w:t>
      </w:r>
      <w:r>
        <w:rPr>
          <w:rFonts w:eastAsia="IRNazanin" w:cs="IRNazanin"/>
          <w:b w:val="false"/>
          <w:bCs w:val="false"/>
          <w:i w:val="false"/>
          <w:iCs w:val="false"/>
          <w:color w:val="333333"/>
          <w:sz w:val="20"/>
          <w:szCs w:val="20"/>
        </w:rPr>
        <w:t>10:292</w:t>
      </w:r>
      <w:r>
        <w:rPr>
          <w:rFonts w:ascii="IRNazanin" w:hAnsi="IRNazanin" w:eastAsia="IRNazanin"/>
          <w:b w:val="false"/>
          <w:b w:val="false"/>
          <w:bCs w:val="false"/>
          <w:i w:val="false"/>
          <w:i w:val="false"/>
          <w:iCs w:val="false"/>
          <w:color w:val="333333"/>
          <w:sz w:val="20"/>
          <w:sz w:val="20"/>
          <w:szCs w:val="20"/>
          <w:rtl w:val="true"/>
        </w:rPr>
        <w:t xml:space="preserve">،و نهایة المرام </w:t>
      </w:r>
      <w:r>
        <w:rPr>
          <w:rFonts w:eastAsia="IRNazanin" w:cs="IRNazanin"/>
          <w:b w:val="false"/>
          <w:bCs w:val="false"/>
          <w:i w:val="false"/>
          <w:iCs w:val="false"/>
          <w:color w:val="333333"/>
          <w:sz w:val="20"/>
          <w:szCs w:val="20"/>
        </w:rPr>
        <w:t>2:251</w:t>
      </w:r>
      <w:r>
        <w:rPr>
          <w:rFonts w:ascii="IRNazanin" w:hAnsi="IRNazanin" w:eastAsia="IRNazanin"/>
          <w:b w:val="false"/>
          <w:b w:val="false"/>
          <w:bCs w:val="false"/>
          <w:i w:val="false"/>
          <w:i w:val="false"/>
          <w:iCs w:val="false"/>
          <w:color w:val="333333"/>
          <w:sz w:val="20"/>
          <w:sz w:val="20"/>
          <w:szCs w:val="20"/>
          <w:rtl w:val="true"/>
        </w:rPr>
        <w:t>،و کشف اللثام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قاله العلّامة فی التحریر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تقبل</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،و السرائر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3:212</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 وفاق</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1:167</w:t>
      </w:r>
      <w:r>
        <w:rPr>
          <w:rFonts w:ascii="IRNazanin" w:hAnsi="IRNazanin" w:eastAsia="IRNazanin"/>
          <w:b w:val="false"/>
          <w:b w:val="false"/>
          <w:bCs w:val="false"/>
          <w:i w:val="false"/>
          <w:i w:val="false"/>
          <w:iCs w:val="false"/>
          <w:color w:val="333333"/>
          <w:sz w:val="20"/>
          <w:sz w:val="20"/>
          <w:szCs w:val="20"/>
          <w:rtl w:val="true"/>
        </w:rPr>
        <w:t xml:space="preserve">،و جامع المقاصد </w:t>
      </w:r>
      <w:r>
        <w:rPr>
          <w:rFonts w:eastAsia="IRNazanin" w:cs="IRNazanin"/>
          <w:b w:val="false"/>
          <w:bCs w:val="false"/>
          <w:i w:val="false"/>
          <w:iCs w:val="false"/>
          <w:color w:val="333333"/>
          <w:sz w:val="20"/>
          <w:szCs w:val="20"/>
        </w:rPr>
        <w:t>4:304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جائز</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 الإجماع عنها السیّد العاملی فی مفتاح الکرامة </w:t>
      </w:r>
      <w:r>
        <w:rPr>
          <w:rFonts w:eastAsia="IRNazanin" w:cs="IRNazanin"/>
          <w:b w:val="false"/>
          <w:bCs w:val="false"/>
          <w:i w:val="false"/>
          <w:iCs w:val="false"/>
          <w:color w:val="333333"/>
          <w:sz w:val="20"/>
          <w:szCs w:val="20"/>
        </w:rPr>
        <w:t>4:568</w:t>
      </w:r>
      <w:r>
        <w:rPr>
          <w:rFonts w:ascii="IRNazanin" w:hAnsi="IRNazanin" w:eastAsia="IRNazanin"/>
          <w:b w:val="false"/>
          <w:b w:val="false"/>
          <w:bCs w:val="false"/>
          <w:i w:val="false"/>
          <w:i w:val="false"/>
          <w:iCs w:val="false"/>
          <w:color w:val="333333"/>
          <w:sz w:val="20"/>
          <w:sz w:val="20"/>
          <w:szCs w:val="20"/>
          <w:rtl w:val="true"/>
        </w:rPr>
        <w:t xml:space="preserve">،و راجع الخلاف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البیوع،و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 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تعرّض للمسألة فی النکاح و حکم هناک أیضاً بالبطلان،و لکن لم یتعرّض للإجماع،راجع الخلاف </w:t>
      </w:r>
      <w:r>
        <w:rPr>
          <w:rFonts w:eastAsia="IRNazanin" w:cs="IRNazanin"/>
          <w:b w:val="false"/>
          <w:bCs w:val="false"/>
          <w:i w:val="false"/>
          <w:iCs w:val="false"/>
          <w:color w:val="333333"/>
          <w:sz w:val="20"/>
          <w:szCs w:val="20"/>
        </w:rPr>
        <w:t>4:292</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النکاح،و المبسوط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،و السرائر </w:t>
      </w:r>
      <w:r>
        <w:rPr>
          <w:rFonts w:eastAsia="IRNazanin" w:cs="IRNazanin"/>
          <w:b w:val="false"/>
          <w:bCs w:val="false"/>
          <w:i w:val="false"/>
          <w:iCs w:val="false"/>
          <w:color w:val="333333"/>
          <w:sz w:val="20"/>
          <w:szCs w:val="20"/>
        </w:rPr>
        <w:t>2:246</w:t>
      </w:r>
      <w:r>
        <w:rPr>
          <w:rFonts w:ascii="IRNazanin" w:hAnsi="IRNazanin" w:eastAsia="IRNazanin"/>
          <w:b w:val="false"/>
          <w:b w:val="false"/>
          <w:bCs w:val="false"/>
          <w:i w:val="false"/>
          <w:i w:val="false"/>
          <w:iCs w:val="false"/>
          <w:color w:val="333333"/>
          <w:sz w:val="20"/>
          <w:sz w:val="20"/>
          <w:szCs w:val="20"/>
          <w:rtl w:val="true"/>
        </w:rPr>
        <w:t xml:space="preserve">،و جامع المقاصد </w:t>
      </w:r>
      <w:r>
        <w:rPr>
          <w:rFonts w:eastAsia="IRNazanin" w:cs="IRNazanin"/>
          <w:b w:val="false"/>
          <w:bCs w:val="false"/>
          <w:i w:val="false"/>
          <w:iCs w:val="false"/>
          <w:color w:val="333333"/>
          <w:sz w:val="20"/>
          <w:szCs w:val="20"/>
        </w:rPr>
        <w:t>4:303</w:t>
      </w:r>
      <w:r>
        <w:rPr>
          <w:rFonts w:ascii="IRNazanin" w:hAnsi="IRNazanin" w:eastAsia="IRNazanin"/>
          <w:b w:val="false"/>
          <w:b w:val="false"/>
          <w:bCs w:val="false"/>
          <w:i w:val="false"/>
          <w:i w:val="false"/>
          <w:iCs w:val="false"/>
          <w:color w:val="333333"/>
          <w:sz w:val="20"/>
          <w:sz w:val="20"/>
          <w:szCs w:val="20"/>
          <w:rtl w:val="true"/>
        </w:rPr>
        <w:t xml:space="preserve">،و المسالک </w:t>
      </w:r>
      <w:r>
        <w:rPr>
          <w:rFonts w:eastAsia="IRNazanin" w:cs="IRNazanin"/>
          <w:b w:val="false"/>
          <w:bCs w:val="false"/>
          <w:i w:val="false"/>
          <w:iCs w:val="false"/>
          <w:color w:val="333333"/>
          <w:sz w:val="20"/>
          <w:szCs w:val="20"/>
        </w:rPr>
        <w:t>3:212</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 وفاق</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3:212</w:t>
      </w:r>
      <w:r>
        <w:rPr>
          <w:rFonts w:ascii="IRNazanin" w:hAnsi="IRNazanin" w:eastAsia="IRNazanin"/>
          <w:b w:val="false"/>
          <w:b w:val="false"/>
          <w:bCs w:val="false"/>
          <w:i w:val="false"/>
          <w:i w:val="false"/>
          <w:iCs w:val="false"/>
          <w:color w:val="333333"/>
          <w:sz w:val="20"/>
          <w:sz w:val="20"/>
          <w:szCs w:val="20"/>
          <w:rtl w:val="true"/>
        </w:rPr>
        <w:t>،و حکاه السیّد المجاهد فی المناهل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السیّد العاملی فی مفتاح الکرامة </w:t>
      </w:r>
      <w:r>
        <w:rPr>
          <w:rFonts w:eastAsia="IRNazanin" w:cs="IRNazanin"/>
          <w:b w:val="false"/>
          <w:bCs w:val="false"/>
          <w:i w:val="false"/>
          <w:iCs w:val="false"/>
          <w:color w:val="333333"/>
          <w:sz w:val="20"/>
          <w:szCs w:val="20"/>
        </w:rPr>
        <w:t>4:568</w:t>
      </w:r>
      <w:r>
        <w:rPr>
          <w:rFonts w:ascii="IRNazanin" w:hAnsi="IRNazanin" w:eastAsia="IRNazanin"/>
          <w:b w:val="false"/>
          <w:b w:val="false"/>
          <w:bCs w:val="false"/>
          <w:i w:val="false"/>
          <w:i w:val="false"/>
          <w:iCs w:val="false"/>
          <w:color w:val="333333"/>
          <w:sz w:val="20"/>
          <w:sz w:val="20"/>
          <w:szCs w:val="20"/>
          <w:rtl w:val="true"/>
        </w:rPr>
        <w:t xml:space="preserve">،و راجع السرائر </w:t>
      </w:r>
      <w:r>
        <w:rPr>
          <w:rFonts w:eastAsia="IRNazanin" w:cs="IRNazanin"/>
          <w:b w:val="false"/>
          <w:bCs w:val="false"/>
          <w:i w:val="false"/>
          <w:iCs w:val="false"/>
          <w:color w:val="333333"/>
          <w:sz w:val="20"/>
          <w:szCs w:val="20"/>
        </w:rPr>
        <w:t>2:245</w:t>
      </w:r>
      <w:r>
        <w:rPr>
          <w:rFonts w:ascii="IRNazanin" w:hAnsi="IRNazanin" w:eastAsia="IRNazanin"/>
          <w:b w:val="false"/>
          <w:b w:val="false"/>
          <w:bCs w:val="false"/>
          <w:i w:val="false"/>
          <w:i w:val="false"/>
          <w:iCs w:val="false"/>
          <w:color w:val="333333"/>
          <w:sz w:val="20"/>
          <w:sz w:val="20"/>
          <w:szCs w:val="20"/>
          <w:rtl w:val="true"/>
        </w:rPr>
        <w:t xml:space="preserve">، و الدروس </w:t>
      </w:r>
      <w:r>
        <w:rPr>
          <w:rFonts w:eastAsia="IRNazanin" w:cs="IRNazanin"/>
          <w:b w:val="false"/>
          <w:bCs w:val="false"/>
          <w:i w:val="false"/>
          <w:iCs w:val="false"/>
          <w:color w:val="333333"/>
          <w:sz w:val="20"/>
          <w:szCs w:val="20"/>
        </w:rPr>
        <w:t>3:268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علّله بذلک فی جامع المقاصد </w:t>
      </w:r>
      <w:r>
        <w:rPr>
          <w:rFonts w:eastAsia="IRNazanin" w:cs="IRNazanin"/>
          <w:b w:val="false"/>
          <w:bCs w:val="false"/>
          <w:i w:val="false"/>
          <w:iCs w:val="false"/>
          <w:color w:val="333333"/>
          <w:sz w:val="20"/>
          <w:szCs w:val="20"/>
        </w:rPr>
        <w:t>4:303</w:t>
      </w:r>
      <w:r>
        <w:rPr>
          <w:rFonts w:ascii="IRNazanin" w:hAnsi="IRNazanin" w:eastAsia="IRNazanin"/>
          <w:b w:val="false"/>
          <w:b w:val="false"/>
          <w:bCs w:val="false"/>
          <w:i w:val="false"/>
          <w:i w:val="false"/>
          <w:iCs w:val="false"/>
          <w:color w:val="333333"/>
          <w:sz w:val="20"/>
          <w:sz w:val="20"/>
          <w:szCs w:val="20"/>
          <w:rtl w:val="true"/>
        </w:rPr>
        <w:t xml:space="preserve">،و مفتاح الکرامة </w:t>
      </w:r>
      <w:r>
        <w:rPr>
          <w:rFonts w:eastAsia="IRNazanin" w:cs="IRNazanin"/>
          <w:b w:val="false"/>
          <w:bCs w:val="false"/>
          <w:i w:val="false"/>
          <w:iCs w:val="false"/>
          <w:color w:val="333333"/>
          <w:sz w:val="20"/>
          <w:szCs w:val="20"/>
        </w:rPr>
        <w:t>4:568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9:150</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13:297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دلالتها</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یظهر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أنّها من سهو القلم</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،و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،و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لعلّ وجه إفراد الضمیر باعتبار 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المشایخ الثلاثة</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الحکایة عنهما فی الصفحة السابقة</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سهو من القلم</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یدلّ علیه ما فی الوسائل </w:t>
      </w:r>
      <w:r>
        <w:rPr>
          <w:rFonts w:eastAsia="IRNazanin" w:cs="IRNazanin"/>
          <w:b w:val="false"/>
          <w:bCs w:val="false"/>
          <w:i w:val="false"/>
          <w:iCs w:val="false"/>
          <w:color w:val="333333"/>
          <w:sz w:val="20"/>
          <w:szCs w:val="20"/>
        </w:rPr>
        <w:t>13:315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و الصدقات،و غیره من الأبواب</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أقسام ما اختلف فیه</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2:538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،و الخلاف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البیوع</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عنهما فی مفتاح الکرامة </w:t>
      </w:r>
      <w:r>
        <w:rPr>
          <w:rFonts w:eastAsia="IRNazanin" w:cs="IRNazanin"/>
          <w:b w:val="false"/>
          <w:bCs w:val="false"/>
          <w:i w:val="false"/>
          <w:iCs w:val="false"/>
          <w:color w:val="333333"/>
          <w:sz w:val="20"/>
          <w:szCs w:val="20"/>
        </w:rPr>
        <w:t>4:569</w:t>
      </w:r>
      <w:r>
        <w:rPr>
          <w:rFonts w:ascii="IRNazanin" w:hAnsi="IRNazanin" w:eastAsia="IRNazanin"/>
          <w:b w:val="false"/>
          <w:b w:val="false"/>
          <w:bCs w:val="false"/>
          <w:i w:val="false"/>
          <w:i w:val="false"/>
          <w:iCs w:val="false"/>
          <w:color w:val="333333"/>
          <w:sz w:val="20"/>
          <w:sz w:val="20"/>
          <w:szCs w:val="20"/>
          <w:rtl w:val="true"/>
        </w:rPr>
        <w:t xml:space="preserve">،و راجع التذکرة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کذا لو شرط الضامن الخیار لنفسه کان باطلاً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القواعد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الراهن إشکال من أصالة الجواز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منافاته لعقد الرهن؛لأنّه وثیقة لدین المرتهن،و مع حصول الخیار ینفی الفائدة</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1:167</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الراهن إشکال</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،و 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،و السرائر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یبقی</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یدخله الخیار قطعاً</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،و التذکرة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الغبن</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6:2172</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غبن</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یساوی</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 کشف الصدق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،و المختلف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الشهید فی الدروس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الشهید فی الدروس </w:t>
      </w:r>
      <w:r>
        <w:rPr>
          <w:rFonts w:eastAsia="IRNazanin" w:cs="IRNazanin"/>
          <w:b w:val="false"/>
          <w:bCs w:val="false"/>
          <w:i w:val="false"/>
          <w:iCs w:val="false"/>
          <w:color w:val="333333"/>
          <w:sz w:val="20"/>
          <w:szCs w:val="20"/>
        </w:rPr>
        <w:t>3:275</w:t>
      </w:r>
      <w:r>
        <w:rPr>
          <w:rFonts w:ascii="IRNazanin" w:hAnsi="IRNazanin" w:eastAsia="IRNazanin"/>
          <w:b w:val="false"/>
          <w:b w:val="false"/>
          <w:bCs w:val="false"/>
          <w:i w:val="false"/>
          <w:i w:val="false"/>
          <w:iCs w:val="false"/>
          <w:color w:val="333333"/>
          <w:sz w:val="20"/>
          <w:sz w:val="20"/>
          <w:szCs w:val="20"/>
          <w:rtl w:val="true"/>
        </w:rPr>
        <w:t>،بهذه العبارة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یظهر من کلام ابن الجنید</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یساوی</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یساوی</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قال الشهیدی قدّس سرّه بعد أن ذکر العبارة بصیغة الإثبات و بیان الغرض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استشکل به سیّدنا الأُستاذ قدّس سرّه علی العبارة ناشٍ عن الغلط فی نسخته من حیث اشتمالها علی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،هدایة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،و راجع حاشیة السیّد الیزدی فی مبحث الخیارات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،ذیل قول المؤلّف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یقال</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معارضة</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عدم</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استدلّ به فی 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،و التنقیح الرائع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،و الریاض </w:t>
      </w:r>
      <w:r>
        <w:rPr>
          <w:rFonts w:eastAsia="IRNazanin" w:cs="IRNazanin"/>
          <w:b w:val="false"/>
          <w:bCs w:val="false"/>
          <w:i w:val="false"/>
          <w:iCs w:val="false"/>
          <w:color w:val="333333"/>
          <w:sz w:val="20"/>
          <w:szCs w:val="20"/>
        </w:rPr>
        <w:t>8:190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17:376</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موانع الإرث،الحدیث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المقاصد </w:t>
      </w:r>
      <w:r>
        <w:rPr>
          <w:rFonts w:eastAsia="IRNazanin" w:cs="IRNazanin"/>
          <w:b w:val="false"/>
          <w:bCs w:val="false"/>
          <w:i w:val="false"/>
          <w:iCs w:val="false"/>
          <w:color w:val="333333"/>
          <w:sz w:val="20"/>
          <w:szCs w:val="20"/>
        </w:rPr>
        <w:t>11:141</w:t>
      </w:r>
      <w:r>
        <w:rPr>
          <w:rFonts w:ascii="IRNazanin" w:hAnsi="IRNazanin" w:eastAsia="IRNazanin"/>
          <w:b w:val="false"/>
          <w:b w:val="false"/>
          <w:bCs w:val="false"/>
          <w:i w:val="false"/>
          <w:i w:val="false"/>
          <w:iCs w:val="false"/>
          <w:color w:val="333333"/>
          <w:sz w:val="20"/>
          <w:sz w:val="20"/>
          <w:szCs w:val="20"/>
          <w:rtl w:val="true"/>
        </w:rPr>
        <w:t xml:space="preserve">،و الجواهر </w:t>
      </w:r>
      <w:r>
        <w:rPr>
          <w:rFonts w:eastAsia="IRNazanin" w:cs="IRNazanin"/>
          <w:b w:val="false"/>
          <w:bCs w:val="false"/>
          <w:i w:val="false"/>
          <w:iCs w:val="false"/>
          <w:color w:val="333333"/>
          <w:sz w:val="20"/>
          <w:szCs w:val="20"/>
        </w:rPr>
        <w:t>28:473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القواعد </w:t>
      </w:r>
      <w:r>
        <w:rPr>
          <w:rFonts w:eastAsia="IRNazanin" w:cs="IRNazanin"/>
          <w:b w:val="false"/>
          <w:bCs w:val="false"/>
          <w:i w:val="false"/>
          <w:iCs w:val="false"/>
          <w:color w:val="333333"/>
          <w:sz w:val="20"/>
          <w:szCs w:val="20"/>
        </w:rPr>
        <w:t>2:536</w:t>
      </w:r>
      <w:r>
        <w:rPr>
          <w:rFonts w:ascii="IRNazanin" w:hAnsi="IRNazanin" w:eastAsia="IRNazanin"/>
          <w:b w:val="false"/>
          <w:b w:val="false"/>
          <w:bCs w:val="false"/>
          <w:i w:val="false"/>
          <w:i w:val="false"/>
          <w:iCs w:val="false"/>
          <w:color w:val="333333"/>
          <w:sz w:val="20"/>
          <w:sz w:val="20"/>
          <w:szCs w:val="20"/>
          <w:rtl w:val="true"/>
        </w:rPr>
        <w:t xml:space="preserve">،و المختلف </w:t>
      </w:r>
      <w:r>
        <w:rPr>
          <w:rFonts w:eastAsia="IRNazanin" w:cs="IRNazanin"/>
          <w:b w:val="false"/>
          <w:bCs w:val="false"/>
          <w:i w:val="false"/>
          <w:iCs w:val="false"/>
          <w:color w:val="333333"/>
          <w:sz w:val="20"/>
          <w:szCs w:val="20"/>
        </w:rPr>
        <w:t>6:427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الإیضاح </w:t>
      </w:r>
      <w:r>
        <w:rPr>
          <w:rFonts w:eastAsia="IRNazanin" w:cs="IRNazanin"/>
          <w:b w:val="false"/>
          <w:bCs w:val="false"/>
          <w:i w:val="false"/>
          <w:iCs w:val="false"/>
          <w:color w:val="333333"/>
          <w:sz w:val="20"/>
          <w:szCs w:val="20"/>
        </w:rPr>
        <w:t>1:485</w:t>
      </w:r>
      <w:r>
        <w:rPr>
          <w:rFonts w:ascii="IRNazanin" w:hAnsi="IRNazanin" w:eastAsia="IRNazanin"/>
          <w:b w:val="false"/>
          <w:b w:val="false"/>
          <w:bCs w:val="false"/>
          <w:i w:val="false"/>
          <w:i w:val="false"/>
          <w:iCs w:val="false"/>
          <w:color w:val="333333"/>
          <w:sz w:val="20"/>
          <w:sz w:val="20"/>
          <w:szCs w:val="20"/>
          <w:rtl w:val="true"/>
        </w:rPr>
        <w:t xml:space="preserve">،و جامع المقاصد </w:t>
      </w:r>
      <w:r>
        <w:rPr>
          <w:rFonts w:eastAsia="IRNazanin" w:cs="IRNazanin"/>
          <w:b w:val="false"/>
          <w:bCs w:val="false"/>
          <w:i w:val="false"/>
          <w:iCs w:val="false"/>
          <w:color w:val="333333"/>
          <w:sz w:val="20"/>
          <w:szCs w:val="20"/>
        </w:rPr>
        <w:t>4:294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سیجیء فی الصفحة الآتیة</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1:544</w:t>
      </w:r>
      <w:r>
        <w:rPr>
          <w:rFonts w:ascii="IRNazanin" w:hAnsi="IRNazanin" w:eastAsia="IRNazanin"/>
          <w:b w:val="false"/>
          <w:b w:val="false"/>
          <w:bCs w:val="false"/>
          <w:i w:val="false"/>
          <w:i w:val="false"/>
          <w:iCs w:val="false"/>
          <w:color w:val="333333"/>
          <w:sz w:val="20"/>
          <w:sz w:val="20"/>
          <w:szCs w:val="20"/>
          <w:rtl w:val="true"/>
        </w:rPr>
        <w:t xml:space="preserve">،و لم نعثر علیه فی القواعد،راجع مبحث المرابحة فی القواعد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1:523</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دفع الغابن التفاوت احتمل سقوط خیار المغبون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فی 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دفع الغابن التفاوت فلا خیار علی إشکال</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النراقی فی المستند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نسبته ذلک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احتمله بعض المتأخّرین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الأقوی</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الریاض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جزء المعوّض و تمام العوض</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1:485</w:t>
      </w:r>
      <w:r>
        <w:rPr>
          <w:rFonts w:ascii="IRNazanin" w:hAnsi="IRNazanin" w:eastAsia="IRNazanin"/>
          <w:b w:val="false"/>
          <w:b w:val="false"/>
          <w:bCs w:val="false"/>
          <w:i w:val="false"/>
          <w:i w:val="false"/>
          <w:iCs w:val="false"/>
          <w:color w:val="333333"/>
          <w:sz w:val="20"/>
          <w:sz w:val="20"/>
          <w:szCs w:val="20"/>
          <w:rtl w:val="true"/>
        </w:rPr>
        <w:t xml:space="preserve">،و جامع المقاصد </w:t>
      </w:r>
      <w:r>
        <w:rPr>
          <w:rFonts w:eastAsia="IRNazanin" w:cs="IRNazanin"/>
          <w:b w:val="false"/>
          <w:bCs w:val="false"/>
          <w:i w:val="false"/>
          <w:iCs w:val="false"/>
          <w:color w:val="333333"/>
          <w:sz w:val="20"/>
          <w:szCs w:val="20"/>
        </w:rPr>
        <w:t>4:294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5:153</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،و عنه فی الوسائل </w:t>
      </w:r>
      <w:r>
        <w:rPr>
          <w:rFonts w:eastAsia="IRNazanin" w:cs="IRNazanin"/>
          <w:b w:val="false"/>
          <w:bCs w:val="false"/>
          <w:i w:val="false"/>
          <w:iCs w:val="false"/>
          <w:color w:val="333333"/>
          <w:sz w:val="20"/>
          <w:szCs w:val="20"/>
        </w:rPr>
        <w:t>12:363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الخیار،الحدیث الأوّل</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5:153</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12:364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12:285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5:383</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رسل</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،و التذکرة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1:510</w:t>
      </w:r>
      <w:r>
        <w:rPr>
          <w:rFonts w:ascii="IRNazanin" w:hAnsi="IRNazanin" w:eastAsia="IRNazanin"/>
          <w:b w:val="false"/>
          <w:b w:val="false"/>
          <w:bCs w:val="false"/>
          <w:i w:val="false"/>
          <w:i w:val="false"/>
          <w:iCs w:val="false"/>
          <w:color w:val="333333"/>
          <w:sz w:val="20"/>
          <w:sz w:val="20"/>
          <w:szCs w:val="20"/>
          <w:rtl w:val="true"/>
        </w:rPr>
        <w:t xml:space="preserve">،و التحریر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وکیله</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مرّ ذلک مشروحاً فی خیار المجلس</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4:294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3:204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مقتضی</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 الثانی</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سیجیء فی الصفحة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مالک،کما تقدم عن التذکرة آنفاً،و لکنّ المحکی عنه فی المغنی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التحدید بالثلث</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المستدلّ علیه فی أبواب الفقه</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استدلّ به الفاضل المقداد فی التنقیح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،و السیّد الطباطبائی فی الریاض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ما فی المثال،و لذا أسقطه مصحّح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1276</w:t>
      </w:r>
      <w:r>
        <w:rPr>
          <w:rFonts w:ascii="IRNazanin" w:hAnsi="IRNazanin" w:eastAsia="IRNazanin"/>
          <w:b w:val="false"/>
          <w:b w:val="false"/>
          <w:bCs w:val="false"/>
          <w:i w:val="false"/>
          <w:i w:val="false"/>
          <w:iCs w:val="false"/>
          <w:color w:val="333333"/>
          <w:sz w:val="20"/>
          <w:sz w:val="20"/>
          <w:szCs w:val="20"/>
          <w:rtl w:val="true"/>
        </w:rPr>
        <w:t xml:space="preserve">،و عنه فی الوسائل </w:t>
      </w:r>
      <w:r>
        <w:rPr>
          <w:rFonts w:eastAsia="IRNazanin" w:cs="IRNazanin"/>
          <w:b w:val="false"/>
          <w:bCs w:val="false"/>
          <w:i w:val="false"/>
          <w:iCs w:val="false"/>
          <w:color w:val="333333"/>
          <w:sz w:val="20"/>
          <w:szCs w:val="20"/>
        </w:rPr>
        <w:t>2:998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التیمّم،ذیل الحدیث الأوّل</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فیبقی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،لکنّه لا یلائم السیاق</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یتحقّق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یکون</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3:467</w:t>
      </w:r>
      <w:r>
        <w:rPr>
          <w:rFonts w:ascii="IRNazanin" w:hAnsi="IRNazanin" w:eastAsia="IRNazanin"/>
          <w:b w:val="false"/>
          <w:b w:val="false"/>
          <w:bCs w:val="false"/>
          <w:i w:val="false"/>
          <w:i w:val="false"/>
          <w:iCs w:val="false"/>
          <w:color w:val="333333"/>
          <w:sz w:val="20"/>
          <w:sz w:val="20"/>
          <w:szCs w:val="20"/>
          <w:rtl w:val="true"/>
        </w:rPr>
        <w:t xml:space="preserve">،و المسالک </w:t>
      </w:r>
      <w:r>
        <w:rPr>
          <w:rFonts w:eastAsia="IRNazanin" w:cs="IRNazanin"/>
          <w:b w:val="false"/>
          <w:bCs w:val="false"/>
          <w:i w:val="false"/>
          <w:iCs w:val="false"/>
          <w:color w:val="333333"/>
          <w:sz w:val="20"/>
          <w:szCs w:val="20"/>
        </w:rPr>
        <w:t>3:205</w:t>
      </w:r>
      <w:r>
        <w:rPr>
          <w:rFonts w:ascii="IRNazanin" w:hAnsi="IRNazanin" w:eastAsia="IRNazanin"/>
          <w:b w:val="false"/>
          <w:b w:val="false"/>
          <w:bCs w:val="false"/>
          <w:i w:val="false"/>
          <w:i w:val="false"/>
          <w:iCs w:val="false"/>
          <w:color w:val="333333"/>
          <w:sz w:val="20"/>
          <w:sz w:val="20"/>
          <w:szCs w:val="20"/>
          <w:rtl w:val="true"/>
        </w:rPr>
        <w:t xml:space="preserve">،و جامع المقاصد </w:t>
      </w:r>
      <w:r>
        <w:rPr>
          <w:rFonts w:eastAsia="IRNazanin" w:cs="IRNazanin"/>
          <w:b w:val="false"/>
          <w:bCs w:val="false"/>
          <w:i w:val="false"/>
          <w:iCs w:val="false"/>
          <w:color w:val="333333"/>
          <w:sz w:val="20"/>
          <w:szCs w:val="20"/>
        </w:rPr>
        <w:t>4:295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المولی أحمد بن محمّد التونی أخو المولی عبد اللّٰه التونی صاحب الوافیة، ذکره فی تعلیقه علی الروضة ذیل قول الشارح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المغبون إمّا البائع أو المشتری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الروضة البهیّة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صاحب الجواهر فی الجواهر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4:294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هذا البعض</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4:574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لأحدهما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المعاملة أصلاً</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،و 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،و الشرائع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ظاهر المختصر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،و الریاض </w:t>
      </w:r>
      <w:r>
        <w:rPr>
          <w:rFonts w:eastAsia="IRNazanin" w:cs="IRNazanin"/>
          <w:b w:val="false"/>
          <w:bCs w:val="false"/>
          <w:i w:val="false"/>
          <w:iCs w:val="false"/>
          <w:color w:val="333333"/>
          <w:sz w:val="20"/>
          <w:szCs w:val="20"/>
        </w:rPr>
        <w:t>8:190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الشرائع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،و الإرشاد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،و القواعد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،و غایة المراد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،و راجع مفتاح الکرامة </w:t>
      </w:r>
      <w:r>
        <w:rPr>
          <w:rFonts w:eastAsia="IRNazanin" w:cs="IRNazanin"/>
          <w:b w:val="false"/>
          <w:bCs w:val="false"/>
          <w:i w:val="false"/>
          <w:iCs w:val="false"/>
          <w:color w:val="333333"/>
          <w:sz w:val="20"/>
          <w:szCs w:val="20"/>
        </w:rPr>
        <w:t>4:572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سقوطه</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تفصیل الأقوال فی جامع المقاصد </w:t>
      </w:r>
      <w:r>
        <w:rPr>
          <w:rFonts w:eastAsia="IRNazanin" w:cs="IRNazanin"/>
          <w:b w:val="false"/>
          <w:bCs w:val="false"/>
          <w:i w:val="false"/>
          <w:iCs w:val="false"/>
          <w:color w:val="333333"/>
          <w:sz w:val="20"/>
          <w:szCs w:val="20"/>
        </w:rPr>
        <w:t>4:295</w:t>
      </w:r>
      <w:r>
        <w:rPr>
          <w:rFonts w:ascii="IRNazanin" w:hAnsi="IRNazanin" w:eastAsia="IRNazanin"/>
          <w:b w:val="false"/>
          <w:b w:val="false"/>
          <w:bCs w:val="false"/>
          <w:i w:val="false"/>
          <w:i w:val="false"/>
          <w:iCs w:val="false"/>
          <w:color w:val="333333"/>
          <w:sz w:val="20"/>
          <w:sz w:val="20"/>
          <w:szCs w:val="20"/>
          <w:rtl w:val="true"/>
        </w:rPr>
        <w:t xml:space="preserve">،و الروضة </w:t>
      </w:r>
      <w:r>
        <w:rPr>
          <w:rFonts w:eastAsia="IRNazanin" w:cs="IRNazanin"/>
          <w:b w:val="false"/>
          <w:bCs w:val="false"/>
          <w:i w:val="false"/>
          <w:iCs w:val="false"/>
          <w:color w:val="333333"/>
          <w:sz w:val="20"/>
          <w:szCs w:val="20"/>
        </w:rPr>
        <w:t>3:466</w:t>
      </w:r>
      <w:r>
        <w:rPr>
          <w:rFonts w:ascii="IRNazanin" w:hAnsi="IRNazanin" w:eastAsia="IRNazanin"/>
          <w:b w:val="false"/>
          <w:b w:val="false"/>
          <w:bCs w:val="false"/>
          <w:i w:val="false"/>
          <w:i w:val="false"/>
          <w:iCs w:val="false"/>
          <w:color w:val="333333"/>
          <w:sz w:val="20"/>
          <w:sz w:val="20"/>
          <w:szCs w:val="20"/>
          <w:rtl w:val="true"/>
        </w:rPr>
        <w:t xml:space="preserve">، و الریاض </w:t>
      </w:r>
      <w:r>
        <w:rPr>
          <w:rFonts w:eastAsia="IRNazanin" w:cs="IRNazanin"/>
          <w:b w:val="false"/>
          <w:bCs w:val="false"/>
          <w:i w:val="false"/>
          <w:iCs w:val="false"/>
          <w:color w:val="333333"/>
          <w:sz w:val="20"/>
          <w:szCs w:val="20"/>
        </w:rPr>
        <w:t>1:525</w:t>
      </w:r>
      <w:r>
        <w:rPr>
          <w:rFonts w:ascii="IRNazanin" w:hAnsi="IRNazanin" w:eastAsia="IRNazanin"/>
          <w:b w:val="false"/>
          <w:b w:val="false"/>
          <w:bCs w:val="false"/>
          <w:i w:val="false"/>
          <w:i w:val="false"/>
          <w:iCs w:val="false"/>
          <w:color w:val="333333"/>
          <w:sz w:val="20"/>
          <w:sz w:val="20"/>
          <w:szCs w:val="20"/>
          <w:rtl w:val="true"/>
        </w:rPr>
        <w:t xml:space="preserve">،و مفتاح الکرامة </w:t>
      </w:r>
      <w:r>
        <w:rPr>
          <w:rFonts w:eastAsia="IRNazanin" w:cs="IRNazanin"/>
          <w:b w:val="false"/>
          <w:bCs w:val="false"/>
          <w:i w:val="false"/>
          <w:iCs w:val="false"/>
          <w:color w:val="333333"/>
          <w:sz w:val="20"/>
          <w:szCs w:val="20"/>
        </w:rPr>
        <w:t>4:572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من صرّح بذلک،نعم صرّح فی المسالک </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 الجواهر </w:t>
      </w:r>
      <w:r>
        <w:rPr>
          <w:rFonts w:eastAsia="IRNazanin" w:cs="IRNazanin"/>
          <w:b w:val="false"/>
          <w:bCs w:val="false"/>
          <w:i w:val="false"/>
          <w:iCs w:val="false"/>
          <w:color w:val="333333"/>
          <w:sz w:val="20"/>
          <w:szCs w:val="20"/>
        </w:rPr>
        <w:t>23:50</w:t>
      </w:r>
      <w:r>
        <w:rPr>
          <w:rFonts w:ascii="IRNazanin" w:hAnsi="IRNazanin" w:eastAsia="IRNazanin"/>
          <w:b w:val="false"/>
          <w:b w:val="false"/>
          <w:bCs w:val="false"/>
          <w:i w:val="false"/>
          <w:i w:val="false"/>
          <w:iCs w:val="false"/>
          <w:color w:val="333333"/>
          <w:sz w:val="20"/>
          <w:sz w:val="20"/>
          <w:szCs w:val="20"/>
          <w:rtl w:val="true"/>
        </w:rPr>
        <w:t>،و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بعدم سقوط خیار المغبون بتصرف الغابن،بل یفسخ و یرجع إلی المثل أو القیمة</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1:522</w:t>
      </w:r>
      <w:r>
        <w:rPr>
          <w:rFonts w:ascii="IRNazanin" w:hAnsi="IRNazanin" w:eastAsia="IRNazanin"/>
          <w:b w:val="false"/>
          <w:b w:val="false"/>
          <w:bCs w:val="false"/>
          <w:i w:val="false"/>
          <w:i w:val="false"/>
          <w:iCs w:val="false"/>
          <w:color w:val="333333"/>
          <w:sz w:val="20"/>
          <w:sz w:val="20"/>
          <w:szCs w:val="20"/>
          <w:rtl w:val="true"/>
        </w:rPr>
        <w:t>،و لکن لم یذکر فیه لفظ الحدیث</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السنن الکبری للبیهقی </w:t>
      </w:r>
      <w:r>
        <w:rPr>
          <w:rFonts w:eastAsia="IRNazanin" w:cs="IRNazanin"/>
          <w:b w:val="false"/>
          <w:bCs w:val="false"/>
          <w:i w:val="false"/>
          <w:iCs w:val="false"/>
          <w:color w:val="333333"/>
          <w:sz w:val="20"/>
          <w:szCs w:val="20"/>
        </w:rPr>
        <w:t>5:348</w:t>
      </w:r>
      <w:r>
        <w:rPr>
          <w:rFonts w:ascii="IRNazanin" w:hAnsi="IRNazanin" w:eastAsia="IRNazanin"/>
          <w:b w:val="false"/>
          <w:b w:val="false"/>
          <w:bCs w:val="false"/>
          <w:i w:val="false"/>
          <w:i w:val="false"/>
          <w:iCs w:val="false"/>
          <w:color w:val="333333"/>
          <w:sz w:val="20"/>
          <w:sz w:val="20"/>
          <w:szCs w:val="20"/>
          <w:rtl w:val="true"/>
        </w:rPr>
        <w:t>،باب النهی عن تلقّی السلع</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شُطب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هذه العبارة،و کتب بدلها فی 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فالأولی أن یقال</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غیرها</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تلک</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تردّد فیه المحقّق الثانی فی جامع المقاصد </w:t>
      </w:r>
      <w:r>
        <w:rPr>
          <w:rFonts w:eastAsia="IRNazanin" w:cs="IRNazanin"/>
          <w:b w:val="false"/>
          <w:bCs w:val="false"/>
          <w:i w:val="false"/>
          <w:iCs w:val="false"/>
          <w:color w:val="333333"/>
          <w:sz w:val="20"/>
          <w:szCs w:val="20"/>
        </w:rPr>
        <w:t>4:297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علیه</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المقاصد </w:t>
      </w:r>
      <w:r>
        <w:rPr>
          <w:rFonts w:eastAsia="IRNazanin" w:cs="IRNazanin"/>
          <w:b w:val="false"/>
          <w:bCs w:val="false"/>
          <w:i w:val="false"/>
          <w:iCs w:val="false"/>
          <w:color w:val="333333"/>
          <w:sz w:val="20"/>
          <w:szCs w:val="20"/>
        </w:rPr>
        <w:t>4:354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الجزء السادس،الصفحة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شطب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وجهان</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لا</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مفهوم العقد معلّق علیها فی الواقع من دون تعلیق المتکلّم</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یختصّ</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3:276</w:t>
      </w:r>
      <w:r>
        <w:rPr>
          <w:rFonts w:ascii="IRNazanin" w:hAnsi="IRNazanin" w:eastAsia="IRNazanin"/>
          <w:b w:val="false"/>
          <w:b w:val="false"/>
          <w:bCs w:val="false"/>
          <w:i w:val="false"/>
          <w:i w:val="false"/>
          <w:iCs w:val="false"/>
          <w:color w:val="333333"/>
          <w:sz w:val="20"/>
          <w:sz w:val="20"/>
          <w:szCs w:val="20"/>
          <w:rtl w:val="true"/>
        </w:rPr>
        <w:t>،مع تقدیم و تأخیر فی بعض الألفاظ</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1:288</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شرط فی العقد سقوط هذه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خیار العیب و الغبن و الرؤیة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بطل الشرط و العقد علی الخلاف</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سیجیء فی الصفحة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ادّعاه فی الجواهر </w:t>
      </w:r>
      <w:r>
        <w:rPr>
          <w:rFonts w:eastAsia="IRNazanin" w:cs="IRNazanin"/>
          <w:b w:val="false"/>
          <w:bCs w:val="false"/>
          <w:i w:val="false"/>
          <w:iCs w:val="false"/>
          <w:color w:val="333333"/>
          <w:sz w:val="20"/>
          <w:szCs w:val="20"/>
        </w:rPr>
        <w:t>23:68</w:t>
      </w:r>
      <w:r>
        <w:rPr>
          <w:rFonts w:ascii="IRNazanin" w:hAnsi="IRNazanin" w:eastAsia="IRNazanin"/>
          <w:b w:val="false"/>
          <w:b w:val="false"/>
          <w:bCs w:val="false"/>
          <w:i w:val="false"/>
          <w:i w:val="false"/>
          <w:iCs w:val="false"/>
          <w:color w:val="333333"/>
          <w:sz w:val="20"/>
          <w:sz w:val="20"/>
          <w:szCs w:val="20"/>
          <w:rtl w:val="true"/>
        </w:rPr>
        <w:t xml:space="preserve">،و راجع مفتاح الکرامة </w:t>
      </w:r>
      <w:r>
        <w:rPr>
          <w:rFonts w:eastAsia="IRNazanin" w:cs="IRNazanin"/>
          <w:b w:val="false"/>
          <w:bCs w:val="false"/>
          <w:i w:val="false"/>
          <w:iCs w:val="false"/>
          <w:color w:val="333333"/>
          <w:sz w:val="20"/>
          <w:szCs w:val="20"/>
        </w:rPr>
        <w:t>4:588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عموم</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فکذلک</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 النراقی فی المستند </w:t>
      </w:r>
      <w:r>
        <w:rPr>
          <w:rFonts w:eastAsia="IRNazanin" w:cs="IRNazanin"/>
          <w:b w:val="false"/>
          <w:bCs w:val="false"/>
          <w:i w:val="false"/>
          <w:iCs w:val="false"/>
          <w:color w:val="333333"/>
          <w:sz w:val="20"/>
          <w:szCs w:val="20"/>
        </w:rPr>
        <w:t>14:395</w:t>
      </w:r>
      <w:r>
        <w:rPr>
          <w:rFonts w:ascii="IRNazanin" w:hAnsi="IRNazanin" w:eastAsia="IRNazanin"/>
          <w:b w:val="false"/>
          <w:b w:val="false"/>
          <w:bCs w:val="false"/>
          <w:i w:val="false"/>
          <w:i w:val="false"/>
          <w:iCs w:val="false"/>
          <w:color w:val="333333"/>
          <w:sz w:val="20"/>
          <w:sz w:val="20"/>
          <w:szCs w:val="20"/>
          <w:rtl w:val="true"/>
        </w:rPr>
        <w:t xml:space="preserve">،و لم نعثر علی غیره،نعم جاء فی مجمع الفائدة </w:t>
      </w:r>
      <w:r>
        <w:rPr>
          <w:rFonts w:eastAsia="IRNazanin" w:cs="IRNazanin"/>
          <w:b w:val="false"/>
          <w:bCs w:val="false"/>
          <w:i w:val="false"/>
          <w:iCs w:val="false"/>
          <w:color w:val="333333"/>
          <w:sz w:val="20"/>
          <w:szCs w:val="20"/>
        </w:rPr>
        <w:t>8:404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تصرّف المغبون فی مال الغابن فیحتمل ذلک أیضاً؛لأنّ الجهل عذر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نحوه ما ورد فی الریاض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وردت العبارة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الاستشکال من جهة ترک التصریح مع وجود الدلیل ممّا لا ینبغی</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12:362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ادّعاه فی 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،و المختلف </w:t>
      </w:r>
      <w:r>
        <w:rPr>
          <w:rFonts w:eastAsia="IRNazanin" w:cs="IRNazanin"/>
          <w:b w:val="false"/>
          <w:bCs w:val="false"/>
          <w:i w:val="false"/>
          <w:iCs w:val="false"/>
          <w:color w:val="333333"/>
          <w:sz w:val="20"/>
          <w:szCs w:val="20"/>
        </w:rPr>
        <w:t>5:183</w:t>
      </w:r>
      <w:r>
        <w:rPr>
          <w:rFonts w:ascii="IRNazanin" w:hAnsi="IRNazanin" w:eastAsia="IRNazanin"/>
          <w:b w:val="false"/>
          <w:b w:val="false"/>
          <w:bCs w:val="false"/>
          <w:i w:val="false"/>
          <w:i w:val="false"/>
          <w:iCs w:val="false"/>
          <w:color w:val="333333"/>
          <w:sz w:val="20"/>
          <w:sz w:val="20"/>
          <w:szCs w:val="20"/>
          <w:rtl w:val="true"/>
        </w:rPr>
        <w:t xml:space="preserve">،و راجع مفتاح الکرامة </w:t>
      </w:r>
      <w:r>
        <w:rPr>
          <w:rFonts w:eastAsia="IRNazanin" w:cs="IRNazanin"/>
          <w:b w:val="false"/>
          <w:bCs w:val="false"/>
          <w:i w:val="false"/>
          <w:iCs w:val="false"/>
          <w:color w:val="333333"/>
          <w:sz w:val="20"/>
          <w:szCs w:val="20"/>
        </w:rPr>
        <w:t>4:626</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العین</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العلّامة فی التذکرة </w:t>
      </w:r>
      <w:r>
        <w:rPr>
          <w:rFonts w:eastAsia="IRNazanin" w:cs="IRNazanin"/>
          <w:b w:val="false"/>
          <w:bCs w:val="false"/>
          <w:i w:val="false"/>
          <w:iCs w:val="false"/>
          <w:color w:val="333333"/>
          <w:sz w:val="20"/>
          <w:szCs w:val="20"/>
        </w:rPr>
        <w:t>1:523</w:t>
      </w:r>
      <w:r>
        <w:rPr>
          <w:rFonts w:ascii="IRNazanin" w:hAnsi="IRNazanin" w:eastAsia="IRNazanin"/>
          <w:b w:val="false"/>
          <w:b w:val="false"/>
          <w:bCs w:val="false"/>
          <w:i w:val="false"/>
          <w:i w:val="false"/>
          <w:iCs w:val="false"/>
          <w:color w:val="333333"/>
          <w:sz w:val="20"/>
          <w:sz w:val="20"/>
          <w:szCs w:val="20"/>
          <w:rtl w:val="true"/>
        </w:rPr>
        <w:t xml:space="preserve">،و الشهید فی غایة المراد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،و الفاضل المقداد فی التنقیح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،و ابن فهد الحلّی فی المهذّب البارع </w:t>
      </w:r>
      <w:r>
        <w:rPr>
          <w:rFonts w:eastAsia="IRNazanin" w:cs="IRNazanin"/>
          <w:b w:val="false"/>
          <w:bCs w:val="false"/>
          <w:i w:val="false"/>
          <w:iCs w:val="false"/>
          <w:color w:val="333333"/>
          <w:sz w:val="20"/>
          <w:szCs w:val="20"/>
        </w:rPr>
        <w:t>2:376</w:t>
      </w:r>
      <w:r>
        <w:rPr>
          <w:rFonts w:ascii="IRNazanin" w:hAnsi="IRNazanin" w:eastAsia="IRNazanin"/>
          <w:b w:val="false"/>
          <w:b w:val="false"/>
          <w:bCs w:val="false"/>
          <w:i w:val="false"/>
          <w:i w:val="false"/>
          <w:iCs w:val="false"/>
          <w:color w:val="333333"/>
          <w:sz w:val="20"/>
          <w:sz w:val="20"/>
          <w:szCs w:val="20"/>
          <w:rtl w:val="true"/>
        </w:rPr>
        <w:t xml:space="preserve">،و انظر مفتاح الکرامة </w:t>
      </w:r>
      <w:r>
        <w:rPr>
          <w:rFonts w:eastAsia="IRNazanin" w:cs="IRNazanin"/>
          <w:b w:val="false"/>
          <w:bCs w:val="false"/>
          <w:i w:val="false"/>
          <w:iCs w:val="false"/>
          <w:color w:val="333333"/>
          <w:sz w:val="20"/>
          <w:szCs w:val="20"/>
        </w:rPr>
        <w:t>4:572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الشهید الثانی فی الروضة </w:t>
      </w:r>
      <w:r>
        <w:rPr>
          <w:rFonts w:eastAsia="IRNazanin" w:cs="IRNazanin"/>
          <w:b w:val="false"/>
          <w:bCs w:val="false"/>
          <w:i w:val="false"/>
          <w:iCs w:val="false"/>
          <w:color w:val="333333"/>
          <w:sz w:val="20"/>
          <w:szCs w:val="20"/>
        </w:rPr>
        <w:t>3:465</w:t>
      </w:r>
      <w:r>
        <w:rPr>
          <w:rFonts w:ascii="IRNazanin" w:hAnsi="IRNazanin" w:eastAsia="IRNazanin"/>
          <w:b w:val="false"/>
          <w:b w:val="false"/>
          <w:bCs w:val="false"/>
          <w:i w:val="false"/>
          <w:i w:val="false"/>
          <w:iCs w:val="false"/>
          <w:color w:val="333333"/>
          <w:sz w:val="20"/>
          <w:sz w:val="20"/>
          <w:szCs w:val="20"/>
          <w:rtl w:val="true"/>
        </w:rPr>
        <w:t xml:space="preserve">،و المحدث الکاشانی فی المفاتیح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،و السیّد الطباطبائی فی الریاض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یبطل</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4:318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المبیعة</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الروضة البهیّة </w:t>
      </w:r>
      <w:r>
        <w:rPr>
          <w:rFonts w:eastAsia="IRNazanin" w:cs="IRNazanin"/>
          <w:b w:val="false"/>
          <w:bCs w:val="false"/>
          <w:i w:val="false"/>
          <w:iCs w:val="false"/>
          <w:color w:val="333333"/>
          <w:sz w:val="20"/>
          <w:szCs w:val="20"/>
        </w:rPr>
        <w:t>3:466</w:t>
      </w:r>
      <w:r>
        <w:rPr>
          <w:rFonts w:ascii="IRNazanin" w:hAnsi="IRNazanin" w:eastAsia="IRNazanin"/>
          <w:b w:val="false"/>
          <w:b w:val="false"/>
          <w:bCs w:val="false"/>
          <w:i w:val="false"/>
          <w:i w:val="false"/>
          <w:iCs w:val="false"/>
          <w:color w:val="333333"/>
          <w:sz w:val="20"/>
          <w:sz w:val="20"/>
          <w:szCs w:val="20"/>
          <w:rtl w:val="true"/>
        </w:rPr>
        <w:t>،و لکن لم نعثر فیه علی دعوی الإجماع،و لعلّها تستفاد من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لم أقف علی قائلٍ به</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السیّد العاملی فی مفتاح الکرامة </w:t>
      </w:r>
      <w:r>
        <w:rPr>
          <w:rFonts w:eastAsia="IRNazanin" w:cs="IRNazanin"/>
          <w:b w:val="false"/>
          <w:bCs w:val="false"/>
          <w:i w:val="false"/>
          <w:iCs w:val="false"/>
          <w:color w:val="333333"/>
          <w:sz w:val="20"/>
          <w:szCs w:val="20"/>
        </w:rPr>
        <w:t>4:572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صرّح الأکثر بأنّ المراد به المشتری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لم نعثر علی غیره،و راجع الشرائع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،و المهذّب البارع </w:t>
      </w:r>
      <w:r>
        <w:rPr>
          <w:rFonts w:eastAsia="IRNazanin" w:cs="IRNazanin"/>
          <w:b w:val="false"/>
          <w:bCs w:val="false"/>
          <w:i w:val="false"/>
          <w:iCs w:val="false"/>
          <w:color w:val="333333"/>
          <w:sz w:val="20"/>
          <w:szCs w:val="20"/>
        </w:rPr>
        <w:t>2:376</w:t>
      </w:r>
      <w:r>
        <w:rPr>
          <w:rFonts w:ascii="IRNazanin" w:hAnsi="IRNazanin" w:eastAsia="IRNazanin"/>
          <w:b w:val="false"/>
          <w:b w:val="false"/>
          <w:bCs w:val="false"/>
          <w:i w:val="false"/>
          <w:i w:val="false"/>
          <w:iCs w:val="false"/>
          <w:color w:val="333333"/>
          <w:sz w:val="20"/>
          <w:sz w:val="20"/>
          <w:szCs w:val="20"/>
          <w:rtl w:val="true"/>
        </w:rPr>
        <w:t>،و اللمعة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،و الریاض </w:t>
      </w:r>
      <w:r>
        <w:rPr>
          <w:rFonts w:eastAsia="IRNazanin" w:cs="IRNazanin"/>
          <w:b w:val="false"/>
          <w:bCs w:val="false"/>
          <w:i w:val="false"/>
          <w:iCs w:val="false"/>
          <w:color w:val="333333"/>
          <w:sz w:val="20"/>
          <w:szCs w:val="20"/>
        </w:rPr>
        <w:t>8:192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فهد الحلّی فی المهذّب البارع </w:t>
      </w:r>
      <w:r>
        <w:rPr>
          <w:rFonts w:eastAsia="IRNazanin" w:cs="IRNazanin"/>
          <w:b w:val="false"/>
          <w:bCs w:val="false"/>
          <w:i w:val="false"/>
          <w:iCs w:val="false"/>
          <w:color w:val="333333"/>
          <w:sz w:val="20"/>
          <w:szCs w:val="20"/>
        </w:rPr>
        <w:t>2:376</w:t>
      </w:r>
      <w:r>
        <w:rPr>
          <w:rFonts w:ascii="IRNazanin" w:hAnsi="IRNazanin" w:eastAsia="IRNazanin"/>
          <w:b w:val="false"/>
          <w:b w:val="false"/>
          <w:bCs w:val="false"/>
          <w:i w:val="false"/>
          <w:i w:val="false"/>
          <w:iCs w:val="false"/>
          <w:color w:val="333333"/>
          <w:sz w:val="20"/>
          <w:sz w:val="20"/>
          <w:szCs w:val="20"/>
          <w:rtl w:val="true"/>
        </w:rPr>
        <w:t xml:space="preserve">،و الشهید الثانی فی الروضة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،و الصیمری فی غایة المرام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اختاره فی غایة المرام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سواء کان وارداً علی العین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علی المنافع کالإجارة</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فی المهذّب البارع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السیّد العاملی فی مفتاح الکرامة </w:t>
      </w:r>
      <w:r>
        <w:rPr>
          <w:rFonts w:eastAsia="IRNazanin" w:cs="IRNazanin"/>
          <w:b w:val="false"/>
          <w:bCs w:val="false"/>
          <w:i w:val="false"/>
          <w:iCs w:val="false"/>
          <w:color w:val="333333"/>
          <w:sz w:val="20"/>
          <w:szCs w:val="20"/>
        </w:rPr>
        <w:t>4:575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حینه</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الغیر،و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شطب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المتصرّف</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الجزء السادس،الصفحة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استشکل</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قائلٍ به صراحةً،نعم یظهر ممّن حکم بعدم سقوط خیار المغبون بتصرّف الغابن و أنّه یلزمه المثل أو القیمة بعد الفسخ،کما فی المهذّب البارع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،و جامع المقاصد </w:t>
      </w:r>
      <w:r>
        <w:rPr>
          <w:rFonts w:eastAsia="IRNazanin" w:cs="IRNazanin"/>
          <w:b w:val="false"/>
          <w:bCs w:val="false"/>
          <w:i w:val="false"/>
          <w:iCs w:val="false"/>
          <w:color w:val="333333"/>
          <w:sz w:val="20"/>
          <w:szCs w:val="20"/>
        </w:rPr>
        <w:t>4:295</w:t>
      </w:r>
      <w:r>
        <w:rPr>
          <w:rFonts w:ascii="IRNazanin" w:hAnsi="IRNazanin" w:eastAsia="IRNazanin"/>
          <w:b w:val="false"/>
          <w:b w:val="false"/>
          <w:bCs w:val="false"/>
          <w:i w:val="false"/>
          <w:i w:val="false"/>
          <w:iCs w:val="false"/>
          <w:color w:val="333333"/>
          <w:sz w:val="20"/>
          <w:sz w:val="20"/>
          <w:szCs w:val="20"/>
          <w:rtl w:val="true"/>
        </w:rPr>
        <w:t xml:space="preserve">،و المسالک </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الجزء السادس،الصفحة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تعذّر</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3:206</w:t>
      </w:r>
      <w:r>
        <w:rPr>
          <w:rFonts w:ascii="IRNazanin" w:hAnsi="IRNazanin" w:eastAsia="IRNazanin"/>
          <w:b w:val="false"/>
          <w:b w:val="false"/>
          <w:bCs w:val="false"/>
          <w:i w:val="false"/>
          <w:i w:val="false"/>
          <w:iCs w:val="false"/>
          <w:color w:val="333333"/>
          <w:sz w:val="20"/>
          <w:sz w:val="20"/>
          <w:szCs w:val="20"/>
          <w:rtl w:val="true"/>
        </w:rPr>
        <w:t>،مع تفاوت فی بعض الألفاظ</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باقیة</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العقد الجائز أو اللازم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یردا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الشتات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إیضاح الفوائد </w:t>
      </w:r>
      <w:r>
        <w:rPr>
          <w:rFonts w:eastAsia="IRNazanin" w:cs="IRNazanin"/>
          <w:b w:val="false"/>
          <w:bCs w:val="false"/>
          <w:i w:val="false"/>
          <w:iCs w:val="false"/>
          <w:color w:val="333333"/>
          <w:sz w:val="20"/>
          <w:szCs w:val="20"/>
        </w:rPr>
        <w:t>1:521</w:t>
      </w:r>
      <w:r>
        <w:rPr>
          <w:rFonts w:ascii="IRNazanin" w:hAnsi="IRNazanin" w:eastAsia="IRNazanin"/>
          <w:b w:val="false"/>
          <w:b w:val="false"/>
          <w:bCs w:val="false"/>
          <w:i w:val="false"/>
          <w:i w:val="false"/>
          <w:iCs w:val="false"/>
          <w:color w:val="333333"/>
          <w:sz w:val="20"/>
          <w:sz w:val="20"/>
          <w:szCs w:val="20"/>
          <w:rtl w:val="true"/>
        </w:rPr>
        <w:t xml:space="preserve">،و جامع المقاصد </w:t>
      </w:r>
      <w:r>
        <w:rPr>
          <w:rFonts w:eastAsia="IRNazanin" w:cs="IRNazanin"/>
          <w:b w:val="false"/>
          <w:bCs w:val="false"/>
          <w:i w:val="false"/>
          <w:iCs w:val="false"/>
          <w:color w:val="333333"/>
          <w:sz w:val="20"/>
          <w:szCs w:val="20"/>
        </w:rPr>
        <w:t>4:446</w:t>
      </w:r>
      <w:r>
        <w:rPr>
          <w:rFonts w:ascii="IRNazanin" w:hAnsi="IRNazanin" w:eastAsia="IRNazanin"/>
          <w:b w:val="false"/>
          <w:b w:val="false"/>
          <w:bCs w:val="false"/>
          <w:i w:val="false"/>
          <w:i w:val="false"/>
          <w:iCs w:val="false"/>
          <w:color w:val="333333"/>
          <w:sz w:val="20"/>
          <w:sz w:val="20"/>
          <w:szCs w:val="20"/>
          <w:rtl w:val="true"/>
        </w:rPr>
        <w:t xml:space="preserve">،و مفتاح الکرامة </w:t>
      </w:r>
      <w:r>
        <w:rPr>
          <w:rFonts w:eastAsia="IRNazanin" w:cs="IRNazanin"/>
          <w:b w:val="false"/>
          <w:bCs w:val="false"/>
          <w:i w:val="false"/>
          <w:iCs w:val="false"/>
          <w:color w:val="333333"/>
          <w:sz w:val="20"/>
          <w:szCs w:val="20"/>
        </w:rPr>
        <w:t>4:760</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المختلف </w:t>
      </w:r>
      <w:r>
        <w:rPr>
          <w:rFonts w:eastAsia="IRNazanin" w:cs="IRNazanin"/>
          <w:b w:val="false"/>
          <w:bCs w:val="false"/>
          <w:i w:val="false"/>
          <w:iCs w:val="false"/>
          <w:color w:val="333333"/>
          <w:sz w:val="20"/>
          <w:szCs w:val="20"/>
        </w:rPr>
        <w:t>5:356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 المسالک،نعم صرح به فی الروضة </w:t>
      </w:r>
      <w:r>
        <w:rPr>
          <w:rFonts w:eastAsia="IRNazanin" w:cs="IRNazanin"/>
          <w:b w:val="false"/>
          <w:bCs w:val="false"/>
          <w:i w:val="false"/>
          <w:iCs w:val="false"/>
          <w:color w:val="333333"/>
          <w:sz w:val="20"/>
          <w:szCs w:val="20"/>
        </w:rPr>
        <w:t>3:469</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الشرائع </w:t>
      </w:r>
      <w:r>
        <w:rPr>
          <w:rFonts w:eastAsia="IRNazanin" w:cs="IRNazanin"/>
          <w:b w:val="false"/>
          <w:bCs w:val="false"/>
          <w:i w:val="false"/>
          <w:iCs w:val="false"/>
          <w:color w:val="333333"/>
          <w:sz w:val="20"/>
          <w:szCs w:val="20"/>
        </w:rPr>
        <w:t>2:173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3:260</w:t>
      </w:r>
      <w:r>
        <w:rPr>
          <w:rFonts w:ascii="IRNazanin" w:hAnsi="IRNazanin" w:eastAsia="IRNazanin"/>
          <w:b w:val="false"/>
          <w:b w:val="false"/>
          <w:bCs w:val="false"/>
          <w:i w:val="false"/>
          <w:i w:val="false"/>
          <w:iCs w:val="false"/>
          <w:color w:val="333333"/>
          <w:sz w:val="20"/>
          <w:sz w:val="20"/>
          <w:szCs w:val="20"/>
          <w:rtl w:val="true"/>
        </w:rPr>
        <w:t xml:space="preserve">،و مفتاح الکرامة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المختلف </w:t>
      </w:r>
      <w:r>
        <w:rPr>
          <w:rFonts w:eastAsia="IRNazanin" w:cs="IRNazanin"/>
          <w:b w:val="false"/>
          <w:bCs w:val="false"/>
          <w:i w:val="false"/>
          <w:iCs w:val="false"/>
          <w:color w:val="333333"/>
          <w:sz w:val="20"/>
          <w:szCs w:val="20"/>
        </w:rPr>
        <w:t>5:356</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الأثیر فی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حدیث إحیاء الموات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لعرقٍ ظالمٍ 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أن یجیء الرجل إلی أرضٍ قد أحیاها رجل قبله فیغرس فیها غرساً غصباً لیستوجب به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بالتنوین،و هو علی حذف المضاف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لذی عرقٍ ظالمٍ، فجعل العِرْقَ نفسه ظالماً،و الحقّ لصاحبه،أو یکون الظالم من صفة صاحب العِرْق،و إن رُوی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بالإضافة فیکون الظالم صاحب العرق،و الحقّ للعرق، و هو أحد عروق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النهایة لابن الأثیر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المادّة نفسها</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2:257</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رواه فی الوسائل </w:t>
      </w:r>
      <w:r>
        <w:rPr>
          <w:rFonts w:eastAsia="IRNazanin" w:cs="IRNazanin"/>
          <w:b w:val="false"/>
          <w:bCs w:val="false"/>
          <w:i w:val="false"/>
          <w:iCs w:val="false"/>
          <w:color w:val="333333"/>
          <w:sz w:val="20"/>
          <w:szCs w:val="20"/>
        </w:rPr>
        <w:t>17:311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الغصب،الحدیث الأوّل عن الصادق علیه السلام</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بعدم</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تفصیل الأقوال فی مفتاح الکرامة </w:t>
      </w:r>
      <w:r>
        <w:rPr>
          <w:rFonts w:eastAsia="IRNazanin" w:cs="IRNazanin"/>
          <w:b w:val="false"/>
          <w:bCs w:val="false"/>
          <w:i w:val="false"/>
          <w:iCs w:val="false"/>
          <w:color w:val="333333"/>
          <w:sz w:val="20"/>
          <w:szCs w:val="20"/>
        </w:rPr>
        <w:t>5:504</w:t>
      </w:r>
      <w:r>
        <w:rPr>
          <w:rFonts w:ascii="IRNazanin" w:hAnsi="IRNazanin" w:eastAsia="IRNazanin"/>
          <w:b w:val="false"/>
          <w:b w:val="false"/>
          <w:bCs w:val="false"/>
          <w:i w:val="false"/>
          <w:i w:val="false"/>
          <w:iCs w:val="false"/>
          <w:color w:val="333333"/>
          <w:sz w:val="20"/>
          <w:sz w:val="20"/>
          <w:szCs w:val="20"/>
          <w:rtl w:val="true"/>
        </w:rPr>
        <w:t>،و المناهل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و الجواهر </w:t>
      </w:r>
      <w:r>
        <w:rPr>
          <w:rFonts w:eastAsia="IRNazanin" w:cs="IRNazanin"/>
          <w:b w:val="false"/>
          <w:bCs w:val="false"/>
          <w:i w:val="false"/>
          <w:iCs w:val="false"/>
          <w:color w:val="333333"/>
          <w:sz w:val="20"/>
          <w:szCs w:val="20"/>
        </w:rPr>
        <w:t>26:277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التخلیص</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 المسالک،نعم هو موجود فی الروضة </w:t>
      </w:r>
      <w:r>
        <w:rPr>
          <w:rFonts w:eastAsia="IRNazanin" w:cs="IRNazanin"/>
          <w:b w:val="false"/>
          <w:bCs w:val="false"/>
          <w:i w:val="false"/>
          <w:iCs w:val="false"/>
          <w:color w:val="333333"/>
          <w:sz w:val="20"/>
          <w:szCs w:val="20"/>
        </w:rPr>
        <w:t>3:469</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کالمعدومة</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حصول الاشتراک قهراً لو کانا لمالکین،و من تغیّر حقیقته،فیکون کالتلف الرافع للخیار</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الشهید الثانی فی المسالک </w:t>
      </w:r>
      <w:r>
        <w:rPr>
          <w:rFonts w:eastAsia="IRNazanin" w:cs="IRNazanin"/>
          <w:b w:val="false"/>
          <w:bCs w:val="false"/>
          <w:i w:val="false"/>
          <w:iCs w:val="false"/>
          <w:color w:val="333333"/>
          <w:sz w:val="20"/>
          <w:szCs w:val="20"/>
        </w:rPr>
        <w:t>4:113</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یتمّ علی القول بثبوته فی کلّ معاوضة</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الثانی فی الروضة </w:t>
      </w:r>
      <w:r>
        <w:rPr>
          <w:rFonts w:eastAsia="IRNazanin" w:cs="IRNazanin"/>
          <w:b w:val="false"/>
          <w:bCs w:val="false"/>
          <w:i w:val="false"/>
          <w:iCs w:val="false"/>
          <w:color w:val="333333"/>
          <w:sz w:val="20"/>
          <w:szCs w:val="20"/>
        </w:rPr>
        <w:t>3:473</w:t>
      </w:r>
      <w:r>
        <w:rPr>
          <w:rFonts w:ascii="IRNazanin" w:hAnsi="IRNazanin" w:eastAsia="IRNazanin"/>
          <w:b w:val="false"/>
          <w:b w:val="false"/>
          <w:bCs w:val="false"/>
          <w:i w:val="false"/>
          <w:i w:val="false"/>
          <w:iCs w:val="false"/>
          <w:color w:val="333333"/>
          <w:sz w:val="20"/>
          <w:sz w:val="20"/>
          <w:szCs w:val="20"/>
          <w:rtl w:val="true"/>
        </w:rPr>
        <w:t xml:space="preserve">،و السیّد الطباطبائی فی الریاض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،و راجع مفتاح الکرامة </w:t>
      </w:r>
      <w:r>
        <w:rPr>
          <w:rFonts w:eastAsia="IRNazanin" w:cs="IRNazanin"/>
          <w:b w:val="false"/>
          <w:bCs w:val="false"/>
          <w:i w:val="false"/>
          <w:iCs w:val="false"/>
          <w:color w:val="333333"/>
          <w:sz w:val="20"/>
          <w:szCs w:val="20"/>
        </w:rPr>
        <w:t>4:607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قیمته</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الحاکی،و لا توجد لدینا حاشیة الشرائع فی هذا الموضوع</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19:189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فی الشرائع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،و العلّامة فی القواعد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،و الإرشاد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و راجع مفتاح الکرامة </w:t>
      </w:r>
      <w:r>
        <w:rPr>
          <w:rFonts w:eastAsia="IRNazanin" w:cs="IRNazanin"/>
          <w:b w:val="false"/>
          <w:bCs w:val="false"/>
          <w:i w:val="false"/>
          <w:iCs w:val="false"/>
          <w:color w:val="333333"/>
          <w:sz w:val="20"/>
          <w:szCs w:val="20"/>
        </w:rPr>
        <w:t>4:718</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الشرائع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التحریر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و عمّن بعده السیّد العاملی فی مفتاح الکرامة </w:t>
      </w:r>
      <w:r>
        <w:rPr>
          <w:rFonts w:eastAsia="IRNazanin" w:cs="IRNazanin"/>
          <w:b w:val="false"/>
          <w:bCs w:val="false"/>
          <w:i w:val="false"/>
          <w:iCs w:val="false"/>
          <w:color w:val="333333"/>
          <w:sz w:val="20"/>
          <w:szCs w:val="20"/>
        </w:rPr>
        <w:t>4:570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النافع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یوجد لدینا</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2:538</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غایة المرام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1:296</w:t>
      </w:r>
      <w:r>
        <w:rPr>
          <w:rFonts w:ascii="IRNazanin" w:hAnsi="IRNazanin" w:eastAsia="IRNazanin"/>
          <w:b w:val="false"/>
          <w:b w:val="false"/>
          <w:bCs w:val="false"/>
          <w:i w:val="false"/>
          <w:i w:val="false"/>
          <w:iCs w:val="false"/>
          <w:color w:val="333333"/>
          <w:sz w:val="20"/>
          <w:sz w:val="20"/>
          <w:szCs w:val="20"/>
          <w:rtl w:val="true"/>
        </w:rPr>
        <w:t>،و فیه تصریح بعدم ثبوت الخیار فی الفرضین الأخیرین</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تقدّم عنهم فی الصفحة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الشرح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ضمن المغنی لابن قدامة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أحدها خیار المجلس و یثبت فی البیع و الصلح بمعناه و الإجارة و یثبت فی الصرف و السلم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راجع الخلاف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البیوع</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إلحاق غیرها بظهور عدم الفصل عند الأصحاب</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یتمّ بعدم القول بالفصل</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الحدائق </w:t>
      </w:r>
      <w:r>
        <w:rPr>
          <w:rFonts w:eastAsia="IRNazanin" w:cs="IRNazanin"/>
          <w:b w:val="false"/>
          <w:bCs w:val="false"/>
          <w:i w:val="false"/>
          <w:iCs w:val="false"/>
          <w:color w:val="333333"/>
          <w:sz w:val="20"/>
          <w:szCs w:val="20"/>
        </w:rPr>
        <w:t>19:43</w:t>
      </w:r>
      <w:r>
        <w:rPr>
          <w:rFonts w:ascii="IRNazanin" w:hAnsi="IRNazanin" w:eastAsia="IRNazanin"/>
          <w:b w:val="false"/>
          <w:b w:val="false"/>
          <w:bCs w:val="false"/>
          <w:i w:val="false"/>
          <w:i w:val="false"/>
          <w:iCs w:val="false"/>
          <w:color w:val="333333"/>
          <w:sz w:val="20"/>
          <w:sz w:val="20"/>
          <w:szCs w:val="20"/>
          <w:rtl w:val="true"/>
        </w:rPr>
        <w:t xml:space="preserve">،و مفتاح الکرامة </w:t>
      </w:r>
      <w:r>
        <w:rPr>
          <w:rFonts w:eastAsia="IRNazanin" w:cs="IRNazanin"/>
          <w:b w:val="false"/>
          <w:bCs w:val="false"/>
          <w:i w:val="false"/>
          <w:iCs w:val="false"/>
          <w:color w:val="333333"/>
          <w:sz w:val="20"/>
          <w:szCs w:val="20"/>
        </w:rPr>
        <w:t>4:104</w:t>
      </w:r>
      <w:r>
        <w:rPr>
          <w:rFonts w:ascii="IRNazanin" w:hAnsi="IRNazanin" w:eastAsia="IRNazanin"/>
          <w:b w:val="false"/>
          <w:b w:val="false"/>
          <w:bCs w:val="false"/>
          <w:i w:val="false"/>
          <w:i w:val="false"/>
          <w:iCs w:val="false"/>
          <w:color w:val="333333"/>
          <w:sz w:val="20"/>
          <w:sz w:val="20"/>
          <w:szCs w:val="20"/>
          <w:rtl w:val="true"/>
        </w:rPr>
        <w:t>،و المناهل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الریاض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الدافع هو صاحب الجواهر فی الجواهر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فرائد الأُصول </w:t>
      </w:r>
      <w:r>
        <w:rPr>
          <w:rFonts w:eastAsia="IRNazanin" w:cs="IRNazanin"/>
          <w:b w:val="false"/>
          <w:bCs w:val="false"/>
          <w:i w:val="false"/>
          <w:iCs w:val="false"/>
          <w:color w:val="333333"/>
          <w:sz w:val="20"/>
          <w:szCs w:val="20"/>
        </w:rPr>
        <w:t>3:273</w:t>
      </w:r>
      <w:r>
        <w:rPr>
          <w:rFonts w:ascii="IRNazanin" w:hAnsi="IRNazanin" w:eastAsia="IRNazanin"/>
          <w:b w:val="false"/>
          <w:b w:val="false"/>
          <w:bCs w:val="false"/>
          <w:i w:val="false"/>
          <w:i w:val="false"/>
          <w:iCs w:val="false"/>
          <w:color w:val="333333"/>
          <w:sz w:val="20"/>
          <w:sz w:val="20"/>
          <w:szCs w:val="20"/>
          <w:rtl w:val="true"/>
        </w:rPr>
        <w:t>،التنبیه العاشر من تنبیهات الاستصحاب</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هذا الوجه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عنه فی الصفحة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فیما لو بذل الغابن التفاوت،فی تقویة ما اختاره من عدم سقوط الخیار بالبذل و تعرّض لمسألة الفور و التراخی،لکن لم یتعرّض لهذا المستند،راجع المناهل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الشیخ علی آل کاشف الغطاء فی تعلیقته علی 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،مبحث خیار التأخیر</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لقوله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لم یجز</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المصدر</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فیدفع</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النقص</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عنه فی الصفحة الماضیة</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علیه،و لا علی الحاکی</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1:605</w:t>
      </w:r>
      <w:r>
        <w:rPr>
          <w:rFonts w:ascii="IRNazanin" w:hAnsi="IRNazanin" w:eastAsia="IRNazanin"/>
          <w:b w:val="false"/>
          <w:b w:val="false"/>
          <w:bCs w:val="false"/>
          <w:i w:val="false"/>
          <w:i w:val="false"/>
          <w:iCs w:val="false"/>
          <w:color w:val="333333"/>
          <w:sz w:val="20"/>
          <w:sz w:val="20"/>
          <w:szCs w:val="20"/>
          <w:rtl w:val="true"/>
        </w:rPr>
        <w:t>،مع تقدیم و تأخیر فی بعض العبارات</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 السیّد العاملی فی مفتاح الکرامة </w:t>
      </w:r>
      <w:r>
        <w:rPr>
          <w:rFonts w:eastAsia="IRNazanin" w:cs="IRNazanin"/>
          <w:b w:val="false"/>
          <w:bCs w:val="false"/>
          <w:i w:val="false"/>
          <w:iCs w:val="false"/>
          <w:color w:val="333333"/>
          <w:sz w:val="20"/>
          <w:szCs w:val="20"/>
        </w:rPr>
        <w:t>4:576</w:t>
      </w:r>
      <w:r>
        <w:rPr>
          <w:rFonts w:ascii="IRNazanin" w:hAnsi="IRNazanin" w:eastAsia="IRNazanin"/>
          <w:b w:val="false"/>
          <w:b w:val="false"/>
          <w:bCs w:val="false"/>
          <w:i w:val="false"/>
          <w:i w:val="false"/>
          <w:iCs w:val="false"/>
          <w:color w:val="333333"/>
          <w:sz w:val="20"/>
          <w:sz w:val="20"/>
          <w:szCs w:val="20"/>
          <w:rtl w:val="true"/>
        </w:rPr>
        <w:t>،و راجع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،و الخلاف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،و جواهر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19:44</w:t>
      </w:r>
      <w:r>
        <w:rPr>
          <w:rFonts w:ascii="IRNazanin" w:hAnsi="IRNazanin" w:eastAsia="IRNazanin"/>
          <w:b w:val="false"/>
          <w:b w:val="false"/>
          <w:bCs w:val="false"/>
          <w:i w:val="false"/>
          <w:i w:val="false"/>
          <w:iCs w:val="false"/>
          <w:color w:val="333333"/>
          <w:sz w:val="20"/>
          <w:sz w:val="20"/>
          <w:szCs w:val="20"/>
          <w:rtl w:val="true"/>
        </w:rPr>
        <w:t xml:space="preserve">،و الریاض </w:t>
      </w:r>
      <w:r>
        <w:rPr>
          <w:rFonts w:eastAsia="IRNazanin" w:cs="IRNazanin"/>
          <w:b w:val="false"/>
          <w:bCs w:val="false"/>
          <w:i w:val="false"/>
          <w:iCs w:val="false"/>
          <w:color w:val="333333"/>
          <w:sz w:val="20"/>
          <w:szCs w:val="20"/>
        </w:rPr>
        <w:t>1:525</w:t>
      </w:r>
      <w:r>
        <w:rPr>
          <w:rFonts w:ascii="IRNazanin" w:hAnsi="IRNazanin" w:eastAsia="IRNazanin"/>
          <w:b w:val="false"/>
          <w:b w:val="false"/>
          <w:bCs w:val="false"/>
          <w:i w:val="false"/>
          <w:i w:val="false"/>
          <w:iCs w:val="false"/>
          <w:color w:val="333333"/>
          <w:sz w:val="20"/>
          <w:sz w:val="20"/>
          <w:szCs w:val="20"/>
          <w:rtl w:val="true"/>
        </w:rPr>
        <w:t xml:space="preserve">،و مستند الشیعة </w:t>
      </w:r>
      <w:r>
        <w:rPr>
          <w:rFonts w:eastAsia="IRNazanin" w:cs="IRNazanin"/>
          <w:b w:val="false"/>
          <w:bCs w:val="false"/>
          <w:i w:val="false"/>
          <w:iCs w:val="false"/>
          <w:color w:val="333333"/>
          <w:sz w:val="20"/>
          <w:szCs w:val="20"/>
        </w:rPr>
        <w:t>14:397</w:t>
      </w:r>
      <w:r>
        <w:rPr>
          <w:rFonts w:ascii="IRNazanin" w:hAnsi="IRNazanin" w:eastAsia="IRNazanin"/>
          <w:b w:val="false"/>
          <w:b w:val="false"/>
          <w:bCs w:val="false"/>
          <w:i w:val="false"/>
          <w:i w:val="false"/>
          <w:iCs w:val="false"/>
          <w:color w:val="333333"/>
          <w:sz w:val="20"/>
          <w:sz w:val="20"/>
          <w:szCs w:val="20"/>
          <w:rtl w:val="true"/>
        </w:rPr>
        <w:t xml:space="preserve">، و الجواهر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التخریج عنها آنفاً،و راجع تفصیل ذلک فی مفتاح الکرامة </w:t>
      </w:r>
      <w:r>
        <w:rPr>
          <w:rFonts w:eastAsia="IRNazanin" w:cs="IRNazanin"/>
          <w:b w:val="false"/>
          <w:bCs w:val="false"/>
          <w:i w:val="false"/>
          <w:iCs w:val="false"/>
          <w:color w:val="333333"/>
          <w:sz w:val="20"/>
          <w:szCs w:val="20"/>
        </w:rPr>
        <w:t>4:576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قبضه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من سهو القلم</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12:357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أقضی</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12:356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الخیار،الحدیث الأوّل</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،و فیه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لم یرتجع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لم یجیء</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الشهید فی الدروس </w:t>
      </w:r>
      <w:r>
        <w:rPr>
          <w:rFonts w:eastAsia="IRNazanin" w:cs="IRNazanin"/>
          <w:b w:val="false"/>
          <w:bCs w:val="false"/>
          <w:i w:val="false"/>
          <w:iCs w:val="false"/>
          <w:color w:val="333333"/>
          <w:sz w:val="20"/>
          <w:szCs w:val="20"/>
        </w:rPr>
        <w:t>3:274</w:t>
      </w:r>
      <w:r>
        <w:rPr>
          <w:rFonts w:ascii="IRNazanin" w:hAnsi="IRNazanin" w:eastAsia="IRNazanin"/>
          <w:b w:val="false"/>
          <w:b w:val="false"/>
          <w:bCs w:val="false"/>
          <w:i w:val="false"/>
          <w:i w:val="false"/>
          <w:iCs w:val="false"/>
          <w:color w:val="333333"/>
          <w:sz w:val="20"/>
          <w:sz w:val="20"/>
          <w:szCs w:val="20"/>
          <w:rtl w:val="true"/>
        </w:rPr>
        <w:t xml:space="preserve">،و راجع المختلف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الفائدة </w:t>
      </w:r>
      <w:r>
        <w:rPr>
          <w:rFonts w:eastAsia="IRNazanin" w:cs="IRNazanin"/>
          <w:b w:val="false"/>
          <w:bCs w:val="false"/>
          <w:i w:val="false"/>
          <w:iCs w:val="false"/>
          <w:color w:val="333333"/>
          <w:sz w:val="20"/>
          <w:szCs w:val="20"/>
        </w:rPr>
        <w:t>8:405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،و فیه بعد نقل الخیار عن جماعة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ظاهر ابن الجنید و الشیخ بطلان البیع،و لعلّ الأقرب الثانی</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،و راجع المختلف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حملهم الأخبار علی نفی اللزوم</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الریاض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صاحب الجواهر،انظر الجواهر </w:t>
      </w:r>
      <w:r>
        <w:rPr>
          <w:rFonts w:eastAsia="IRNazanin" w:cs="IRNazanin"/>
          <w:b w:val="false"/>
          <w:bCs w:val="false"/>
          <w:i w:val="false"/>
          <w:iCs w:val="false"/>
          <w:color w:val="333333"/>
          <w:sz w:val="20"/>
          <w:szCs w:val="20"/>
        </w:rPr>
        <w:t>23:53</w:t>
      </w:r>
      <w:r>
        <w:rPr>
          <w:rFonts w:ascii="IRNazanin" w:hAnsi="IRNazanin" w:eastAsia="IRNazanin"/>
          <w:b w:val="false"/>
          <w:b w:val="false"/>
          <w:bCs w:val="false"/>
          <w:i w:val="false"/>
          <w:i w:val="false"/>
          <w:iCs w:val="false"/>
          <w:color w:val="333333"/>
          <w:sz w:val="20"/>
          <w:sz w:val="20"/>
          <w:szCs w:val="20"/>
          <w:rtl w:val="true"/>
        </w:rPr>
        <w:t xml:space="preserve">،و جاء فی المستند </w:t>
      </w:r>
      <w:r>
        <w:rPr>
          <w:rFonts w:eastAsia="IRNazanin" w:cs="IRNazanin"/>
          <w:b w:val="false"/>
          <w:bCs w:val="false"/>
          <w:i w:val="false"/>
          <w:iCs w:val="false"/>
          <w:color w:val="333333"/>
          <w:sz w:val="20"/>
          <w:szCs w:val="20"/>
        </w:rPr>
        <w:t>14:398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أکثر تلک الأخبار و إن کانت مطلقة بالنسبة إلی إقباض المبیع و عدمه</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بذل له</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الجزء السادس،الصفحة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لکنّه مشکلٌ،کدعوی شمولها و لو قلنا بارتفاع الضمان</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الوارد فی صحیحة زرارة المتقدّمة فی الصفحة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بتلک الروایة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استدلّ بها فی الجواهر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الصفحة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4:298</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وجدته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،و الخلاف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البیوع،و لم نعثر علی نسخة جواهر الفقه المشار إلیها فی کلام المؤلف،نعم کتب فی المطبوعة ضمن الجوامع 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 ظ</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،و راجع مفتاح الکرامة </w:t>
      </w:r>
      <w:r>
        <w:rPr>
          <w:rFonts w:eastAsia="IRNazanin" w:cs="IRNazanin"/>
          <w:b w:val="false"/>
          <w:bCs w:val="false"/>
          <w:i w:val="false"/>
          <w:iCs w:val="false"/>
          <w:color w:val="333333"/>
          <w:sz w:val="20"/>
          <w:szCs w:val="20"/>
        </w:rPr>
        <w:t>4:579</w:t>
      </w:r>
      <w:r>
        <w:rPr>
          <w:rFonts w:ascii="IRNazanin" w:hAnsi="IRNazanin" w:eastAsia="IRNazanin"/>
          <w:b w:val="false"/>
          <w:b w:val="false"/>
          <w:bCs w:val="false"/>
          <w:i w:val="false"/>
          <w:i w:val="false"/>
          <w:iCs w:val="false"/>
          <w:color w:val="333333"/>
          <w:sz w:val="20"/>
          <w:sz w:val="20"/>
          <w:szCs w:val="20"/>
          <w:rtl w:val="true"/>
        </w:rPr>
        <w:t>،و لم نعثر علی العبارة فی غیره</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معقد إجماعهم</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،و تقدّم فی الصفحة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عنه فی الصفحة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الصفحة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المتقدّمتان فی الصفحة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المتقدّمتان فی الصفحة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الصفحة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الصفحة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فی ضمن أُمورٍ متعدّدة،کصاع من صبرة</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المملّک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یملّکه</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النسبة،نعم نسب فی مفتاح الکرامة </w:t>
      </w:r>
      <w:r>
        <w:rPr>
          <w:rFonts w:eastAsia="IRNazanin" w:cs="IRNazanin"/>
          <w:b w:val="false"/>
          <w:bCs w:val="false"/>
          <w:i w:val="false"/>
          <w:iCs w:val="false"/>
          <w:color w:val="333333"/>
          <w:sz w:val="20"/>
          <w:szCs w:val="20"/>
        </w:rPr>
        <w:t>4:579</w:t>
      </w:r>
      <w:r>
        <w:rPr>
          <w:rFonts w:ascii="IRNazanin" w:hAnsi="IRNazanin" w:eastAsia="IRNazanin"/>
          <w:b w:val="false"/>
          <w:b w:val="false"/>
          <w:bCs w:val="false"/>
          <w:i w:val="false"/>
          <w:i w:val="false"/>
          <w:iCs w:val="false"/>
          <w:color w:val="333333"/>
          <w:sz w:val="20"/>
          <w:sz w:val="20"/>
          <w:szCs w:val="20"/>
          <w:rtl w:val="true"/>
        </w:rPr>
        <w:t xml:space="preserve">،و الجواهر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الإطلاق إلی الأکثر</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أراد</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أحدث</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السیّد العاملی فی مفتاح الکرامة </w:t>
      </w:r>
      <w:r>
        <w:rPr>
          <w:rFonts w:eastAsia="IRNazanin" w:cs="IRNazanin"/>
          <w:b w:val="false"/>
          <w:bCs w:val="false"/>
          <w:i w:val="false"/>
          <w:iCs w:val="false"/>
          <w:color w:val="333333"/>
          <w:sz w:val="20"/>
          <w:szCs w:val="20"/>
        </w:rPr>
        <w:t>4:579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الآخر</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المختلف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فصّله السیّد العاملی فی مفتاح الکرامة </w:t>
      </w:r>
      <w:r>
        <w:rPr>
          <w:rFonts w:eastAsia="IRNazanin" w:cs="IRNazanin"/>
          <w:b w:val="false"/>
          <w:bCs w:val="false"/>
          <w:i w:val="false"/>
          <w:iCs w:val="false"/>
          <w:color w:val="333333"/>
          <w:sz w:val="20"/>
          <w:szCs w:val="20"/>
        </w:rPr>
        <w:t>4:579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للخیار</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ما قاله المفصّل نقلاً بالمعنی</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 الأُمور التی قیل باعتبارها فی هذا الخیار،و قد تقدّم أوّلها فی الصفحة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المختلف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،و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المختلف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12:357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12:357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العقد</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السیّد العاملی فی مفتاح الکرامة </w:t>
      </w:r>
      <w:r>
        <w:rPr>
          <w:rFonts w:eastAsia="IRNazanin" w:cs="IRNazanin"/>
          <w:b w:val="false"/>
          <w:bCs w:val="false"/>
          <w:i w:val="false"/>
          <w:iCs w:val="false"/>
          <w:color w:val="333333"/>
          <w:sz w:val="20"/>
          <w:szCs w:val="20"/>
        </w:rPr>
        <w:t>4:581</w:t>
      </w:r>
      <w:r>
        <w:rPr>
          <w:rFonts w:ascii="IRNazanin" w:hAnsi="IRNazanin" w:eastAsia="IRNazanin"/>
          <w:b w:val="false"/>
          <w:b w:val="false"/>
          <w:bCs w:val="false"/>
          <w:i w:val="false"/>
          <w:i w:val="false"/>
          <w:iCs w:val="false"/>
          <w:color w:val="333333"/>
          <w:sz w:val="20"/>
          <w:sz w:val="20"/>
          <w:szCs w:val="20"/>
          <w:rtl w:val="true"/>
        </w:rPr>
        <w:t xml:space="preserve">،و راجع الدروس </w:t>
      </w:r>
      <w:r>
        <w:rPr>
          <w:rFonts w:eastAsia="IRNazanin" w:cs="IRNazanin"/>
          <w:b w:val="false"/>
          <w:bCs w:val="false"/>
          <w:i w:val="false"/>
          <w:iCs w:val="false"/>
          <w:color w:val="333333"/>
          <w:sz w:val="20"/>
          <w:szCs w:val="20"/>
        </w:rPr>
        <w:t>3:276</w:t>
      </w:r>
      <w:r>
        <w:rPr>
          <w:rFonts w:ascii="IRNazanin" w:hAnsi="IRNazanin" w:eastAsia="IRNazanin"/>
          <w:b w:val="false"/>
          <w:b w:val="false"/>
          <w:bCs w:val="false"/>
          <w:i w:val="false"/>
          <w:i w:val="false"/>
          <w:iCs w:val="false"/>
          <w:color w:val="333333"/>
          <w:sz w:val="20"/>
          <w:sz w:val="20"/>
          <w:szCs w:val="20"/>
          <w:rtl w:val="true"/>
        </w:rPr>
        <w:t xml:space="preserve">، و جامع المقاصد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،و فیه بعد احتمال الصحّة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أظهر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حاشیة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حکایة الإجماع</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السیّد الطباطبائی فی المصابیح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یسقط بإسقاطه فیها و لا بإحضار الثمن بعدها إلی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حصل الشکّ به فیستصحب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جعله فی الریاض </w:t>
      </w:r>
      <w:r>
        <w:rPr>
          <w:rFonts w:eastAsia="IRNazanin" w:cs="IRNazanin"/>
          <w:b w:val="false"/>
          <w:bCs w:val="false"/>
          <w:i w:val="false"/>
          <w:iCs w:val="false"/>
          <w:color w:val="333333"/>
          <w:sz w:val="20"/>
          <w:szCs w:val="20"/>
        </w:rPr>
        <w:t>8:195</w:t>
      </w:r>
      <w:r>
        <w:rPr>
          <w:rFonts w:ascii="IRNazanin" w:hAnsi="IRNazanin" w:eastAsia="IRNazanin"/>
          <w:b w:val="false"/>
          <w:b w:val="false"/>
          <w:bCs w:val="false"/>
          <w:i w:val="false"/>
          <w:i w:val="false"/>
          <w:iCs w:val="false"/>
          <w:color w:val="333333"/>
          <w:sz w:val="20"/>
          <w:sz w:val="20"/>
          <w:szCs w:val="20"/>
          <w:rtl w:val="true"/>
        </w:rPr>
        <w:t xml:space="preserve">،و مستند الشیعة </w:t>
      </w:r>
      <w:r>
        <w:rPr>
          <w:rFonts w:eastAsia="IRNazanin" w:cs="IRNazanin"/>
          <w:b w:val="false"/>
          <w:bCs w:val="false"/>
          <w:i w:val="false"/>
          <w:iCs w:val="false"/>
          <w:color w:val="333333"/>
          <w:sz w:val="20"/>
          <w:szCs w:val="20"/>
        </w:rPr>
        <w:t>14:400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أظهر الوجهین</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بیّنه فی الصفحة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،ذیل البحث عن مسقطیّة خیار الحیوان بالتصرّف</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کالدروس </w:t>
      </w:r>
      <w:r>
        <w:rPr>
          <w:rFonts w:eastAsia="IRNazanin" w:cs="IRNazanin"/>
          <w:b w:val="false"/>
          <w:bCs w:val="false"/>
          <w:i w:val="false"/>
          <w:iCs w:val="false"/>
          <w:color w:val="333333"/>
          <w:sz w:val="20"/>
          <w:szCs w:val="20"/>
        </w:rPr>
        <w:t>3:274</w:t>
      </w:r>
      <w:r>
        <w:rPr>
          <w:rFonts w:ascii="IRNazanin" w:hAnsi="IRNazanin" w:eastAsia="IRNazanin"/>
          <w:b w:val="false"/>
          <w:b w:val="false"/>
          <w:bCs w:val="false"/>
          <w:i w:val="false"/>
          <w:i w:val="false"/>
          <w:iCs w:val="false"/>
          <w:color w:val="333333"/>
          <w:sz w:val="20"/>
          <w:sz w:val="20"/>
          <w:szCs w:val="20"/>
          <w:rtl w:val="true"/>
        </w:rPr>
        <w:t xml:space="preserve">،و جامع المقاصد </w:t>
      </w:r>
      <w:r>
        <w:rPr>
          <w:rFonts w:eastAsia="IRNazanin" w:cs="IRNazanin"/>
          <w:b w:val="false"/>
          <w:bCs w:val="false"/>
          <w:i w:val="false"/>
          <w:iCs w:val="false"/>
          <w:color w:val="333333"/>
          <w:sz w:val="20"/>
          <w:szCs w:val="20"/>
        </w:rPr>
        <w:t>4:298</w:t>
      </w:r>
      <w:r>
        <w:rPr>
          <w:rFonts w:ascii="IRNazanin" w:hAnsi="IRNazanin" w:eastAsia="IRNazanin"/>
          <w:b w:val="false"/>
          <w:b w:val="false"/>
          <w:bCs w:val="false"/>
          <w:i w:val="false"/>
          <w:i w:val="false"/>
          <w:iCs w:val="false"/>
          <w:color w:val="333333"/>
          <w:sz w:val="20"/>
          <w:sz w:val="20"/>
          <w:szCs w:val="20"/>
          <w:rtl w:val="true"/>
        </w:rPr>
        <w:t xml:space="preserve">،و المسالک </w:t>
      </w:r>
      <w:r>
        <w:rPr>
          <w:rFonts w:eastAsia="IRNazanin" w:cs="IRNazanin"/>
          <w:b w:val="false"/>
          <w:bCs w:val="false"/>
          <w:i w:val="false"/>
          <w:iCs w:val="false"/>
          <w:color w:val="333333"/>
          <w:sz w:val="20"/>
          <w:szCs w:val="20"/>
        </w:rPr>
        <w:t>3:208</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روایة ابن عمّار المتقدّمة فی الصفحة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8:195</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3:212</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الخراج بالضمان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الوارد فی عوالی اللآلی </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أنّ</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الجزء السادس،الصفحة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السیّد الطباطبائی فی الریاض </w:t>
      </w:r>
      <w:r>
        <w:rPr>
          <w:rFonts w:eastAsia="IRNazanin" w:cs="IRNazanin"/>
          <w:b w:val="false"/>
          <w:bCs w:val="false"/>
          <w:i w:val="false"/>
          <w:iCs w:val="false"/>
          <w:color w:val="333333"/>
          <w:sz w:val="20"/>
          <w:szCs w:val="20"/>
        </w:rPr>
        <w:t>1:526</w:t>
      </w:r>
      <w:r>
        <w:rPr>
          <w:rFonts w:ascii="IRNazanin" w:hAnsi="IRNazanin" w:eastAsia="IRNazanin"/>
          <w:b w:val="false"/>
          <w:b w:val="false"/>
          <w:bCs w:val="false"/>
          <w:i w:val="false"/>
          <w:i w:val="false"/>
          <w:iCs w:val="false"/>
          <w:color w:val="333333"/>
          <w:sz w:val="20"/>
          <w:sz w:val="20"/>
          <w:szCs w:val="20"/>
          <w:rtl w:val="true"/>
        </w:rPr>
        <w:t xml:space="preserve">،و السیّد بحر العلوم فی المصابیح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،و صاحب الجواهر فی الجواهر </w:t>
      </w:r>
      <w:r>
        <w:rPr>
          <w:rFonts w:eastAsia="IRNazanin" w:cs="IRNazanin"/>
          <w:b w:val="false"/>
          <w:bCs w:val="false"/>
          <w:i w:val="false"/>
          <w:iCs w:val="false"/>
          <w:color w:val="333333"/>
          <w:sz w:val="20"/>
          <w:szCs w:val="20"/>
        </w:rPr>
        <w:t>23:58</w:t>
      </w:r>
      <w:r>
        <w:rPr>
          <w:rFonts w:ascii="IRNazanin" w:hAnsi="IRNazanin" w:eastAsia="IRNazanin"/>
          <w:b w:val="false"/>
          <w:b w:val="false"/>
          <w:bCs w:val="false"/>
          <w:i w:val="false"/>
          <w:i w:val="false"/>
          <w:iCs w:val="false"/>
          <w:color w:val="333333"/>
          <w:sz w:val="20"/>
          <w:sz w:val="20"/>
          <w:szCs w:val="20"/>
          <w:rtl w:val="true"/>
        </w:rPr>
        <w:t>،لکنّ الموجود فی الخلاف الذی بأیدینا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التلف فی الثلاثة من المبتاع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الخلاف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البیوع</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،و 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المذکور فی الصفحة السابقة</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12:358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الخیار،و فیه حدیثٌ واحد</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الخیار له بعدها</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12:359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الخیار،الحدیث الأوّل</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بلیلة</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3:274</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ثابت للبائع عند انقضاء النهار</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واحداً</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3:203</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3767</w:t>
      </w:r>
      <w:r>
        <w:rPr>
          <w:rFonts w:ascii="IRNazanin" w:hAnsi="IRNazanin" w:eastAsia="IRNazanin"/>
          <w:b w:val="false"/>
          <w:b w:val="false"/>
          <w:bCs w:val="false"/>
          <w:i w:val="false"/>
          <w:i w:val="false"/>
          <w:iCs w:val="false"/>
          <w:color w:val="333333"/>
          <w:sz w:val="20"/>
          <w:sz w:val="20"/>
          <w:szCs w:val="20"/>
          <w:rtl w:val="true"/>
        </w:rPr>
        <w:t xml:space="preserve">،و راجع الوسائل </w:t>
      </w:r>
      <w:r>
        <w:rPr>
          <w:rFonts w:eastAsia="IRNazanin" w:cs="IRNazanin"/>
          <w:b w:val="false"/>
          <w:bCs w:val="false"/>
          <w:i w:val="false"/>
          <w:iCs w:val="false"/>
          <w:color w:val="333333"/>
          <w:sz w:val="20"/>
          <w:szCs w:val="20"/>
        </w:rPr>
        <w:t>12:359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العبارة المذکورة من کتاب النهایة المطبوع مستقلا،نعم وردت فی المطبوع ضمن الجوامع 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،و المطبوع مع نکت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للمحقّق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2:142</w:t>
      </w:r>
      <w:r>
        <w:rPr>
          <w:rFonts w:ascii="IRNazanin" w:hAnsi="IRNazanin" w:eastAsia="IRNazanin"/>
          <w:b w:val="false"/>
          <w:b w:val="false"/>
          <w:bCs w:val="false"/>
          <w:i w:val="false"/>
          <w:i w:val="false"/>
          <w:iCs w:val="false"/>
          <w:color w:val="333333"/>
          <w:sz w:val="20"/>
          <w:sz w:val="20"/>
          <w:szCs w:val="20"/>
          <w:rtl w:val="true"/>
        </w:rPr>
        <w:t>،و محلّها باب الشرط فی العقود من کتاب المتاجر</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العلّامة فی التحریر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،و القواعد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،و الإرشاد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الشرائع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،و القواعد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،و الإرشاد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بالبیع</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دفع ضررٍ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صحّحت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أثبتناه</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12:361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الخیار،الحدیث الأوّل</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12:362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الحدائق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الکافی </w:t>
      </w:r>
      <w:r>
        <w:rPr>
          <w:rFonts w:eastAsia="IRNazanin" w:cs="IRNazanin"/>
          <w:b w:val="false"/>
          <w:bCs w:val="false"/>
          <w:i w:val="false"/>
          <w:iCs w:val="false"/>
          <w:color w:val="333333"/>
          <w:sz w:val="20"/>
          <w:szCs w:val="20"/>
        </w:rPr>
        <w:t>5:223</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،و عنهما فی الوسائل </w:t>
      </w:r>
      <w:r>
        <w:rPr>
          <w:rFonts w:eastAsia="IRNazanin" w:cs="IRNazanin"/>
          <w:b w:val="false"/>
          <w:bCs w:val="false"/>
          <w:i w:val="false"/>
          <w:iCs w:val="false"/>
          <w:color w:val="333333"/>
          <w:sz w:val="20"/>
          <w:szCs w:val="20"/>
        </w:rPr>
        <w:t>12:265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و شروطه،الحدیث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المحدّث البحرانی فی الحدائق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حینئذ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المسالک </w:t>
      </w:r>
      <w:r>
        <w:rPr>
          <w:rFonts w:eastAsia="IRNazanin" w:cs="IRNazanin"/>
          <w:b w:val="false"/>
          <w:bCs w:val="false"/>
          <w:i w:val="false"/>
          <w:iCs w:val="false"/>
          <w:color w:val="333333"/>
          <w:sz w:val="20"/>
          <w:szCs w:val="20"/>
        </w:rPr>
        <w:t>3:219</w:t>
      </w:r>
      <w:r>
        <w:rPr>
          <w:rFonts w:ascii="IRNazanin" w:hAnsi="IRNazanin" w:eastAsia="IRNazanin"/>
          <w:b w:val="false"/>
          <w:b w:val="false"/>
          <w:bCs w:val="false"/>
          <w:i w:val="false"/>
          <w:i w:val="false"/>
          <w:iCs w:val="false"/>
          <w:color w:val="333333"/>
          <w:sz w:val="20"/>
          <w:sz w:val="20"/>
          <w:szCs w:val="20"/>
          <w:rtl w:val="true"/>
        </w:rPr>
        <w:t xml:space="preserve">،و مجمع الفائدة </w:t>
      </w:r>
      <w:r>
        <w:rPr>
          <w:rFonts w:eastAsia="IRNazanin" w:cs="IRNazanin"/>
          <w:b w:val="false"/>
          <w:bCs w:val="false"/>
          <w:i w:val="false"/>
          <w:iCs w:val="false"/>
          <w:color w:val="333333"/>
          <w:sz w:val="20"/>
          <w:szCs w:val="20"/>
        </w:rPr>
        <w:t>8:410</w:t>
      </w:r>
      <w:r>
        <w:rPr>
          <w:rFonts w:ascii="IRNazanin" w:hAnsi="IRNazanin" w:eastAsia="IRNazanin"/>
          <w:b w:val="false"/>
          <w:b w:val="false"/>
          <w:bCs w:val="false"/>
          <w:i w:val="false"/>
          <w:i w:val="false"/>
          <w:iCs w:val="false"/>
          <w:color w:val="333333"/>
          <w:sz w:val="20"/>
          <w:sz w:val="20"/>
          <w:szCs w:val="20"/>
          <w:rtl w:val="true"/>
        </w:rPr>
        <w:t xml:space="preserve">،و الحدائق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التذکرة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،و النهایة </w:t>
      </w:r>
      <w:r>
        <w:rPr>
          <w:rFonts w:eastAsia="IRNazanin" w:cs="IRNazanin"/>
          <w:b w:val="false"/>
          <w:bCs w:val="false"/>
          <w:i w:val="false"/>
          <w:iCs w:val="false"/>
          <w:color w:val="333333"/>
          <w:sz w:val="20"/>
          <w:szCs w:val="20"/>
        </w:rPr>
        <w:t>2:499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،و مفتاح الکرامة </w:t>
      </w:r>
      <w:r>
        <w:rPr>
          <w:rFonts w:eastAsia="IRNazanin" w:cs="IRNazanin"/>
          <w:b w:val="false"/>
          <w:bCs w:val="false"/>
          <w:i w:val="false"/>
          <w:iCs w:val="false"/>
          <w:color w:val="333333"/>
          <w:sz w:val="20"/>
          <w:szCs w:val="20"/>
        </w:rPr>
        <w:t>4:290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،و المبسوط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التذکرة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الشرائع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،و القواعد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،و الدروس </w:t>
      </w:r>
      <w:r>
        <w:rPr>
          <w:rFonts w:eastAsia="IRNazanin" w:cs="IRNazanin"/>
          <w:b w:val="false"/>
          <w:bCs w:val="false"/>
          <w:i w:val="false"/>
          <w:iCs w:val="false"/>
          <w:color w:val="333333"/>
          <w:sz w:val="20"/>
          <w:szCs w:val="20"/>
        </w:rPr>
        <w:t>3:276</w:t>
      </w:r>
      <w:r>
        <w:rPr>
          <w:rFonts w:ascii="IRNazanin" w:hAnsi="IRNazanin" w:eastAsia="IRNazanin"/>
          <w:b w:val="false"/>
          <w:b w:val="false"/>
          <w:bCs w:val="false"/>
          <w:i w:val="false"/>
          <w:i w:val="false"/>
          <w:iCs w:val="false"/>
          <w:color w:val="333333"/>
          <w:sz w:val="20"/>
          <w:sz w:val="20"/>
          <w:szCs w:val="20"/>
          <w:rtl w:val="true"/>
        </w:rPr>
        <w:t xml:space="preserve">،و 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فی التذکرة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الشافعی فی أحد الوجهین،و راجع مفتاح الکرامة </w:t>
      </w:r>
      <w:r>
        <w:rPr>
          <w:rFonts w:eastAsia="IRNazanin" w:cs="IRNazanin"/>
          <w:b w:val="false"/>
          <w:bCs w:val="false"/>
          <w:i w:val="false"/>
          <w:iCs w:val="false"/>
          <w:color w:val="333333"/>
          <w:sz w:val="20"/>
          <w:szCs w:val="20"/>
        </w:rPr>
        <w:t>4:586</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إلیها صریحاً فی مفتاح الکرامة </w:t>
      </w:r>
      <w:r>
        <w:rPr>
          <w:rFonts w:eastAsia="IRNazanin" w:cs="IRNazanin"/>
          <w:b w:val="false"/>
          <w:bCs w:val="false"/>
          <w:i w:val="false"/>
          <w:iCs w:val="false"/>
          <w:color w:val="333333"/>
          <w:sz w:val="20"/>
          <w:szCs w:val="20"/>
        </w:rPr>
        <w:t>4:586</w:t>
      </w:r>
      <w:r>
        <w:rPr>
          <w:rFonts w:ascii="IRNazanin" w:hAnsi="IRNazanin" w:eastAsia="IRNazanin"/>
          <w:b w:val="false"/>
          <w:b w:val="false"/>
          <w:bCs w:val="false"/>
          <w:i w:val="false"/>
          <w:i w:val="false"/>
          <w:iCs w:val="false"/>
          <w:color w:val="333333"/>
          <w:sz w:val="20"/>
          <w:sz w:val="20"/>
          <w:szCs w:val="20"/>
          <w:rtl w:val="true"/>
        </w:rPr>
        <w:t xml:space="preserve">،و الجواهر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،و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،و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8:183</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العلّامة فی القواعد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،و الشهید فی الدروس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 الشهید الثانی فی المسالک </w:t>
      </w:r>
      <w:r>
        <w:rPr>
          <w:rFonts w:eastAsia="IRNazanin" w:cs="IRNazanin"/>
          <w:b w:val="false"/>
          <w:bCs w:val="false"/>
          <w:i w:val="false"/>
          <w:iCs w:val="false"/>
          <w:color w:val="333333"/>
          <w:sz w:val="20"/>
          <w:szCs w:val="20"/>
        </w:rPr>
        <w:t>3:273</w:t>
      </w:r>
      <w:r>
        <w:rPr>
          <w:rFonts w:ascii="IRNazanin" w:hAnsi="IRNazanin" w:eastAsia="IRNazanin"/>
          <w:b w:val="false"/>
          <w:b w:val="false"/>
          <w:bCs w:val="false"/>
          <w:i w:val="false"/>
          <w:i w:val="false"/>
          <w:iCs w:val="false"/>
          <w:color w:val="333333"/>
          <w:sz w:val="20"/>
          <w:sz w:val="20"/>
          <w:szCs w:val="20"/>
          <w:rtl w:val="true"/>
        </w:rPr>
        <w:t xml:space="preserve">،و راجع تفصیل القائلین بالبطلان فی مفتاح الکرامة </w:t>
      </w:r>
      <w:r>
        <w:rPr>
          <w:rFonts w:eastAsia="IRNazanin" w:cs="IRNazanin"/>
          <w:b w:val="false"/>
          <w:bCs w:val="false"/>
          <w:i w:val="false"/>
          <w:iCs w:val="false"/>
          <w:color w:val="333333"/>
          <w:sz w:val="20"/>
          <w:szCs w:val="20"/>
        </w:rPr>
        <w:t>4:732</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الشهیدی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الدافع،ففی بعض الحواشی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صاحب الجواهر، و الظاهر أنّه اشتباه من المحشّی؛لأنّ الموجود فیه خالٍ عن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أقصی ما هناک کونه من باب تعارض الإشارة و الوصف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 الدافع هو الشیخ علی آل کاشف الغطاء قدّس سرّه فی محکیّ تعلیقه علی خیارات اللمعة،فإنّه عین عبارته المحکیّة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،هدایة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،و راجع الجواهر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8:183</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بتبعیض</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سیجیء بعض الکلام فی مسألة الشرط الفاسد إن شاء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 تفصیل المسألة فی الجزء الثالث من المکاسب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فی الحدائق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ظاهر کلام أکثر الأصحاب،و لم نعثر علی غیره</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2:508</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بیّنه فی خیار الغبن،راجع الصفحة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السید العاملی فی مفتاح الکرامة </w:t>
      </w:r>
      <w:r>
        <w:rPr>
          <w:rFonts w:eastAsia="IRNazanin" w:cs="IRNazanin"/>
          <w:b w:val="false"/>
          <w:bCs w:val="false"/>
          <w:i w:val="false"/>
          <w:iCs w:val="false"/>
          <w:color w:val="333333"/>
          <w:sz w:val="20"/>
          <w:szCs w:val="20"/>
        </w:rPr>
        <w:t>4:586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التذکرة و 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لم نعثر علی غیر التذکرة</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التذکرة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فی الدروس </w:t>
      </w:r>
      <w:r>
        <w:rPr>
          <w:rFonts w:eastAsia="IRNazanin" w:cs="IRNazanin"/>
          <w:b w:val="false"/>
          <w:bCs w:val="false"/>
          <w:i w:val="false"/>
          <w:iCs w:val="false"/>
          <w:color w:val="333333"/>
          <w:sz w:val="20"/>
          <w:szCs w:val="20"/>
        </w:rPr>
        <w:t>3:276</w:t>
      </w:r>
      <w:r>
        <w:rPr>
          <w:rFonts w:ascii="IRNazanin" w:hAnsi="IRNazanin" w:eastAsia="IRNazanin"/>
          <w:b w:val="false"/>
          <w:b w:val="false"/>
          <w:bCs w:val="false"/>
          <w:i w:val="false"/>
          <w:i w:val="false"/>
          <w:iCs w:val="false"/>
          <w:color w:val="333333"/>
          <w:sz w:val="20"/>
          <w:sz w:val="20"/>
          <w:szCs w:val="20"/>
          <w:rtl w:val="true"/>
        </w:rPr>
        <w:t xml:space="preserve">،و المحقّق الثانی فی جامع المقاصد </w:t>
      </w:r>
      <w:r>
        <w:rPr>
          <w:rFonts w:eastAsia="IRNazanin" w:cs="IRNazanin"/>
          <w:b w:val="false"/>
          <w:bCs w:val="false"/>
          <w:i w:val="false"/>
          <w:iCs w:val="false"/>
          <w:color w:val="333333"/>
          <w:sz w:val="20"/>
          <w:szCs w:val="20"/>
        </w:rPr>
        <w:t>4:303</w:t>
      </w:r>
      <w:r>
        <w:rPr>
          <w:rFonts w:ascii="IRNazanin" w:hAnsi="IRNazanin" w:eastAsia="IRNazanin"/>
          <w:b w:val="false"/>
          <w:b w:val="false"/>
          <w:bCs w:val="false"/>
          <w:i w:val="false"/>
          <w:i w:val="false"/>
          <w:iCs w:val="false"/>
          <w:color w:val="333333"/>
          <w:sz w:val="20"/>
          <w:sz w:val="20"/>
          <w:szCs w:val="20"/>
          <w:rtl w:val="true"/>
        </w:rPr>
        <w:t xml:space="preserve">، و المحقّق النراقی فی المستند </w:t>
      </w:r>
      <w:r>
        <w:rPr>
          <w:rFonts w:eastAsia="IRNazanin" w:cs="IRNazanin"/>
          <w:b w:val="false"/>
          <w:bCs w:val="false"/>
          <w:i w:val="false"/>
          <w:iCs w:val="false"/>
          <w:color w:val="333333"/>
          <w:sz w:val="20"/>
          <w:szCs w:val="20"/>
        </w:rPr>
        <w:t>14:408</w:t>
      </w:r>
      <w:r>
        <w:rPr>
          <w:rFonts w:ascii="IRNazanin" w:hAnsi="IRNazanin" w:eastAsia="IRNazanin"/>
          <w:b w:val="false"/>
          <w:b w:val="false"/>
          <w:bCs w:val="false"/>
          <w:i w:val="false"/>
          <w:i w:val="false"/>
          <w:iCs w:val="false"/>
          <w:color w:val="333333"/>
          <w:sz w:val="20"/>
          <w:sz w:val="20"/>
          <w:szCs w:val="20"/>
          <w:rtl w:val="true"/>
        </w:rPr>
        <w:t xml:space="preserve">،و راجع مفتاح الکرامة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2:507</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المحدّث الکاشانی فی المفاتیح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القائل به فی هذا المبحث،نعم قال به جماعة فی مبحث الشرط الفاسد،منهم الفاضل الآبی فی کشف الرموز </w:t>
      </w:r>
      <w:r>
        <w:rPr>
          <w:rFonts w:eastAsia="IRNazanin" w:cs="IRNazanin"/>
          <w:b w:val="false"/>
          <w:bCs w:val="false"/>
          <w:i w:val="false"/>
          <w:iCs w:val="false"/>
          <w:color w:val="333333"/>
          <w:sz w:val="20"/>
          <w:szCs w:val="20"/>
        </w:rPr>
        <w:t>1:474</w:t>
      </w:r>
      <w:r>
        <w:rPr>
          <w:rFonts w:ascii="IRNazanin" w:hAnsi="IRNazanin" w:eastAsia="IRNazanin"/>
          <w:b w:val="false"/>
          <w:b w:val="false"/>
          <w:bCs w:val="false"/>
          <w:i w:val="false"/>
          <w:i w:val="false"/>
          <w:iCs w:val="false"/>
          <w:color w:val="333333"/>
          <w:sz w:val="20"/>
          <w:sz w:val="20"/>
          <w:szCs w:val="20"/>
          <w:rtl w:val="true"/>
        </w:rPr>
        <w:t xml:space="preserve">،بعد نقله عن الشیخ فی المبسوط،راجع مفتاح الکرامة </w:t>
      </w:r>
      <w:r>
        <w:rPr>
          <w:rFonts w:eastAsia="IRNazanin" w:cs="IRNazanin"/>
          <w:b w:val="false"/>
          <w:bCs w:val="false"/>
          <w:i w:val="false"/>
          <w:iCs w:val="false"/>
          <w:color w:val="333333"/>
          <w:sz w:val="20"/>
          <w:szCs w:val="20"/>
        </w:rPr>
        <w:t>4:732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4:303</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3:198</w:t>
      </w:r>
      <w:r>
        <w:rPr>
          <w:rFonts w:ascii="IRNazanin" w:hAnsi="IRNazanin" w:eastAsia="IRNazanin"/>
          <w:b w:val="false"/>
          <w:b w:val="false"/>
          <w:bCs w:val="false"/>
          <w:i w:val="false"/>
          <w:i w:val="false"/>
          <w:iCs w:val="false"/>
          <w:color w:val="333333"/>
          <w:sz w:val="20"/>
          <w:sz w:val="20"/>
          <w:szCs w:val="20"/>
          <w:rtl w:val="true"/>
        </w:rPr>
        <w:t xml:space="preserve">،و راجع المبسوط </w:t>
      </w:r>
      <w:r>
        <w:rPr>
          <w:rFonts w:eastAsia="IRNazanin" w:cs="IRNazanin"/>
          <w:b w:val="false"/>
          <w:bCs w:val="false"/>
          <w:i w:val="false"/>
          <w:iCs w:val="false"/>
          <w:color w:val="333333"/>
          <w:sz w:val="20"/>
          <w:szCs w:val="20"/>
        </w:rPr>
        <w:t>2:138</w:t>
      </w:r>
      <w:r>
        <w:rPr>
          <w:rFonts w:ascii="IRNazanin" w:hAnsi="IRNazanin" w:eastAsia="IRNazanin"/>
          <w:b w:val="false"/>
          <w:b w:val="false"/>
          <w:bCs w:val="false"/>
          <w:i w:val="false"/>
          <w:i w:val="false"/>
          <w:iCs w:val="false"/>
          <w:color w:val="333333"/>
          <w:sz w:val="20"/>
          <w:sz w:val="20"/>
          <w:szCs w:val="20"/>
          <w:rtl w:val="true"/>
        </w:rPr>
        <w:t>،و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و إصباح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،و المهذّب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3:198</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محتملة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بثبوت</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التحریر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الدروس </w:t>
      </w:r>
      <w:r>
        <w:rPr>
          <w:rFonts w:eastAsia="IRNazanin" w:cs="IRNazanin"/>
          <w:b w:val="false"/>
          <w:bCs w:val="false"/>
          <w:i w:val="false"/>
          <w:iCs w:val="false"/>
          <w:color w:val="333333"/>
          <w:sz w:val="20"/>
          <w:szCs w:val="20"/>
        </w:rPr>
        <w:t>3:198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،حیث حکم ببطلان العقد لو تبرّأ البائع أو شرط رفع الخیار فی خیار الرؤیة،و الصفحة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حکم بأنّ من مسقطات خیار العیب التبرّی من العیب</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مفتاح الکرامة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صحّتها و فسادها</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مع إمکان التزام فساد اشتراط عدم الخیار،علی تقدیر فقد الصفات المعتبر علمها فی البیع،خرج اشتراط التبرّی من العیوب بالنصّ و الإجماع،لأنّ قاعدة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نفی الغرر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قابلة للتخصیص،کما أشرنا إلیه سابقاً</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الرضا</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23:96</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الظهور علی الوصف</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کلمات شطب علیها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یخفی ضعفه</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5:297</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المبیع</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یعمّهما</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تغییر</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،و التحریر </w:t>
      </w:r>
      <w:r>
        <w:rPr>
          <w:rFonts w:eastAsia="IRNazanin" w:cs="IRNazanin"/>
          <w:b w:val="false"/>
          <w:bCs w:val="false"/>
          <w:i w:val="false"/>
          <w:iCs w:val="false"/>
          <w:color w:val="333333"/>
          <w:sz w:val="20"/>
          <w:szCs w:val="20"/>
        </w:rPr>
        <w:t>1:167</w:t>
      </w:r>
      <w:r>
        <w:rPr>
          <w:rFonts w:ascii="IRNazanin" w:hAnsi="IRNazanin" w:eastAsia="IRNazanin"/>
          <w:b w:val="false"/>
          <w:b w:val="false"/>
          <w:bCs w:val="false"/>
          <w:i w:val="false"/>
          <w:i w:val="false"/>
          <w:iCs w:val="false"/>
          <w:color w:val="333333"/>
          <w:sz w:val="20"/>
          <w:sz w:val="20"/>
          <w:szCs w:val="20"/>
          <w:rtl w:val="true"/>
        </w:rPr>
        <w:t xml:space="preserve">،و التذکرة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یقضی</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،و لکن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أعرف خلافاً بینهم فی أنّ إطلاق</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 کلمة غیر مقروّة،و لعلّها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الإطلاق</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الشهید الثانی فی المسالک </w:t>
      </w:r>
      <w:r>
        <w:rPr>
          <w:rFonts w:eastAsia="IRNazanin" w:cs="IRNazanin"/>
          <w:b w:val="false"/>
          <w:bCs w:val="false"/>
          <w:i w:val="false"/>
          <w:iCs w:val="false"/>
          <w:color w:val="333333"/>
          <w:sz w:val="20"/>
          <w:szCs w:val="20"/>
        </w:rPr>
        <w:t>3:282</w:t>
      </w:r>
      <w:r>
        <w:rPr>
          <w:rFonts w:ascii="IRNazanin" w:hAnsi="IRNazanin" w:eastAsia="IRNazanin"/>
          <w:b w:val="false"/>
          <w:b w:val="false"/>
          <w:bCs w:val="false"/>
          <w:i w:val="false"/>
          <w:i w:val="false"/>
          <w:iCs w:val="false"/>
          <w:color w:val="333333"/>
          <w:sz w:val="20"/>
          <w:sz w:val="20"/>
          <w:szCs w:val="20"/>
          <w:rtl w:val="true"/>
        </w:rPr>
        <w:t xml:space="preserve">،و المحدّث البحرانی فی الحدائق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 xml:space="preserve">،و فی الجواهر </w:t>
      </w:r>
      <w:r>
        <w:rPr>
          <w:rFonts w:eastAsia="IRNazanin" w:cs="IRNazanin"/>
          <w:b w:val="false"/>
          <w:bCs w:val="false"/>
          <w:i w:val="false"/>
          <w:iCs w:val="false"/>
          <w:color w:val="333333"/>
          <w:sz w:val="20"/>
          <w:szCs w:val="20"/>
        </w:rPr>
        <w:t>23:235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نسبته إلی صریح جماعة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لم أجد قائلاً بغیره</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12:418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العیوب،الحدیث الأوّل</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ممنوعة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تری</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12:362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الخیار،و الصفحة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العیوب</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خرج فی السلعة عیب</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الأولی حذف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کصاحب الجواهر فی الجواهر </w:t>
      </w:r>
      <w:r>
        <w:rPr>
          <w:rFonts w:eastAsia="IRNazanin" w:cs="IRNazanin"/>
          <w:b w:val="false"/>
          <w:bCs w:val="false"/>
          <w:i w:val="false"/>
          <w:iCs w:val="false"/>
          <w:color w:val="333333"/>
          <w:sz w:val="20"/>
          <w:szCs w:val="20"/>
        </w:rPr>
        <w:t>23:294</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الأخبار المطلقة،بل الأخبار کما ذکره الشیخ فی الصفحة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مخصوصة بالأرش فی صورة التصرّف المانع عن الردّ،نعم نقل فی الموضع المذکور عن الفقه الرضوی ما یدلّ علی التخییر</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التذکرة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التذکرة </w:t>
      </w:r>
      <w:r>
        <w:rPr>
          <w:rFonts w:eastAsia="IRNazanin" w:cs="IRNazanin"/>
          <w:b w:val="false"/>
          <w:bCs w:val="false"/>
          <w:i w:val="false"/>
          <w:iCs w:val="false"/>
          <w:color w:val="333333"/>
          <w:sz w:val="20"/>
          <w:szCs w:val="20"/>
        </w:rPr>
        <w:t>1:532</w:t>
      </w:r>
      <w:r>
        <w:rPr>
          <w:rFonts w:ascii="IRNazanin" w:hAnsi="IRNazanin" w:eastAsia="IRNazanin"/>
          <w:b w:val="false"/>
          <w:b w:val="false"/>
          <w:bCs w:val="false"/>
          <w:i w:val="false"/>
          <w:i w:val="false"/>
          <w:iCs w:val="false"/>
          <w:color w:val="333333"/>
          <w:sz w:val="20"/>
          <w:sz w:val="20"/>
          <w:szCs w:val="20"/>
          <w:rtl w:val="true"/>
        </w:rPr>
        <w:t xml:space="preserve">،و المختلف </w:t>
      </w:r>
      <w:r>
        <w:rPr>
          <w:rFonts w:eastAsia="IRNazanin" w:cs="IRNazanin"/>
          <w:b w:val="false"/>
          <w:bCs w:val="false"/>
          <w:i w:val="false"/>
          <w:iCs w:val="false"/>
          <w:color w:val="333333"/>
          <w:sz w:val="20"/>
          <w:szCs w:val="20"/>
        </w:rPr>
        <w:t>5:188</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الثانی فی المسالک </w:t>
      </w:r>
      <w:r>
        <w:rPr>
          <w:rFonts w:eastAsia="IRNazanin" w:cs="IRNazanin"/>
          <w:b w:val="false"/>
          <w:bCs w:val="false"/>
          <w:i w:val="false"/>
          <w:iCs w:val="false"/>
          <w:color w:val="333333"/>
          <w:sz w:val="20"/>
          <w:szCs w:val="20"/>
        </w:rPr>
        <w:t>3:286</w:t>
      </w:r>
      <w:r>
        <w:rPr>
          <w:rFonts w:ascii="IRNazanin" w:hAnsi="IRNazanin" w:eastAsia="IRNazanin"/>
          <w:b w:val="false"/>
          <w:b w:val="false"/>
          <w:bCs w:val="false"/>
          <w:i w:val="false"/>
          <w:i w:val="false"/>
          <w:iCs w:val="false"/>
          <w:color w:val="333333"/>
          <w:sz w:val="20"/>
          <w:sz w:val="20"/>
          <w:szCs w:val="20"/>
          <w:rtl w:val="true"/>
        </w:rPr>
        <w:t xml:space="preserve">،و صاحب الجواهر فی الجواهر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الشرائع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،و التذکرة </w:t>
      </w:r>
      <w:r>
        <w:rPr>
          <w:rFonts w:eastAsia="IRNazanin" w:cs="IRNazanin"/>
          <w:b w:val="false"/>
          <w:bCs w:val="false"/>
          <w:i w:val="false"/>
          <w:iCs w:val="false"/>
          <w:color w:val="333333"/>
          <w:sz w:val="20"/>
          <w:szCs w:val="20"/>
        </w:rPr>
        <w:t>1:513</w:t>
      </w:r>
      <w:r>
        <w:rPr>
          <w:rFonts w:ascii="IRNazanin" w:hAnsi="IRNazanin" w:eastAsia="IRNazanin"/>
          <w:b w:val="false"/>
          <w:b w:val="false"/>
          <w:bCs w:val="false"/>
          <w:i w:val="false"/>
          <w:i w:val="false"/>
          <w:iCs w:val="false"/>
          <w:color w:val="333333"/>
          <w:sz w:val="20"/>
          <w:sz w:val="20"/>
          <w:szCs w:val="20"/>
          <w:rtl w:val="true"/>
        </w:rPr>
        <w:t xml:space="preserve">،و القواعد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،و المختلف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المسالک </w:t>
      </w:r>
      <w:r>
        <w:rPr>
          <w:rFonts w:eastAsia="IRNazanin" w:cs="IRNazanin"/>
          <w:b w:val="false"/>
          <w:bCs w:val="false"/>
          <w:i w:val="false"/>
          <w:iCs w:val="false"/>
          <w:color w:val="333333"/>
          <w:sz w:val="20"/>
          <w:szCs w:val="20"/>
        </w:rPr>
        <w:t>3:283</w:t>
      </w:r>
      <w:r>
        <w:rPr>
          <w:rFonts w:ascii="IRNazanin" w:hAnsi="IRNazanin" w:eastAsia="IRNazanin"/>
          <w:b w:val="false"/>
          <w:b w:val="false"/>
          <w:bCs w:val="false"/>
          <w:i w:val="false"/>
          <w:i w:val="false"/>
          <w:iCs w:val="false"/>
          <w:color w:val="333333"/>
          <w:sz w:val="20"/>
          <w:sz w:val="20"/>
          <w:szCs w:val="20"/>
          <w:rtl w:val="true"/>
        </w:rPr>
        <w:t xml:space="preserve">،و لکن لیس فیه دعوی الإجماع أو نفی الخلاف،نعم قال فی الصفحة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خیار الحیوان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خلاف فی سقوطه بالتصرّف</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یتبیّن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اختلفت المصادر الحدیثیّة فیها</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1:525</w:t>
      </w:r>
      <w:r>
        <w:rPr>
          <w:rFonts w:ascii="IRNazanin" w:hAnsi="IRNazanin" w:eastAsia="IRNazanin"/>
          <w:b w:val="false"/>
          <w:b w:val="false"/>
          <w:bCs w:val="false"/>
          <w:i w:val="false"/>
          <w:i w:val="false"/>
          <w:iCs w:val="false"/>
          <w:color w:val="333333"/>
          <w:sz w:val="20"/>
          <w:sz w:val="20"/>
          <w:szCs w:val="20"/>
          <w:rtl w:val="true"/>
        </w:rPr>
        <w:t xml:space="preserve">،و الروایة أوردها فی الوسائل </w:t>
      </w:r>
      <w:r>
        <w:rPr>
          <w:rFonts w:eastAsia="IRNazanin" w:cs="IRNazanin"/>
          <w:b w:val="false"/>
          <w:bCs w:val="false"/>
          <w:i w:val="false"/>
          <w:iCs w:val="false"/>
          <w:color w:val="333333"/>
          <w:sz w:val="20"/>
          <w:szCs w:val="20"/>
        </w:rPr>
        <w:t>12:362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12:363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12:413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العیوب،و فیه حدیث واحد</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ردّ المملوک فی أحداث السنة</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لإطلاق</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مرسلة جمیل المتقدّمة فی الصفحة السابقة</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صحیحة زرارة المتقدّمة فی الصفحة السابقة أیضاً</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12:351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راجع الصفحة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الحیوان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مشکل</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یتقیّد بالتصرّف الدالّ علیه</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هناک</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،لکن مع تفاوت فی الألفاظ</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4:332</w:t>
      </w:r>
      <w:r>
        <w:rPr>
          <w:rFonts w:ascii="IRNazanin" w:hAnsi="IRNazanin" w:eastAsia="IRNazanin"/>
          <w:b w:val="false"/>
          <w:b w:val="false"/>
          <w:bCs w:val="false"/>
          <w:i w:val="false"/>
          <w:i w:val="false"/>
          <w:iCs w:val="false"/>
          <w:color w:val="333333"/>
          <w:sz w:val="20"/>
          <w:sz w:val="20"/>
          <w:szCs w:val="20"/>
          <w:rtl w:val="true"/>
        </w:rPr>
        <w:t xml:space="preserve">،و المسالک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التحریر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xml:space="preserve">،و القواعد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،و الدروس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العلّامة فی المختلف </w:t>
      </w:r>
      <w:r>
        <w:rPr>
          <w:rFonts w:eastAsia="IRNazanin" w:cs="IRNazanin"/>
          <w:b w:val="false"/>
          <w:bCs w:val="false"/>
          <w:i w:val="false"/>
          <w:iCs w:val="false"/>
          <w:color w:val="333333"/>
          <w:sz w:val="20"/>
          <w:szCs w:val="20"/>
        </w:rPr>
        <w:t>5:178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أقصی</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کلام العلّامة</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12:414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العیوب</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عن التذکرة و السرائر فی الصفحة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،و راجع 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،و مفتاح الکرامة </w:t>
      </w:r>
      <w:r>
        <w:rPr>
          <w:rFonts w:eastAsia="IRNazanin" w:cs="IRNazanin"/>
          <w:b w:val="false"/>
          <w:bCs w:val="false"/>
          <w:i w:val="false"/>
          <w:iCs w:val="false"/>
          <w:color w:val="333333"/>
          <w:sz w:val="20"/>
          <w:szCs w:val="20"/>
        </w:rPr>
        <w:t>4:626</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12:413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العیوب،و فیه حدیث واحد</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هذا النصّ،نعم یستفاد ممّا ورد باشتراط رد الجاریة بعدم الوطء،راجع الوسائل </w:t>
      </w:r>
      <w:r>
        <w:rPr>
          <w:rFonts w:eastAsia="IRNazanin" w:cs="IRNazanin"/>
          <w:b w:val="false"/>
          <w:bCs w:val="false"/>
          <w:i w:val="false"/>
          <w:iCs w:val="false"/>
          <w:color w:val="333333"/>
          <w:sz w:val="20"/>
          <w:szCs w:val="20"/>
        </w:rPr>
        <w:t>12:414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العیوب</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12:411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العیوب</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للثوب</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علمه ما لم یکن وطء الجاریة</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السیّد العاملی فی مفتاح الکرامة </w:t>
      </w:r>
      <w:r>
        <w:rPr>
          <w:rFonts w:eastAsia="IRNazanin" w:cs="IRNazanin"/>
          <w:b w:val="false"/>
          <w:bCs w:val="false"/>
          <w:i w:val="false"/>
          <w:iCs w:val="false"/>
          <w:color w:val="333333"/>
          <w:sz w:val="20"/>
          <w:szCs w:val="20"/>
        </w:rPr>
        <w:t>4:626</w:t>
      </w:r>
      <w:r>
        <w:rPr>
          <w:rFonts w:ascii="IRNazanin" w:hAnsi="IRNazanin" w:eastAsia="IRNazanin"/>
          <w:b w:val="false"/>
          <w:b w:val="false"/>
          <w:bCs w:val="false"/>
          <w:i w:val="false"/>
          <w:i w:val="false"/>
          <w:iCs w:val="false"/>
          <w:color w:val="333333"/>
          <w:sz w:val="20"/>
          <w:sz w:val="20"/>
          <w:szCs w:val="20"/>
          <w:rtl w:val="true"/>
        </w:rPr>
        <w:t>،و لم نعثر علیه فی المبسوط</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صرّح به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،و لم نعثر علی جمیع ما ذکر فی المبسوط، نعم ذکر فیه حکم العیب بعد العتق،راجع المبسوط </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،و لکن ذکره تماماً و صریحاً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الصفحة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المقاصد </w:t>
      </w:r>
      <w:r>
        <w:rPr>
          <w:rFonts w:eastAsia="IRNazanin" w:cs="IRNazanin"/>
          <w:b w:val="false"/>
          <w:bCs w:val="false"/>
          <w:i w:val="false"/>
          <w:iCs w:val="false"/>
          <w:color w:val="333333"/>
          <w:sz w:val="20"/>
          <w:szCs w:val="20"/>
        </w:rPr>
        <w:t>4:342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مرسلة جمیل المتقدّمة فی الصفحة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12:414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العیوب</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یجیء فی الصفحة الآتیة،فی صحیحة ابن مسلم و روایة میسّر</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14:446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12:414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العیوب،الحدیث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12:414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العیوب،الحدیث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12:415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العیوب،الحدیث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بین الصحّة و الداء</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12:414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العیوب،الحدیث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12:415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العیوب،الحدیث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،و فیه بعد بیان المقدّمة الخامسة من مقدّمات تحریر المسألة التی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الحمل فی الأمة عیب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هذه المقدّمات کلّها إجماعیّة</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کذا،و فی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الکافی و التهذیب و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12:416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العیوب،الحدیث الأوّل، و الصفحة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العیوب،الحدیث الأوّل أیضاً</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12:416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العیوب،الحدیث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5:214</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عنه فی الوسائل </w:t>
      </w:r>
      <w:r>
        <w:rPr>
          <w:rFonts w:eastAsia="IRNazanin" w:cs="IRNazanin"/>
          <w:b w:val="false"/>
          <w:bCs w:val="false"/>
          <w:i w:val="false"/>
          <w:iCs w:val="false"/>
          <w:color w:val="333333"/>
          <w:sz w:val="20"/>
          <w:szCs w:val="20"/>
        </w:rPr>
        <w:t>12:416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العیوب،الحدیث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12:417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العیوب،الحدیث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12:416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العیوب،الحدیث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12:417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العیوب،الحدیث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12:417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العیوب،الحدیث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السیّد العاملی فی مفتاح الکرامة </w:t>
      </w:r>
      <w:r>
        <w:rPr>
          <w:rFonts w:eastAsia="IRNazanin" w:cs="IRNazanin"/>
          <w:b w:val="false"/>
          <w:bCs w:val="false"/>
          <w:i w:val="false"/>
          <w:iCs w:val="false"/>
          <w:color w:val="333333"/>
          <w:sz w:val="20"/>
          <w:szCs w:val="20"/>
        </w:rPr>
        <w:t>4:634</w:t>
      </w:r>
      <w:r>
        <w:rPr>
          <w:rFonts w:ascii="IRNazanin" w:hAnsi="IRNazanin" w:eastAsia="IRNazanin"/>
          <w:b w:val="false"/>
          <w:b w:val="false"/>
          <w:bCs w:val="false"/>
          <w:i w:val="false"/>
          <w:i w:val="false"/>
          <w:iCs w:val="false"/>
          <w:color w:val="333333"/>
          <w:sz w:val="20"/>
          <w:sz w:val="20"/>
          <w:szCs w:val="20"/>
          <w:rtl w:val="true"/>
        </w:rPr>
        <w:t>،و راجع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العلّامة فی المختلف </w:t>
      </w:r>
      <w:r>
        <w:rPr>
          <w:rFonts w:eastAsia="IRNazanin" w:cs="IRNazanin"/>
          <w:b w:val="false"/>
          <w:bCs w:val="false"/>
          <w:i w:val="false"/>
          <w:iCs w:val="false"/>
          <w:color w:val="333333"/>
          <w:sz w:val="20"/>
          <w:szCs w:val="20"/>
        </w:rPr>
        <w:t>5:178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5:179</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8:264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الإنصاف أنّ</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12:362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الخیار</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12:414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العیوب</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الصفحة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الوارد فی صحیحة ابن مسلم المتقدّمة فی الصفحة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تشبّهاً</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12:411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العیوب</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12:362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الخیار</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12:413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العیوب</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12:350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الخیار،الحدیث الأوّل</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12:363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المحقّق الثانی فی جامع المقاصد </w:t>
      </w:r>
      <w:r>
        <w:rPr>
          <w:rFonts w:eastAsia="IRNazanin" w:cs="IRNazanin"/>
          <w:b w:val="false"/>
          <w:bCs w:val="false"/>
          <w:i w:val="false"/>
          <w:iCs w:val="false"/>
          <w:color w:val="333333"/>
          <w:sz w:val="20"/>
          <w:szCs w:val="20"/>
        </w:rPr>
        <w:t>4:337</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عنهما فی الصفحة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الصفحة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 الثانی فی جامع المقاصد </w:t>
      </w:r>
      <w:r>
        <w:rPr>
          <w:rFonts w:eastAsia="IRNazanin" w:cs="IRNazanin"/>
          <w:b w:val="false"/>
          <w:bCs w:val="false"/>
          <w:i w:val="false"/>
          <w:iCs w:val="false"/>
          <w:color w:val="333333"/>
          <w:sz w:val="20"/>
          <w:szCs w:val="20"/>
        </w:rPr>
        <w:t>4:337</w:t>
      </w:r>
      <w:r>
        <w:rPr>
          <w:rFonts w:ascii="IRNazanin" w:hAnsi="IRNazanin" w:eastAsia="IRNazanin"/>
          <w:b w:val="false"/>
          <w:b w:val="false"/>
          <w:bCs w:val="false"/>
          <w:i w:val="false"/>
          <w:i w:val="false"/>
          <w:iCs w:val="false"/>
          <w:color w:val="333333"/>
          <w:sz w:val="20"/>
          <w:sz w:val="20"/>
          <w:szCs w:val="20"/>
          <w:rtl w:val="true"/>
        </w:rPr>
        <w:t xml:space="preserve">،و الشهید الثانی فی المسالک </w:t>
      </w:r>
      <w:r>
        <w:rPr>
          <w:rFonts w:eastAsia="IRNazanin" w:cs="IRNazanin"/>
          <w:b w:val="false"/>
          <w:bCs w:val="false"/>
          <w:i w:val="false"/>
          <w:iCs w:val="false"/>
          <w:color w:val="333333"/>
          <w:sz w:val="20"/>
          <w:szCs w:val="20"/>
        </w:rPr>
        <w:t>3:288</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3:280</w:t>
      </w:r>
      <w:r>
        <w:rPr>
          <w:rFonts w:ascii="IRNazanin" w:hAnsi="IRNazanin" w:eastAsia="IRNazanin"/>
          <w:b w:val="false"/>
          <w:b w:val="false"/>
          <w:bCs w:val="false"/>
          <w:i w:val="false"/>
          <w:i w:val="false"/>
          <w:iCs w:val="false"/>
          <w:color w:val="333333"/>
          <w:sz w:val="20"/>
          <w:sz w:val="20"/>
          <w:szCs w:val="20"/>
          <w:rtl w:val="true"/>
        </w:rPr>
        <w:t xml:space="preserve">،و راجع الفقیه </w:t>
      </w:r>
      <w:r>
        <w:rPr>
          <w:rFonts w:eastAsia="IRNazanin" w:cs="IRNazanin"/>
          <w:b w:val="false"/>
          <w:bCs w:val="false"/>
          <w:i w:val="false"/>
          <w:iCs w:val="false"/>
          <w:color w:val="333333"/>
          <w:sz w:val="20"/>
          <w:szCs w:val="20"/>
        </w:rPr>
        <w:t>3:131</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3820</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روایة عبد الرحمن المتقدّمة فی الصفحة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تدلّ علیه صحیحة ابن مسلم المتقدّمة فی الصفحة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صریح صحیحة ابن سنان المتقدّمة فی الصفحة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صریح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،و 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،و 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،و راجع مفتاح الکرامة </w:t>
      </w:r>
      <w:r>
        <w:rPr>
          <w:rFonts w:eastAsia="IRNazanin" w:cs="IRNazanin"/>
          <w:b w:val="false"/>
          <w:bCs w:val="false"/>
          <w:i w:val="false"/>
          <w:iCs w:val="false"/>
          <w:color w:val="333333"/>
          <w:sz w:val="20"/>
          <w:szCs w:val="20"/>
        </w:rPr>
        <w:t>4:634</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استدلّ العلّامة فی التذکرة علی أصل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،مفقود 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الشهیدی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أنّ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الموضع الثانی غلط فی العبارة؛إذ قضیّته عدم الخلاف فی ثبوت الأرش فیه،و هو منافٍ لقوله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الآتی فی أحکام القبض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،هدایة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أنّه صحّح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أثبتناه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المظنون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ما فی الأصل مطابق لما فی أکثر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 المؤلّف قدّس سرّه کتب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أحکام القبض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فی الخیارات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نضدت الأوراق کذلک</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الکلام فیه و فیما یأتی أیضاً نفس الکلام المتقدّم فی الهامش السابق</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تقدّم</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الحکایة ما سینقله عن الدروس،و لیس فیه النقل عن المحقّق فی درسه،بل فیه الخلاف بین ابن نما و تلمیذه المحقّق فی المسألة،و یبدو أنّ منشأ هذه النسبة ما نقله صاحب الحدائق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المنقول عن المحقّق فی الدرس علی ما نقله فی الدروس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 قال الشهید فی غایة المراد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نقل قول المحقّق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نقل عن شیخه ابن نما فی الدرس، الثانی</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بالخیارات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بخیار عیب</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،و راجع الشرائع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حدث فیه من غیر جهة المشتری لم یکن ذلک العیب مانعاً من الردّ بأصل الخیار،و هل یلزم البائع أرشه؟ فیه تردّد،و الظاهر لا</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جعله صاحب الجواهر فی الجواهر </w:t>
      </w:r>
      <w:r>
        <w:rPr>
          <w:rFonts w:eastAsia="IRNazanin" w:cs="IRNazanin"/>
          <w:b w:val="false"/>
          <w:bCs w:val="false"/>
          <w:i w:val="false"/>
          <w:iCs w:val="false"/>
          <w:color w:val="333333"/>
          <w:sz w:val="20"/>
          <w:szCs w:val="20"/>
        </w:rPr>
        <w:t>23:242</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السیّد العاملی فی مفتاح الکرامة </w:t>
      </w:r>
      <w:r>
        <w:rPr>
          <w:rFonts w:eastAsia="IRNazanin" w:cs="IRNazanin"/>
          <w:b w:val="false"/>
          <w:bCs w:val="false"/>
          <w:i w:val="false"/>
          <w:iCs w:val="false"/>
          <w:color w:val="333333"/>
          <w:sz w:val="20"/>
          <w:szCs w:val="20"/>
        </w:rPr>
        <w:t>4:626</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جامع المقاصد </w:t>
      </w:r>
      <w:r>
        <w:rPr>
          <w:rFonts w:eastAsia="IRNazanin" w:cs="IRNazanin"/>
          <w:b w:val="false"/>
          <w:bCs w:val="false"/>
          <w:i w:val="false"/>
          <w:iCs w:val="false"/>
          <w:color w:val="333333"/>
          <w:sz w:val="20"/>
          <w:szCs w:val="20"/>
        </w:rPr>
        <w:t>4:341</w:t>
      </w:r>
      <w:r>
        <w:rPr>
          <w:rFonts w:ascii="IRNazanin" w:hAnsi="IRNazanin" w:eastAsia="IRNazanin"/>
          <w:b w:val="false"/>
          <w:b w:val="false"/>
          <w:bCs w:val="false"/>
          <w:i w:val="false"/>
          <w:i w:val="false"/>
          <w:iCs w:val="false"/>
          <w:color w:val="333333"/>
          <w:sz w:val="20"/>
          <w:sz w:val="20"/>
          <w:szCs w:val="20"/>
          <w:rtl w:val="true"/>
        </w:rPr>
        <w:t xml:space="preserve">،و مفتاح الکرامة </w:t>
      </w:r>
      <w:r>
        <w:rPr>
          <w:rFonts w:eastAsia="IRNazanin" w:cs="IRNazanin"/>
          <w:b w:val="false"/>
          <w:bCs w:val="false"/>
          <w:i w:val="false"/>
          <w:iCs w:val="false"/>
          <w:color w:val="333333"/>
          <w:sz w:val="20"/>
          <w:szCs w:val="20"/>
        </w:rPr>
        <w:t>4:640</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4:342</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لمجرّد</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اعترف به الشهید الثانی فی المسالک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مرسلة جمیل المشار إلیها آنفاً</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المرسلة</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التذکرة</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البائع</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أنّه من سهو القلم</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3:496</w:t>
      </w:r>
      <w:r>
        <w:rPr>
          <w:rFonts w:ascii="IRNazanin" w:hAnsi="IRNazanin" w:eastAsia="IRNazanin"/>
          <w:b w:val="false"/>
          <w:b w:val="false"/>
          <w:bCs w:val="false"/>
          <w:i w:val="false"/>
          <w:i w:val="false"/>
          <w:iCs w:val="false"/>
          <w:color w:val="333333"/>
          <w:sz w:val="20"/>
          <w:sz w:val="20"/>
          <w:szCs w:val="20"/>
          <w:rtl w:val="true"/>
        </w:rPr>
        <w:t xml:space="preserve">،و راجع مفتاح الکرامة </w:t>
      </w:r>
      <w:r>
        <w:rPr>
          <w:rFonts w:eastAsia="IRNazanin" w:cs="IRNazanin"/>
          <w:b w:val="false"/>
          <w:bCs w:val="false"/>
          <w:i w:val="false"/>
          <w:iCs w:val="false"/>
          <w:color w:val="333333"/>
          <w:sz w:val="20"/>
          <w:szCs w:val="20"/>
        </w:rPr>
        <w:t>4:627</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مرسلة جمیل المتقدّمة فی الصفحة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إلیه فی الصفحة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بأخذ</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12:414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العیوب</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التذکرة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أحد العوضین</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 الشیخ فی الخلاف </w:t>
      </w:r>
      <w:r>
        <w:rPr>
          <w:rFonts w:eastAsia="IRNazanin" w:cs="IRNazanin"/>
          <w:b w:val="false"/>
          <w:bCs w:val="false"/>
          <w:i w:val="false"/>
          <w:iCs w:val="false"/>
          <w:color w:val="333333"/>
          <w:sz w:val="20"/>
          <w:szCs w:val="20"/>
        </w:rPr>
        <w:t>3:110</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البیوع،و السیّد ابن زهرة الحلبی فی 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،و راجع مفتاح الکرامة </w:t>
      </w:r>
      <w:r>
        <w:rPr>
          <w:rFonts w:eastAsia="IRNazanin" w:cs="IRNazanin"/>
          <w:b w:val="false"/>
          <w:bCs w:val="false"/>
          <w:i w:val="false"/>
          <w:iCs w:val="false"/>
          <w:color w:val="333333"/>
          <w:sz w:val="20"/>
          <w:szCs w:val="20"/>
        </w:rPr>
        <w:t>4:629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تدلّ علیه مرسلة جمیل المتقدّمة فی الصفحة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استدلّ به صاحب الجواهر فی الجواهر </w:t>
      </w:r>
      <w:r>
        <w:rPr>
          <w:rFonts w:eastAsia="IRNazanin" w:cs="IRNazanin"/>
          <w:b w:val="false"/>
          <w:bCs w:val="false"/>
          <w:i w:val="false"/>
          <w:iCs w:val="false"/>
          <w:color w:val="333333"/>
          <w:sz w:val="20"/>
          <w:szCs w:val="20"/>
        </w:rPr>
        <w:t>23:248</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جوابه</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صریحة</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 خیار 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 الخیار أجزاء</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للخیار</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النصوص الواردة فی الردّ،الوسائل </w:t>
      </w:r>
      <w:r>
        <w:rPr>
          <w:rFonts w:eastAsia="IRNazanin" w:cs="IRNazanin"/>
          <w:b w:val="false"/>
          <w:bCs w:val="false"/>
          <w:i w:val="false"/>
          <w:iCs w:val="false"/>
          <w:color w:val="333333"/>
          <w:sz w:val="20"/>
          <w:szCs w:val="20"/>
        </w:rPr>
        <w:t>12:411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غیرها من أبواب أحکام العیوب</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البیع</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المرسلة فی الصفحة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الشهیدی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یتقدم لهذا ذکر فی السابق،و لعل فی النسخة تقدیما و تأخیرا و کان العبارة فی الأصل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فالعمدة فی المسألة مضافاً إلی ما تقدّم من ظهور الإجماع أنّ مرجع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،هدایة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المجوّز لردّ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معه یجوز ردّ</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یخفی أنّ الصورة الثانیة بحسب التقسیم المتقدّم فی أوّل البحث إنّما کانت صورة تعدّد البائع،لکن المؤلف قدّس سرّه عکس الترتیب،و أمّا مصحّح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عکس العدد فکتب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الصورة الآتیة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الثانی</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السیّد العاملی فی مفتاح الکرامة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المختلف و إیضاح النافع و المسالک و المفاتیح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المختلف </w:t>
      </w:r>
      <w:r>
        <w:rPr>
          <w:rFonts w:eastAsia="IRNazanin" w:cs="IRNazanin"/>
          <w:b w:val="false"/>
          <w:bCs w:val="false"/>
          <w:i w:val="false"/>
          <w:iCs w:val="false"/>
          <w:color w:val="333333"/>
          <w:sz w:val="20"/>
          <w:szCs w:val="20"/>
        </w:rPr>
        <w:t>5:186</w:t>
      </w:r>
      <w:r>
        <w:rPr>
          <w:rFonts w:ascii="IRNazanin" w:hAnsi="IRNazanin" w:eastAsia="IRNazanin"/>
          <w:b w:val="false"/>
          <w:b w:val="false"/>
          <w:bCs w:val="false"/>
          <w:i w:val="false"/>
          <w:i w:val="false"/>
          <w:iCs w:val="false"/>
          <w:color w:val="333333"/>
          <w:sz w:val="20"/>
          <w:sz w:val="20"/>
          <w:szCs w:val="20"/>
          <w:rtl w:val="true"/>
        </w:rPr>
        <w:t xml:space="preserve">،و المسالک </w:t>
      </w:r>
      <w:r>
        <w:rPr>
          <w:rFonts w:eastAsia="IRNazanin" w:cs="IRNazanin"/>
          <w:b w:val="false"/>
          <w:bCs w:val="false"/>
          <w:i w:val="false"/>
          <w:iCs w:val="false"/>
          <w:color w:val="333333"/>
          <w:sz w:val="20"/>
          <w:szCs w:val="20"/>
        </w:rPr>
        <w:t>3:286</w:t>
      </w:r>
      <w:r>
        <w:rPr>
          <w:rFonts w:ascii="IRNazanin" w:hAnsi="IRNazanin" w:eastAsia="IRNazanin"/>
          <w:b w:val="false"/>
          <w:b w:val="false"/>
          <w:bCs w:val="false"/>
          <w:i w:val="false"/>
          <w:i w:val="false"/>
          <w:iCs w:val="false"/>
          <w:color w:val="333333"/>
          <w:sz w:val="20"/>
          <w:sz w:val="20"/>
          <w:szCs w:val="20"/>
          <w:rtl w:val="true"/>
        </w:rPr>
        <w:t xml:space="preserve">، و المفاتیح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،و إیضاح النافع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یوجد لدینا</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التذکرة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الخلاف </w:t>
      </w:r>
      <w:r>
        <w:rPr>
          <w:rFonts w:eastAsia="IRNazanin" w:cs="IRNazanin"/>
          <w:b w:val="false"/>
          <w:bCs w:val="false"/>
          <w:i w:val="false"/>
          <w:iCs w:val="false"/>
          <w:color w:val="333333"/>
          <w:sz w:val="20"/>
          <w:szCs w:val="20"/>
        </w:rPr>
        <w:t>3:333</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الشرکة،و المبسوط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العلّامة فی المختلف </w:t>
      </w:r>
      <w:r>
        <w:rPr>
          <w:rFonts w:eastAsia="IRNazanin" w:cs="IRNazanin"/>
          <w:b w:val="false"/>
          <w:bCs w:val="false"/>
          <w:i w:val="false"/>
          <w:iCs w:val="false"/>
          <w:color w:val="333333"/>
          <w:sz w:val="20"/>
          <w:szCs w:val="20"/>
        </w:rPr>
        <w:t>5:187</w:t>
      </w:r>
      <w:r>
        <w:rPr>
          <w:rFonts w:ascii="IRNazanin" w:hAnsi="IRNazanin" w:eastAsia="IRNazanin"/>
          <w:b w:val="false"/>
          <w:b w:val="false"/>
          <w:bCs w:val="false"/>
          <w:i w:val="false"/>
          <w:i w:val="false"/>
          <w:iCs w:val="false"/>
          <w:color w:val="333333"/>
          <w:sz w:val="20"/>
          <w:sz w:val="20"/>
          <w:szCs w:val="20"/>
          <w:rtl w:val="true"/>
        </w:rPr>
        <w:t xml:space="preserve">،و الشهید فی الدروس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فیما بأیدینا من کتبه،نعم حکاه عنه العلّامة فی المختلف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،و الشهید فی الدروس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جمال الدین أحمد بن موسی بن جعفر،أخو السیّد ابن طاوس،و أمّا کتابه البشری فلا یوجد لدینا،نعم حکاه عنه الفاضل الآبی فی کشف الرموز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الإیضاح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4:334</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یبعد الفرق بین</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العبارة بعینها فی النصوص،بل هی مستفادة من الروایات،راجع الوسائل </w:t>
      </w:r>
      <w:r>
        <w:rPr>
          <w:rFonts w:eastAsia="IRNazanin" w:cs="IRNazanin"/>
          <w:b w:val="false"/>
          <w:bCs w:val="false"/>
          <w:i w:val="false"/>
          <w:iCs w:val="false"/>
          <w:color w:val="333333"/>
          <w:sz w:val="20"/>
          <w:szCs w:val="20"/>
        </w:rPr>
        <w:t>12:362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الخیار،و غیره من أبواب أحکام العیوب</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الإیضاح </w:t>
      </w:r>
      <w:r>
        <w:rPr>
          <w:rFonts w:eastAsia="IRNazanin" w:cs="IRNazanin"/>
          <w:b w:val="false"/>
          <w:bCs w:val="false"/>
          <w:i w:val="false"/>
          <w:iCs w:val="false"/>
          <w:color w:val="333333"/>
          <w:sz w:val="20"/>
          <w:szCs w:val="20"/>
        </w:rPr>
        <w:t>1:494</w:t>
      </w:r>
      <w:r>
        <w:rPr>
          <w:rFonts w:ascii="IRNazanin" w:hAnsi="IRNazanin" w:eastAsia="IRNazanin"/>
          <w:b w:val="false"/>
          <w:b w:val="false"/>
          <w:bCs w:val="false"/>
          <w:i w:val="false"/>
          <w:i w:val="false"/>
          <w:iCs w:val="false"/>
          <w:color w:val="333333"/>
          <w:sz w:val="20"/>
          <w:sz w:val="20"/>
          <w:szCs w:val="20"/>
          <w:rtl w:val="true"/>
        </w:rPr>
        <w:t xml:space="preserve">،و مجمع الفائدة </w:t>
      </w:r>
      <w:r>
        <w:rPr>
          <w:rFonts w:eastAsia="IRNazanin" w:cs="IRNazanin"/>
          <w:b w:val="false"/>
          <w:bCs w:val="false"/>
          <w:i w:val="false"/>
          <w:iCs w:val="false"/>
          <w:color w:val="333333"/>
          <w:sz w:val="20"/>
          <w:szCs w:val="20"/>
        </w:rPr>
        <w:t>8:436</w:t>
      </w:r>
      <w:r>
        <w:rPr>
          <w:rFonts w:ascii="IRNazanin" w:hAnsi="IRNazanin" w:eastAsia="IRNazanin"/>
          <w:b w:val="false"/>
          <w:b w:val="false"/>
          <w:bCs w:val="false"/>
          <w:i w:val="false"/>
          <w:i w:val="false"/>
          <w:iCs w:val="false"/>
          <w:color w:val="333333"/>
          <w:sz w:val="20"/>
          <w:sz w:val="20"/>
          <w:szCs w:val="20"/>
          <w:rtl w:val="true"/>
        </w:rPr>
        <w:t xml:space="preserve">،و المسالک </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تقدّم الکلام فی وجه ذلک فی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الصفحة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الثالثة</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نفی</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مثل به فی الدروس </w:t>
      </w:r>
      <w:r>
        <w:rPr>
          <w:rFonts w:eastAsia="IRNazanin" w:cs="IRNazanin"/>
          <w:b w:val="false"/>
          <w:bCs w:val="false"/>
          <w:i w:val="false"/>
          <w:iCs w:val="false"/>
          <w:color w:val="333333"/>
          <w:sz w:val="20"/>
          <w:szCs w:val="20"/>
        </w:rPr>
        <w:t>3:288</w:t>
      </w:r>
      <w:r>
        <w:rPr>
          <w:rFonts w:ascii="IRNazanin" w:hAnsi="IRNazanin" w:eastAsia="IRNazanin"/>
          <w:b w:val="false"/>
          <w:b w:val="false"/>
          <w:bCs w:val="false"/>
          <w:i w:val="false"/>
          <w:i w:val="false"/>
          <w:iCs w:val="false"/>
          <w:color w:val="333333"/>
          <w:sz w:val="20"/>
          <w:sz w:val="20"/>
          <w:szCs w:val="20"/>
          <w:rtl w:val="true"/>
        </w:rPr>
        <w:t xml:space="preserve">،و المسالک </w:t>
      </w:r>
      <w:r>
        <w:rPr>
          <w:rFonts w:eastAsia="IRNazanin" w:cs="IRNazanin"/>
          <w:b w:val="false"/>
          <w:bCs w:val="false"/>
          <w:i w:val="false"/>
          <w:iCs w:val="false"/>
          <w:color w:val="333333"/>
          <w:sz w:val="20"/>
          <w:szCs w:val="20"/>
        </w:rPr>
        <w:t>3:284</w:t>
      </w:r>
      <w:r>
        <w:rPr>
          <w:rFonts w:ascii="IRNazanin" w:hAnsi="IRNazanin" w:eastAsia="IRNazanin"/>
          <w:b w:val="false"/>
          <w:b w:val="false"/>
          <w:bCs w:val="false"/>
          <w:i w:val="false"/>
          <w:i w:val="false"/>
          <w:iCs w:val="false"/>
          <w:color w:val="333333"/>
          <w:sz w:val="20"/>
          <w:sz w:val="20"/>
          <w:szCs w:val="20"/>
          <w:rtl w:val="true"/>
        </w:rPr>
        <w:t xml:space="preserve">،و الجواهر </w:t>
      </w:r>
      <w:r>
        <w:rPr>
          <w:rFonts w:eastAsia="IRNazanin" w:cs="IRNazanin"/>
          <w:b w:val="false"/>
          <w:bCs w:val="false"/>
          <w:i w:val="false"/>
          <w:iCs w:val="false"/>
          <w:color w:val="333333"/>
          <w:sz w:val="20"/>
          <w:szCs w:val="20"/>
        </w:rPr>
        <w:t>23:243</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لعلّه من سهو القلم</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،و استدل به فی الجواهر </w:t>
      </w:r>
      <w:r>
        <w:rPr>
          <w:rFonts w:eastAsia="IRNazanin" w:cs="IRNazanin"/>
          <w:b w:val="false"/>
          <w:bCs w:val="false"/>
          <w:i w:val="false"/>
          <w:iCs w:val="false"/>
          <w:color w:val="333333"/>
          <w:sz w:val="20"/>
          <w:szCs w:val="20"/>
        </w:rPr>
        <w:t>23:238</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البیوع</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الآتیة فی الصفحة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،و راجع الوسائل </w:t>
      </w:r>
      <w:r>
        <w:rPr>
          <w:rFonts w:eastAsia="IRNazanin" w:cs="IRNazanin"/>
          <w:b w:val="false"/>
          <w:bCs w:val="false"/>
          <w:i w:val="false"/>
          <w:iCs w:val="false"/>
          <w:color w:val="333333"/>
          <w:sz w:val="20"/>
          <w:szCs w:val="20"/>
        </w:rPr>
        <w:t>12:420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العیوب،و فیه حدیث واحد</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5:170</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ینسب إلی</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السیّد العاملی فی مفتاح الکرامة </w:t>
      </w:r>
      <w:r>
        <w:rPr>
          <w:rFonts w:eastAsia="IRNazanin" w:cs="IRNazanin"/>
          <w:b w:val="false"/>
          <w:bCs w:val="false"/>
          <w:i w:val="false"/>
          <w:iCs w:val="false"/>
          <w:color w:val="333333"/>
          <w:sz w:val="20"/>
          <w:szCs w:val="20"/>
        </w:rPr>
        <w:t>4:625</w:t>
      </w:r>
      <w:r>
        <w:rPr>
          <w:rFonts w:ascii="IRNazanin" w:hAnsi="IRNazanin" w:eastAsia="IRNazanin"/>
          <w:b w:val="false"/>
          <w:b w:val="false"/>
          <w:bCs w:val="false"/>
          <w:i w:val="false"/>
          <w:i w:val="false"/>
          <w:iCs w:val="false"/>
          <w:color w:val="333333"/>
          <w:sz w:val="20"/>
          <w:sz w:val="20"/>
          <w:szCs w:val="20"/>
          <w:rtl w:val="true"/>
        </w:rPr>
        <w:t xml:space="preserve">،و راجع المختلف </w:t>
      </w:r>
      <w:r>
        <w:rPr>
          <w:rFonts w:eastAsia="IRNazanin" w:cs="IRNazanin"/>
          <w:b w:val="false"/>
          <w:bCs w:val="false"/>
          <w:i w:val="false"/>
          <w:iCs w:val="false"/>
          <w:color w:val="333333"/>
          <w:sz w:val="20"/>
          <w:szCs w:val="20"/>
        </w:rPr>
        <w:t>5:170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السید العاملی فی مفتاح الکرامة </w:t>
      </w:r>
      <w:r>
        <w:rPr>
          <w:rFonts w:eastAsia="IRNazanin" w:cs="IRNazanin"/>
          <w:b w:val="false"/>
          <w:bCs w:val="false"/>
          <w:i w:val="false"/>
          <w:iCs w:val="false"/>
          <w:color w:val="333333"/>
          <w:sz w:val="20"/>
          <w:szCs w:val="20"/>
        </w:rPr>
        <w:t>4:625</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أنّ القاضی فی الکامل وافق</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المهور،ذیل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التذکرة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،و تقدم فی الصفحة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فیها،و نقل عنها سابقاً فی خیار الرؤیة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فاسد و مفسد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4:303</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شطب علی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البراءة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الشهیدی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العهدة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یجوز تذکیر الضمیر إذا کانت التاء فی المرجع مصدریة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فهو راجع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العهدة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بناءً علی کون النسخة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معناه تعهّد سلامته من العیوب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بناءً علی کونها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معناه عدم تعهّد سلامته من العیوب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فضمیر معناه راجع إلی التبرّی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،هدایة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 ما یلی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نعم،هذا داخل فی فروع القاعدة التی اخترعها الشافعی،و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الزائل العائد کالذی لم یزل أو کالذی لم یعد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عرفت مراراً أنّ المرجع فی ذلک هی الأدلّة و لا منشأ لهذه القاعدة</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فی الصفحة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استشکل فیه الشهیدان فی الدروس </w:t>
      </w:r>
      <w:r>
        <w:rPr>
          <w:rFonts w:eastAsia="IRNazanin" w:cs="IRNazanin"/>
          <w:b w:val="false"/>
          <w:bCs w:val="false"/>
          <w:i w:val="false"/>
          <w:iCs w:val="false"/>
          <w:color w:val="333333"/>
          <w:sz w:val="20"/>
          <w:szCs w:val="20"/>
        </w:rPr>
        <w:t>3:288</w:t>
      </w:r>
      <w:r>
        <w:rPr>
          <w:rFonts w:ascii="IRNazanin" w:hAnsi="IRNazanin" w:eastAsia="IRNazanin"/>
          <w:b w:val="false"/>
          <w:b w:val="false"/>
          <w:bCs w:val="false"/>
          <w:i w:val="false"/>
          <w:i w:val="false"/>
          <w:iCs w:val="false"/>
          <w:color w:val="333333"/>
          <w:sz w:val="20"/>
          <w:sz w:val="20"/>
          <w:szCs w:val="20"/>
          <w:rtl w:val="true"/>
        </w:rPr>
        <w:t xml:space="preserve">،و المسالک </w:t>
      </w:r>
      <w:r>
        <w:rPr>
          <w:rFonts w:eastAsia="IRNazanin" w:cs="IRNazanin"/>
          <w:b w:val="false"/>
          <w:bCs w:val="false"/>
          <w:i w:val="false"/>
          <w:iCs w:val="false"/>
          <w:color w:val="333333"/>
          <w:sz w:val="20"/>
          <w:szCs w:val="20"/>
        </w:rPr>
        <w:t>3:284</w:t>
      </w:r>
      <w:r>
        <w:rPr>
          <w:rFonts w:ascii="IRNazanin" w:hAnsi="IRNazanin" w:eastAsia="IRNazanin"/>
          <w:b w:val="false"/>
          <w:b w:val="false"/>
          <w:bCs w:val="false"/>
          <w:i w:val="false"/>
          <w:i w:val="false"/>
          <w:iCs w:val="false"/>
          <w:color w:val="333333"/>
          <w:sz w:val="20"/>
          <w:sz w:val="20"/>
          <w:szCs w:val="20"/>
          <w:rtl w:val="true"/>
        </w:rPr>
        <w:t xml:space="preserve">،و راجع مفتاح الکرامة </w:t>
      </w:r>
      <w:r>
        <w:rPr>
          <w:rFonts w:eastAsia="IRNazanin" w:cs="IRNazanin"/>
          <w:b w:val="false"/>
          <w:bCs w:val="false"/>
          <w:i w:val="false"/>
          <w:iCs w:val="false"/>
          <w:color w:val="333333"/>
          <w:sz w:val="20"/>
          <w:szCs w:val="20"/>
        </w:rPr>
        <w:t>4:613</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الجواهر </w:t>
      </w:r>
      <w:r>
        <w:rPr>
          <w:rFonts w:eastAsia="IRNazanin" w:cs="IRNazanin"/>
          <w:b w:val="false"/>
          <w:bCs w:val="false"/>
          <w:i w:val="false"/>
          <w:iCs w:val="false"/>
          <w:color w:val="333333"/>
          <w:sz w:val="20"/>
          <w:szCs w:val="20"/>
        </w:rPr>
        <w:t>23:96</w:t>
      </w:r>
      <w:r>
        <w:rPr>
          <w:rFonts w:ascii="IRNazanin" w:hAnsi="IRNazanin" w:eastAsia="IRNazanin"/>
          <w:b w:val="false"/>
          <w:b w:val="false"/>
          <w:bCs w:val="false"/>
          <w:i w:val="false"/>
          <w:i w:val="false"/>
          <w:iCs w:val="false"/>
          <w:color w:val="333333"/>
          <w:sz w:val="20"/>
          <w:sz w:val="20"/>
          <w:szCs w:val="20"/>
          <w:rtl w:val="true"/>
        </w:rPr>
        <w:t>،و جاء فیه حول خیار تخلّف الوصف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سقوطه بالتصرف قبل العلم به نحو ما سمعته فی الغبن و بعده یسقط إن دلّ علی الرضا، و إلّا فلا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نسبه فی مفتاح الکرامة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ظاهر الأکثر</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المبیع</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بها یدفع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المرجع بعد</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بنقله</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الشهیدی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بهما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التصرّف و حدوث العیب بعد القبض،و إنّما عبّر عنهما بمانعی الردّ مع أنّه جعل المسقطات أربعة،لأنّ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الإسقاط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هو أحدها إنّما هو من قبیل المسقط لا المانع،و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تلف العین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هو ثالثها لا یبقی معه موضوعٌ للردِّ حتّی یُعدّ مانعاً؛و جعل الأوّل أوّلاً لتقدّمه فی کلامه،و الثانی ثانیاً لتأخّره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،هدایة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لزم العقد</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نعم،التصرف قبل العلم لا یسقط خیار الشرط،کما تقدّم</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هو الحکم فی غیر الربویّین إذا حصل العیب عنده</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أنّها من سهو القلم</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الربویة</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هذا یصحّ فی غیر الربویین؛لأنّ وصف الصحّة فیه یقابل بجزءٍ من الثمن فیرد المشتری قیمة العیب الحادث عنده لیأخذ الثمن المقابل لنفس المبیع مع الصحّة</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فی القواعد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،و التذکرة </w:t>
      </w:r>
      <w:r>
        <w:rPr>
          <w:rFonts w:eastAsia="IRNazanin" w:cs="IRNazanin"/>
          <w:b w:val="false"/>
          <w:bCs w:val="false"/>
          <w:i w:val="false"/>
          <w:iCs w:val="false"/>
          <w:color w:val="333333"/>
          <w:sz w:val="20"/>
          <w:szCs w:val="20"/>
        </w:rPr>
        <w:t>1:531</w:t>
      </w:r>
      <w:r>
        <w:rPr>
          <w:rFonts w:ascii="IRNazanin" w:hAnsi="IRNazanin" w:eastAsia="IRNazanin"/>
          <w:b w:val="false"/>
          <w:b w:val="false"/>
          <w:bCs w:val="false"/>
          <w:i w:val="false"/>
          <w:i w:val="false"/>
          <w:iCs w:val="false"/>
          <w:color w:val="333333"/>
          <w:sz w:val="20"/>
          <w:sz w:val="20"/>
          <w:szCs w:val="20"/>
          <w:rtl w:val="true"/>
        </w:rPr>
        <w:t xml:space="preserve">،و المحقق الثانی فی جامع المقاصد </w:t>
      </w:r>
      <w:r>
        <w:rPr>
          <w:rFonts w:eastAsia="IRNazanin" w:cs="IRNazanin"/>
          <w:b w:val="false"/>
          <w:bCs w:val="false"/>
          <w:i w:val="false"/>
          <w:iCs w:val="false"/>
          <w:color w:val="333333"/>
          <w:sz w:val="20"/>
          <w:szCs w:val="20"/>
        </w:rPr>
        <w:t>4:363</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الصفحة المتقدّمة</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3:288</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4:365</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 شیءٍ منه و بین صحّة البیع</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تأخیر</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هنا وردت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أحد القولین منسوب إلی الشافعی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التذکرة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،و المغنی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مستنده عموم أدلة الخیار من غیر تقییدٍ،و خصوص بعض الأخبار</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عدم سقوط الخیار بالتراخی</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3:302</w:t>
      </w:r>
      <w:r>
        <w:rPr>
          <w:rFonts w:ascii="IRNazanin" w:hAnsi="IRNazanin" w:eastAsia="IRNazanin"/>
          <w:b w:val="false"/>
          <w:b w:val="false"/>
          <w:bCs w:val="false"/>
          <w:i w:val="false"/>
          <w:i w:val="false"/>
          <w:iCs w:val="false"/>
          <w:color w:val="333333"/>
          <w:sz w:val="20"/>
          <w:sz w:val="20"/>
          <w:szCs w:val="20"/>
          <w:rtl w:val="true"/>
        </w:rPr>
        <w:t xml:space="preserve">،و الحدائق </w:t>
      </w:r>
      <w:r>
        <w:rPr>
          <w:rFonts w:eastAsia="IRNazanin" w:cs="IRNazanin"/>
          <w:b w:val="false"/>
          <w:bCs w:val="false"/>
          <w:i w:val="false"/>
          <w:iCs w:val="false"/>
          <w:color w:val="333333"/>
          <w:sz w:val="20"/>
          <w:szCs w:val="20"/>
        </w:rPr>
        <w:t>19:117</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1:529</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علم بالعیب و أهمل المطالبة لحظةً هل یسقط الرد؟الأقرب أنّه لا یسقط</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نفی الخلاف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نِعْمَ</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فی الریاض أنّه</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8:260</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1:529</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الأصل بقاء ما ثبت</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3:125</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،و السرائر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الثانی فی جامع المقاصد </w:t>
      </w:r>
      <w:r>
        <w:rPr>
          <w:rFonts w:eastAsia="IRNazanin" w:cs="IRNazanin"/>
          <w:b w:val="false"/>
          <w:bCs w:val="false"/>
          <w:i w:val="false"/>
          <w:iCs w:val="false"/>
          <w:color w:val="333333"/>
          <w:sz w:val="20"/>
          <w:szCs w:val="20"/>
        </w:rPr>
        <w:t>4:333</w:t>
      </w:r>
      <w:r>
        <w:rPr>
          <w:rFonts w:ascii="IRNazanin" w:hAnsi="IRNazanin" w:eastAsia="IRNazanin"/>
          <w:b w:val="false"/>
          <w:b w:val="false"/>
          <w:bCs w:val="false"/>
          <w:i w:val="false"/>
          <w:i w:val="false"/>
          <w:iCs w:val="false"/>
          <w:color w:val="333333"/>
          <w:sz w:val="20"/>
          <w:sz w:val="20"/>
          <w:szCs w:val="20"/>
          <w:rtl w:val="true"/>
        </w:rPr>
        <w:t xml:space="preserve">،و الشهید الثانی فی المسالک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،و راجع تفصیله فی مفتاح الکرامة </w:t>
      </w:r>
      <w:r>
        <w:rPr>
          <w:rFonts w:eastAsia="IRNazanin" w:cs="IRNazanin"/>
          <w:b w:val="false"/>
          <w:bCs w:val="false"/>
          <w:i w:val="false"/>
          <w:iCs w:val="false"/>
          <w:color w:val="333333"/>
          <w:sz w:val="20"/>
          <w:szCs w:val="20"/>
        </w:rPr>
        <w:t>4:629</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الإشارة إلیها فی الصفحة المتقدّمة</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2:297</w:t>
      </w:r>
      <w:r>
        <w:rPr>
          <w:rFonts w:ascii="IRNazanin" w:hAnsi="IRNazanin" w:eastAsia="IRNazanin"/>
          <w:b w:val="false"/>
          <w:b w:val="false"/>
          <w:bCs w:val="false"/>
          <w:i w:val="false"/>
          <w:i w:val="false"/>
          <w:iCs w:val="false"/>
          <w:color w:val="333333"/>
          <w:sz w:val="20"/>
          <w:sz w:val="20"/>
          <w:szCs w:val="20"/>
          <w:rtl w:val="true"/>
        </w:rPr>
        <w:t>،و لکن لیس فیه نفی الخلاف،و لعلّ المراد من العبارة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بغیر نقل 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یؤیّده أنّه قال بعد الحکم فی موضعٍ منها بالاستحباب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بعض أصحابنا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ذلک واجب</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السید العاملی فی مفتاح الکرامة </w:t>
      </w:r>
      <w:r>
        <w:rPr>
          <w:rFonts w:eastAsia="IRNazanin" w:cs="IRNazanin"/>
          <w:b w:val="false"/>
          <w:bCs w:val="false"/>
          <w:i w:val="false"/>
          <w:iCs w:val="false"/>
          <w:color w:val="333333"/>
          <w:sz w:val="20"/>
          <w:szCs w:val="20"/>
        </w:rPr>
        <w:t>4:629</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منشؤه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دعوی صدق الغش و من</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4:333</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السیّد العاملی فی مفتاح الکرامة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إیضاح النافع و المیسیة،و حکم به فی الجواهر </w:t>
      </w:r>
      <w:r>
        <w:rPr>
          <w:rFonts w:eastAsia="IRNazanin" w:cs="IRNazanin"/>
          <w:b w:val="false"/>
          <w:bCs w:val="false"/>
          <w:i w:val="false"/>
          <w:iCs w:val="false"/>
          <w:color w:val="333333"/>
          <w:sz w:val="20"/>
          <w:szCs w:val="20"/>
        </w:rPr>
        <w:t>23:246</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من جامع المقاصد</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5:172</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لعلّه لأصالة عدم تسلیم البائع العین إلی المشتری علی الوجه المقصود،و عدم استحقاقه الثمن کلاّ و عدم لزوم العقد؛نظیر ما إذا ادّعی البائع تغیّر العین عند المشتری و أنکر المشتری،و قد تقدّم فی محلّه</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4:355</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السید العاملی فی مفتاح الکرامة </w:t>
      </w:r>
      <w:r>
        <w:rPr>
          <w:rFonts w:eastAsia="IRNazanin" w:cs="IRNazanin"/>
          <w:b w:val="false"/>
          <w:bCs w:val="false"/>
          <w:i w:val="false"/>
          <w:iCs w:val="false"/>
          <w:color w:val="333333"/>
          <w:sz w:val="20"/>
          <w:szCs w:val="20"/>
        </w:rPr>
        <w:t>4:659</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18:215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3:299</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 لدینا،نعم حکاه عنه السیّد العاملی فی مفتاح الکرامة </w:t>
      </w:r>
      <w:r>
        <w:rPr>
          <w:rFonts w:eastAsia="IRNazanin" w:cs="IRNazanin"/>
          <w:b w:val="false"/>
          <w:bCs w:val="false"/>
          <w:i w:val="false"/>
          <w:iCs w:val="false"/>
          <w:color w:val="333333"/>
          <w:sz w:val="20"/>
          <w:szCs w:val="20"/>
        </w:rPr>
        <w:t>4:659</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8:274</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4:659</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1:540</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4:359</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تنظّر</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4:360</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4:664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1:541</w:t>
      </w:r>
      <w:r>
        <w:rPr>
          <w:rFonts w:ascii="IRNazanin" w:hAnsi="IRNazanin" w:eastAsia="IRNazanin"/>
          <w:b w:val="false"/>
          <w:b w:val="false"/>
          <w:bCs w:val="false"/>
          <w:i w:val="false"/>
          <w:i w:val="false"/>
          <w:iCs w:val="false"/>
          <w:color w:val="333333"/>
          <w:sz w:val="20"/>
          <w:sz w:val="20"/>
          <w:szCs w:val="20"/>
          <w:rtl w:val="true"/>
        </w:rPr>
        <w:t xml:space="preserve">،و القواعد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تقدیم</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الإیضاح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العملیّة</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للنظر فی إثبات أحد المتلازمین بالأصل الجاری فی الآخر مجالٌ،کما نبّهنا علیه مراراً</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 لقوله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،و راجع الصفحة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فرائد الأُصول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یده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ید المشتری فی یده</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مشاهدٌ</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کلمةٌ غیر واضحة،لعلّها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المعیّن</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12:420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العیوب</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8:437</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یأتی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هو المناسب للترتیب الموجود فی النسخ،حتّی نسخة الأصل و 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 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فی الشروط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متأخراً فی الجزء السادس الصفحة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 المؤلّف قدّس سرّه کتب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فی الشروط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هذا الموضوع،ثمّ حصل تقدیم و تأخیر فی تنضید الأوراق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یؤیّد هذا الاستظهار بدأ باب الشروط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بالتحمید</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لا یخفی عدم مجیء جواب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وجهان</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الاختلاف فی الفسخ،و راجع المقسم فی الصفحة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الخبر،و قال السیّد الیزدی فی حاشیته علی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قول المؤلف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یدلُّ علیه بعض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 الظاهر أنّ نظره إلی ما ورد بهذا المعنی فیمن أقرّ ببیع مملوکه ثمّ جاء و ادّعی الرقیة، و إلّا فلم نرَ خبراً فی العتق علی ما وصفه بعد الفحص،فیکون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غلطاً من النسخة أو سهواً من القلم بدلاً عن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ما أشرنا إلیه فهو الخبر عن محمّد بن عبد اللّٰه الکاهلی،قال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لأبی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الحیوان،و فیه حدیث واحد</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فروع</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 القیمة</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2:761</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عور</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یعرف</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لم یمکن</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فی القواعد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،و راجع جامع المقاصد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و الحدائق </w:t>
      </w:r>
      <w:r>
        <w:rPr>
          <w:rFonts w:eastAsia="IRNazanin" w:cs="IRNazanin"/>
          <w:b w:val="false"/>
          <w:bCs w:val="false"/>
          <w:i w:val="false"/>
          <w:iCs w:val="false"/>
          <w:color w:val="333333"/>
          <w:sz w:val="20"/>
          <w:szCs w:val="20"/>
        </w:rPr>
        <w:t>19:113</w:t>
      </w:r>
      <w:r>
        <w:rPr>
          <w:rFonts w:ascii="IRNazanin" w:hAnsi="IRNazanin" w:eastAsia="IRNazanin"/>
          <w:b w:val="false"/>
          <w:b w:val="false"/>
          <w:bCs w:val="false"/>
          <w:i w:val="false"/>
          <w:i w:val="false"/>
          <w:iCs w:val="false"/>
          <w:color w:val="333333"/>
          <w:sz w:val="20"/>
          <w:sz w:val="20"/>
          <w:szCs w:val="20"/>
          <w:rtl w:val="true"/>
        </w:rPr>
        <w:t xml:space="preserve">،و مفتاح الکرامة </w:t>
      </w:r>
      <w:r>
        <w:rPr>
          <w:rFonts w:eastAsia="IRNazanin" w:cs="IRNazanin"/>
          <w:b w:val="false"/>
          <w:bCs w:val="false"/>
          <w:i w:val="false"/>
          <w:iCs w:val="false"/>
          <w:color w:val="333333"/>
          <w:sz w:val="20"/>
          <w:szCs w:val="20"/>
        </w:rPr>
        <w:t>4:610</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 فی الشرائع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،و 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،و العلّامة فی القواعد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،و غیره من کتبه،و الفاضل الآبی فی کشف الرموز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ادّعائه عدم الخلاف بین الأصحاب،راجع تفصیل الأقوال فی مفتاح الکرامة </w:t>
      </w:r>
      <w:r>
        <w:rPr>
          <w:rFonts w:eastAsia="IRNazanin" w:cs="IRNazanin"/>
          <w:b w:val="false"/>
          <w:bCs w:val="false"/>
          <w:i w:val="false"/>
          <w:iCs w:val="false"/>
          <w:color w:val="333333"/>
          <w:sz w:val="20"/>
          <w:szCs w:val="20"/>
        </w:rPr>
        <w:t>4:618</w:t>
      </w:r>
      <w:r>
        <w:rPr>
          <w:rFonts w:ascii="IRNazanin" w:hAnsi="IRNazanin" w:eastAsia="IRNazanin"/>
          <w:b w:val="false"/>
          <w:b w:val="false"/>
          <w:bCs w:val="false"/>
          <w:i w:val="false"/>
          <w:i w:val="false"/>
          <w:iCs w:val="false"/>
          <w:color w:val="333333"/>
          <w:sz w:val="20"/>
          <w:sz w:val="20"/>
          <w:szCs w:val="20"/>
          <w:rtl w:val="true"/>
        </w:rPr>
        <w:t xml:space="preserve">، و الجواهر </w:t>
      </w:r>
      <w:r>
        <w:rPr>
          <w:rFonts w:eastAsia="IRNazanin" w:cs="IRNazanin"/>
          <w:b w:val="false"/>
          <w:bCs w:val="false"/>
          <w:i w:val="false"/>
          <w:iCs w:val="false"/>
          <w:color w:val="333333"/>
          <w:sz w:val="20"/>
          <w:szCs w:val="20"/>
        </w:rPr>
        <w:t>23:276</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بالخروج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تبدیل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،و العبارة منقولة بالمعنی،فإنّه قال عند عدّ العیوب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عدم الختان فی الکبیر،دون الصغیر و الأمة و المجلوب من بلاد الشرک</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اشترط</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تقدّم عنهم فی الصفحة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الموضع الثانی من الموضعین اللذین یسقط فیهما الأرش دون الردّ،و راجع مفتاح الکرامة </w:t>
      </w:r>
      <w:r>
        <w:rPr>
          <w:rFonts w:eastAsia="IRNazanin" w:cs="IRNazanin"/>
          <w:b w:val="false"/>
          <w:bCs w:val="false"/>
          <w:i w:val="false"/>
          <w:iCs w:val="false"/>
          <w:color w:val="333333"/>
          <w:sz w:val="20"/>
          <w:szCs w:val="20"/>
        </w:rPr>
        <w:t>4:613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الشراء</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الجواهر </w:t>
      </w:r>
      <w:r>
        <w:rPr>
          <w:rFonts w:eastAsia="IRNazanin" w:cs="IRNazanin"/>
          <w:b w:val="false"/>
          <w:bCs w:val="false"/>
          <w:i w:val="false"/>
          <w:iCs w:val="false"/>
          <w:color w:val="333333"/>
          <w:sz w:val="20"/>
          <w:szCs w:val="20"/>
        </w:rPr>
        <w:t>23:243</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لقصّة</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الوسائل</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فاصبر</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12:410</w:t>
      </w:r>
      <w:r>
        <w:rPr>
          <w:rFonts w:ascii="IRNazanin" w:hAnsi="IRNazanin" w:eastAsia="IRNazanin"/>
          <w:b w:val="false"/>
          <w:b w:val="false"/>
          <w:bCs w:val="false"/>
          <w:i w:val="false"/>
          <w:i w:val="false"/>
          <w:iCs w:val="false"/>
          <w:color w:val="333333"/>
          <w:sz w:val="20"/>
          <w:sz w:val="20"/>
          <w:szCs w:val="20"/>
          <w:rtl w:val="true"/>
        </w:rPr>
        <w:t>،الباب الأوّل من أحکام العیوب،و فیه حدیث واحد</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غالباً</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محتمل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ثالثاً</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محتمل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للصیغة</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رابعاً فلأنا</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المرسِل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xml:space="preserve">،و القواعد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،و العبارة من التحریر</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الشعر علی العانة فی الرجل و المرأة عیب</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1:540</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3:290</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السید العاملی فی مفتاح الکرامة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المیسیّة،و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قضیة إطلاق المقنعة و النهایة و المبسوط و الخلاف و المراسم و فقه القرآن للراوندی و الوسیلة و الغنیة</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لم یکن فیه أرش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حاشیة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العبارة للأوّل</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المحقّق فی الشرائع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،و العلّامة فی القواعد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،و الشهید فی الدروس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محتمل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الصرع</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1:540</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العلامة فی التذکرة </w:t>
      </w:r>
      <w:r>
        <w:rPr>
          <w:rFonts w:eastAsia="IRNazanin" w:cs="IRNazanin"/>
          <w:b w:val="false"/>
          <w:bCs w:val="false"/>
          <w:i w:val="false"/>
          <w:iCs w:val="false"/>
          <w:color w:val="333333"/>
          <w:sz w:val="20"/>
          <w:szCs w:val="20"/>
        </w:rPr>
        <w:t>1:540</w:t>
      </w:r>
      <w:r>
        <w:rPr>
          <w:rFonts w:ascii="IRNazanin" w:hAnsi="IRNazanin" w:eastAsia="IRNazanin"/>
          <w:b w:val="false"/>
          <w:b w:val="false"/>
          <w:bCs w:val="false"/>
          <w:i w:val="false"/>
          <w:i w:val="false"/>
          <w:iCs w:val="false"/>
          <w:color w:val="333333"/>
          <w:sz w:val="20"/>
          <w:sz w:val="20"/>
          <w:szCs w:val="20"/>
          <w:rtl w:val="true"/>
        </w:rPr>
        <w:t xml:space="preserve">،و الشهید فی الدروس </w:t>
      </w:r>
      <w:r>
        <w:rPr>
          <w:rFonts w:eastAsia="IRNazanin" w:cs="IRNazanin"/>
          <w:b w:val="false"/>
          <w:bCs w:val="false"/>
          <w:i w:val="false"/>
          <w:iCs w:val="false"/>
          <w:color w:val="333333"/>
          <w:sz w:val="20"/>
          <w:szCs w:val="20"/>
        </w:rPr>
        <w:t>3:281</w:t>
      </w:r>
      <w:r>
        <w:rPr>
          <w:rFonts w:ascii="IRNazanin" w:hAnsi="IRNazanin" w:eastAsia="IRNazanin"/>
          <w:b w:val="false"/>
          <w:b w:val="false"/>
          <w:bCs w:val="false"/>
          <w:i w:val="false"/>
          <w:i w:val="false"/>
          <w:iCs w:val="false"/>
          <w:color w:val="333333"/>
          <w:sz w:val="20"/>
          <w:sz w:val="20"/>
          <w:szCs w:val="20"/>
          <w:rtl w:val="true"/>
        </w:rPr>
        <w:t xml:space="preserve">،و السید العاملی فی مفتاح الکرامة </w:t>
      </w:r>
      <w:r>
        <w:rPr>
          <w:rFonts w:eastAsia="IRNazanin" w:cs="IRNazanin"/>
          <w:b w:val="false"/>
          <w:bCs w:val="false"/>
          <w:i w:val="false"/>
          <w:iCs w:val="false"/>
          <w:color w:val="333333"/>
          <w:sz w:val="20"/>
          <w:szCs w:val="20"/>
        </w:rPr>
        <w:t>4:622</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12:415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العیوب</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1:540</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1:540</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دخول الحمل فی بیع الحامل</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یدها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سهو</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معیبة</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حملت عند المشتری و ولدت</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اشتری جاریةً حائلاً أو بهیمةً حائلاً فحبلت،ثمّ اطّلع علی عیب،فإن نقصت بالحمل فلا ردّ إن کان الحمل فی ید المشتری،و به قال الشافعی</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3:285</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أطلق القاضی</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الحادث</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الحبل</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فافهم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،و راجع التحریر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بناء</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الإیضاح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محقّقاً</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الحدائق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xml:space="preserve">،و راجع مفتاح الکرامة </w:t>
      </w:r>
      <w:r>
        <w:rPr>
          <w:rFonts w:eastAsia="IRNazanin" w:cs="IRNazanin"/>
          <w:b w:val="false"/>
          <w:bCs w:val="false"/>
          <w:i w:val="false"/>
          <w:iCs w:val="false"/>
          <w:color w:val="333333"/>
          <w:sz w:val="20"/>
          <w:szCs w:val="20"/>
        </w:rPr>
        <w:t>4:618</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12:418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العیوب،الحدیث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فیما</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الصفحة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المختلف </w:t>
      </w:r>
      <w:r>
        <w:rPr>
          <w:rFonts w:eastAsia="IRNazanin" w:cs="IRNazanin"/>
          <w:b w:val="false"/>
          <w:bCs w:val="false"/>
          <w:i w:val="false"/>
          <w:iCs w:val="false"/>
          <w:color w:val="333333"/>
          <w:sz w:val="20"/>
          <w:szCs w:val="20"/>
        </w:rPr>
        <w:t>5:174</w:t>
      </w:r>
      <w:r>
        <w:rPr>
          <w:rFonts w:ascii="IRNazanin" w:hAnsi="IRNazanin" w:eastAsia="IRNazanin"/>
          <w:b w:val="false"/>
          <w:b w:val="false"/>
          <w:bCs w:val="false"/>
          <w:i w:val="false"/>
          <w:i w:val="false"/>
          <w:iCs w:val="false"/>
          <w:color w:val="333333"/>
          <w:sz w:val="20"/>
          <w:sz w:val="20"/>
          <w:szCs w:val="20"/>
          <w:rtl w:val="true"/>
        </w:rPr>
        <w:t xml:space="preserve">،و التحریر </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 xml:space="preserve">،و التذکرة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5:216</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،و عنهما فی الوسائل </w:t>
      </w:r>
      <w:r>
        <w:rPr>
          <w:rFonts w:eastAsia="IRNazanin" w:cs="IRNazanin"/>
          <w:b w:val="false"/>
          <w:bCs w:val="false"/>
          <w:i w:val="false"/>
          <w:iCs w:val="false"/>
          <w:color w:val="333333"/>
          <w:sz w:val="20"/>
          <w:szCs w:val="20"/>
        </w:rPr>
        <w:t>12:418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العیوب،الحدیث الأوّل</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،و تقدّمت الروایة فی الصفحة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1:539</w:t>
      </w:r>
      <w:r>
        <w:rPr>
          <w:rFonts w:ascii="IRNazanin" w:hAnsi="IRNazanin" w:eastAsia="IRNazanin"/>
          <w:b w:val="false"/>
          <w:b w:val="false"/>
          <w:bCs w:val="false"/>
          <w:i w:val="false"/>
          <w:i w:val="false"/>
          <w:iCs w:val="false"/>
          <w:color w:val="333333"/>
          <w:sz w:val="20"/>
          <w:sz w:val="20"/>
          <w:szCs w:val="20"/>
          <w:rtl w:val="true"/>
        </w:rPr>
        <w:t xml:space="preserve">،و القواعد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مدخلیة</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معه</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12:413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العیوب،و فیه حدیث واحد</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،و المحقّق فی الشرائع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،و العلّامة فی القواعد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السرائر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12:411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العیوب،الحدیث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علیها فیما یأتی</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12:422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العیوب،الحدیث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12:412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العیوب،الحدیث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1:538</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المرّة الواحدة فی الإباق تکفی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أمّا القول بالاعتیاد فقد نسبه فی المسالک </w:t>
      </w:r>
      <w:r>
        <w:rPr>
          <w:rFonts w:eastAsia="IRNazanin" w:cs="IRNazanin"/>
          <w:b w:val="false"/>
          <w:bCs w:val="false"/>
          <w:i w:val="false"/>
          <w:iCs w:val="false"/>
          <w:color w:val="333333"/>
          <w:sz w:val="20"/>
          <w:szCs w:val="20"/>
        </w:rPr>
        <w:t>3:296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بعض الأصحاب،و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أقوی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فی الروضة </w:t>
      </w:r>
      <w:r>
        <w:rPr>
          <w:rFonts w:eastAsia="IRNazanin" w:cs="IRNazanin"/>
          <w:b w:val="false"/>
          <w:bCs w:val="false"/>
          <w:i w:val="false"/>
          <w:iCs w:val="false"/>
          <w:color w:val="333333"/>
          <w:sz w:val="20"/>
          <w:szCs w:val="20"/>
        </w:rPr>
        <w:t>3:499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الأقوی اعتبار اعتیاده</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12:419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العیوب،الحدیث الأولّ،نقله عن الکافی،و لکن الموجود فی المتن أقرب و أشبه لما فی التهذیب </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12:419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العیوب،الحدیث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18:739</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18202</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منافیة</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الرابع،الصفحة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باع</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باعه</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الجزء السادس،الصفحة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12:412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العیوب،الحدیث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،و عنه فی الوسائل </w:t>
      </w:r>
      <w:r>
        <w:rPr>
          <w:rFonts w:eastAsia="IRNazanin" w:cs="IRNazanin"/>
          <w:b w:val="false"/>
          <w:bCs w:val="false"/>
          <w:i w:val="false"/>
          <w:iCs w:val="false"/>
          <w:color w:val="333333"/>
          <w:sz w:val="20"/>
          <w:szCs w:val="20"/>
        </w:rPr>
        <w:t>12:412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العیوب،الحدیث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12:411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العیوب،الحدیث الأوّل،و راجع التهذیب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5:216</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المحدّث البحرانی فی الحدائق </w:t>
      </w:r>
      <w:r>
        <w:rPr>
          <w:rFonts w:eastAsia="IRNazanin" w:cs="IRNazanin"/>
          <w:b w:val="false"/>
          <w:bCs w:val="false"/>
          <w:i w:val="false"/>
          <w:iCs w:val="false"/>
          <w:color w:val="333333"/>
          <w:sz w:val="20"/>
          <w:szCs w:val="20"/>
        </w:rPr>
        <w:t>19:104</w:t>
      </w:r>
      <w:r>
        <w:rPr>
          <w:rFonts w:ascii="IRNazanin" w:hAnsi="IRNazanin" w:eastAsia="IRNazanin"/>
          <w:b w:val="false"/>
          <w:b w:val="false"/>
          <w:bCs w:val="false"/>
          <w:i w:val="false"/>
          <w:i w:val="false"/>
          <w:iCs w:val="false"/>
          <w:color w:val="333333"/>
          <w:sz w:val="20"/>
          <w:sz w:val="20"/>
          <w:szCs w:val="20"/>
          <w:rtl w:val="true"/>
        </w:rPr>
        <w:t xml:space="preserve">،و السیّد العاملی فی مفتاح الکرامة </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المحقق الأردبیلی فی مجمع الفائدة </w:t>
      </w:r>
      <w:r>
        <w:rPr>
          <w:rFonts w:eastAsia="IRNazanin" w:cs="IRNazanin"/>
          <w:b w:val="false"/>
          <w:bCs w:val="false"/>
          <w:i w:val="false"/>
          <w:iCs w:val="false"/>
          <w:color w:val="333333"/>
          <w:sz w:val="20"/>
          <w:szCs w:val="20"/>
        </w:rPr>
        <w:t>8:449</w:t>
      </w:r>
      <w:r>
        <w:rPr>
          <w:rFonts w:ascii="IRNazanin" w:hAnsi="IRNazanin" w:eastAsia="IRNazanin"/>
          <w:b w:val="false"/>
          <w:b w:val="false"/>
          <w:bCs w:val="false"/>
          <w:i w:val="false"/>
          <w:i w:val="false"/>
          <w:iCs w:val="false"/>
          <w:color w:val="333333"/>
          <w:sz w:val="20"/>
          <w:sz w:val="20"/>
          <w:szCs w:val="20"/>
          <w:rtl w:val="true"/>
        </w:rPr>
        <w:t xml:space="preserve">،و صاحب الجواهر فی الجواهر </w:t>
      </w:r>
      <w:r>
        <w:rPr>
          <w:rFonts w:eastAsia="IRNazanin" w:cs="IRNazanin"/>
          <w:b w:val="false"/>
          <w:bCs w:val="false"/>
          <w:i w:val="false"/>
          <w:iCs w:val="false"/>
          <w:color w:val="333333"/>
          <w:sz w:val="20"/>
          <w:szCs w:val="20"/>
        </w:rPr>
        <w:t>23:298</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،و عنه فی الوسائل </w:t>
      </w:r>
      <w:r>
        <w:rPr>
          <w:rFonts w:eastAsia="IRNazanin" w:cs="IRNazanin"/>
          <w:b w:val="false"/>
          <w:bCs w:val="false"/>
          <w:i w:val="false"/>
          <w:iCs w:val="false"/>
          <w:color w:val="333333"/>
          <w:sz w:val="20"/>
          <w:szCs w:val="20"/>
        </w:rPr>
        <w:t>12:412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العیوب،ذیل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الجذام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الحدیث المنقول فی التهذیب و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 وردت فی کتب الفروع،مثل الحدائق و الجواهر أیضاً،نعم ذکر السیّد العاملی فی مفتاح الکرامة </w:t>
      </w:r>
      <w:r>
        <w:rPr>
          <w:rFonts w:eastAsia="IRNazanin" w:cs="IRNazanin"/>
          <w:b w:val="false"/>
          <w:bCs w:val="false"/>
          <w:i w:val="false"/>
          <w:iCs w:val="false"/>
          <w:color w:val="333333"/>
          <w:sz w:val="20"/>
          <w:szCs w:val="20"/>
        </w:rPr>
        <w:t>4:661</w:t>
      </w:r>
      <w:r>
        <w:rPr>
          <w:rFonts w:ascii="IRNazanin" w:hAnsi="IRNazanin" w:eastAsia="IRNazanin"/>
          <w:b w:val="false"/>
          <w:b w:val="false"/>
          <w:bCs w:val="false"/>
          <w:i w:val="false"/>
          <w:i w:val="false"/>
          <w:iCs w:val="false"/>
          <w:color w:val="333333"/>
          <w:sz w:val="20"/>
          <w:sz w:val="20"/>
          <w:szCs w:val="20"/>
          <w:rtl w:val="true"/>
        </w:rPr>
        <w:t>،الحدیث کما ذکره المصنف،و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ترک فیه الجذام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 مجمع الفائدة،نعم استشکل فی القَرَن و البَرَص کما نقل عنه فی الحدائق </w:t>
      </w:r>
      <w:r>
        <w:rPr>
          <w:rFonts w:eastAsia="IRNazanin" w:cs="IRNazanin"/>
          <w:b w:val="false"/>
          <w:bCs w:val="false"/>
          <w:i w:val="false"/>
          <w:iCs w:val="false"/>
          <w:color w:val="333333"/>
          <w:sz w:val="20"/>
          <w:szCs w:val="20"/>
        </w:rPr>
        <w:t>19:105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،و راجع مجمع الفائدة </w:t>
      </w:r>
      <w:r>
        <w:rPr>
          <w:rFonts w:eastAsia="IRNazanin" w:cs="IRNazanin"/>
          <w:b w:val="false"/>
          <w:bCs w:val="false"/>
          <w:i w:val="false"/>
          <w:iCs w:val="false"/>
          <w:color w:val="333333"/>
          <w:sz w:val="20"/>
          <w:szCs w:val="20"/>
        </w:rPr>
        <w:t>8:449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الحدائق </w:t>
      </w:r>
      <w:r>
        <w:rPr>
          <w:rFonts w:eastAsia="IRNazanin" w:cs="IRNazanin"/>
          <w:b w:val="false"/>
          <w:bCs w:val="false"/>
          <w:i w:val="false"/>
          <w:iCs w:val="false"/>
          <w:color w:val="333333"/>
          <w:sz w:val="20"/>
          <w:szCs w:val="20"/>
        </w:rPr>
        <w:t>19:105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یظنّ</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تخصیصاً</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سببه</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مفتاح الکرامة </w:t>
      </w:r>
      <w:r>
        <w:rPr>
          <w:rFonts w:eastAsia="IRNazanin" w:cs="IRNazanin"/>
          <w:b w:val="false"/>
          <w:bCs w:val="false"/>
          <w:i w:val="false"/>
          <w:iCs w:val="false"/>
          <w:color w:val="333333"/>
          <w:sz w:val="20"/>
          <w:szCs w:val="20"/>
        </w:rPr>
        <w:t>4:660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،مع زیادة نقله عن جامع الشرائع</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8:449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بعینه،نعم فی مجمع الفائدة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ثبت عندهم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الردّ یسقط مع التصرف فی المبیع مطلقاً دون الأرش</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کلاهما</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فی کلامه فی الصفحة الآتیة</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،و 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تساویه</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السرائر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موجب</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العبد،کما فی التذکرة</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1:540</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1:540</w:t>
      </w:r>
      <w:r>
        <w:rPr>
          <w:rFonts w:ascii="IRNazanin" w:hAnsi="IRNazanin" w:eastAsia="IRNazanin"/>
          <w:b w:val="false"/>
          <w:b w:val="false"/>
          <w:bCs w:val="false"/>
          <w:i w:val="false"/>
          <w:i w:val="false"/>
          <w:iCs w:val="false"/>
          <w:color w:val="333333"/>
          <w:sz w:val="20"/>
          <w:sz w:val="20"/>
          <w:szCs w:val="20"/>
          <w:rtl w:val="true"/>
        </w:rPr>
        <w:t>،و العبارة الثالثة ثبتت فی الهامش،و کتب فی آخرها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1:540</w:t>
      </w:r>
      <w:r>
        <w:rPr>
          <w:rFonts w:ascii="IRNazanin" w:hAnsi="IRNazanin" w:eastAsia="IRNazanin"/>
          <w:b w:val="false"/>
          <w:b w:val="false"/>
          <w:bCs w:val="false"/>
          <w:i w:val="false"/>
          <w:i w:val="false"/>
          <w:iCs w:val="false"/>
          <w:color w:val="333333"/>
          <w:sz w:val="20"/>
          <w:sz w:val="20"/>
          <w:szCs w:val="20"/>
          <w:rtl w:val="true"/>
        </w:rPr>
        <w:t>،و العبارة الثالثة ثبتت فی الهامش،و کتب فی آخرها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1:540</w:t>
      </w:r>
      <w:r>
        <w:rPr>
          <w:rFonts w:ascii="IRNazanin" w:hAnsi="IRNazanin" w:eastAsia="IRNazanin"/>
          <w:b w:val="false"/>
          <w:b w:val="false"/>
          <w:bCs w:val="false"/>
          <w:i w:val="false"/>
          <w:i w:val="false"/>
          <w:iCs w:val="false"/>
          <w:color w:val="333333"/>
          <w:sz w:val="20"/>
          <w:sz w:val="20"/>
          <w:szCs w:val="20"/>
          <w:rtl w:val="true"/>
        </w:rPr>
        <w:t>،و العبارة الثالثة ثبتت فی الهامش،و کتب فی آخرها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1:540</w:t>
      </w:r>
      <w:r>
        <w:rPr>
          <w:rFonts w:ascii="IRNazanin" w:hAnsi="IRNazanin" w:eastAsia="IRNazanin"/>
          <w:b w:val="false"/>
          <w:b w:val="false"/>
          <w:bCs w:val="false"/>
          <w:i w:val="false"/>
          <w:i w:val="false"/>
          <w:iCs w:val="false"/>
          <w:color w:val="333333"/>
          <w:sz w:val="20"/>
          <w:sz w:val="20"/>
          <w:szCs w:val="20"/>
          <w:rtl w:val="true"/>
        </w:rPr>
        <w:t>،و العبارة الثالثة ثبتت فی الهامش،و کتب فی آخرها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3:995</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أرش</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أرش</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2:261</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أرش</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السیّد العاملی فی مفتاح الکرامة </w:t>
      </w:r>
      <w:r>
        <w:rPr>
          <w:rFonts w:eastAsia="IRNazanin" w:cs="IRNazanin"/>
          <w:b w:val="false"/>
          <w:bCs w:val="false"/>
          <w:i w:val="false"/>
          <w:iCs w:val="false"/>
          <w:color w:val="333333"/>
          <w:sz w:val="20"/>
          <w:szCs w:val="20"/>
        </w:rPr>
        <w:t>4:632</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القواعد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،و الإرشاد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،و جامع المقاصد </w:t>
      </w:r>
      <w:r>
        <w:rPr>
          <w:rFonts w:eastAsia="IRNazanin" w:cs="IRNazanin"/>
          <w:b w:val="false"/>
          <w:bCs w:val="false"/>
          <w:i w:val="false"/>
          <w:iCs w:val="false"/>
          <w:color w:val="333333"/>
          <w:sz w:val="20"/>
          <w:szCs w:val="20"/>
        </w:rPr>
        <w:t>4:192</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المعروف أنّ الأرش جزءٌ من الثمن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الفائدة </w:t>
      </w:r>
      <w:r>
        <w:rPr>
          <w:rFonts w:eastAsia="IRNazanin" w:cs="IRNazanin"/>
          <w:b w:val="false"/>
          <w:bCs w:val="false"/>
          <w:i w:val="false"/>
          <w:iCs w:val="false"/>
          <w:color w:val="333333"/>
          <w:sz w:val="20"/>
          <w:szCs w:val="20"/>
        </w:rPr>
        <w:t>8:426</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علیّ بن بابویه و المفید کما فی الدروس </w:t>
      </w:r>
      <w:r>
        <w:rPr>
          <w:rFonts w:eastAsia="IRNazanin" w:cs="IRNazanin"/>
          <w:b w:val="false"/>
          <w:bCs w:val="false"/>
          <w:i w:val="false"/>
          <w:iCs w:val="false"/>
          <w:color w:val="333333"/>
          <w:sz w:val="20"/>
          <w:szCs w:val="20"/>
        </w:rPr>
        <w:t>3:287</w:t>
      </w:r>
      <w:r>
        <w:rPr>
          <w:rFonts w:ascii="IRNazanin" w:hAnsi="IRNazanin" w:eastAsia="IRNazanin"/>
          <w:b w:val="false"/>
          <w:b w:val="false"/>
          <w:bCs w:val="false"/>
          <w:i w:val="false"/>
          <w:i w:val="false"/>
          <w:iCs w:val="false"/>
          <w:color w:val="333333"/>
          <w:sz w:val="20"/>
          <w:sz w:val="20"/>
          <w:szCs w:val="20"/>
          <w:rtl w:val="true"/>
        </w:rPr>
        <w:t xml:space="preserve">،و راجع تفصیل ذلک فی مفتاح الکرامة </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الأنسب</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یتراءی</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 العلّامة فی التذکرة </w:t>
      </w:r>
      <w:r>
        <w:rPr>
          <w:rFonts w:eastAsia="IRNazanin" w:cs="IRNazanin"/>
          <w:b w:val="false"/>
          <w:bCs w:val="false"/>
          <w:i w:val="false"/>
          <w:iCs w:val="false"/>
          <w:color w:val="333333"/>
          <w:sz w:val="20"/>
          <w:szCs w:val="20"/>
        </w:rPr>
        <w:t>1:528</w:t>
      </w:r>
      <w:r>
        <w:rPr>
          <w:rFonts w:ascii="IRNazanin" w:hAnsi="IRNazanin" w:eastAsia="IRNazanin"/>
          <w:b w:val="false"/>
          <w:b w:val="false"/>
          <w:bCs w:val="false"/>
          <w:i w:val="false"/>
          <w:i w:val="false"/>
          <w:iCs w:val="false"/>
          <w:color w:val="333333"/>
          <w:sz w:val="20"/>
          <w:sz w:val="20"/>
          <w:szCs w:val="20"/>
          <w:rtl w:val="true"/>
        </w:rPr>
        <w:t xml:space="preserve">،و صاحب الجواهر فی الجواهر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یصلح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أنّه من سهو القلم</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لتنقیص</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کونه فی عهدة البائع</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یُضاف</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و المحقّق الثانی و غیرهما،و قد تقدّم عنهم فی الصفحة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1:528</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الأقرب أنّه لا یتعیّن حقّ المشتری فیه بل للبائع إبداله</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الدروس </w:t>
      </w:r>
      <w:r>
        <w:rPr>
          <w:rFonts w:eastAsia="IRNazanin" w:cs="IRNazanin"/>
          <w:b w:val="false"/>
          <w:bCs w:val="false"/>
          <w:i w:val="false"/>
          <w:iCs w:val="false"/>
          <w:color w:val="333333"/>
          <w:sz w:val="20"/>
          <w:szCs w:val="20"/>
        </w:rPr>
        <w:t>3:287</w:t>
      </w:r>
      <w:r>
        <w:rPr>
          <w:rFonts w:ascii="IRNazanin" w:hAnsi="IRNazanin" w:eastAsia="IRNazanin"/>
          <w:b w:val="false"/>
          <w:b w:val="false"/>
          <w:bCs w:val="false"/>
          <w:i w:val="false"/>
          <w:i w:val="false"/>
          <w:iCs w:val="false"/>
          <w:color w:val="333333"/>
          <w:sz w:val="20"/>
          <w:sz w:val="20"/>
          <w:szCs w:val="20"/>
          <w:rtl w:val="true"/>
        </w:rPr>
        <w:t xml:space="preserve">،و المسالک </w:t>
      </w:r>
      <w:r>
        <w:rPr>
          <w:rFonts w:eastAsia="IRNazanin" w:cs="IRNazanin"/>
          <w:b w:val="false"/>
          <w:bCs w:val="false"/>
          <w:i w:val="false"/>
          <w:iCs w:val="false"/>
          <w:color w:val="333333"/>
          <w:sz w:val="20"/>
          <w:szCs w:val="20"/>
        </w:rPr>
        <w:t>3:299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،و الروضة </w:t>
      </w:r>
      <w:r>
        <w:rPr>
          <w:rFonts w:eastAsia="IRNazanin" w:cs="IRNazanin"/>
          <w:b w:val="false"/>
          <w:bCs w:val="false"/>
          <w:i w:val="false"/>
          <w:iCs w:val="false"/>
          <w:color w:val="333333"/>
          <w:sz w:val="20"/>
          <w:szCs w:val="20"/>
        </w:rPr>
        <w:t>3:474</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4:194</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12:415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العیوب،الحدیث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الصفحة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العیوب،الحدیث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العبارة بلفظها،نعم یدلّ علی مفادها ما ورد فی أبواب الخیار و أبواب أحکام العیوب،منها ما ورد فی الوسائل </w:t>
      </w:r>
      <w:r>
        <w:rPr>
          <w:rFonts w:eastAsia="IRNazanin" w:cs="IRNazanin"/>
          <w:b w:val="false"/>
          <w:bCs w:val="false"/>
          <w:i w:val="false"/>
          <w:iCs w:val="false"/>
          <w:color w:val="333333"/>
          <w:sz w:val="20"/>
          <w:szCs w:val="20"/>
        </w:rPr>
        <w:t>12:418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العیوب،الحدیث الأوّل،و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یرد علیه فضل القیمة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الصفحة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الخیار،و الصفحة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العقود،و غیرهما</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12:414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العیوب،الحدیث الأوّل</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حکما</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،و راجع القواعد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،و 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،و الدروس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فمختاره</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النسخ،لکن قال الشهیدی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إذا اختیر أحدهما یتعیّن للأرشیّة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هدایة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محتمل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12:352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لیس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ینقضی خیاره</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هذا</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ستأتی النصوص المنقولة عن هذه المصادر</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2:485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1:540</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بالثمن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قال أحمد و بعض الشافعیّة</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قال أحمد و بعض الشافعیّة</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الکلمة ساقطة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لأمر</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فیتخیّر المشتری إلی مع عدم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للمشتری الفسخ مع عدم علمه</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بُعده</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،و المحقّق فی الشرائع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،و العلّامة فی القواعد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غیره من کتبه،و راجع تفصیل ذلک فی مفتاح الکرامة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یلزم العمل به</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الأُخری</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قولاهما</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ترک</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موارد 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الموارد</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فرائد الأُصول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محتمل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معیّن</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النهج الذی ذکرنا من التنصیف فی المبیع</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بینهما</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ثلثهما</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ربعهما</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سهو</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 ما 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یمکن أیضاً علی وجه التنصیف فیما به التفاوت بین القیمتین،بأن تعمل فی نصفه بقول المثبت للزیادة،و فی نصفه الآخر بقول النافی، فإذا قوّمه إحداهما باثنی عشر و الآخر بثمانیة أُخذ فی نصف الأربعة بقول المثبت و فی نصفها الآخر بقول النافی،جمعاً بین حقّی البائع و المشتری،لکنّ الأظهر هو الجمع علی النهج الأوّل</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3:478</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توهّم أنّ حکم شراء 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مفقود من نسخة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البعضین</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اتّفقتا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،لرجوع الضمیر إلی البیّنتین</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النسبتین</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السیّد العاملی فی مفتاح الکرامة </w:t>
      </w:r>
      <w:r>
        <w:rPr>
          <w:rFonts w:eastAsia="IRNazanin" w:cs="IRNazanin"/>
          <w:b w:val="false"/>
          <w:bCs w:val="false"/>
          <w:i w:val="false"/>
          <w:iCs w:val="false"/>
          <w:color w:val="333333"/>
          <w:sz w:val="20"/>
          <w:szCs w:val="20"/>
        </w:rPr>
        <w:t>4:633</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یجیء فی الصفحة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المفروضتین</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إحدیهما</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المبیع بسبعة و نصف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المعیب بخمسة عشر</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نصفی</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النصف</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النصف</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النصف</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سدسها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سهو ظاهراً</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ما ذکرناه أخیراً</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یرتفع</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صار</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التفاوتین بعد التعدیل</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 حقّی البائع و المشتری فی مقام إعطاء الأرش و أخذه تعدیل</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العشرة</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 ما یلی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هذا،مع أن المستند فی الجمیع هو ما ذکرنا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وجوب العمل بکل من البینتین فی قیمة نصف المبیع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نعم،لو لم یکن بینة أصلا لکن علمنا من الخارج أن قیمة الصحیح إما هذا و إما ذاک و کذلک قیمة المعیب و لم نقل حینئذ بالقرعة أو الأصل،فاللازم الاستناد فی التنصیف إلی الجمع بین الحقین علی هذا الوجه،و قد عرفت أن الجمع بتعدیل التفاوت؛لأنّه الحقّ،دون خصوص القیمتین المحتملتین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العالم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image" Target="media/image2.jpeg"/><Relationship Id="rId419" Type="http://schemas.openxmlformats.org/officeDocument/2006/relationships/image" Target="media/image2.jpeg"/><Relationship Id="rId420" Type="http://schemas.openxmlformats.org/officeDocument/2006/relationships/footer" Target="footer413.xml"/><Relationship Id="rId421" Type="http://schemas.openxmlformats.org/officeDocument/2006/relationships/footnotes" Target="footnotes.xml"/><Relationship Id="rId422" Type="http://schemas.openxmlformats.org/officeDocument/2006/relationships/numbering" Target="numbering.xml"/><Relationship Id="rId423" Type="http://schemas.openxmlformats.org/officeDocument/2006/relationships/fontTable" Target="fontTable.xml"/><Relationship Id="rId424" Type="http://schemas.openxmlformats.org/officeDocument/2006/relationships/settings" Target="settings.xml"/><Relationship Id="rId4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420</Pages>
  <Words>39985</Words>
  <Characters>176835</Characters>
  <CharactersWithSpaces>215486</CharactersWithSpaces>
  <Paragraphs>1335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2026-08-26T02:17:17Z</dcterms:created>
  <dc:creator>ghaemiyeh.com</dc:creator>
  <dc:description/>
  <dc:language>en-US</dc:language>
  <cp:lastModifiedBy/>
  <dcterms:modified xsi:type="dcterms:W3CDTF">2026-08-26T05:48:02Z</dcterms:modified>
  <cp:revision>1</cp:revision>
  <dc:subject/>
  <dc:title>المکاسب جلد 5</dc:title>
</cp:coreProperties>
</file>

<file path=docProps/custom.xml><?xml version="1.0" encoding="utf-8"?>
<Properties xmlns="http://schemas.openxmlformats.org/officeDocument/2006/custom-properties" xmlns:vt="http://schemas.openxmlformats.org/officeDocument/2006/docPropsVTypes"/>
</file>